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before="0" w:after="160"/>
        <w:jc w:val="center"/>
        <w:rPr>
          <w:b/>
          <w:b/>
          <w:bCs/>
          <w:color w:val="auto"/>
          <w:sz w:val="40"/>
          <w:szCs w:val="40"/>
        </w:rPr>
      </w:pPr>
      <w:r>
        <w:rPr>
          <w:b/>
          <w:bCs/>
          <w:color w:val="auto"/>
          <w:sz w:val="40"/>
          <w:szCs w:val="40"/>
        </w:rPr>
        <w:t>Accounting Fundamentals</w:t>
      </w:r>
    </w:p>
    <w:p>
      <w:pPr>
        <w:pStyle w:val="Normal"/>
        <w:spacing w:lineRule="auto" w:line="259" w:before="0" w:after="160"/>
        <w:jc w:val="left"/>
        <w:rPr/>
      </w:pPr>
      <w:r>
        <w:rPr/>
      </w:r>
    </w:p>
    <w:p>
      <w:pPr>
        <w:pStyle w:val="Normal"/>
        <w:spacing w:lineRule="auto" w:line="259" w:before="0" w:after="160"/>
        <w:jc w:val="center"/>
        <w:rPr>
          <w:sz w:val="36"/>
          <w:szCs w:val="32"/>
        </w:rPr>
      </w:pPr>
      <w:r>
        <w:rPr>
          <w:sz w:val="36"/>
          <w:szCs w:val="32"/>
        </w:rPr>
        <w:t>LCBB4001</w:t>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center"/>
        <w:rPr>
          <w:sz w:val="36"/>
          <w:szCs w:val="32"/>
        </w:rPr>
      </w:pPr>
      <w:r>
        <w:rPr>
          <w:sz w:val="36"/>
          <w:szCs w:val="32"/>
        </w:rPr>
      </w:r>
    </w:p>
    <w:p>
      <w:pPr>
        <w:pStyle w:val="Normal"/>
        <w:spacing w:lineRule="auto" w:line="259" w:before="0" w:after="160"/>
        <w:jc w:val="left"/>
        <w:rPr>
          <w:sz w:val="36"/>
          <w:szCs w:val="32"/>
        </w:rPr>
      </w:pPr>
      <w:r>
        <w:rPr>
          <w:sz w:val="36"/>
          <w:szCs w:val="32"/>
        </w:rPr>
      </w:r>
    </w:p>
    <w:p>
      <w:pPr>
        <w:pStyle w:val="Normal"/>
        <w:spacing w:lineRule="auto" w:line="259" w:before="0" w:after="160"/>
        <w:jc w:val="left"/>
        <w:rPr>
          <w:sz w:val="36"/>
          <w:szCs w:val="32"/>
        </w:rPr>
      </w:pPr>
      <w:r>
        <w:rPr>
          <w:sz w:val="36"/>
          <w:szCs w:val="32"/>
        </w:rPr>
        <w:t>Student Name: Radostin Angelov</w:t>
      </w:r>
    </w:p>
    <w:p>
      <w:pPr>
        <w:pStyle w:val="Normal"/>
        <w:spacing w:lineRule="auto" w:line="259" w:before="0" w:after="160"/>
        <w:jc w:val="left"/>
        <w:rPr/>
      </w:pPr>
      <w:r>
        <w:rPr>
          <w:sz w:val="36"/>
          <w:szCs w:val="32"/>
        </w:rPr>
        <w:t>Student ID:2132532</w:t>
      </w:r>
    </w:p>
    <w:sdt>
      <w:sdtPr>
        <w:docPartObj>
          <w:docPartGallery w:val="Table of Contents"/>
          <w:docPartUnique w:val="true"/>
        </w:docPartObj>
      </w:sdtPr>
      <w:sdtContent>
        <w:p>
          <w:pPr>
            <w:pStyle w:val="Heading1"/>
            <w:rPr/>
          </w:pPr>
          <w:r>
            <w:rPr/>
            <w:t>Table of Contents</w:t>
          </w:r>
        </w:p>
        <w:p>
          <w:pPr>
            <w:pStyle w:val="Contents1"/>
            <w:tabs>
              <w:tab w:val="clear" w:pos="720"/>
              <w:tab w:val="right" w:pos="9350" w:leader="dot"/>
            </w:tabs>
            <w:rPr>
              <w:rFonts w:ascii="Calibri" w:hAnsi="Calibri" w:eastAsia="" w:asciiTheme="minorHAnsi" w:eastAsiaTheme="minorEastAsia" w:hAnsiTheme="minorHAnsi"/>
              <w:color w:val="auto"/>
              <w:sz w:val="22"/>
              <w:lang w:eastAsia="en-GB"/>
            </w:rPr>
          </w:pPr>
          <w:r>
            <w:fldChar w:fldCharType="begin"/>
          </w:r>
          <w:r>
            <w:rPr>
              <w:webHidden/>
              <w:rStyle w:val="IndexLink"/>
            </w:rPr>
            <w:instrText> TOC \z \o "1-3" \u \h</w:instrText>
          </w:r>
          <w:r>
            <w:rPr>
              <w:webHidden/>
              <w:rStyle w:val="IndexLink"/>
            </w:rPr>
            <w:fldChar w:fldCharType="separate"/>
          </w:r>
          <w:hyperlink w:anchor="_Toc131022251">
            <w:r>
              <w:rPr>
                <w:webHidden/>
                <w:rStyle w:val="IndexLink"/>
              </w:rPr>
              <w:t>Introduction</w:t>
            </w:r>
            <w:r>
              <w:rPr>
                <w:webHidden/>
              </w:rPr>
              <w:fldChar w:fldCharType="begin"/>
            </w:r>
            <w:r>
              <w:rPr>
                <w:webHidden/>
              </w:rPr>
              <w:instrText>PAGEREF _Toc131022251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2">
            <w:r>
              <w:rPr>
                <w:webHidden/>
                <w:rStyle w:val="IndexLink"/>
              </w:rPr>
              <w:t>Question 1</w:t>
            </w:r>
            <w:r>
              <w:rPr>
                <w:webHidden/>
              </w:rPr>
              <w:fldChar w:fldCharType="begin"/>
            </w:r>
            <w:r>
              <w:rPr>
                <w:webHidden/>
              </w:rPr>
              <w:instrText>PAGEREF _Toc131022252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3">
            <w:r>
              <w:rPr>
                <w:webHidden/>
                <w:rStyle w:val="IndexLink"/>
              </w:rPr>
              <w:t>Task a</w:t>
            </w:r>
            <w:r>
              <w:rPr>
                <w:webHidden/>
              </w:rPr>
              <w:fldChar w:fldCharType="begin"/>
            </w:r>
            <w:r>
              <w:rPr>
                <w:webHidden/>
              </w:rPr>
              <w:instrText>PAGEREF _Toc131022253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4">
            <w:r>
              <w:rPr>
                <w:webHidden/>
                <w:rStyle w:val="IndexLink"/>
              </w:rPr>
              <w:t>Task b</w:t>
            </w:r>
            <w:r>
              <w:rPr>
                <w:webHidden/>
              </w:rPr>
              <w:fldChar w:fldCharType="begin"/>
            </w:r>
            <w:r>
              <w:rPr>
                <w:webHidden/>
              </w:rPr>
              <w:instrText>PAGEREF _Toc131022254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5">
            <w:r>
              <w:rPr>
                <w:webHidden/>
                <w:rStyle w:val="IndexLink"/>
              </w:rPr>
              <w:t>Question 2</w:t>
            </w:r>
            <w:r>
              <w:rPr>
                <w:webHidden/>
              </w:rPr>
              <w:fldChar w:fldCharType="begin"/>
            </w:r>
            <w:r>
              <w:rPr>
                <w:webHidden/>
              </w:rPr>
              <w:instrText>PAGEREF _Toc131022255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6">
            <w:r>
              <w:rPr>
                <w:webHidden/>
                <w:rStyle w:val="IndexLink"/>
              </w:rPr>
              <w:t>Task a &amp; b</w:t>
            </w:r>
            <w:r>
              <w:rPr>
                <w:webHidden/>
              </w:rPr>
              <w:fldChar w:fldCharType="begin"/>
            </w:r>
            <w:r>
              <w:rPr>
                <w:webHidden/>
              </w:rPr>
              <w:instrText>PAGEREF _Toc131022256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7">
            <w:r>
              <w:rPr>
                <w:webHidden/>
                <w:rStyle w:val="IndexLink"/>
              </w:rPr>
              <w:t>Conclusion</w:t>
            </w:r>
            <w:r>
              <w:rPr>
                <w:webHidden/>
              </w:rPr>
              <w:fldChar w:fldCharType="begin"/>
            </w:r>
            <w:r>
              <w:rPr>
                <w:webHidden/>
              </w:rPr>
              <w:instrText>PAGEREF _Toc131022257 \h</w:instrText>
            </w:r>
            <w:r>
              <w:rPr>
                <w:webHidden/>
              </w:rPr>
              <w:fldChar w:fldCharType="separate"/>
            </w:r>
            <w:r>
              <w:rPr>
                <w:rStyle w:val="IndexLink"/>
                <w:vanish w:val="false"/>
              </w:rPr>
              <w:tab/>
              <w:t>11</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color w:val="auto"/>
              <w:sz w:val="22"/>
              <w:lang w:eastAsia="en-GB"/>
            </w:rPr>
          </w:pPr>
          <w:hyperlink w:anchor="_Toc131022258">
            <w:r>
              <w:rPr>
                <w:webHidden/>
                <w:rStyle w:val="IndexLink"/>
              </w:rPr>
              <w:t>Reference</w:t>
            </w:r>
            <w:r>
              <w:rPr>
                <w:webHidden/>
              </w:rPr>
              <w:fldChar w:fldCharType="begin"/>
            </w:r>
            <w:r>
              <w:rPr>
                <w:webHidden/>
              </w:rPr>
              <w:instrText>PAGEREF _Toc131022258 \h</w:instrText>
            </w:r>
            <w:r>
              <w:rPr>
                <w:webHidden/>
              </w:rPr>
              <w:fldChar w:fldCharType="separate"/>
            </w:r>
            <w:r>
              <w:rPr>
                <w:rStyle w:val="IndexLink"/>
                <w:vanish w:val="false"/>
              </w:rPr>
              <w:tab/>
              <w:t>12</w:t>
            </w:r>
            <w:r>
              <w:rPr>
                <w:webHidden/>
              </w:rPr>
              <w:fldChar w:fldCharType="end"/>
            </w:r>
          </w:hyperlink>
        </w:p>
        <w:p>
          <w:pPr>
            <w:pStyle w:val="Normal"/>
            <w:rPr/>
          </w:pPr>
          <w:r>
            <w:rPr/>
          </w:r>
          <w:r>
            <w:rPr/>
            <w:fldChar w:fldCharType="end"/>
          </w:r>
        </w:p>
      </w:sdtContent>
    </w:sdt>
    <w:p>
      <w:pPr>
        <w:pStyle w:val="Normal"/>
        <w:spacing w:lineRule="auto" w:line="259" w:before="0" w:after="160"/>
        <w:jc w:val="left"/>
        <w:rPr/>
      </w:pPr>
      <w:r>
        <w:rPr/>
      </w:r>
    </w:p>
    <w:p>
      <w:pPr>
        <w:pStyle w:val="Heading1"/>
        <w:rPr/>
      </w:pPr>
      <w:bookmarkStart w:id="0" w:name="_Toc131022251"/>
      <w:r>
        <w:rPr/>
        <w:t>Introduction</w:t>
      </w:r>
      <w:bookmarkEnd w:id="0"/>
    </w:p>
    <w:p>
      <w:pPr>
        <w:pStyle w:val="Normal"/>
        <w:rPr/>
      </w:pPr>
      <w:r>
        <w:rPr/>
        <w:t>Financial statements are essential for analysing the financial progress and status of a firm. The major financial statements comprise of income statement, balance sheet, equity statement, and cash flow statement, each providing unique information to help investors and stakeholders make informed decisions (Shim, 2008). Ratio analysis is a powerful tool that utilizes data from these financial statements to analyse the financial condition and efficiency of an organisation (Rosa, 2020). Financial ratios, including the liquidity ratios, gearing ratio, and return on equity, assist investors and analysts in determining a company’s competitiveness, liquidity, solvency, and productivity. In this way, financial statements and ratio analysis are critical components of financial management and decision-making.</w:t>
      </w:r>
    </w:p>
    <w:p>
      <w:pPr>
        <w:pStyle w:val="Normal"/>
        <w:rPr/>
      </w:pPr>
      <w:r>
        <w:rPr/>
      </w:r>
    </w:p>
    <w:p>
      <w:pPr>
        <w:pStyle w:val="Normal"/>
        <w:spacing w:lineRule="auto" w:line="259" w:before="0" w:after="160"/>
        <w:jc w:val="left"/>
        <w:rPr>
          <w:sz w:val="36"/>
          <w:szCs w:val="32"/>
        </w:rPr>
      </w:pPr>
      <w:r>
        <w:rPr>
          <w:sz w:val="36"/>
          <w:szCs w:val="32"/>
        </w:rPr>
      </w:r>
      <w:r>
        <w:br w:type="page"/>
      </w:r>
    </w:p>
    <w:p>
      <w:pPr>
        <w:pStyle w:val="Heading1"/>
        <w:rPr/>
      </w:pPr>
      <w:bookmarkStart w:id="1" w:name="_Toc131022252"/>
      <w:r>
        <w:rPr/>
        <w:t>Question 1</w:t>
      </w:r>
      <w:bookmarkEnd w:id="1"/>
      <w:r>
        <w:rPr/>
        <w:t xml:space="preserve"> </w:t>
      </w:r>
    </w:p>
    <w:p>
      <w:pPr>
        <w:pStyle w:val="Heading2"/>
        <w:rPr/>
      </w:pPr>
      <w:bookmarkStart w:id="2" w:name="_Toc131022253"/>
      <w:r>
        <w:rPr/>
        <w:t>Task a</w:t>
      </w:r>
      <w:bookmarkEnd w:id="2"/>
    </w:p>
    <w:p>
      <w:pPr>
        <w:pStyle w:val="Normal"/>
        <w:rPr/>
      </w:pPr>
      <w:r>
        <w:rPr/>
        <w:t xml:space="preserve">A profit and loss statement, is a financial report that summarises a company's earnings and expenditures for a certain time period, generally a year or quarter. The goal of an income statement is to demonstrate a company's profitability by deducting costs from sales to determine net income (Shim, 2008). It gives vital financial performance metrics to investors, lenders, and other stakeholders and can be used to analyse trends and make informed decisions about the company's </w:t>
      </w:r>
      <w:bookmarkStart w:id="3" w:name="_Int_25HFe5Xy"/>
      <w:r>
        <w:rPr/>
        <w:t>future prospects</w:t>
      </w:r>
      <w:bookmarkEnd w:id="3"/>
      <w:r>
        <w:rPr/>
        <w:t>. Usually, the income statement comprises revenue, cost of sales, gross profit, operational expenditures, and net profit, and other relevant financial data. Here is Wales plc's income statement for the calendar year ending 31 December 2022.</w:t>
      </w:r>
    </w:p>
    <w:p>
      <w:pPr>
        <w:pStyle w:val="Normal"/>
        <w:rPr/>
      </w:pPr>
      <w:r>
        <w:rPr/>
      </w:r>
    </w:p>
    <w:tbl>
      <w:tblPr>
        <w:tblStyle w:val="TableGridLight"/>
        <w:tblW w:w="4150" w:type="pct"/>
        <w:jc w:val="center"/>
        <w:tblInd w:w="0" w:type="dxa"/>
        <w:tblCellMar>
          <w:top w:w="0" w:type="dxa"/>
          <w:left w:w="108" w:type="dxa"/>
          <w:bottom w:w="0" w:type="dxa"/>
          <w:right w:w="108" w:type="dxa"/>
        </w:tblCellMar>
        <w:tblLook w:firstRow="1" w:noVBand="1" w:lastRow="0" w:firstColumn="1" w:lastColumn="0" w:noHBand="0" w:val="04a0"/>
      </w:tblPr>
      <w:tblGrid>
        <w:gridCol w:w="5985"/>
        <w:gridCol w:w="1782"/>
      </w:tblGrid>
      <w:tr>
        <w:trPr/>
        <w:tc>
          <w:tcPr>
            <w:tcW w:w="5985" w:type="dxa"/>
            <w:tcBorders/>
            <w:shd w:fill="auto" w:val="clear"/>
          </w:tcPr>
          <w:p>
            <w:pPr>
              <w:pStyle w:val="Normal"/>
              <w:spacing w:lineRule="auto" w:line="240" w:before="0" w:after="0"/>
              <w:jc w:val="center"/>
              <w:rPr>
                <w:rFonts w:cs="Times New Roman"/>
                <w:b/>
                <w:b/>
                <w:bCs/>
                <w:sz w:val="28"/>
                <w:szCs w:val="24"/>
              </w:rPr>
            </w:pPr>
            <w:r>
              <w:rPr>
                <w:rFonts w:cs="Times New Roman"/>
                <w:b/>
                <w:bCs/>
                <w:sz w:val="28"/>
                <w:szCs w:val="24"/>
              </w:rPr>
              <w:t>Particulars</w:t>
            </w:r>
          </w:p>
        </w:tc>
        <w:tc>
          <w:tcPr>
            <w:tcW w:w="1782" w:type="dxa"/>
            <w:tcBorders/>
            <w:shd w:fill="auto" w:val="clear"/>
          </w:tcPr>
          <w:p>
            <w:pPr>
              <w:pStyle w:val="Normal"/>
              <w:spacing w:lineRule="auto" w:line="240" w:before="0" w:after="0"/>
              <w:jc w:val="center"/>
              <w:rPr>
                <w:rFonts w:cs="Times New Roman"/>
                <w:b/>
                <w:b/>
                <w:bCs/>
                <w:sz w:val="28"/>
                <w:szCs w:val="24"/>
              </w:rPr>
            </w:pPr>
            <w:r>
              <w:rPr>
                <w:rFonts w:cs="Times New Roman"/>
                <w:b/>
                <w:bCs/>
                <w:sz w:val="28"/>
                <w:szCs w:val="24"/>
              </w:rPr>
              <w:t>Amount (£)</w:t>
            </w:r>
          </w:p>
        </w:tc>
      </w:tr>
      <w:tr>
        <w:trPr/>
        <w:tc>
          <w:tcPr>
            <w:tcW w:w="5985" w:type="dxa"/>
            <w:tcBorders/>
            <w:shd w:fill="auto" w:val="clear"/>
          </w:tcPr>
          <w:p>
            <w:pPr>
              <w:pStyle w:val="Normal"/>
              <w:spacing w:lineRule="auto" w:line="240" w:before="0" w:after="0"/>
              <w:rPr>
                <w:rFonts w:cs="Times New Roman"/>
                <w:b/>
                <w:b/>
                <w:bCs/>
                <w:sz w:val="28"/>
                <w:szCs w:val="24"/>
              </w:rPr>
            </w:pPr>
            <w:r>
              <w:rPr/>
              <w:t>Revenue:</w:t>
            </w:r>
          </w:p>
        </w:tc>
        <w:tc>
          <w:tcPr>
            <w:tcW w:w="1782" w:type="dxa"/>
            <w:tcBorders/>
            <w:shd w:fill="auto" w:val="clear"/>
          </w:tcPr>
          <w:p>
            <w:pPr>
              <w:pStyle w:val="Normal"/>
              <w:spacing w:lineRule="auto" w:line="240" w:before="0" w:after="0"/>
              <w:jc w:val="right"/>
              <w:rPr>
                <w:rFonts w:cs="Times New Roman"/>
                <w:b/>
                <w:b/>
                <w:bCs/>
                <w:sz w:val="28"/>
                <w:szCs w:val="24"/>
              </w:rPr>
            </w:pPr>
            <w:r>
              <w:rPr/>
              <w:t>800,000</w:t>
            </w:r>
          </w:p>
        </w:tc>
      </w:tr>
      <w:tr>
        <w:trPr/>
        <w:tc>
          <w:tcPr>
            <w:tcW w:w="5985" w:type="dxa"/>
            <w:tcBorders/>
            <w:shd w:fill="auto" w:val="clear"/>
          </w:tcPr>
          <w:p>
            <w:pPr>
              <w:pStyle w:val="Normal"/>
              <w:spacing w:lineRule="auto" w:line="240" w:before="0" w:after="0"/>
              <w:rPr>
                <w:rFonts w:cs="Times New Roman"/>
                <w:b/>
                <w:b/>
                <w:bCs/>
                <w:sz w:val="28"/>
                <w:szCs w:val="24"/>
              </w:rPr>
            </w:pPr>
            <w:r>
              <w:rPr/>
              <w:t>Unrecorded Revenue:</w:t>
            </w:r>
          </w:p>
        </w:tc>
        <w:tc>
          <w:tcPr>
            <w:tcW w:w="1782" w:type="dxa"/>
            <w:tcBorders/>
            <w:shd w:fill="auto" w:val="clear"/>
          </w:tcPr>
          <w:p>
            <w:pPr>
              <w:pStyle w:val="Normal"/>
              <w:spacing w:lineRule="auto" w:line="240" w:before="0" w:after="0"/>
              <w:jc w:val="right"/>
              <w:rPr>
                <w:rFonts w:cs="Times New Roman"/>
                <w:b/>
                <w:b/>
                <w:bCs/>
                <w:sz w:val="28"/>
                <w:szCs w:val="24"/>
              </w:rPr>
            </w:pPr>
            <w:r>
              <w:rPr/>
              <w:t>980</w:t>
            </w:r>
          </w:p>
        </w:tc>
      </w:tr>
      <w:tr>
        <w:trPr>
          <w:trHeight w:val="70" w:hRule="atLeast"/>
        </w:trPr>
        <w:tc>
          <w:tcPr>
            <w:tcW w:w="5985" w:type="dxa"/>
            <w:tcBorders/>
            <w:shd w:fill="auto" w:val="clear"/>
          </w:tcPr>
          <w:p>
            <w:pPr>
              <w:pStyle w:val="Normal"/>
              <w:spacing w:lineRule="auto" w:line="240" w:before="0" w:after="0"/>
              <w:rPr>
                <w:rFonts w:cs="Times New Roman"/>
                <w:b/>
                <w:b/>
                <w:bCs/>
                <w:sz w:val="10"/>
                <w:szCs w:val="10"/>
              </w:rPr>
            </w:pPr>
            <w:r>
              <w:rPr>
                <w:b/>
                <w:bCs/>
              </w:rPr>
              <w:t>Total Revenue</w:t>
            </w:r>
          </w:p>
        </w:tc>
        <w:tc>
          <w:tcPr>
            <w:tcW w:w="1782" w:type="dxa"/>
            <w:tcBorders/>
            <w:shd w:fill="auto" w:val="clear"/>
          </w:tcPr>
          <w:p>
            <w:pPr>
              <w:pStyle w:val="Normal"/>
              <w:spacing w:lineRule="auto" w:line="240" w:before="0" w:after="0"/>
              <w:jc w:val="right"/>
              <w:rPr>
                <w:rFonts w:cs="Times New Roman"/>
                <w:b/>
                <w:b/>
                <w:bCs/>
                <w:sz w:val="10"/>
                <w:szCs w:val="10"/>
              </w:rPr>
            </w:pPr>
            <w:r>
              <w:rPr>
                <w:b/>
                <w:bCs/>
              </w:rPr>
              <w:t>800,980</w:t>
            </w:r>
          </w:p>
        </w:tc>
      </w:tr>
      <w:tr>
        <w:trPr/>
        <w:tc>
          <w:tcPr>
            <w:tcW w:w="5985" w:type="dxa"/>
            <w:tcBorders/>
            <w:shd w:fill="auto" w:val="clear"/>
          </w:tcPr>
          <w:p>
            <w:pPr>
              <w:pStyle w:val="Normal"/>
              <w:spacing w:lineRule="auto" w:line="240" w:before="0" w:after="0"/>
              <w:rPr>
                <w:rFonts w:cs="Times New Roman"/>
                <w:b/>
                <w:b/>
                <w:bCs/>
                <w:sz w:val="28"/>
                <w:szCs w:val="24"/>
              </w:rPr>
            </w:pPr>
            <w:r>
              <w:rPr>
                <w:b/>
                <w:bCs/>
              </w:rPr>
              <w:t>COGS:</w:t>
            </w:r>
          </w:p>
        </w:tc>
        <w:tc>
          <w:tcPr>
            <w:tcW w:w="1782" w:type="dxa"/>
            <w:tcBorders/>
            <w:shd w:fill="auto" w:val="clear"/>
          </w:tcPr>
          <w:p>
            <w:pPr>
              <w:pStyle w:val="Normal"/>
              <w:spacing w:lineRule="auto" w:line="240" w:before="0" w:after="0"/>
              <w:jc w:val="right"/>
              <w:rPr>
                <w:rFonts w:cs="Times New Roman"/>
                <w:b/>
                <w:b/>
                <w:bCs/>
                <w:sz w:val="28"/>
                <w:szCs w:val="24"/>
              </w:rPr>
            </w:pPr>
            <w:r>
              <w:rPr>
                <w:b/>
                <w:bCs/>
              </w:rPr>
              <w:t xml:space="preserve"> </w:t>
            </w:r>
            <w:r>
              <w:rPr>
                <w:b/>
                <w:bCs/>
              </w:rPr>
              <w:t>(578,650)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b/>
                <w:b/>
                <w:bCs/>
                <w:sz w:val="28"/>
                <w:szCs w:val="24"/>
              </w:rPr>
            </w:pPr>
            <w:r>
              <w:rPr>
                <w:b/>
                <w:bCs/>
              </w:rPr>
              <w:t>Gross profit:</w:t>
            </w:r>
          </w:p>
        </w:tc>
        <w:tc>
          <w:tcPr>
            <w:tcW w:w="1782" w:type="dxa"/>
            <w:tcBorders/>
            <w:shd w:fill="auto" w:val="clear"/>
          </w:tcPr>
          <w:p>
            <w:pPr>
              <w:pStyle w:val="Normal"/>
              <w:spacing w:lineRule="auto" w:line="240" w:before="0" w:after="0"/>
              <w:jc w:val="right"/>
              <w:rPr>
                <w:rFonts w:cs="Times New Roman"/>
                <w:b/>
                <w:b/>
                <w:bCs/>
                <w:sz w:val="28"/>
                <w:szCs w:val="24"/>
              </w:rPr>
            </w:pPr>
            <w:r>
              <w:rPr>
                <w:b/>
                <w:bCs/>
              </w:rPr>
              <w:t>222,330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b/>
                <w:b/>
                <w:bCs/>
                <w:sz w:val="28"/>
                <w:szCs w:val="24"/>
              </w:rPr>
            </w:pPr>
            <w:r>
              <w:rPr>
                <w:b/>
                <w:bCs/>
              </w:rPr>
              <w:t>Expenses:</w:t>
            </w:r>
          </w:p>
        </w:tc>
        <w:tc>
          <w:tcPr>
            <w:tcW w:w="1782" w:type="dxa"/>
            <w:tcBorders/>
            <w:shd w:fill="auto" w:val="clear"/>
          </w:tcPr>
          <w:p>
            <w:pPr>
              <w:pStyle w:val="Normal"/>
              <w:spacing w:lineRule="auto" w:line="240" w:before="0" w:after="0"/>
              <w:jc w:val="right"/>
              <w:rPr>
                <w:rFonts w:cs="Times New Roman"/>
                <w:b/>
                <w:b/>
                <w:bCs/>
                <w:sz w:val="28"/>
                <w:szCs w:val="24"/>
              </w:rPr>
            </w:pPr>
            <w:r>
              <w:rPr>
                <w:b/>
                <w:bCs/>
              </w:rPr>
              <w:t xml:space="preserve"> </w:t>
            </w:r>
            <w:r>
              <w:rPr>
                <w:b/>
                <w:bCs/>
              </w:rPr>
              <w:t>(66,000)</w:t>
            </w:r>
          </w:p>
        </w:tc>
      </w:tr>
      <w:tr>
        <w:trPr/>
        <w:tc>
          <w:tcPr>
            <w:tcW w:w="5985" w:type="dxa"/>
            <w:tcBorders/>
            <w:shd w:fill="auto" w:val="clear"/>
          </w:tcPr>
          <w:p>
            <w:pPr>
              <w:pStyle w:val="Normal"/>
              <w:spacing w:lineRule="auto" w:line="240" w:before="0" w:after="0"/>
              <w:rPr>
                <w:rFonts w:cs="Times New Roman"/>
                <w:sz w:val="28"/>
                <w:szCs w:val="24"/>
              </w:rPr>
            </w:pPr>
            <w:r>
              <w:rPr/>
              <w:t>Directors’ remuneration</w:t>
            </w:r>
          </w:p>
        </w:tc>
        <w:tc>
          <w:tcPr>
            <w:tcW w:w="1782" w:type="dxa"/>
            <w:tcBorders/>
            <w:shd w:fill="auto" w:val="clear"/>
          </w:tcPr>
          <w:p>
            <w:pPr>
              <w:pStyle w:val="Normal"/>
              <w:spacing w:lineRule="auto" w:line="240" w:before="0" w:after="0"/>
              <w:jc w:val="right"/>
              <w:rPr>
                <w:rFonts w:cs="Times New Roman"/>
                <w:sz w:val="28"/>
                <w:szCs w:val="24"/>
              </w:rPr>
            </w:pPr>
            <w:r>
              <w:rPr/>
              <w:t xml:space="preserve"> </w:t>
            </w:r>
            <w:r>
              <w:rPr/>
              <w:t>(5,000)</w:t>
            </w:r>
          </w:p>
        </w:tc>
      </w:tr>
      <w:tr>
        <w:trPr/>
        <w:tc>
          <w:tcPr>
            <w:tcW w:w="5985" w:type="dxa"/>
            <w:tcBorders/>
            <w:shd w:fill="auto" w:val="clear"/>
          </w:tcPr>
          <w:p>
            <w:pPr>
              <w:pStyle w:val="Normal"/>
              <w:spacing w:lineRule="auto" w:line="240" w:before="0" w:after="0"/>
              <w:rPr>
                <w:rFonts w:cs="Times New Roman"/>
                <w:sz w:val="28"/>
                <w:szCs w:val="24"/>
              </w:rPr>
            </w:pPr>
            <w:r>
              <w:rPr/>
              <w:t>Distribution costs</w:t>
            </w:r>
          </w:p>
        </w:tc>
        <w:tc>
          <w:tcPr>
            <w:tcW w:w="1782" w:type="dxa"/>
            <w:tcBorders/>
            <w:shd w:fill="auto" w:val="clear"/>
          </w:tcPr>
          <w:p>
            <w:pPr>
              <w:pStyle w:val="Normal"/>
              <w:spacing w:lineRule="auto" w:line="240" w:before="0" w:after="0"/>
              <w:jc w:val="right"/>
              <w:rPr>
                <w:rFonts w:cs="Times New Roman"/>
                <w:sz w:val="28"/>
                <w:szCs w:val="24"/>
              </w:rPr>
            </w:pPr>
            <w:r>
              <w:rPr/>
              <w:t xml:space="preserve"> </w:t>
            </w:r>
            <w:r>
              <w:rPr/>
              <w:t>(28,000)</w:t>
            </w:r>
          </w:p>
        </w:tc>
      </w:tr>
      <w:tr>
        <w:trPr/>
        <w:tc>
          <w:tcPr>
            <w:tcW w:w="5985" w:type="dxa"/>
            <w:tcBorders/>
            <w:shd w:fill="auto" w:val="clear"/>
          </w:tcPr>
          <w:p>
            <w:pPr>
              <w:pStyle w:val="Normal"/>
              <w:spacing w:lineRule="auto" w:line="240" w:before="0" w:after="0"/>
              <w:rPr>
                <w:rFonts w:cs="Times New Roman"/>
                <w:sz w:val="10"/>
                <w:szCs w:val="10"/>
              </w:rPr>
            </w:pPr>
            <w:r>
              <w:rPr/>
              <w:t>Commission on Sales</w:t>
            </w:r>
          </w:p>
        </w:tc>
        <w:tc>
          <w:tcPr>
            <w:tcW w:w="1782" w:type="dxa"/>
            <w:tcBorders/>
            <w:shd w:fill="auto" w:val="clear"/>
          </w:tcPr>
          <w:p>
            <w:pPr>
              <w:pStyle w:val="Normal"/>
              <w:spacing w:lineRule="auto" w:line="240" w:before="0" w:after="0"/>
              <w:jc w:val="right"/>
              <w:rPr>
                <w:rFonts w:cs="Times New Roman"/>
                <w:sz w:val="10"/>
                <w:szCs w:val="10"/>
              </w:rPr>
            </w:pPr>
            <w:r>
              <w:rPr/>
              <w:t xml:space="preserve"> </w:t>
            </w:r>
            <w:r>
              <w:rPr/>
              <w:t>(3,000)</w:t>
            </w:r>
          </w:p>
        </w:tc>
      </w:tr>
      <w:tr>
        <w:trPr/>
        <w:tc>
          <w:tcPr>
            <w:tcW w:w="5985" w:type="dxa"/>
            <w:tcBorders/>
            <w:shd w:fill="auto" w:val="clear"/>
          </w:tcPr>
          <w:p>
            <w:pPr>
              <w:pStyle w:val="Normal"/>
              <w:spacing w:lineRule="auto" w:line="240" w:before="0" w:after="0"/>
              <w:rPr>
                <w:rFonts w:cs="Times New Roman"/>
                <w:b/>
                <w:b/>
                <w:bCs/>
                <w:sz w:val="28"/>
                <w:szCs w:val="24"/>
              </w:rPr>
            </w:pPr>
            <w:r>
              <w:rPr/>
              <w:t>Administrative expenses</w:t>
            </w:r>
          </w:p>
        </w:tc>
        <w:tc>
          <w:tcPr>
            <w:tcW w:w="1782" w:type="dxa"/>
            <w:tcBorders/>
            <w:shd w:fill="auto" w:val="clear"/>
          </w:tcPr>
          <w:p>
            <w:pPr>
              <w:pStyle w:val="Normal"/>
              <w:spacing w:lineRule="auto" w:line="240" w:before="0" w:after="0"/>
              <w:jc w:val="right"/>
              <w:rPr>
                <w:rFonts w:cs="Times New Roman"/>
                <w:b/>
                <w:b/>
                <w:bCs/>
                <w:sz w:val="28"/>
                <w:szCs w:val="24"/>
              </w:rPr>
            </w:pPr>
            <w:r>
              <w:rPr/>
              <w:t xml:space="preserve"> </w:t>
            </w:r>
            <w:r>
              <w:rPr/>
              <w:t>(30,000)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b/>
                <w:b/>
                <w:bCs/>
                <w:sz w:val="28"/>
                <w:szCs w:val="24"/>
              </w:rPr>
            </w:pPr>
            <w:r>
              <w:rPr>
                <w:b/>
                <w:bCs/>
              </w:rPr>
              <w:t>EBIT:</w:t>
            </w:r>
          </w:p>
        </w:tc>
        <w:tc>
          <w:tcPr>
            <w:tcW w:w="1782" w:type="dxa"/>
            <w:tcBorders/>
            <w:shd w:fill="auto" w:val="clear"/>
          </w:tcPr>
          <w:p>
            <w:pPr>
              <w:pStyle w:val="Normal"/>
              <w:spacing w:lineRule="auto" w:line="240" w:before="0" w:after="0"/>
              <w:jc w:val="right"/>
              <w:rPr>
                <w:rFonts w:cs="Times New Roman"/>
                <w:b/>
                <w:b/>
                <w:bCs/>
                <w:sz w:val="28"/>
                <w:szCs w:val="24"/>
              </w:rPr>
            </w:pPr>
            <w:r>
              <w:rPr>
                <w:b/>
                <w:bCs/>
              </w:rPr>
              <w:t>156,330</w:t>
            </w:r>
          </w:p>
        </w:tc>
      </w:tr>
      <w:tr>
        <w:trPr/>
        <w:tc>
          <w:tcPr>
            <w:tcW w:w="5985" w:type="dxa"/>
            <w:tcBorders/>
            <w:shd w:fill="auto" w:val="clear"/>
          </w:tcPr>
          <w:p>
            <w:pPr>
              <w:pStyle w:val="Normal"/>
              <w:spacing w:lineRule="auto" w:line="240" w:before="0" w:after="0"/>
              <w:rPr>
                <w:rFonts w:cs="Times New Roman"/>
                <w:sz w:val="10"/>
                <w:szCs w:val="10"/>
              </w:rPr>
            </w:pPr>
            <w:r>
              <w:rPr/>
              <w:t>Interest paid</w:t>
            </w:r>
          </w:p>
        </w:tc>
        <w:tc>
          <w:tcPr>
            <w:tcW w:w="1782" w:type="dxa"/>
            <w:tcBorders/>
            <w:shd w:fill="auto" w:val="clear"/>
          </w:tcPr>
          <w:p>
            <w:pPr>
              <w:pStyle w:val="Normal"/>
              <w:spacing w:lineRule="auto" w:line="240" w:before="0" w:after="0"/>
              <w:jc w:val="right"/>
              <w:rPr>
                <w:rFonts w:cs="Times New Roman"/>
                <w:sz w:val="10"/>
                <w:szCs w:val="10"/>
              </w:rPr>
            </w:pPr>
            <w:r>
              <w:rPr/>
              <w:t xml:space="preserve"> </w:t>
            </w:r>
            <w:r>
              <w:rPr/>
              <w:t>(2,000)</w:t>
            </w:r>
          </w:p>
        </w:tc>
      </w:tr>
      <w:tr>
        <w:trPr/>
        <w:tc>
          <w:tcPr>
            <w:tcW w:w="5985" w:type="dxa"/>
            <w:tcBorders/>
            <w:shd w:fill="auto" w:val="clear"/>
          </w:tcPr>
          <w:p>
            <w:pPr>
              <w:pStyle w:val="Normal"/>
              <w:spacing w:lineRule="auto" w:line="240" w:before="0" w:after="0"/>
              <w:rPr>
                <w:rFonts w:cs="Times New Roman"/>
                <w:b/>
                <w:b/>
                <w:bCs/>
                <w:sz w:val="28"/>
                <w:szCs w:val="24"/>
              </w:rPr>
            </w:pPr>
            <w:r>
              <w:rPr/>
              <w:t xml:space="preserve">Preference dividend </w:t>
            </w:r>
          </w:p>
        </w:tc>
        <w:tc>
          <w:tcPr>
            <w:tcW w:w="1782" w:type="dxa"/>
            <w:tcBorders/>
            <w:shd w:fill="auto" w:val="clear"/>
          </w:tcPr>
          <w:p>
            <w:pPr>
              <w:pStyle w:val="Normal"/>
              <w:spacing w:lineRule="auto" w:line="240" w:before="0" w:after="0"/>
              <w:jc w:val="right"/>
              <w:rPr>
                <w:rFonts w:cs="Times New Roman"/>
                <w:b/>
                <w:b/>
                <w:bCs/>
                <w:sz w:val="28"/>
                <w:szCs w:val="24"/>
              </w:rPr>
            </w:pPr>
            <w:r>
              <w:rPr/>
              <w:t xml:space="preserve"> </w:t>
            </w:r>
            <w:r>
              <w:rPr/>
              <w:t>(30,000)</w:t>
            </w:r>
          </w:p>
        </w:tc>
      </w:tr>
      <w:tr>
        <w:trPr/>
        <w:tc>
          <w:tcPr>
            <w:tcW w:w="5985" w:type="dxa"/>
            <w:tcBorders/>
            <w:shd w:fill="auto" w:val="clear"/>
          </w:tcPr>
          <w:p>
            <w:pPr>
              <w:pStyle w:val="Normal"/>
              <w:spacing w:lineRule="auto" w:line="240" w:before="0" w:after="0"/>
              <w:rPr>
                <w:rFonts w:cs="Times New Roman"/>
                <w:sz w:val="10"/>
                <w:szCs w:val="10"/>
              </w:rPr>
            </w:pPr>
            <w:r>
              <w:rPr/>
              <w:t>Corporation tax:</w:t>
            </w:r>
          </w:p>
        </w:tc>
        <w:tc>
          <w:tcPr>
            <w:tcW w:w="1782" w:type="dxa"/>
            <w:tcBorders/>
            <w:shd w:fill="auto" w:val="clear"/>
          </w:tcPr>
          <w:p>
            <w:pPr>
              <w:pStyle w:val="Normal"/>
              <w:spacing w:lineRule="auto" w:line="240" w:before="0" w:after="0"/>
              <w:jc w:val="right"/>
              <w:rPr>
                <w:rFonts w:cs="Times New Roman"/>
                <w:sz w:val="10"/>
                <w:szCs w:val="10"/>
              </w:rPr>
            </w:pPr>
            <w:r>
              <w:rPr/>
              <w:t xml:space="preserve"> </w:t>
            </w:r>
            <w:r>
              <w:rPr/>
              <w:t>(100,000)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b/>
                <w:b/>
                <w:bCs/>
                <w:sz w:val="28"/>
                <w:szCs w:val="24"/>
              </w:rPr>
            </w:pPr>
            <w:r>
              <w:rPr>
                <w:b/>
                <w:bCs/>
              </w:rPr>
              <w:t>Net profit:</w:t>
            </w:r>
          </w:p>
        </w:tc>
        <w:tc>
          <w:tcPr>
            <w:tcW w:w="1782" w:type="dxa"/>
            <w:tcBorders/>
            <w:shd w:fill="auto" w:val="clear"/>
          </w:tcPr>
          <w:p>
            <w:pPr>
              <w:pStyle w:val="Normal"/>
              <w:spacing w:lineRule="auto" w:line="240" w:before="0" w:after="0"/>
              <w:jc w:val="right"/>
              <w:rPr>
                <w:rFonts w:cs="Times New Roman"/>
                <w:b/>
                <w:b/>
                <w:bCs/>
                <w:sz w:val="28"/>
                <w:szCs w:val="24"/>
              </w:rPr>
            </w:pPr>
            <w:r>
              <w:rPr>
                <w:b/>
                <w:bCs/>
              </w:rPr>
              <w:t>24,330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sz w:val="10"/>
                <w:szCs w:val="10"/>
              </w:rPr>
            </w:pPr>
            <w:r>
              <w:rPr/>
              <w:t xml:space="preserve">Ordinary dividend </w:t>
            </w:r>
          </w:p>
        </w:tc>
        <w:tc>
          <w:tcPr>
            <w:tcW w:w="1782" w:type="dxa"/>
            <w:tcBorders/>
            <w:shd w:fill="auto" w:val="clear"/>
          </w:tcPr>
          <w:p>
            <w:pPr>
              <w:pStyle w:val="Normal"/>
              <w:spacing w:lineRule="auto" w:line="240" w:before="0" w:after="0"/>
              <w:jc w:val="right"/>
              <w:rPr>
                <w:rFonts w:cs="Times New Roman"/>
                <w:sz w:val="10"/>
                <w:szCs w:val="10"/>
              </w:rPr>
            </w:pPr>
            <w:r>
              <w:rPr/>
              <w:t xml:space="preserve"> </w:t>
            </w:r>
            <w:r>
              <w:rPr/>
              <w:t>(20,000)</w:t>
            </w:r>
          </w:p>
        </w:tc>
      </w:tr>
      <w:tr>
        <w:trPr/>
        <w:tc>
          <w:tcPr>
            <w:tcW w:w="5985"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1782"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985" w:type="dxa"/>
            <w:tcBorders/>
            <w:shd w:fill="auto" w:val="clear"/>
          </w:tcPr>
          <w:p>
            <w:pPr>
              <w:pStyle w:val="Normal"/>
              <w:spacing w:lineRule="auto" w:line="240" w:before="0" w:after="0"/>
              <w:rPr>
                <w:rFonts w:cs="Times New Roman"/>
                <w:b/>
                <w:b/>
                <w:bCs/>
                <w:sz w:val="28"/>
                <w:szCs w:val="24"/>
              </w:rPr>
            </w:pPr>
            <w:r>
              <w:rPr>
                <w:b/>
                <w:bCs/>
              </w:rPr>
              <w:t>Retained earnings:</w:t>
            </w:r>
          </w:p>
        </w:tc>
        <w:tc>
          <w:tcPr>
            <w:tcW w:w="1782" w:type="dxa"/>
            <w:tcBorders/>
            <w:shd w:fill="auto" w:val="clear"/>
          </w:tcPr>
          <w:p>
            <w:pPr>
              <w:pStyle w:val="Normal"/>
              <w:spacing w:lineRule="auto" w:line="240" w:before="0" w:after="0"/>
              <w:jc w:val="right"/>
              <w:rPr>
                <w:rFonts w:cs="Times New Roman"/>
                <w:b/>
                <w:b/>
                <w:bCs/>
                <w:sz w:val="28"/>
                <w:szCs w:val="24"/>
              </w:rPr>
            </w:pPr>
            <w:r>
              <w:rPr>
                <w:b/>
                <w:bCs/>
              </w:rPr>
              <w:t>4,330</w:t>
            </w:r>
          </w:p>
        </w:tc>
      </w:tr>
      <w:tr>
        <w:trPr/>
        <w:tc>
          <w:tcPr>
            <w:tcW w:w="5985" w:type="dxa"/>
            <w:tcBorders/>
            <w:shd w:fill="auto" w:val="clear"/>
          </w:tcPr>
          <w:p>
            <w:pPr>
              <w:pStyle w:val="Normal"/>
              <w:spacing w:lineRule="auto" w:line="240" w:before="0" w:after="0"/>
              <w:rPr>
                <w:rFonts w:cs="Times New Roman"/>
                <w:b/>
                <w:b/>
                <w:bCs/>
                <w:sz w:val="28"/>
                <w:szCs w:val="28"/>
              </w:rPr>
            </w:pPr>
            <w:r>
              <w:rPr>
                <w:b/>
                <w:bCs/>
              </w:rPr>
              <w:t>Retained earnings at 1st January 2022</w:t>
            </w:r>
          </w:p>
        </w:tc>
        <w:tc>
          <w:tcPr>
            <w:tcW w:w="1782" w:type="dxa"/>
            <w:tcBorders/>
            <w:shd w:fill="auto" w:val="clear"/>
          </w:tcPr>
          <w:p>
            <w:pPr>
              <w:pStyle w:val="Normal"/>
              <w:spacing w:lineRule="auto" w:line="240" w:before="0" w:after="0"/>
              <w:jc w:val="right"/>
              <w:rPr>
                <w:rFonts w:cs="Times New Roman"/>
                <w:b/>
                <w:b/>
                <w:bCs/>
                <w:sz w:val="28"/>
                <w:szCs w:val="24"/>
              </w:rPr>
            </w:pPr>
            <w:r>
              <w:rPr>
                <w:b/>
                <w:bCs/>
              </w:rPr>
              <w:t>132,000</w:t>
            </w:r>
          </w:p>
        </w:tc>
      </w:tr>
      <w:tr>
        <w:trPr/>
        <w:tc>
          <w:tcPr>
            <w:tcW w:w="5985" w:type="dxa"/>
            <w:tcBorders/>
            <w:shd w:fill="auto" w:val="clear"/>
          </w:tcPr>
          <w:p>
            <w:pPr>
              <w:pStyle w:val="Normal"/>
              <w:spacing w:lineRule="auto" w:line="240" w:before="0" w:after="0"/>
              <w:rPr>
                <w:rFonts w:cs="Times New Roman"/>
                <w:b/>
                <w:b/>
                <w:bCs/>
                <w:sz w:val="28"/>
                <w:szCs w:val="28"/>
              </w:rPr>
            </w:pPr>
            <w:r>
              <w:rPr>
                <w:b/>
                <w:bCs/>
              </w:rPr>
              <w:t>Retained earnings at 31st December 2022</w:t>
            </w:r>
          </w:p>
        </w:tc>
        <w:tc>
          <w:tcPr>
            <w:tcW w:w="1782" w:type="dxa"/>
            <w:tcBorders/>
            <w:shd w:fill="auto" w:val="clear"/>
          </w:tcPr>
          <w:p>
            <w:pPr>
              <w:pStyle w:val="Normal"/>
              <w:spacing w:lineRule="auto" w:line="240" w:before="0" w:after="0"/>
              <w:jc w:val="right"/>
              <w:rPr>
                <w:rFonts w:cs="Times New Roman"/>
                <w:b/>
                <w:b/>
                <w:bCs/>
                <w:sz w:val="28"/>
                <w:szCs w:val="24"/>
              </w:rPr>
            </w:pPr>
            <w:r>
              <w:rPr>
                <w:b/>
                <w:bCs/>
              </w:rPr>
              <w:t>136,330</w:t>
            </w:r>
          </w:p>
        </w:tc>
      </w:tr>
    </w:tbl>
    <w:p>
      <w:pPr>
        <w:pStyle w:val="Normal"/>
        <w:rPr/>
      </w:pPr>
      <w:r>
        <w:rPr/>
      </w:r>
    </w:p>
    <w:p>
      <w:pPr>
        <w:pStyle w:val="Normal"/>
        <w:rPr/>
      </w:pPr>
      <w:r>
        <w:rPr/>
        <w:t>A balance sheet is a financial report that provides a snapshot of the financial status of a firm at a certain moment in time. It illustrates the company's assets, debts, and ownership, as well as the financing of its assets (Wahlen et al., 2023). A statement of financial position provides insight into a business's financial condition and its capacity to satisfy financial commitments. The assets section of the statement lists all the resources owned by the company, including property, equipment, inventory, and cash. The liabilities section shows the company's debts and obligations, including loans, accounts payable, and other liabilities. The equity section shows the sources of financing for the company, including retained earnings and shareholder investments. The statement of financial position is an essential instrument for shareholders, lenders, as well as other stakeholders, since it gives a concise summary of a company's financial status and can help to inform investment and lending decisions. A statement of financial position for the year ended 31st December 2022 for Wales plc is given below.</w:t>
      </w:r>
    </w:p>
    <w:p>
      <w:pPr>
        <w:pStyle w:val="Normal"/>
        <w:rPr/>
      </w:pPr>
      <w:r>
        <w:rPr/>
      </w:r>
    </w:p>
    <w:tbl>
      <w:tblPr>
        <w:tblStyle w:val="TableGridLight"/>
        <w:tblW w:w="4100" w:type="pct"/>
        <w:jc w:val="center"/>
        <w:tblInd w:w="0" w:type="dxa"/>
        <w:tblCellMar>
          <w:top w:w="0" w:type="dxa"/>
          <w:left w:w="108" w:type="dxa"/>
          <w:bottom w:w="0" w:type="dxa"/>
          <w:right w:w="108" w:type="dxa"/>
        </w:tblCellMar>
        <w:tblLook w:firstRow="1" w:noVBand="1" w:lastRow="0" w:firstColumn="1" w:lastColumn="0" w:noHBand="0" w:val="04a0"/>
      </w:tblPr>
      <w:tblGrid>
        <w:gridCol w:w="5627"/>
        <w:gridCol w:w="2047"/>
      </w:tblGrid>
      <w:tr>
        <w:trPr/>
        <w:tc>
          <w:tcPr>
            <w:tcW w:w="5627" w:type="dxa"/>
            <w:tcBorders/>
            <w:shd w:fill="auto" w:val="clear"/>
          </w:tcPr>
          <w:p>
            <w:pPr>
              <w:pStyle w:val="Normal"/>
              <w:spacing w:lineRule="auto" w:line="240" w:before="0" w:after="0"/>
              <w:jc w:val="center"/>
              <w:rPr>
                <w:rFonts w:cs="Times New Roman"/>
                <w:b/>
                <w:b/>
                <w:bCs/>
                <w:sz w:val="28"/>
                <w:szCs w:val="24"/>
              </w:rPr>
            </w:pPr>
            <w:r>
              <w:rPr>
                <w:rFonts w:cs="Times New Roman"/>
                <w:b/>
                <w:bCs/>
                <w:sz w:val="28"/>
                <w:szCs w:val="24"/>
              </w:rPr>
              <w:t>Particulars</w:t>
            </w:r>
          </w:p>
        </w:tc>
        <w:tc>
          <w:tcPr>
            <w:tcW w:w="2047" w:type="dxa"/>
            <w:tcBorders/>
            <w:shd w:fill="auto" w:val="clear"/>
          </w:tcPr>
          <w:p>
            <w:pPr>
              <w:pStyle w:val="Normal"/>
              <w:spacing w:lineRule="auto" w:line="240" w:before="0" w:after="0"/>
              <w:jc w:val="center"/>
              <w:rPr>
                <w:rFonts w:cs="Times New Roman"/>
                <w:b/>
                <w:b/>
                <w:bCs/>
                <w:sz w:val="28"/>
                <w:szCs w:val="24"/>
              </w:rPr>
            </w:pPr>
            <w:r>
              <w:rPr>
                <w:rFonts w:cs="Times New Roman"/>
                <w:b/>
                <w:bCs/>
                <w:sz w:val="28"/>
                <w:szCs w:val="24"/>
              </w:rPr>
              <w:t>Amount (£)</w:t>
            </w:r>
          </w:p>
        </w:tc>
      </w:tr>
      <w:tr>
        <w:trPr/>
        <w:tc>
          <w:tcPr>
            <w:tcW w:w="5627" w:type="dxa"/>
            <w:tcBorders/>
            <w:shd w:fill="auto" w:val="clear"/>
          </w:tcPr>
          <w:p>
            <w:pPr>
              <w:pStyle w:val="Normal"/>
              <w:spacing w:lineRule="auto" w:line="240" w:before="0" w:after="0"/>
              <w:rPr>
                <w:rFonts w:cs="Times New Roman"/>
                <w:b/>
                <w:b/>
                <w:bCs/>
                <w:sz w:val="28"/>
                <w:szCs w:val="24"/>
              </w:rPr>
            </w:pPr>
            <w:r>
              <w:rPr>
                <w:b/>
                <w:bCs/>
              </w:rPr>
              <w:t>Assets</w:t>
            </w:r>
          </w:p>
        </w:tc>
        <w:tc>
          <w:tcPr>
            <w:tcW w:w="2047" w:type="dxa"/>
            <w:tcBorders/>
            <w:shd w:fill="auto" w:val="clear"/>
          </w:tcPr>
          <w:p>
            <w:pPr>
              <w:pStyle w:val="Normal"/>
              <w:spacing w:lineRule="auto" w:line="240" w:before="0" w:after="0"/>
              <w:jc w:val="right"/>
              <w:rPr>
                <w:rFonts w:cs="Times New Roman"/>
                <w:b/>
                <w:b/>
                <w:bCs/>
                <w:sz w:val="28"/>
                <w:szCs w:val="24"/>
              </w:rPr>
            </w:pPr>
            <w:r>
              <w:rPr>
                <w:rFonts w:cs="Times New Roman"/>
                <w:b/>
                <w:bCs/>
                <w:sz w:val="28"/>
                <w:szCs w:val="24"/>
              </w:rPr>
            </w:r>
          </w:p>
        </w:tc>
      </w:tr>
      <w:tr>
        <w:trPr/>
        <w:tc>
          <w:tcPr>
            <w:tcW w:w="5627" w:type="dxa"/>
            <w:tcBorders/>
            <w:shd w:fill="auto" w:val="clear"/>
          </w:tcPr>
          <w:p>
            <w:pPr>
              <w:pStyle w:val="Normal"/>
              <w:spacing w:lineRule="auto" w:line="240" w:before="0" w:after="0"/>
              <w:rPr>
                <w:rFonts w:cs="Times New Roman"/>
                <w:b/>
                <w:b/>
                <w:bCs/>
                <w:sz w:val="28"/>
                <w:szCs w:val="24"/>
              </w:rPr>
            </w:pPr>
            <w:r>
              <w:rPr>
                <w:b/>
                <w:bCs/>
              </w:rPr>
              <w:t>Long term Assets</w:t>
            </w:r>
          </w:p>
        </w:tc>
        <w:tc>
          <w:tcPr>
            <w:tcW w:w="2047" w:type="dxa"/>
            <w:tcBorders/>
            <w:shd w:fill="auto" w:val="clear"/>
          </w:tcPr>
          <w:p>
            <w:pPr>
              <w:pStyle w:val="Normal"/>
              <w:spacing w:lineRule="auto" w:line="240" w:before="0" w:after="0"/>
              <w:jc w:val="right"/>
              <w:rPr>
                <w:rFonts w:cs="Times New Roman"/>
                <w:b/>
                <w:b/>
                <w:bCs/>
                <w:sz w:val="28"/>
                <w:szCs w:val="24"/>
              </w:rPr>
            </w:pPr>
            <w:r>
              <w:rPr>
                <w:rFonts w:cs="Times New Roman"/>
                <w:b/>
                <w:bCs/>
                <w:sz w:val="28"/>
                <w:szCs w:val="24"/>
              </w:rPr>
            </w:r>
          </w:p>
        </w:tc>
      </w:tr>
      <w:tr>
        <w:trPr/>
        <w:tc>
          <w:tcPr>
            <w:tcW w:w="5627" w:type="dxa"/>
            <w:tcBorders/>
            <w:shd w:fill="auto" w:val="clear"/>
          </w:tcPr>
          <w:p>
            <w:pPr>
              <w:pStyle w:val="Normal"/>
              <w:spacing w:lineRule="auto" w:line="240" w:before="0" w:after="0"/>
              <w:rPr>
                <w:rFonts w:cs="Times New Roman"/>
                <w:sz w:val="28"/>
                <w:szCs w:val="24"/>
              </w:rPr>
            </w:pPr>
            <w:r>
              <w:rPr/>
              <w:t>Plant and equipment</w:t>
            </w:r>
          </w:p>
        </w:tc>
        <w:tc>
          <w:tcPr>
            <w:tcW w:w="2047" w:type="dxa"/>
            <w:tcBorders/>
            <w:shd w:fill="auto" w:val="clear"/>
          </w:tcPr>
          <w:p>
            <w:pPr>
              <w:pStyle w:val="Normal"/>
              <w:spacing w:lineRule="auto" w:line="240" w:before="0" w:after="0"/>
              <w:jc w:val="right"/>
              <w:rPr>
                <w:rFonts w:cs="Times New Roman"/>
                <w:sz w:val="28"/>
                <w:szCs w:val="24"/>
              </w:rPr>
            </w:pPr>
            <w:r>
              <w:rPr/>
              <w:t>1,250,000</w:t>
            </w:r>
          </w:p>
        </w:tc>
      </w:tr>
      <w:tr>
        <w:trPr/>
        <w:tc>
          <w:tcPr>
            <w:tcW w:w="5627"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2047"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627" w:type="dxa"/>
            <w:tcBorders/>
            <w:shd w:fill="auto" w:val="clear"/>
          </w:tcPr>
          <w:p>
            <w:pPr>
              <w:pStyle w:val="Normal"/>
              <w:spacing w:lineRule="auto" w:line="240" w:before="0" w:after="0"/>
              <w:rPr>
                <w:rFonts w:cs="Times New Roman"/>
                <w:b/>
                <w:b/>
                <w:bCs/>
                <w:sz w:val="28"/>
                <w:szCs w:val="24"/>
              </w:rPr>
            </w:pPr>
            <w:r>
              <w:rPr>
                <w:b/>
                <w:bCs/>
              </w:rPr>
              <w:t>Short term Assets</w:t>
            </w:r>
          </w:p>
        </w:tc>
        <w:tc>
          <w:tcPr>
            <w:tcW w:w="2047" w:type="dxa"/>
            <w:tcBorders/>
            <w:shd w:fill="auto" w:val="clear"/>
          </w:tcPr>
          <w:p>
            <w:pPr>
              <w:pStyle w:val="Normal"/>
              <w:spacing w:lineRule="auto" w:line="240" w:before="0" w:after="0"/>
              <w:jc w:val="right"/>
              <w:rPr>
                <w:rFonts w:cs="Times New Roman"/>
                <w:sz w:val="28"/>
                <w:szCs w:val="24"/>
              </w:rPr>
            </w:pPr>
            <w:r>
              <w:rPr>
                <w:rFonts w:cs="Times New Roman"/>
                <w:sz w:val="28"/>
                <w:szCs w:val="24"/>
              </w:rPr>
            </w:r>
          </w:p>
        </w:tc>
      </w:tr>
      <w:tr>
        <w:trPr/>
        <w:tc>
          <w:tcPr>
            <w:tcW w:w="5627" w:type="dxa"/>
            <w:tcBorders/>
            <w:shd w:fill="auto" w:val="clear"/>
          </w:tcPr>
          <w:p>
            <w:pPr>
              <w:pStyle w:val="Normal"/>
              <w:spacing w:lineRule="auto" w:line="240" w:before="0" w:after="0"/>
              <w:rPr>
                <w:rFonts w:cs="Times New Roman"/>
                <w:sz w:val="28"/>
                <w:szCs w:val="24"/>
              </w:rPr>
            </w:pPr>
            <w:r>
              <w:rPr/>
              <w:t>Stock at the end of December 2022</w:t>
            </w:r>
          </w:p>
        </w:tc>
        <w:tc>
          <w:tcPr>
            <w:tcW w:w="2047" w:type="dxa"/>
            <w:tcBorders/>
            <w:shd w:fill="auto" w:val="clear"/>
          </w:tcPr>
          <w:p>
            <w:pPr>
              <w:pStyle w:val="Normal"/>
              <w:spacing w:lineRule="auto" w:line="240" w:before="0" w:after="0"/>
              <w:jc w:val="right"/>
              <w:rPr>
                <w:rFonts w:cs="Times New Roman"/>
                <w:sz w:val="28"/>
                <w:szCs w:val="24"/>
              </w:rPr>
            </w:pPr>
            <w:r>
              <w:rPr/>
              <w:t>510,850</w:t>
            </w:r>
          </w:p>
        </w:tc>
      </w:tr>
      <w:tr>
        <w:trPr/>
        <w:tc>
          <w:tcPr>
            <w:tcW w:w="5627" w:type="dxa"/>
            <w:tcBorders/>
            <w:shd w:fill="auto" w:val="clear"/>
          </w:tcPr>
          <w:p>
            <w:pPr>
              <w:pStyle w:val="Normal"/>
              <w:spacing w:lineRule="auto" w:line="240" w:before="0" w:after="0"/>
              <w:rPr>
                <w:rFonts w:cs="Times New Roman"/>
                <w:b/>
                <w:b/>
                <w:bCs/>
                <w:sz w:val="28"/>
                <w:szCs w:val="24"/>
              </w:rPr>
            </w:pPr>
            <w:r>
              <w:rPr/>
              <w:t>Trade receivables</w:t>
            </w:r>
          </w:p>
        </w:tc>
        <w:tc>
          <w:tcPr>
            <w:tcW w:w="2047" w:type="dxa"/>
            <w:tcBorders/>
            <w:shd w:fill="auto" w:val="clear"/>
          </w:tcPr>
          <w:p>
            <w:pPr>
              <w:pStyle w:val="Normal"/>
              <w:spacing w:lineRule="auto" w:line="240" w:before="0" w:after="0"/>
              <w:jc w:val="right"/>
              <w:rPr>
                <w:rFonts w:cs="Times New Roman"/>
                <w:b/>
                <w:b/>
                <w:bCs/>
                <w:sz w:val="28"/>
                <w:szCs w:val="24"/>
              </w:rPr>
            </w:pPr>
            <w:r>
              <w:rPr/>
              <w:t>170,125</w:t>
            </w:r>
          </w:p>
        </w:tc>
      </w:tr>
      <w:tr>
        <w:trPr/>
        <w:tc>
          <w:tcPr>
            <w:tcW w:w="5627" w:type="dxa"/>
            <w:tcBorders/>
            <w:shd w:fill="auto" w:val="clear"/>
          </w:tcPr>
          <w:p>
            <w:pPr>
              <w:pStyle w:val="Normal"/>
              <w:spacing w:lineRule="auto" w:line="240" w:before="0" w:after="0"/>
              <w:rPr>
                <w:rFonts w:cs="Times New Roman"/>
                <w:sz w:val="10"/>
                <w:szCs w:val="10"/>
              </w:rPr>
            </w:pPr>
            <w:r>
              <w:rPr/>
              <w:t xml:space="preserve">Unrecorded revenue </w:t>
            </w:r>
          </w:p>
        </w:tc>
        <w:tc>
          <w:tcPr>
            <w:tcW w:w="2047" w:type="dxa"/>
            <w:tcBorders/>
            <w:shd w:fill="auto" w:val="clear"/>
          </w:tcPr>
          <w:p>
            <w:pPr>
              <w:pStyle w:val="Normal"/>
              <w:spacing w:lineRule="auto" w:line="240" w:before="0" w:after="0"/>
              <w:jc w:val="right"/>
              <w:rPr>
                <w:rFonts w:cs="Times New Roman"/>
                <w:sz w:val="10"/>
                <w:szCs w:val="10"/>
              </w:rPr>
            </w:pPr>
            <w:r>
              <w:rPr/>
              <w:t>980</w:t>
            </w:r>
          </w:p>
        </w:tc>
      </w:tr>
      <w:tr>
        <w:trPr/>
        <w:tc>
          <w:tcPr>
            <w:tcW w:w="5627" w:type="dxa"/>
            <w:tcBorders/>
            <w:shd w:fill="auto" w:val="clear"/>
          </w:tcPr>
          <w:p>
            <w:pPr>
              <w:pStyle w:val="Normal"/>
              <w:spacing w:lineRule="auto" w:line="240" w:before="0" w:after="0"/>
              <w:rPr>
                <w:rFonts w:cs="Times New Roman"/>
                <w:b/>
                <w:b/>
                <w:bCs/>
                <w:sz w:val="28"/>
                <w:szCs w:val="24"/>
              </w:rPr>
            </w:pPr>
            <w:r>
              <w:rPr/>
              <w:t>Cash and bank</w:t>
            </w:r>
          </w:p>
        </w:tc>
        <w:tc>
          <w:tcPr>
            <w:tcW w:w="2047" w:type="dxa"/>
            <w:tcBorders/>
            <w:shd w:fill="auto" w:val="clear"/>
          </w:tcPr>
          <w:p>
            <w:pPr>
              <w:pStyle w:val="Normal"/>
              <w:spacing w:lineRule="auto" w:line="240" w:before="0" w:after="0"/>
              <w:jc w:val="right"/>
              <w:rPr>
                <w:rFonts w:cs="Times New Roman"/>
                <w:b/>
                <w:b/>
                <w:bCs/>
                <w:sz w:val="28"/>
                <w:szCs w:val="24"/>
              </w:rPr>
            </w:pPr>
            <w:r>
              <w:rPr/>
              <w:t>96,000</w:t>
            </w:r>
          </w:p>
        </w:tc>
      </w:tr>
      <w:tr>
        <w:trPr/>
        <w:tc>
          <w:tcPr>
            <w:tcW w:w="5627" w:type="dxa"/>
            <w:tcBorders/>
            <w:shd w:fill="auto" w:val="clear"/>
          </w:tcPr>
          <w:p>
            <w:pPr>
              <w:pStyle w:val="Normal"/>
              <w:spacing w:lineRule="auto" w:line="240" w:before="0" w:after="0"/>
              <w:rPr>
                <w:rFonts w:cs="Times New Roman"/>
                <w:b/>
                <w:b/>
                <w:bCs/>
                <w:sz w:val="28"/>
                <w:szCs w:val="24"/>
              </w:rPr>
            </w:pPr>
            <w:r>
              <w:rPr>
                <w:b/>
                <w:bCs/>
              </w:rPr>
              <w:t>Total short term Assets</w:t>
            </w:r>
          </w:p>
        </w:tc>
        <w:tc>
          <w:tcPr>
            <w:tcW w:w="2047" w:type="dxa"/>
            <w:tcBorders/>
            <w:shd w:fill="auto" w:val="clear"/>
          </w:tcPr>
          <w:p>
            <w:pPr>
              <w:pStyle w:val="Normal"/>
              <w:spacing w:lineRule="auto" w:line="240" w:before="0" w:after="0"/>
              <w:jc w:val="right"/>
              <w:rPr>
                <w:rFonts w:cs="Times New Roman"/>
                <w:b/>
                <w:b/>
                <w:bCs/>
                <w:sz w:val="28"/>
                <w:szCs w:val="24"/>
              </w:rPr>
            </w:pPr>
            <w:r>
              <w:rPr>
                <w:b/>
                <w:bCs/>
              </w:rPr>
              <w:t>777,955</w:t>
            </w:r>
          </w:p>
        </w:tc>
      </w:tr>
      <w:tr>
        <w:trPr/>
        <w:tc>
          <w:tcPr>
            <w:tcW w:w="5627" w:type="dxa"/>
            <w:tcBorders/>
            <w:shd w:fill="auto" w:val="clear"/>
          </w:tcPr>
          <w:p>
            <w:pPr>
              <w:pStyle w:val="Normal"/>
              <w:spacing w:lineRule="auto" w:line="240" w:before="0" w:after="0"/>
              <w:rPr>
                <w:rFonts w:cs="Times New Roman"/>
                <w:b/>
                <w:b/>
                <w:bCs/>
                <w:sz w:val="10"/>
                <w:szCs w:val="10"/>
              </w:rPr>
            </w:pPr>
            <w:r>
              <w:rPr>
                <w:rFonts w:cs="Times New Roman"/>
                <w:b/>
                <w:bCs/>
                <w:sz w:val="10"/>
                <w:szCs w:val="10"/>
              </w:rPr>
            </w:r>
          </w:p>
        </w:tc>
        <w:tc>
          <w:tcPr>
            <w:tcW w:w="2047" w:type="dxa"/>
            <w:tcBorders/>
            <w:shd w:fill="auto" w:val="clear"/>
          </w:tcPr>
          <w:p>
            <w:pPr>
              <w:pStyle w:val="Normal"/>
              <w:spacing w:lineRule="auto" w:line="240" w:before="0" w:after="0"/>
              <w:jc w:val="right"/>
              <w:rPr>
                <w:rFonts w:cs="Times New Roman"/>
                <w:b/>
                <w:b/>
                <w:bCs/>
                <w:sz w:val="10"/>
                <w:szCs w:val="10"/>
              </w:rPr>
            </w:pPr>
            <w:r>
              <w:rPr>
                <w:rFonts w:cs="Times New Roman"/>
                <w:b/>
                <w:bCs/>
                <w:sz w:val="10"/>
                <w:szCs w:val="10"/>
              </w:rPr>
            </w:r>
          </w:p>
        </w:tc>
      </w:tr>
      <w:tr>
        <w:trPr/>
        <w:tc>
          <w:tcPr>
            <w:tcW w:w="5627" w:type="dxa"/>
            <w:tcBorders/>
            <w:shd w:fill="auto" w:val="clear"/>
          </w:tcPr>
          <w:p>
            <w:pPr>
              <w:pStyle w:val="Normal"/>
              <w:spacing w:lineRule="auto" w:line="240" w:before="0" w:after="0"/>
              <w:rPr>
                <w:rFonts w:cs="Times New Roman"/>
                <w:b/>
                <w:b/>
                <w:bCs/>
                <w:sz w:val="28"/>
                <w:szCs w:val="24"/>
              </w:rPr>
            </w:pPr>
            <w:r>
              <w:rPr>
                <w:b/>
                <w:bCs/>
              </w:rPr>
              <w:t>Total Assets</w:t>
            </w:r>
          </w:p>
        </w:tc>
        <w:tc>
          <w:tcPr>
            <w:tcW w:w="2047" w:type="dxa"/>
            <w:tcBorders/>
            <w:shd w:fill="auto" w:val="clear"/>
          </w:tcPr>
          <w:p>
            <w:pPr>
              <w:pStyle w:val="Normal"/>
              <w:spacing w:lineRule="auto" w:line="240" w:before="0" w:after="0"/>
              <w:jc w:val="right"/>
              <w:rPr>
                <w:rFonts w:cs="Times New Roman"/>
                <w:b/>
                <w:b/>
                <w:bCs/>
                <w:sz w:val="28"/>
                <w:szCs w:val="24"/>
              </w:rPr>
            </w:pPr>
            <w:r>
              <w:rPr>
                <w:b/>
                <w:bCs/>
              </w:rPr>
              <w:t>2,027,955</w:t>
            </w:r>
          </w:p>
        </w:tc>
      </w:tr>
      <w:tr>
        <w:trPr/>
        <w:tc>
          <w:tcPr>
            <w:tcW w:w="5627"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2047"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627" w:type="dxa"/>
            <w:tcBorders/>
            <w:shd w:fill="auto" w:val="clear"/>
          </w:tcPr>
          <w:p>
            <w:pPr>
              <w:pStyle w:val="Normal"/>
              <w:spacing w:lineRule="auto" w:line="240" w:before="0" w:after="0"/>
              <w:rPr>
                <w:rFonts w:cs="Times New Roman"/>
                <w:b/>
                <w:b/>
                <w:bCs/>
                <w:sz w:val="28"/>
                <w:szCs w:val="24"/>
              </w:rPr>
            </w:pPr>
            <w:r>
              <w:rPr>
                <w:b/>
                <w:bCs/>
              </w:rPr>
              <w:t>Liabilities</w:t>
            </w:r>
          </w:p>
        </w:tc>
        <w:tc>
          <w:tcPr>
            <w:tcW w:w="2047" w:type="dxa"/>
            <w:tcBorders/>
            <w:shd w:fill="auto" w:val="clear"/>
          </w:tcPr>
          <w:p>
            <w:pPr>
              <w:pStyle w:val="Normal"/>
              <w:spacing w:lineRule="auto" w:line="240" w:before="0" w:after="0"/>
              <w:jc w:val="right"/>
              <w:rPr>
                <w:rFonts w:cs="Times New Roman"/>
                <w:b/>
                <w:b/>
                <w:bCs/>
                <w:sz w:val="28"/>
                <w:szCs w:val="24"/>
              </w:rPr>
            </w:pPr>
            <w:r>
              <w:rPr>
                <w:rFonts w:cs="Times New Roman"/>
                <w:b/>
                <w:bCs/>
                <w:sz w:val="28"/>
                <w:szCs w:val="24"/>
              </w:rPr>
            </w:r>
          </w:p>
        </w:tc>
      </w:tr>
      <w:tr>
        <w:trPr/>
        <w:tc>
          <w:tcPr>
            <w:tcW w:w="5627" w:type="dxa"/>
            <w:tcBorders/>
            <w:shd w:fill="auto" w:val="clear"/>
          </w:tcPr>
          <w:p>
            <w:pPr>
              <w:pStyle w:val="Normal"/>
              <w:spacing w:lineRule="auto" w:line="240" w:before="0" w:after="0"/>
              <w:rPr>
                <w:rFonts w:cs="Times New Roman"/>
                <w:b/>
                <w:b/>
                <w:bCs/>
                <w:sz w:val="10"/>
                <w:szCs w:val="10"/>
              </w:rPr>
            </w:pPr>
            <w:r>
              <w:rPr>
                <w:b/>
                <w:bCs/>
              </w:rPr>
              <w:t>Long term Liabilities</w:t>
            </w:r>
          </w:p>
        </w:tc>
        <w:tc>
          <w:tcPr>
            <w:tcW w:w="2047"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627" w:type="dxa"/>
            <w:tcBorders/>
            <w:shd w:fill="auto" w:val="clear"/>
          </w:tcPr>
          <w:p>
            <w:pPr>
              <w:pStyle w:val="Normal"/>
              <w:spacing w:lineRule="auto" w:line="240" w:before="0" w:after="0"/>
              <w:rPr>
                <w:rFonts w:cs="Times New Roman"/>
                <w:b/>
                <w:b/>
                <w:bCs/>
                <w:sz w:val="28"/>
                <w:szCs w:val="24"/>
              </w:rPr>
            </w:pPr>
            <w:r>
              <w:rPr/>
              <w:t>2% Debentures</w:t>
            </w:r>
          </w:p>
        </w:tc>
        <w:tc>
          <w:tcPr>
            <w:tcW w:w="2047" w:type="dxa"/>
            <w:tcBorders/>
            <w:shd w:fill="auto" w:val="clear"/>
          </w:tcPr>
          <w:p>
            <w:pPr>
              <w:pStyle w:val="Normal"/>
              <w:spacing w:lineRule="auto" w:line="240" w:before="0" w:after="0"/>
              <w:jc w:val="right"/>
              <w:rPr>
                <w:rFonts w:cs="Times New Roman"/>
                <w:b/>
                <w:b/>
                <w:bCs/>
                <w:sz w:val="28"/>
                <w:szCs w:val="24"/>
              </w:rPr>
            </w:pPr>
            <w:r>
              <w:rPr/>
              <w:t>200,000</w:t>
            </w:r>
          </w:p>
        </w:tc>
      </w:tr>
      <w:tr>
        <w:trPr/>
        <w:tc>
          <w:tcPr>
            <w:tcW w:w="5627"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2047"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627" w:type="dxa"/>
            <w:tcBorders/>
            <w:shd w:fill="auto" w:val="clear"/>
          </w:tcPr>
          <w:p>
            <w:pPr>
              <w:pStyle w:val="Normal"/>
              <w:spacing w:lineRule="auto" w:line="240" w:before="0" w:after="0"/>
              <w:rPr>
                <w:rFonts w:cs="Times New Roman"/>
                <w:b/>
                <w:b/>
                <w:bCs/>
                <w:sz w:val="28"/>
                <w:szCs w:val="24"/>
              </w:rPr>
            </w:pPr>
            <w:r>
              <w:rPr>
                <w:b/>
                <w:bCs/>
              </w:rPr>
              <w:t>Short term Assets</w:t>
            </w:r>
          </w:p>
        </w:tc>
        <w:tc>
          <w:tcPr>
            <w:tcW w:w="2047" w:type="dxa"/>
            <w:tcBorders/>
            <w:shd w:fill="auto" w:val="clear"/>
          </w:tcPr>
          <w:p>
            <w:pPr>
              <w:pStyle w:val="Normal"/>
              <w:spacing w:lineRule="auto" w:line="240" w:before="0" w:after="0"/>
              <w:jc w:val="right"/>
              <w:rPr>
                <w:rFonts w:cs="Times New Roman"/>
                <w:sz w:val="28"/>
                <w:szCs w:val="24"/>
              </w:rPr>
            </w:pPr>
            <w:r>
              <w:rPr>
                <w:rFonts w:cs="Times New Roman"/>
                <w:sz w:val="28"/>
                <w:szCs w:val="24"/>
              </w:rPr>
            </w:r>
          </w:p>
        </w:tc>
      </w:tr>
      <w:tr>
        <w:trPr/>
        <w:tc>
          <w:tcPr>
            <w:tcW w:w="5627" w:type="dxa"/>
            <w:tcBorders/>
            <w:shd w:fill="auto" w:val="clear"/>
          </w:tcPr>
          <w:p>
            <w:pPr>
              <w:pStyle w:val="Normal"/>
              <w:spacing w:lineRule="auto" w:line="240" w:before="0" w:after="0"/>
              <w:rPr>
                <w:rFonts w:cs="Times New Roman"/>
                <w:sz w:val="28"/>
                <w:szCs w:val="24"/>
              </w:rPr>
            </w:pPr>
            <w:r>
              <w:rPr/>
              <w:t>Accrued commission</w:t>
            </w:r>
          </w:p>
        </w:tc>
        <w:tc>
          <w:tcPr>
            <w:tcW w:w="2047" w:type="dxa"/>
            <w:tcBorders/>
            <w:shd w:fill="auto" w:val="clear"/>
          </w:tcPr>
          <w:p>
            <w:pPr>
              <w:pStyle w:val="Normal"/>
              <w:spacing w:lineRule="auto" w:line="240" w:before="0" w:after="0"/>
              <w:jc w:val="right"/>
              <w:rPr>
                <w:rFonts w:cs="Times New Roman"/>
                <w:sz w:val="28"/>
                <w:szCs w:val="24"/>
              </w:rPr>
            </w:pPr>
            <w:r>
              <w:rPr/>
              <w:t>3,000</w:t>
            </w:r>
          </w:p>
        </w:tc>
      </w:tr>
      <w:tr>
        <w:trPr/>
        <w:tc>
          <w:tcPr>
            <w:tcW w:w="5627" w:type="dxa"/>
            <w:tcBorders/>
            <w:shd w:fill="auto" w:val="clear"/>
          </w:tcPr>
          <w:p>
            <w:pPr>
              <w:pStyle w:val="Normal"/>
              <w:spacing w:lineRule="auto" w:line="240" w:before="0" w:after="0"/>
              <w:rPr>
                <w:rFonts w:cs="Times New Roman"/>
                <w:b/>
                <w:b/>
                <w:bCs/>
                <w:sz w:val="28"/>
                <w:szCs w:val="24"/>
              </w:rPr>
            </w:pPr>
            <w:r>
              <w:rPr/>
              <w:t>Trade payables</w:t>
            </w:r>
          </w:p>
        </w:tc>
        <w:tc>
          <w:tcPr>
            <w:tcW w:w="2047" w:type="dxa"/>
            <w:tcBorders/>
            <w:shd w:fill="auto" w:val="clear"/>
          </w:tcPr>
          <w:p>
            <w:pPr>
              <w:pStyle w:val="Normal"/>
              <w:spacing w:lineRule="auto" w:line="240" w:before="0" w:after="0"/>
              <w:jc w:val="right"/>
              <w:rPr>
                <w:rFonts w:cs="Times New Roman"/>
                <w:b/>
                <w:b/>
                <w:bCs/>
                <w:sz w:val="28"/>
                <w:szCs w:val="24"/>
              </w:rPr>
            </w:pPr>
            <w:r>
              <w:rPr/>
              <w:t>188,625</w:t>
            </w:r>
          </w:p>
        </w:tc>
      </w:tr>
      <w:tr>
        <w:trPr/>
        <w:tc>
          <w:tcPr>
            <w:tcW w:w="5627" w:type="dxa"/>
            <w:tcBorders/>
            <w:shd w:fill="auto" w:val="clear"/>
          </w:tcPr>
          <w:p>
            <w:pPr>
              <w:pStyle w:val="Normal"/>
              <w:spacing w:lineRule="auto" w:line="240" w:before="0" w:after="0"/>
              <w:rPr>
                <w:b/>
                <w:b/>
                <w:bCs/>
              </w:rPr>
            </w:pPr>
            <w:r>
              <w:rPr/>
              <w:t>Corporate tax</w:t>
            </w:r>
          </w:p>
        </w:tc>
        <w:tc>
          <w:tcPr>
            <w:tcW w:w="2047" w:type="dxa"/>
            <w:tcBorders/>
            <w:shd w:fill="auto" w:val="clear"/>
          </w:tcPr>
          <w:p>
            <w:pPr>
              <w:pStyle w:val="Normal"/>
              <w:spacing w:lineRule="auto" w:line="240" w:before="0" w:after="0"/>
              <w:jc w:val="right"/>
              <w:rPr>
                <w:b/>
                <w:b/>
                <w:bCs/>
              </w:rPr>
            </w:pPr>
            <w:r>
              <w:rPr/>
              <w:t>100,000</w:t>
            </w:r>
          </w:p>
        </w:tc>
      </w:tr>
      <w:tr>
        <w:trPr/>
        <w:tc>
          <w:tcPr>
            <w:tcW w:w="5627" w:type="dxa"/>
            <w:tcBorders/>
            <w:shd w:fill="auto" w:val="clear"/>
          </w:tcPr>
          <w:p>
            <w:pPr>
              <w:pStyle w:val="Normal"/>
              <w:spacing w:lineRule="auto" w:line="240" w:before="0" w:after="0"/>
              <w:rPr>
                <w:b/>
                <w:b/>
                <w:bCs/>
              </w:rPr>
            </w:pPr>
            <w:r>
              <w:rPr>
                <w:b/>
                <w:bCs/>
              </w:rPr>
              <w:t>Total Current Liabilities</w:t>
            </w:r>
          </w:p>
        </w:tc>
        <w:tc>
          <w:tcPr>
            <w:tcW w:w="2047" w:type="dxa"/>
            <w:tcBorders/>
            <w:shd w:fill="auto" w:val="clear"/>
          </w:tcPr>
          <w:p>
            <w:pPr>
              <w:pStyle w:val="Normal"/>
              <w:spacing w:lineRule="auto" w:line="240" w:before="0" w:after="0"/>
              <w:jc w:val="right"/>
              <w:rPr>
                <w:b/>
                <w:b/>
                <w:bCs/>
              </w:rPr>
            </w:pPr>
            <w:r>
              <w:rPr>
                <w:b/>
                <w:bCs/>
              </w:rPr>
              <w:t>291,625</w:t>
            </w:r>
          </w:p>
        </w:tc>
      </w:tr>
      <w:tr>
        <w:trPr/>
        <w:tc>
          <w:tcPr>
            <w:tcW w:w="5627" w:type="dxa"/>
            <w:tcBorders/>
            <w:shd w:fill="auto" w:val="clear"/>
          </w:tcPr>
          <w:p>
            <w:pPr>
              <w:pStyle w:val="Normal"/>
              <w:spacing w:lineRule="auto" w:line="240" w:before="0" w:after="0"/>
              <w:rPr>
                <w:rFonts w:cs="Times New Roman"/>
                <w:b/>
                <w:b/>
                <w:bCs/>
                <w:sz w:val="10"/>
                <w:szCs w:val="10"/>
              </w:rPr>
            </w:pPr>
            <w:r>
              <w:rPr>
                <w:rFonts w:cs="Times New Roman"/>
                <w:b/>
                <w:bCs/>
                <w:sz w:val="10"/>
                <w:szCs w:val="10"/>
              </w:rPr>
            </w:r>
          </w:p>
        </w:tc>
        <w:tc>
          <w:tcPr>
            <w:tcW w:w="2047" w:type="dxa"/>
            <w:tcBorders/>
            <w:shd w:fill="auto" w:val="clear"/>
          </w:tcPr>
          <w:p>
            <w:pPr>
              <w:pStyle w:val="Normal"/>
              <w:spacing w:lineRule="auto" w:line="240" w:before="0" w:after="0"/>
              <w:jc w:val="right"/>
              <w:rPr>
                <w:rFonts w:cs="Times New Roman"/>
                <w:b/>
                <w:b/>
                <w:bCs/>
                <w:sz w:val="10"/>
                <w:szCs w:val="10"/>
              </w:rPr>
            </w:pPr>
            <w:r>
              <w:rPr>
                <w:rFonts w:cs="Times New Roman"/>
                <w:b/>
                <w:bCs/>
                <w:sz w:val="10"/>
                <w:szCs w:val="10"/>
              </w:rPr>
            </w:r>
          </w:p>
        </w:tc>
      </w:tr>
      <w:tr>
        <w:trPr/>
        <w:tc>
          <w:tcPr>
            <w:tcW w:w="5627" w:type="dxa"/>
            <w:tcBorders/>
            <w:shd w:fill="auto" w:val="clear"/>
          </w:tcPr>
          <w:p>
            <w:pPr>
              <w:pStyle w:val="Normal"/>
              <w:spacing w:lineRule="auto" w:line="240" w:before="0" w:after="0"/>
              <w:rPr>
                <w:b/>
                <w:b/>
                <w:bCs/>
              </w:rPr>
            </w:pPr>
            <w:r>
              <w:rPr>
                <w:b/>
                <w:bCs/>
              </w:rPr>
              <w:t>Total Liabilities</w:t>
            </w:r>
          </w:p>
        </w:tc>
        <w:tc>
          <w:tcPr>
            <w:tcW w:w="2047" w:type="dxa"/>
            <w:tcBorders/>
            <w:shd w:fill="auto" w:val="clear"/>
          </w:tcPr>
          <w:p>
            <w:pPr>
              <w:pStyle w:val="Normal"/>
              <w:spacing w:lineRule="auto" w:line="240" w:before="0" w:after="0"/>
              <w:jc w:val="right"/>
              <w:rPr>
                <w:b/>
                <w:b/>
                <w:bCs/>
              </w:rPr>
            </w:pPr>
            <w:r>
              <w:rPr>
                <w:b/>
                <w:bCs/>
              </w:rPr>
              <w:t>491,625</w:t>
            </w:r>
          </w:p>
        </w:tc>
      </w:tr>
      <w:tr>
        <w:trPr/>
        <w:tc>
          <w:tcPr>
            <w:tcW w:w="5627" w:type="dxa"/>
            <w:tcBorders/>
            <w:shd w:fill="auto" w:val="clear"/>
          </w:tcPr>
          <w:p>
            <w:pPr>
              <w:pStyle w:val="Normal"/>
              <w:spacing w:lineRule="auto" w:line="240" w:before="0" w:after="0"/>
              <w:rPr>
                <w:rFonts w:cs="Times New Roman"/>
                <w:sz w:val="10"/>
                <w:szCs w:val="10"/>
              </w:rPr>
            </w:pPr>
            <w:r>
              <w:rPr>
                <w:rFonts w:cs="Times New Roman"/>
                <w:sz w:val="10"/>
                <w:szCs w:val="10"/>
              </w:rPr>
            </w:r>
          </w:p>
        </w:tc>
        <w:tc>
          <w:tcPr>
            <w:tcW w:w="2047" w:type="dxa"/>
            <w:tcBorders/>
            <w:shd w:fill="auto" w:val="clear"/>
          </w:tcPr>
          <w:p>
            <w:pPr>
              <w:pStyle w:val="Normal"/>
              <w:spacing w:lineRule="auto" w:line="240" w:before="0" w:after="0"/>
              <w:jc w:val="right"/>
              <w:rPr>
                <w:rFonts w:cs="Times New Roman"/>
                <w:sz w:val="10"/>
                <w:szCs w:val="10"/>
              </w:rPr>
            </w:pPr>
            <w:r>
              <w:rPr>
                <w:rFonts w:cs="Times New Roman"/>
                <w:sz w:val="10"/>
                <w:szCs w:val="10"/>
              </w:rPr>
            </w:r>
          </w:p>
        </w:tc>
      </w:tr>
      <w:tr>
        <w:trPr/>
        <w:tc>
          <w:tcPr>
            <w:tcW w:w="5627" w:type="dxa"/>
            <w:tcBorders/>
            <w:shd w:fill="auto" w:val="clear"/>
          </w:tcPr>
          <w:p>
            <w:pPr>
              <w:pStyle w:val="Normal"/>
              <w:spacing w:lineRule="auto" w:line="240" w:before="0" w:after="0"/>
              <w:rPr>
                <w:b/>
                <w:b/>
                <w:bCs/>
              </w:rPr>
            </w:pPr>
            <w:r>
              <w:rPr/>
              <w:t>Equity</w:t>
            </w:r>
          </w:p>
        </w:tc>
        <w:tc>
          <w:tcPr>
            <w:tcW w:w="2047" w:type="dxa"/>
            <w:tcBorders/>
            <w:shd w:fill="auto" w:val="clear"/>
          </w:tcPr>
          <w:p>
            <w:pPr>
              <w:pStyle w:val="Normal"/>
              <w:spacing w:lineRule="auto" w:line="240" w:before="0" w:after="0"/>
              <w:jc w:val="right"/>
              <w:rPr>
                <w:b/>
                <w:b/>
                <w:bCs/>
              </w:rPr>
            </w:pPr>
            <w:r>
              <w:rPr>
                <w:b/>
                <w:bCs/>
              </w:rPr>
            </w:r>
          </w:p>
        </w:tc>
      </w:tr>
      <w:tr>
        <w:trPr/>
        <w:tc>
          <w:tcPr>
            <w:tcW w:w="5627" w:type="dxa"/>
            <w:tcBorders/>
            <w:shd w:fill="auto" w:val="clear"/>
          </w:tcPr>
          <w:p>
            <w:pPr>
              <w:pStyle w:val="Normal"/>
              <w:spacing w:lineRule="auto" w:line="240" w:before="0" w:after="0"/>
              <w:rPr>
                <w:b/>
                <w:b/>
                <w:bCs/>
              </w:rPr>
            </w:pPr>
            <w:r>
              <w:rPr/>
              <w:t>£1 ordinary shares</w:t>
            </w:r>
          </w:p>
        </w:tc>
        <w:tc>
          <w:tcPr>
            <w:tcW w:w="2047" w:type="dxa"/>
            <w:tcBorders/>
            <w:shd w:fill="auto" w:val="clear"/>
          </w:tcPr>
          <w:p>
            <w:pPr>
              <w:pStyle w:val="Normal"/>
              <w:spacing w:lineRule="auto" w:line="240" w:before="0" w:after="0"/>
              <w:jc w:val="right"/>
              <w:rPr>
                <w:b/>
                <w:b/>
                <w:bCs/>
              </w:rPr>
            </w:pPr>
            <w:r>
              <w:rPr/>
              <w:t>900,000</w:t>
            </w:r>
          </w:p>
        </w:tc>
      </w:tr>
      <w:tr>
        <w:trPr/>
        <w:tc>
          <w:tcPr>
            <w:tcW w:w="5627" w:type="dxa"/>
            <w:tcBorders/>
            <w:shd w:fill="auto" w:val="clear"/>
          </w:tcPr>
          <w:p>
            <w:pPr>
              <w:pStyle w:val="Normal"/>
              <w:spacing w:lineRule="auto" w:line="240" w:before="0" w:after="0"/>
              <w:rPr>
                <w:b/>
                <w:b/>
                <w:bCs/>
              </w:rPr>
            </w:pPr>
            <w:r>
              <w:rPr/>
              <w:t>10% £1 preference shares</w:t>
            </w:r>
          </w:p>
        </w:tc>
        <w:tc>
          <w:tcPr>
            <w:tcW w:w="2047" w:type="dxa"/>
            <w:tcBorders/>
            <w:shd w:fill="auto" w:val="clear"/>
          </w:tcPr>
          <w:p>
            <w:pPr>
              <w:pStyle w:val="Normal"/>
              <w:spacing w:lineRule="auto" w:line="240" w:before="0" w:after="0"/>
              <w:jc w:val="right"/>
              <w:rPr>
                <w:b/>
                <w:b/>
                <w:bCs/>
              </w:rPr>
            </w:pPr>
            <w:r>
              <w:rPr/>
              <w:t>500,000</w:t>
            </w:r>
          </w:p>
        </w:tc>
      </w:tr>
      <w:tr>
        <w:trPr/>
        <w:tc>
          <w:tcPr>
            <w:tcW w:w="5627" w:type="dxa"/>
            <w:tcBorders/>
            <w:shd w:fill="auto" w:val="clear"/>
          </w:tcPr>
          <w:p>
            <w:pPr>
              <w:pStyle w:val="Normal"/>
              <w:spacing w:lineRule="auto" w:line="240" w:before="0" w:after="0"/>
              <w:rPr>
                <w:b/>
                <w:b/>
                <w:bCs/>
              </w:rPr>
            </w:pPr>
            <w:r>
              <w:rPr/>
              <w:t>Retained profits at 31st December 2022</w:t>
            </w:r>
          </w:p>
        </w:tc>
        <w:tc>
          <w:tcPr>
            <w:tcW w:w="2047" w:type="dxa"/>
            <w:tcBorders/>
            <w:shd w:fill="auto" w:val="clear"/>
          </w:tcPr>
          <w:p>
            <w:pPr>
              <w:pStyle w:val="Normal"/>
              <w:spacing w:lineRule="auto" w:line="240" w:before="0" w:after="0"/>
              <w:jc w:val="right"/>
              <w:rPr>
                <w:b/>
                <w:b/>
                <w:bCs/>
              </w:rPr>
            </w:pPr>
            <w:r>
              <w:rPr/>
              <w:t>136,330</w:t>
            </w:r>
          </w:p>
        </w:tc>
      </w:tr>
      <w:tr>
        <w:trPr/>
        <w:tc>
          <w:tcPr>
            <w:tcW w:w="5627" w:type="dxa"/>
            <w:tcBorders/>
            <w:shd w:fill="auto" w:val="clear"/>
          </w:tcPr>
          <w:p>
            <w:pPr>
              <w:pStyle w:val="Normal"/>
              <w:spacing w:lineRule="auto" w:line="240" w:before="0" w:after="0"/>
              <w:rPr>
                <w:b/>
                <w:b/>
                <w:bCs/>
              </w:rPr>
            </w:pPr>
            <w:r>
              <w:rPr>
                <w:b/>
                <w:bCs/>
              </w:rPr>
              <w:t>Total Equity</w:t>
            </w:r>
          </w:p>
        </w:tc>
        <w:tc>
          <w:tcPr>
            <w:tcW w:w="2047" w:type="dxa"/>
            <w:tcBorders/>
            <w:shd w:fill="auto" w:val="clear"/>
          </w:tcPr>
          <w:p>
            <w:pPr>
              <w:pStyle w:val="Normal"/>
              <w:spacing w:lineRule="auto" w:line="240" w:before="0" w:after="0"/>
              <w:jc w:val="right"/>
              <w:rPr>
                <w:b/>
                <w:b/>
                <w:bCs/>
              </w:rPr>
            </w:pPr>
            <w:r>
              <w:rPr>
                <w:b/>
                <w:bCs/>
              </w:rPr>
              <w:t>1,536,330</w:t>
            </w:r>
          </w:p>
        </w:tc>
      </w:tr>
      <w:tr>
        <w:trPr/>
        <w:tc>
          <w:tcPr>
            <w:tcW w:w="5627" w:type="dxa"/>
            <w:tcBorders/>
            <w:shd w:fill="auto" w:val="clear"/>
          </w:tcPr>
          <w:p>
            <w:pPr>
              <w:pStyle w:val="Normal"/>
              <w:spacing w:lineRule="auto" w:line="240" w:before="0" w:after="0"/>
              <w:rPr>
                <w:rFonts w:cs="Times New Roman"/>
                <w:b/>
                <w:b/>
                <w:bCs/>
                <w:sz w:val="10"/>
                <w:szCs w:val="10"/>
              </w:rPr>
            </w:pPr>
            <w:r>
              <w:rPr>
                <w:rFonts w:cs="Times New Roman"/>
                <w:b/>
                <w:bCs/>
                <w:sz w:val="10"/>
                <w:szCs w:val="10"/>
              </w:rPr>
            </w:r>
          </w:p>
        </w:tc>
        <w:tc>
          <w:tcPr>
            <w:tcW w:w="2047" w:type="dxa"/>
            <w:tcBorders/>
            <w:shd w:fill="auto" w:val="clear"/>
          </w:tcPr>
          <w:p>
            <w:pPr>
              <w:pStyle w:val="Normal"/>
              <w:spacing w:lineRule="auto" w:line="240" w:before="0" w:after="0"/>
              <w:jc w:val="right"/>
              <w:rPr>
                <w:rFonts w:cs="Times New Roman"/>
                <w:b/>
                <w:b/>
                <w:bCs/>
                <w:sz w:val="10"/>
                <w:szCs w:val="10"/>
              </w:rPr>
            </w:pPr>
            <w:r>
              <w:rPr>
                <w:rFonts w:cs="Times New Roman"/>
                <w:b/>
                <w:bCs/>
                <w:sz w:val="10"/>
                <w:szCs w:val="10"/>
              </w:rPr>
            </w:r>
          </w:p>
        </w:tc>
      </w:tr>
      <w:tr>
        <w:trPr/>
        <w:tc>
          <w:tcPr>
            <w:tcW w:w="5627" w:type="dxa"/>
            <w:tcBorders/>
            <w:shd w:fill="auto" w:val="clear"/>
          </w:tcPr>
          <w:p>
            <w:pPr>
              <w:pStyle w:val="Normal"/>
              <w:spacing w:lineRule="auto" w:line="240" w:before="0" w:after="0"/>
              <w:rPr>
                <w:b/>
                <w:b/>
                <w:bCs/>
              </w:rPr>
            </w:pPr>
            <w:r>
              <w:rPr>
                <w:b/>
                <w:bCs/>
              </w:rPr>
              <w:t>Total Liabilities and Equity</w:t>
            </w:r>
          </w:p>
        </w:tc>
        <w:tc>
          <w:tcPr>
            <w:tcW w:w="2047" w:type="dxa"/>
            <w:tcBorders/>
            <w:shd w:fill="auto" w:val="clear"/>
          </w:tcPr>
          <w:p>
            <w:pPr>
              <w:pStyle w:val="Normal"/>
              <w:spacing w:lineRule="auto" w:line="240" w:before="0" w:after="0"/>
              <w:jc w:val="right"/>
              <w:rPr>
                <w:b/>
                <w:b/>
                <w:bCs/>
              </w:rPr>
            </w:pPr>
            <w:r>
              <w:rPr>
                <w:b/>
                <w:bCs/>
              </w:rPr>
              <w:t>2,027,955</w:t>
            </w:r>
          </w:p>
        </w:tc>
      </w:tr>
    </w:tbl>
    <w:p>
      <w:pPr>
        <w:pStyle w:val="Normal"/>
        <w:rPr/>
      </w:pPr>
      <w:r>
        <w:rPr/>
      </w:r>
    </w:p>
    <w:p>
      <w:pPr>
        <w:pStyle w:val="Normal"/>
        <w:rPr/>
      </w:pPr>
      <w:r>
        <w:rPr/>
      </w:r>
    </w:p>
    <w:p>
      <w:pPr>
        <w:pStyle w:val="Heading2"/>
        <w:rPr/>
      </w:pPr>
      <w:bookmarkStart w:id="4" w:name="_Toc131022254"/>
      <w:r>
        <w:rPr/>
        <w:t>Task b</w:t>
      </w:r>
      <w:bookmarkEnd w:id="4"/>
    </w:p>
    <w:p>
      <w:pPr>
        <w:pStyle w:val="Normal"/>
        <w:rPr/>
      </w:pPr>
      <w:r>
        <w:rPr/>
        <w:t>The balance sheet, always balances due to the fundamental principle of double-entry accounting. Each activity is documented in two accounts - a debit account and a credit account - according to the double-entry accounting method - resulting in balanced accounting entries.</w:t>
      </w:r>
    </w:p>
    <w:p>
      <w:pPr>
        <w:pStyle w:val="Normal"/>
        <w:rPr/>
      </w:pPr>
      <w:r>
        <w:rPr/>
        <w:t>The debit entry in this method indicates the rise in assets or costs, whereas the credit entry reflects the reduction in assets or expenditures or the growth in liabilities or ownership. Total debit transactions must always equal total credit transactions. This principle is also known as the accounting equation: Assets = Liabilities + Equity (Wahlen et al., 2023).</w:t>
      </w:r>
    </w:p>
    <w:p>
      <w:pPr>
        <w:pStyle w:val="Normal"/>
        <w:rPr/>
      </w:pPr>
      <w:r>
        <w:rPr/>
        <w:t>For example, let's say a company buys $1,000 worth of inventory on credit. In this case, The double-entry method would record a debit transaction of $1,000 to the inventory system (representing an increase in assets) and a credit transaction of $1,000 to the accounts payable account (representing an increase in liabilities) (an increase in liabilities).</w:t>
      </w:r>
    </w:p>
    <w:p>
      <w:pPr>
        <w:pStyle w:val="Normal"/>
        <w:rPr/>
      </w:pPr>
      <w:r>
        <w:rPr/>
        <w:t>This transaction maintains the balance in the accounting equation, as the company's assets have increased by $1,000, but so have its liabilities. The statement of financial position will reflect this transaction by showing an increase in both assets (inventory) and liabilities (accounts payable), ensuring that the statement balances (Leonov et al., 2020).</w:t>
      </w:r>
    </w:p>
    <w:p>
      <w:pPr>
        <w:pStyle w:val="Normal"/>
        <w:rPr/>
      </w:pPr>
      <w:r>
        <w:rPr/>
        <w:t>In summary, Due to the double-entry procedure, the statement of financial status is always balanced, which ensures that every transaction is recorded in two accounts with equal and opposite debits and credits. This system maintains the accounting equation of Assets = Liabilities + Equity, ensuring that the statement of financial position always balances.</w:t>
      </w:r>
    </w:p>
    <w:p>
      <w:pPr>
        <w:pStyle w:val="Normal"/>
        <w:rPr/>
      </w:pPr>
      <w:r>
        <w:rPr/>
      </w:r>
      <w:r>
        <w:br w:type="page"/>
      </w:r>
    </w:p>
    <w:p>
      <w:pPr>
        <w:pStyle w:val="Heading1"/>
        <w:rPr/>
      </w:pPr>
      <w:bookmarkStart w:id="5" w:name="_Toc131022255"/>
      <w:r>
        <w:rPr/>
        <w:t>Question 2</w:t>
      </w:r>
      <w:bookmarkEnd w:id="5"/>
    </w:p>
    <w:p>
      <w:pPr>
        <w:pStyle w:val="Heading2"/>
        <w:rPr/>
      </w:pPr>
      <w:bookmarkStart w:id="6" w:name="_Toc131022256"/>
      <w:r>
        <w:rPr/>
        <w:t>Task a &amp; b</w:t>
      </w:r>
      <w:bookmarkEnd w:id="6"/>
    </w:p>
    <w:p>
      <w:pPr>
        <w:pStyle w:val="Normal"/>
        <w:rPr/>
      </w:pPr>
      <w:r>
        <w:rPr/>
        <w:t xml:space="preserve">The following ratios for </w:t>
      </w:r>
      <w:bookmarkStart w:id="7" w:name="_Int_cN6tUfnw"/>
      <w:r>
        <w:rPr/>
        <w:t>Sweets</w:t>
      </w:r>
      <w:bookmarkEnd w:id="7"/>
      <w:r>
        <w:rPr/>
        <w:t xml:space="preserve"> plc for 2021 and 2020 are shown below with detailed formula.</w:t>
      </w:r>
    </w:p>
    <w:p>
      <w:pPr>
        <w:pStyle w:val="ListParagraph"/>
        <w:numPr>
          <w:ilvl w:val="0"/>
          <w:numId w:val="1"/>
        </w:numPr>
        <w:rPr>
          <w:b/>
          <w:b/>
          <w:bCs/>
        </w:rPr>
      </w:pPr>
      <w:r>
        <w:rPr>
          <w:b/>
          <w:bCs/>
        </w:rPr>
        <w:t>ROCE (Return on Capital Employed)</w:t>
      </w:r>
    </w:p>
    <w:p>
      <w:pPr>
        <w:pStyle w:val="Normal"/>
        <w:rPr/>
      </w:pPr>
      <w:r>
        <w:rPr/>
        <w:t>ROCE is a critical performance metric that measures the profitability of a company's use of capital. A greater ROCE shows that a firm is earning more earnings for dollar of invested capital, whereas a lower ROCE may suggest inefficient capital use.</w:t>
      </w:r>
    </w:p>
    <w:p>
      <w:pPr>
        <w:pStyle w:val="Normal"/>
        <w:jc w:val="left"/>
        <w:rPr/>
      </w:pPr>
      <w:r>
        <w:rPr/>
        <w:t xml:space="preserve">Here, </w:t>
      </w:r>
      <w:r>
        <w:rPr/>
      </w:r>
      <m:oMath xmlns:m="http://schemas.openxmlformats.org/officeDocument/2006/math">
        <m:r>
          <w:rPr>
            <w:rFonts w:ascii="Cambria Math" w:hAnsi="Cambria Math"/>
          </w:rPr>
          <m:t xml:space="preserve">ROCE</m:t>
        </m:r>
        <m:r>
          <w:rPr>
            <w:rFonts w:ascii="Cambria Math" w:hAnsi="Cambria Math"/>
          </w:rPr>
          <m:t xml:space="preserve">=</m:t>
        </m:r>
        <m:f>
          <m:num>
            <m:r>
              <w:rPr>
                <w:rFonts w:ascii="Cambria Math" w:hAnsi="Cambria Math"/>
              </w:rPr>
              <m:t xml:space="preserve">EBIT</m:t>
            </m:r>
          </m:num>
          <m:den>
            <m:d>
              <m:dPr>
                <m:begChr m:val="("/>
                <m:endChr m:val=")"/>
              </m:dPr>
              <m:e>
                <m:r>
                  <w:rPr>
                    <w:rFonts w:ascii="Cambria Math" w:hAnsi="Cambria Math"/>
                  </w:rPr>
                  <m:t xml:space="preserve">Total</m:t>
                </m:r>
                <m:r>
                  <w:rPr>
                    <w:rFonts w:ascii="Cambria Math" w:hAnsi="Cambria Math"/>
                  </w:rPr>
                  <m:t xml:space="preserve">Assets</m:t>
                </m:r>
                <m:r>
                  <w:rPr>
                    <w:rFonts w:ascii="Cambria Math" w:hAnsi="Cambria Math"/>
                  </w:rPr>
                  <m:t xml:space="preserve">−</m:t>
                </m:r>
                <m:r>
                  <w:rPr>
                    <w:rFonts w:ascii="Cambria Math" w:hAnsi="Cambria Math"/>
                  </w:rPr>
                  <m:t xml:space="preserve">Total</m:t>
                </m:r>
                <m:r>
                  <w:rPr>
                    <w:rFonts w:ascii="Cambria Math" w:hAnsi="Cambria Math"/>
                  </w:rPr>
                  <m:t xml:space="preserve">Current</m:t>
                </m:r>
                <m:r>
                  <w:rPr>
                    <w:rFonts w:ascii="Cambria Math" w:hAnsi="Cambria Math"/>
                  </w:rPr>
                  <m:t xml:space="preserve">Assets</m:t>
                </m:r>
              </m:e>
            </m:d>
          </m:den>
        </m:f>
      </m:oMath>
    </w:p>
    <w:p>
      <w:pPr>
        <w:pStyle w:val="Normal"/>
        <w:jc w:val="left"/>
        <w:rPr/>
      </w:pPr>
      <w:r>
        <w:rPr/>
        <w:t>So, ROCE</w:t>
      </w:r>
      <w:r>
        <w:rPr>
          <w:vertAlign w:val="subscript"/>
        </w:rPr>
        <w:t>21</w:t>
      </w:r>
      <w:r>
        <w:rPr/>
        <w:tab/>
        <w:t xml:space="preserve">= </w:t>
      </w:r>
      <w:r>
        <w:rPr/>
      </w:r>
      <m:oMath xmlns:m="http://schemas.openxmlformats.org/officeDocument/2006/math">
        <m:f>
          <m:num>
            <m:r>
              <w:rPr>
                <w:rFonts w:ascii="Cambria Math" w:hAnsi="Cambria Math"/>
              </w:rPr>
              <m:t xml:space="preserve">805</m:t>
            </m:r>
          </m:num>
          <m:den>
            <m:d>
              <m:dPr>
                <m:begChr m:val="("/>
                <m:endChr m:val=")"/>
              </m:dPr>
              <m:e>
                <m:r>
                  <w:rPr>
                    <w:rFonts w:ascii="Cambria Math" w:hAnsi="Cambria Math"/>
                  </w:rPr>
                  <m:t xml:space="preserve">9,736</m:t>
                </m:r>
                <m:r>
                  <w:rPr>
                    <w:rFonts w:ascii="Cambria Math" w:hAnsi="Cambria Math"/>
                  </w:rPr>
                  <m:t xml:space="preserve">−</m:t>
                </m:r>
                <m:r>
                  <w:rPr>
                    <w:rFonts w:ascii="Cambria Math" w:hAnsi="Cambria Math"/>
                  </w:rPr>
                  <m:t xml:space="preserve">2,303</m:t>
                </m:r>
              </m:e>
            </m:d>
          </m:den>
        </m:f>
      </m:oMath>
    </w:p>
    <w:p>
      <w:pPr>
        <w:pStyle w:val="Normal"/>
        <w:ind w:left="720" w:firstLine="720"/>
        <w:jc w:val="left"/>
        <w:rPr/>
      </w:pPr>
      <w:r>
        <w:rPr/>
        <w:t>= 10.83%</w:t>
      </w:r>
    </w:p>
    <w:p>
      <w:pPr>
        <w:pStyle w:val="Normal"/>
        <w:jc w:val="left"/>
        <w:rPr/>
      </w:pPr>
      <w:r>
        <w:rPr/>
        <w:t>And ROCE</w:t>
      </w:r>
      <w:r>
        <w:rPr>
          <w:vertAlign w:val="subscript"/>
        </w:rPr>
        <w:t>20</w:t>
      </w:r>
      <w:r>
        <w:rPr/>
        <w:tab/>
        <w:t xml:space="preserve">= </w:t>
      </w:r>
      <w:r>
        <w:rPr/>
      </w:r>
      <m:oMath xmlns:m="http://schemas.openxmlformats.org/officeDocument/2006/math">
        <m:f>
          <m:num>
            <m:r>
              <w:rPr>
                <w:rFonts w:ascii="Cambria Math" w:hAnsi="Cambria Math"/>
              </w:rPr>
              <m:t xml:space="preserve">699</m:t>
            </m:r>
          </m:num>
          <m:den>
            <m:d>
              <m:dPr>
                <m:begChr m:val="("/>
                <m:endChr m:val=")"/>
              </m:dPr>
              <m:e>
                <m:r>
                  <w:rPr>
                    <w:rFonts w:ascii="Cambria Math" w:hAnsi="Cambria Math"/>
                  </w:rPr>
                  <m:t xml:space="preserve">10,087</m:t>
                </m:r>
                <m:r>
                  <w:rPr>
                    <w:rFonts w:ascii="Cambria Math" w:hAnsi="Cambria Math"/>
                  </w:rPr>
                  <m:t xml:space="preserve">−</m:t>
                </m:r>
                <m:r>
                  <w:rPr>
                    <w:rFonts w:ascii="Cambria Math" w:hAnsi="Cambria Math"/>
                  </w:rPr>
                  <m:t xml:space="preserve">2,355</m:t>
                </m:r>
              </m:e>
            </m:d>
          </m:den>
        </m:f>
      </m:oMath>
    </w:p>
    <w:p>
      <w:pPr>
        <w:pStyle w:val="Normal"/>
        <w:ind w:left="720" w:firstLine="720"/>
        <w:rPr/>
      </w:pPr>
      <w:r>
        <w:rPr/>
        <w:t>= 9.04%</w:t>
      </w:r>
    </w:p>
    <w:p>
      <w:pPr>
        <w:pStyle w:val="Normal"/>
        <w:rPr/>
      </w:pPr>
      <w:r>
        <w:rPr/>
        <w:t>This indicates that Sweets plc produced 10.83 pence in operating profit per pound of capital used in 2021, while it generated 9.04 pence in operating income per pound of capital employed in 2020. This demonstrates that the firm was able to make a respectable return on the capital it spent in the business, with a little increase from 2020 to 2021. For a more accurate evaluation of Sweets plc's economic performance, it is crucial to evaluate the industry standard for ROCE.</w:t>
      </w:r>
    </w:p>
    <w:p>
      <w:pPr>
        <w:pStyle w:val="Normal"/>
        <w:rPr/>
      </w:pPr>
      <w:r>
        <w:rPr/>
      </w:r>
    </w:p>
    <w:p>
      <w:pPr>
        <w:pStyle w:val="ListParagraph"/>
        <w:numPr>
          <w:ilvl w:val="0"/>
          <w:numId w:val="1"/>
        </w:numPr>
        <w:rPr>
          <w:b/>
          <w:b/>
          <w:bCs/>
        </w:rPr>
      </w:pPr>
      <w:r>
        <w:rPr>
          <w:b/>
          <w:bCs/>
        </w:rPr>
        <w:t>ROE (Return on Equity)</w:t>
      </w:r>
    </w:p>
    <w:p>
      <w:pPr>
        <w:pStyle w:val="Normal"/>
        <w:rPr/>
      </w:pPr>
      <w:r>
        <w:rPr/>
        <w:t>ROE is a financial statistic that assesses the profitability of a firm in comparison to its shareholders' capital. ROE is a crucial indicator for investors, since it demonstrates how well a firm generates profits from its stock (Leonov et al., 2020). A higher ROE suggests that a firm is producing more earnings per home currency of shareholder capital, while a lesser ROE may suggest that a corporation is not properly using its equity.</w:t>
      </w:r>
    </w:p>
    <w:p>
      <w:pPr>
        <w:pStyle w:val="Normal"/>
        <w:ind w:firstLine="720"/>
        <w:rPr/>
      </w:pPr>
      <w:r>
        <w:rPr/>
      </w:r>
      <m:oMath xmlns:m="http://schemas.openxmlformats.org/officeDocument/2006/math">
        <m:r>
          <w:rPr>
            <w:rFonts w:ascii="Cambria Math" w:hAnsi="Cambria Math"/>
          </w:rPr>
          <m:t xml:space="preserve">ROE</m:t>
        </m:r>
        <m:r>
          <w:rPr>
            <w:rFonts w:ascii="Cambria Math" w:hAnsi="Cambria Math"/>
          </w:rPr>
          <m:t xml:space="preserve">=</m:t>
        </m:r>
        <m:f>
          <m:num>
            <m:r>
              <w:rPr>
                <w:rFonts w:ascii="Cambria Math" w:hAnsi="Cambria Math"/>
              </w:rPr>
              <m:t xml:space="preserve">Net</m:t>
            </m:r>
            <m:r>
              <w:rPr>
                <w:rFonts w:ascii="Cambria Math" w:hAnsi="Cambria Math"/>
              </w:rPr>
              <m:t xml:space="preserve">Income</m:t>
            </m:r>
          </m:num>
          <m:den>
            <m:r>
              <w:rPr>
                <w:rFonts w:ascii="Cambria Math" w:hAnsi="Cambria Math"/>
              </w:rPr>
              <m:t xml:space="preserve">Total</m:t>
            </m:r>
            <m:r>
              <w:rPr>
                <w:rFonts w:ascii="Cambria Math" w:hAnsi="Cambria Math"/>
              </w:rPr>
              <m:t xml:space="preserve">Equity</m:t>
            </m:r>
          </m:den>
        </m:f>
      </m:oMath>
    </w:p>
    <w:p>
      <w:pPr>
        <w:pStyle w:val="Normal"/>
        <w:rPr/>
      </w:pPr>
      <w:r>
        <w:rPr/>
        <w:t>So, ROE</w:t>
      </w:r>
      <w:r>
        <w:rPr>
          <w:vertAlign w:val="subscript"/>
        </w:rPr>
        <w:t>21</w:t>
      </w:r>
      <w:r>
        <w:rPr/>
        <w:tab/>
        <w:t>=</w:t>
      </w:r>
      <w:r>
        <w:rPr/>
      </w:r>
      <m:oMath xmlns:m="http://schemas.openxmlformats.org/officeDocument/2006/math">
        <m:f>
          <m:num>
            <m:r>
              <w:rPr>
                <w:rFonts w:ascii="Cambria Math" w:hAnsi="Cambria Math"/>
              </w:rPr>
              <m:t xml:space="preserve">431</m:t>
            </m:r>
          </m:num>
          <m:den>
            <m:r>
              <w:rPr>
                <w:rFonts w:ascii="Cambria Math" w:hAnsi="Cambria Math"/>
              </w:rPr>
              <m:t xml:space="preserve">3,088</m:t>
            </m:r>
          </m:den>
        </m:f>
      </m:oMath>
      <w:r>
        <w:rPr/>
        <w:t xml:space="preserve">  </w:t>
      </w:r>
    </w:p>
    <w:p>
      <w:pPr>
        <w:pStyle w:val="Normal"/>
        <w:rPr/>
      </w:pPr>
      <w:r>
        <w:rPr/>
        <w:t>= 13.96%</w:t>
      </w:r>
    </w:p>
    <w:p>
      <w:pPr>
        <w:pStyle w:val="Normal"/>
        <w:rPr/>
      </w:pPr>
      <w:r>
        <w:rPr/>
        <w:t>And ROE</w:t>
      </w:r>
      <w:r>
        <w:rPr>
          <w:vertAlign w:val="subscript"/>
        </w:rPr>
        <w:t>20</w:t>
      </w:r>
      <w:r>
        <w:rPr/>
        <w:tab/>
        <w:t xml:space="preserve">= </w:t>
      </w:r>
      <w:r>
        <w:rPr/>
      </w:r>
      <m:oMath xmlns:m="http://schemas.openxmlformats.org/officeDocument/2006/math">
        <m:f>
          <m:num>
            <m:r>
              <w:rPr>
                <w:rFonts w:ascii="Cambria Math" w:hAnsi="Cambria Math"/>
              </w:rPr>
              <m:t xml:space="preserve">366</m:t>
            </m:r>
          </m:num>
          <m:den>
            <m:r>
              <w:rPr>
                <w:rFonts w:ascii="Cambria Math" w:hAnsi="Cambria Math"/>
              </w:rPr>
              <m:t xml:space="preserve">2,912</m:t>
            </m:r>
          </m:den>
        </m:f>
      </m:oMath>
    </w:p>
    <w:p>
      <w:pPr>
        <w:pStyle w:val="Normal"/>
        <w:rPr/>
      </w:pPr>
      <w:r>
        <w:rPr/>
        <w:t>= 12.57%</w:t>
      </w:r>
    </w:p>
    <w:p>
      <w:pPr>
        <w:pStyle w:val="Normal"/>
        <w:rPr/>
      </w:pPr>
      <w:r>
        <w:rPr/>
        <w:t>The ratios of 13.96% and 12.57% indicate that the company generated £13.96 and £12.57 for each £100 of shareholder's equity in 2021 and 2020, respectively. This suggests that investors are receiving a satisfactory return on their investments, and the management is effectively utilizing the funds provided by the shareholders to generate profits. An increase in ROE from the previous year also suggests that the company's use of stockholder capital has grown more lucrative and effective.</w:t>
      </w:r>
    </w:p>
    <w:p>
      <w:pPr>
        <w:pStyle w:val="ListParagraph"/>
        <w:numPr>
          <w:ilvl w:val="0"/>
          <w:numId w:val="1"/>
        </w:numPr>
        <w:rPr>
          <w:b/>
          <w:b/>
          <w:bCs/>
        </w:rPr>
      </w:pPr>
      <w:r>
        <w:rPr>
          <w:b/>
          <w:bCs/>
        </w:rPr>
        <w:t>EPS (Earnings per share)</w:t>
      </w:r>
    </w:p>
    <w:p>
      <w:pPr>
        <w:pStyle w:val="Normal"/>
        <w:rPr/>
      </w:pPr>
      <w:r>
        <w:rPr/>
        <w:t>Earnings per share (EPS) is a financial number that evaluates the profitability of a firm relative to its shares outstanding. The EPS ratio is determined by dividing the net income of a firm by the quantity of existing shares of its common stock. EPS is an essential indicator used by shareholders to evaluate a company's per-share profitability.</w:t>
      </w:r>
    </w:p>
    <w:p>
      <w:pPr>
        <w:pStyle w:val="Normal"/>
        <w:rPr/>
      </w:pPr>
      <w:r>
        <w:rPr/>
      </w:r>
      <m:oMath xmlns:m="http://schemas.openxmlformats.org/officeDocument/2006/math">
        <m:r>
          <w:rPr>
            <w:rFonts w:ascii="Cambria Math" w:hAnsi="Cambria Math"/>
          </w:rPr>
          <m:t xml:space="preserve">EPS</m:t>
        </m:r>
        <m:r>
          <w:rPr>
            <w:rFonts w:ascii="Cambria Math" w:hAnsi="Cambria Math"/>
          </w:rPr>
          <m:t xml:space="preserve">=</m:t>
        </m:r>
        <m:f>
          <m:num>
            <m:r>
              <w:rPr>
                <w:rFonts w:ascii="Cambria Math" w:hAnsi="Cambria Math"/>
              </w:rPr>
              <m:t xml:space="preserve">Net</m:t>
            </m:r>
            <m:r>
              <w:rPr>
                <w:rFonts w:ascii="Cambria Math" w:hAnsi="Cambria Math"/>
              </w:rPr>
              <m:t xml:space="preserve">Income</m:t>
            </m:r>
          </m:num>
          <m:den>
            <m:r>
              <w:rPr>
                <w:rFonts w:ascii="Cambria Math" w:hAnsi="Cambria Math"/>
              </w:rPr>
              <m:t xml:space="preserve">Total</m:t>
            </m:r>
            <m:r>
              <w:rPr>
                <w:rFonts w:ascii="Cambria Math" w:hAnsi="Cambria Math"/>
              </w:rPr>
              <m:t xml:space="preserve">number</m:t>
            </m:r>
            <m:r>
              <w:rPr>
                <w:rFonts w:ascii="Cambria Math" w:hAnsi="Cambria Math"/>
              </w:rPr>
              <m:t xml:space="preserve">of</m:t>
            </m:r>
            <m:r>
              <w:rPr>
                <w:rFonts w:ascii="Cambria Math" w:hAnsi="Cambria Math"/>
              </w:rPr>
              <m:t xml:space="preserve">outs</m:t>
            </m:r>
            <m:r>
              <w:rPr>
                <w:rFonts w:ascii="Cambria Math" w:hAnsi="Cambria Math"/>
              </w:rPr>
              <m:t xml:space="preserve">tan</m:t>
            </m:r>
            <m:r>
              <w:rPr>
                <w:rFonts w:ascii="Cambria Math" w:hAnsi="Cambria Math"/>
              </w:rPr>
              <m:t xml:space="preserve">d</m:t>
            </m:r>
            <m:r>
              <w:rPr>
                <w:rFonts w:ascii="Cambria Math" w:hAnsi="Cambria Math"/>
              </w:rPr>
              <m:t xml:space="preserve">ing</m:t>
            </m:r>
            <m:r>
              <w:rPr>
                <w:rFonts w:ascii="Cambria Math" w:hAnsi="Cambria Math"/>
              </w:rPr>
              <m:t xml:space="preserve">share</m:t>
            </m:r>
          </m:den>
        </m:f>
      </m:oMath>
    </w:p>
    <w:p>
      <w:pPr>
        <w:pStyle w:val="Normal"/>
        <w:rPr/>
      </w:pPr>
      <w:r>
        <w:rPr/>
        <w:t>So, EPS</w:t>
      </w:r>
      <w:r>
        <w:rPr>
          <w:vertAlign w:val="subscript"/>
        </w:rPr>
        <w:t xml:space="preserve">21 </w:t>
      </w:r>
      <w:r>
        <w:rPr/>
        <w:tab/>
        <w:t xml:space="preserve">= </w:t>
      </w:r>
      <w:r>
        <w:rPr/>
      </w:r>
      <m:oMath xmlns:m="http://schemas.openxmlformats.org/officeDocument/2006/math">
        <m:f>
          <m:num>
            <m:r>
              <w:rPr>
                <w:rFonts w:ascii="Cambria Math" w:hAnsi="Cambria Math"/>
              </w:rPr>
              <m:t xml:space="preserve">431</m:t>
            </m:r>
          </m:num>
          <m:den>
            <m:f>
              <m:num>
                <m:r>
                  <w:rPr>
                    <w:rFonts w:ascii="Cambria Math" w:hAnsi="Cambria Math"/>
                  </w:rPr>
                  <m:t xml:space="preserve">300</m:t>
                </m:r>
              </m:num>
              <m:den>
                <m:r>
                  <w:rPr>
                    <w:rFonts w:ascii="Cambria Math" w:hAnsi="Cambria Math"/>
                  </w:rPr>
                  <m:t xml:space="preserve">0.5</m:t>
                </m:r>
              </m:den>
            </m:f>
          </m:den>
        </m:f>
      </m:oMath>
    </w:p>
    <w:p>
      <w:pPr>
        <w:pStyle w:val="Normal"/>
        <w:rPr/>
      </w:pPr>
      <w:r>
        <w:rPr/>
        <w:t>= 0.72</w:t>
      </w:r>
    </w:p>
    <w:p>
      <w:pPr>
        <w:pStyle w:val="Normal"/>
        <w:rPr/>
      </w:pPr>
      <w:r>
        <w:rPr/>
        <w:t>And EPS</w:t>
      </w:r>
      <w:r>
        <w:rPr>
          <w:vertAlign w:val="subscript"/>
        </w:rPr>
        <w:t>20</w:t>
      </w:r>
      <w:r>
        <w:rPr/>
        <w:t xml:space="preserve"> </w:t>
        <w:tab/>
        <w:t xml:space="preserve">= </w:t>
      </w:r>
      <w:r>
        <w:rPr/>
      </w:r>
      <m:oMath xmlns:m="http://schemas.openxmlformats.org/officeDocument/2006/math">
        <m:f>
          <m:num>
            <m:r>
              <w:rPr>
                <w:rFonts w:ascii="Cambria Math" w:hAnsi="Cambria Math"/>
              </w:rPr>
              <m:t xml:space="preserve">366</m:t>
            </m:r>
          </m:num>
          <m:den>
            <m:f>
              <m:num>
                <m:r>
                  <w:rPr>
                    <w:rFonts w:ascii="Cambria Math" w:hAnsi="Cambria Math"/>
                  </w:rPr>
                  <m:t xml:space="preserve">300</m:t>
                </m:r>
              </m:num>
              <m:den>
                <m:r>
                  <w:rPr>
                    <w:rFonts w:ascii="Cambria Math" w:hAnsi="Cambria Math"/>
                  </w:rPr>
                  <m:t xml:space="preserve">0.5</m:t>
                </m:r>
              </m:den>
            </m:f>
          </m:den>
        </m:f>
      </m:oMath>
    </w:p>
    <w:p>
      <w:pPr>
        <w:pStyle w:val="Normal"/>
        <w:rPr/>
      </w:pPr>
      <w:r>
        <w:rPr/>
        <w:t>= 0.61</w:t>
      </w:r>
    </w:p>
    <w:p>
      <w:pPr>
        <w:pStyle w:val="Normal"/>
        <w:rPr/>
      </w:pPr>
      <w:r>
        <w:rPr/>
        <w:t>This means that for every share of common stock, the company earned 0.72 and 0.61 in net profit in 2021 and 2020 respectively. An increasing trend in EPS over time is typically viewed favourably since it signifies that the firm is producing a greater profit per share. Therefore, the increase in EPS from 2020 to 2021 indicates that Sweets plc has improved its profitability. It is essential to highlight, however, that EPS should not be regarded in solitude and ought to be evaluated with other financial statistics and indicators to gain a more comprehensive understanding of a business' financial performance.</w:t>
      </w:r>
    </w:p>
    <w:p>
      <w:pPr>
        <w:pStyle w:val="ListParagraph"/>
        <w:numPr>
          <w:ilvl w:val="0"/>
          <w:numId w:val="1"/>
        </w:numPr>
        <w:rPr>
          <w:b/>
          <w:b/>
          <w:bCs/>
        </w:rPr>
      </w:pPr>
      <w:r>
        <w:rPr>
          <w:b/>
          <w:bCs/>
        </w:rPr>
        <w:t>Net profit margin</w:t>
      </w:r>
    </w:p>
    <w:p>
      <w:pPr>
        <w:pStyle w:val="Normal"/>
        <w:rPr/>
      </w:pPr>
      <w:r>
        <w:rPr/>
        <w:t>Net profit margin is a financial statistic that assesses the profitability of a firm by calculating the proportion of its sales that stays as net gain after deducting all costs. Investors rely heavily on the net profit margin to evaluate a company's competitiveness and expenditure management effectiveness (Leonov et al., 2020). A greater net profit margin shows that a corporation generates more money from its sales and can efficiently control its costs.</w:t>
      </w:r>
    </w:p>
    <w:p>
      <w:pPr>
        <w:pStyle w:val="Normal"/>
        <w:rPr/>
      </w:pPr>
      <w:r>
        <w:rPr/>
        <w:t xml:space="preserve">Net Profit Margin </w:t>
      </w:r>
      <w:r>
        <w:rPr/>
      </w:r>
      <m:oMath xmlns:m="http://schemas.openxmlformats.org/officeDocument/2006/math">
        <m:f>
          <m:num>
            <m:r>
              <w:rPr>
                <w:rFonts w:ascii="Cambria Math" w:hAnsi="Cambria Math"/>
              </w:rPr>
              <m:t xml:space="preserve">Net</m:t>
            </m:r>
            <m:r>
              <w:rPr>
                <w:rFonts w:ascii="Cambria Math" w:hAnsi="Cambria Math"/>
              </w:rPr>
              <m:t xml:space="preserve">Income</m:t>
            </m:r>
          </m:num>
          <m:den>
            <m:r>
              <w:rPr>
                <w:rFonts w:ascii="Cambria Math" w:hAnsi="Cambria Math"/>
              </w:rPr>
              <m:t xml:space="preserve">Net</m:t>
            </m:r>
            <m:r>
              <w:rPr>
                <w:rFonts w:ascii="Cambria Math" w:hAnsi="Cambria Math"/>
              </w:rPr>
              <m:t xml:space="preserve">Sales</m:t>
            </m:r>
            <m:r>
              <w:rPr>
                <w:rFonts w:ascii="Cambria Math" w:hAnsi="Cambria Math"/>
              </w:rPr>
              <m:t xml:space="preserve">∨</m:t>
            </m:r>
            <m:r>
              <w:rPr>
                <w:rFonts w:ascii="Cambria Math" w:hAnsi="Cambria Math"/>
              </w:rPr>
              <m:t xml:space="preserve">Revenue</m:t>
            </m:r>
          </m:den>
        </m:f>
      </m:oMath>
    </w:p>
    <w:p>
      <w:pPr>
        <w:pStyle w:val="Normal"/>
        <w:rPr/>
      </w:pPr>
      <w:r>
        <w:rPr/>
        <w:t xml:space="preserve">So, Net Profit Margin for 2021: </w:t>
      </w:r>
      <w:r>
        <w:rPr/>
      </w:r>
      <m:oMath xmlns:m="http://schemas.openxmlformats.org/officeDocument/2006/math">
        <m:f>
          <m:num>
            <m:r>
              <w:rPr>
                <w:rFonts w:ascii="Cambria Math" w:hAnsi="Cambria Math"/>
              </w:rPr>
              <m:t xml:space="preserve">431</m:t>
            </m:r>
          </m:num>
          <m:den>
            <m:r>
              <w:rPr>
                <w:rFonts w:ascii="Cambria Math" w:hAnsi="Cambria Math"/>
              </w:rPr>
              <m:t xml:space="preserve">6,738</m:t>
            </m:r>
          </m:den>
        </m:f>
      </m:oMath>
    </w:p>
    <w:p>
      <w:pPr>
        <w:pStyle w:val="Normal"/>
        <w:rPr/>
      </w:pPr>
      <w:r>
        <w:rPr/>
        <w:t xml:space="preserve">  </w:t>
      </w:r>
      <w:r>
        <w:rPr/>
        <w:t>= 6.40%</w:t>
      </w:r>
    </w:p>
    <w:p>
      <w:pPr>
        <w:pStyle w:val="Normal"/>
        <w:rPr/>
      </w:pPr>
      <w:r>
        <w:rPr/>
        <w:t xml:space="preserve">And for 2020 </w:t>
        <w:tab/>
        <w:t xml:space="preserve">: </w:t>
      </w:r>
      <w:r>
        <w:rPr/>
      </w:r>
      <m:oMath xmlns:m="http://schemas.openxmlformats.org/officeDocument/2006/math">
        <m:f>
          <m:num>
            <m:r>
              <w:rPr>
                <w:rFonts w:ascii="Cambria Math" w:hAnsi="Cambria Math"/>
              </w:rPr>
              <m:t xml:space="preserve">366</m:t>
            </m:r>
          </m:num>
          <m:den>
            <m:r>
              <w:rPr>
                <w:rFonts w:ascii="Cambria Math" w:hAnsi="Cambria Math"/>
              </w:rPr>
              <m:t xml:space="preserve">6,441</m:t>
            </m:r>
          </m:den>
        </m:f>
      </m:oMath>
    </w:p>
    <w:p>
      <w:pPr>
        <w:pStyle w:val="Normal"/>
        <w:rPr/>
      </w:pPr>
      <w:r>
        <w:rPr/>
        <w:t>= 5.68%</w:t>
      </w:r>
    </w:p>
    <w:p>
      <w:pPr>
        <w:pStyle w:val="Normal"/>
        <w:rPr/>
      </w:pPr>
      <w:r>
        <w:rPr/>
        <w:t>The net profit margin is a measure of a business' profitability, and it reflects the proportion of income remaining after all expenditures, notably interest and taxes, have been deducted. For Sweets plc, the net profit margin has increased from 5.68% in 2020 to 6.40% in 2021, which is a positive sign. This suggests that the business has increased its competitiveness by either reducing its expenses or increasing its revenue or both. It is an indication that Sweets plc has been successful in managing its costs and operations effectively, resulting in higher profits.</w:t>
      </w:r>
    </w:p>
    <w:p>
      <w:pPr>
        <w:pStyle w:val="ListParagraph"/>
        <w:numPr>
          <w:ilvl w:val="0"/>
          <w:numId w:val="1"/>
        </w:numPr>
        <w:rPr>
          <w:b/>
          <w:b/>
          <w:bCs/>
        </w:rPr>
      </w:pPr>
      <w:r>
        <w:rPr>
          <w:b/>
          <w:bCs/>
        </w:rPr>
        <w:t>Asset turnover</w:t>
      </w:r>
    </w:p>
    <w:p>
      <w:pPr>
        <w:pStyle w:val="Normal"/>
        <w:rPr/>
      </w:pPr>
      <w:r>
        <w:rPr/>
        <w:t>Asset turnover is an economic metric that gauges a company's effectiveness in generating income from its assets. A big ratio may suggest that a firm is utilising its assets to create revenue successfully, whilst a low ratio may suggest that a business has not utilized its resources to produce revenue successfully. The asset turnover ratio may also be used to evaluate the efficiency of firms within the same sector and to follow the success of a business over time.</w:t>
      </w:r>
    </w:p>
    <w:p>
      <w:pPr>
        <w:pStyle w:val="Normal"/>
        <w:rPr/>
      </w:pPr>
      <w:r>
        <w:rPr/>
        <w:t xml:space="preserve">Here, </w:t>
      </w:r>
      <w:r>
        <w:rPr/>
      </w:r>
      <m:oMath xmlns:m="http://schemas.openxmlformats.org/officeDocument/2006/math">
        <m:r>
          <w:rPr>
            <w:rFonts w:ascii="Cambria Math" w:hAnsi="Cambria Math"/>
          </w:rPr>
          <m:t xml:space="preserve">Asset</m:t>
        </m:r>
        <m:r>
          <w:rPr>
            <w:rFonts w:ascii="Cambria Math" w:hAnsi="Cambria Math"/>
          </w:rPr>
          <m:t xml:space="preserve">turnover</m:t>
        </m:r>
        <m:r>
          <w:rPr>
            <w:rFonts w:ascii="Cambria Math" w:hAnsi="Cambria Math"/>
          </w:rPr>
          <m:t xml:space="preserve">=</m:t>
        </m:r>
        <m:f>
          <m:num>
            <m:r>
              <w:rPr>
                <w:rFonts w:ascii="Cambria Math" w:hAnsi="Cambria Math"/>
              </w:rPr>
              <m:t xml:space="preserve">Total</m:t>
            </m:r>
            <m:r>
              <w:rPr>
                <w:rFonts w:ascii="Cambria Math" w:hAnsi="Cambria Math"/>
              </w:rPr>
              <m:t xml:space="preserve">Sales</m:t>
            </m:r>
          </m:num>
          <m:den>
            <m:r>
              <w:rPr>
                <w:rFonts w:ascii="Cambria Math" w:hAnsi="Cambria Math"/>
              </w:rPr>
              <m:t xml:space="preserve">Total</m:t>
            </m:r>
            <m:r>
              <w:rPr>
                <w:rFonts w:ascii="Cambria Math" w:hAnsi="Cambria Math"/>
              </w:rPr>
              <m:t xml:space="preserve">Assets</m:t>
            </m:r>
          </m:den>
        </m:f>
      </m:oMath>
    </w:p>
    <w:p>
      <w:pPr>
        <w:pStyle w:val="Normal"/>
        <w:rPr/>
      </w:pPr>
      <w:r>
        <w:rPr/>
        <w:t xml:space="preserve">So, Asset turnover for 2021: </w:t>
      </w:r>
      <w:r>
        <w:rPr/>
      </w:r>
      <m:oMath xmlns:m="http://schemas.openxmlformats.org/officeDocument/2006/math">
        <m:f>
          <m:num>
            <m:r>
              <w:rPr>
                <w:rFonts w:ascii="Cambria Math" w:hAnsi="Cambria Math"/>
              </w:rPr>
              <m:t xml:space="preserve">6,738</m:t>
            </m:r>
          </m:num>
          <m:den>
            <m:r>
              <w:rPr>
                <w:rFonts w:ascii="Cambria Math" w:hAnsi="Cambria Math"/>
              </w:rPr>
              <m:t xml:space="preserve">9,736</m:t>
            </m:r>
          </m:den>
        </m:f>
      </m:oMath>
    </w:p>
    <w:p>
      <w:pPr>
        <w:pStyle w:val="Normal"/>
        <w:rPr/>
      </w:pPr>
      <w:r>
        <w:rPr/>
        <w:t>= 0.69 times</w:t>
      </w:r>
    </w:p>
    <w:p>
      <w:pPr>
        <w:pStyle w:val="Normal"/>
        <w:rPr/>
      </w:pPr>
      <w:r>
        <w:rPr/>
        <w:t>And for 2020</w:t>
        <w:tab/>
        <w:t xml:space="preserve">: </w:t>
      </w:r>
      <w:r>
        <w:rPr/>
      </w:r>
      <m:oMath xmlns:m="http://schemas.openxmlformats.org/officeDocument/2006/math">
        <m:f>
          <m:num>
            <m:r>
              <w:rPr>
                <w:rFonts w:ascii="Cambria Math" w:hAnsi="Cambria Math"/>
              </w:rPr>
              <m:t xml:space="preserve">6,441</m:t>
            </m:r>
          </m:num>
          <m:den>
            <m:r>
              <w:rPr>
                <w:rFonts w:ascii="Cambria Math" w:hAnsi="Cambria Math"/>
              </w:rPr>
              <m:t xml:space="preserve">10,087</m:t>
            </m:r>
          </m:den>
        </m:f>
      </m:oMath>
    </w:p>
    <w:p>
      <w:pPr>
        <w:pStyle w:val="Normal"/>
        <w:rPr/>
      </w:pPr>
      <w:r>
        <w:rPr/>
        <w:t>= 0.64 times</w:t>
      </w:r>
    </w:p>
    <w:p>
      <w:pPr>
        <w:pStyle w:val="Normal"/>
        <w:rPr/>
      </w:pPr>
      <w:r>
        <w:rPr/>
        <w:t>The ratio has increased from 0.64 times in the first year to 0.69 times in the next, which indicates that the business is making more money for every pound of resource invested. This may be due to better management of inventory, more efficient use of fixed assets, or increased sales.</w:t>
      </w:r>
    </w:p>
    <w:p>
      <w:pPr>
        <w:pStyle w:val="Normal"/>
        <w:spacing w:lineRule="auto" w:line="259" w:before="0" w:after="160"/>
        <w:jc w:val="left"/>
        <w:rPr>
          <w:b/>
          <w:b/>
          <w:bCs/>
        </w:rPr>
      </w:pPr>
      <w:r>
        <w:rPr>
          <w:b/>
          <w:bCs/>
        </w:rPr>
      </w:r>
      <w:r>
        <w:br w:type="page"/>
      </w:r>
    </w:p>
    <w:p>
      <w:pPr>
        <w:pStyle w:val="ListParagraph"/>
        <w:numPr>
          <w:ilvl w:val="0"/>
          <w:numId w:val="1"/>
        </w:numPr>
        <w:rPr>
          <w:b/>
          <w:b/>
          <w:bCs/>
        </w:rPr>
      </w:pPr>
      <w:r>
        <w:rPr>
          <w:b/>
          <w:bCs/>
        </w:rPr>
        <w:t>Stock holding days</w:t>
      </w:r>
    </w:p>
    <w:p>
      <w:pPr>
        <w:pStyle w:val="Normal"/>
        <w:rPr/>
      </w:pPr>
      <w:r>
        <w:rPr/>
        <w:t xml:space="preserve">The median number of days a business maintains its inventory prior to selling it is measured by the stock holding days financial ratio. One can use stock holding days ratio to assess a business’ effectiveness in managing its inventory levels. A lower rate may indicate that a business can offload its inventory quickly and efficiently, while a higher ratio may indicate that a company is holding onto its inventory for too long, which can tie up working capital and reduce profitability. </w:t>
      </w:r>
    </w:p>
    <w:p>
      <w:pPr>
        <w:pStyle w:val="Normal"/>
        <w:rPr/>
      </w:pPr>
      <w:r>
        <w:rPr/>
        <w:t xml:space="preserve">Stock holding days = </w:t>
      </w:r>
      <w:r>
        <w:rPr/>
      </w:r>
      <m:oMath xmlns:m="http://schemas.openxmlformats.org/officeDocument/2006/math">
        <m:f>
          <m:num>
            <m:r>
              <w:rPr>
                <w:rFonts w:ascii="Cambria Math" w:hAnsi="Cambria Math"/>
              </w:rPr>
              <m:t xml:space="preserve">Inventory</m:t>
            </m:r>
          </m:num>
          <m:den>
            <m:r>
              <w:rPr>
                <w:rFonts w:ascii="Cambria Math" w:hAnsi="Cambria Math"/>
              </w:rPr>
              <m:t xml:space="preserve">Cost</m:t>
            </m:r>
            <m:r>
              <w:rPr>
                <w:rFonts w:ascii="Cambria Math" w:hAnsi="Cambria Math"/>
              </w:rPr>
              <m:t xml:space="preserve">of</m:t>
            </m:r>
            <m:r>
              <w:rPr>
                <w:rFonts w:ascii="Cambria Math" w:hAnsi="Cambria Math"/>
              </w:rPr>
              <m:t xml:space="preserve">Sales</m:t>
            </m:r>
          </m:den>
        </m:f>
        <m:r>
          <w:rPr>
            <w:rFonts w:ascii="Cambria Math" w:hAnsi="Cambria Math"/>
          </w:rPr>
          <m:t xml:space="preserve">×</m:t>
        </m:r>
        <m:r>
          <w:rPr>
            <w:rFonts w:ascii="Cambria Math" w:hAnsi="Cambria Math"/>
          </w:rPr>
          <m:t xml:space="preserve">365</m:t>
        </m:r>
      </m:oMath>
    </w:p>
    <w:p>
      <w:pPr>
        <w:pStyle w:val="Normal"/>
        <w:rPr/>
      </w:pPr>
      <w:r>
        <w:rPr/>
        <w:t xml:space="preserve">So, stock holding days for 2021: </w:t>
      </w:r>
      <w:r>
        <w:rPr/>
      </w:r>
      <m:oMath xmlns:m="http://schemas.openxmlformats.org/officeDocument/2006/math">
        <m:f>
          <m:num>
            <m:r>
              <w:rPr>
                <w:rFonts w:ascii="Cambria Math" w:hAnsi="Cambria Math"/>
              </w:rPr>
              <m:t xml:space="preserve">708</m:t>
            </m:r>
          </m:num>
          <m:den>
            <m:r>
              <w:rPr>
                <w:rFonts w:ascii="Cambria Math" w:hAnsi="Cambria Math"/>
              </w:rPr>
              <m:t xml:space="preserve">3,235</m:t>
            </m:r>
          </m:den>
        </m:f>
      </m:oMath>
    </w:p>
    <w:p>
      <w:pPr>
        <w:pStyle w:val="Normal"/>
        <w:rPr/>
      </w:pPr>
      <w:r>
        <w:rPr/>
        <w:t>= 79.88 days</w:t>
      </w:r>
    </w:p>
    <w:p>
      <w:pPr>
        <w:pStyle w:val="Normal"/>
        <w:rPr/>
      </w:pPr>
      <w:r>
        <w:rPr/>
        <w:t xml:space="preserve">And for 2020: </w:t>
      </w:r>
      <w:r>
        <w:rPr/>
      </w:r>
      <m:oMath xmlns:m="http://schemas.openxmlformats.org/officeDocument/2006/math">
        <m:f>
          <m:num>
            <m:r>
              <w:rPr>
                <w:rFonts w:ascii="Cambria Math" w:hAnsi="Cambria Math"/>
              </w:rPr>
              <m:t xml:space="preserve">659</m:t>
            </m:r>
          </m:num>
          <m:den>
            <m:r>
              <w:rPr>
                <w:rFonts w:ascii="Cambria Math" w:hAnsi="Cambria Math"/>
              </w:rPr>
              <m:t xml:space="preserve">3,096</m:t>
            </m:r>
          </m:den>
        </m:f>
        <m:r>
          <w:rPr>
            <w:rFonts w:ascii="Cambria Math" w:hAnsi="Cambria Math"/>
          </w:rPr>
          <m:t xml:space="preserve">×</m:t>
        </m:r>
        <m:r>
          <w:rPr>
            <w:rFonts w:ascii="Cambria Math" w:hAnsi="Cambria Math"/>
          </w:rPr>
          <m:t xml:space="preserve">365</m:t>
        </m:r>
      </m:oMath>
    </w:p>
    <w:p>
      <w:pPr>
        <w:pStyle w:val="Normal"/>
        <w:rPr/>
      </w:pPr>
      <w:r>
        <w:rPr/>
        <w:t>= 77.69 days</w:t>
      </w:r>
    </w:p>
    <w:p>
      <w:pPr>
        <w:pStyle w:val="Normal"/>
        <w:rPr/>
      </w:pPr>
      <w:r>
        <w:rPr/>
        <w:t>The stock holding days have increased from 77.69 days in 2020 to 79.88 days in 2021, which entails the business is taking longer to sell its inventory. This can be an indication of either excess inventory or slowing sales. The company should evaluate its inventory management policies and consider ways to reduce its stock holding days to increase efficiency and reduce costs.</w:t>
      </w:r>
    </w:p>
    <w:p>
      <w:pPr>
        <w:pStyle w:val="ListParagraph"/>
        <w:numPr>
          <w:ilvl w:val="0"/>
          <w:numId w:val="1"/>
        </w:numPr>
        <w:rPr>
          <w:b/>
          <w:b/>
          <w:bCs/>
        </w:rPr>
      </w:pPr>
      <w:r>
        <w:rPr>
          <w:b/>
          <w:bCs/>
        </w:rPr>
        <w:t>Debtors' Collection Period</w:t>
      </w:r>
    </w:p>
    <w:p>
      <w:pPr>
        <w:pStyle w:val="Normal"/>
        <w:rPr/>
      </w:pPr>
      <w:r>
        <w:rPr/>
        <w:t>Debtors' collection period is an economic metric that evaluates the median number of days needed to gather payments from consumers. The debtor's collection period is used to measure a business’ efficiency in collecting its accounts receivable (Leonov et al., 2020). A lower ratio may indicate that a business can collect payment from its customers fast and effectively, while a higher ratio may indicate that a company is having difficulty collecting payment from its customers.</w:t>
      </w:r>
    </w:p>
    <w:p>
      <w:pPr>
        <w:pStyle w:val="Normal"/>
        <w:rPr/>
      </w:pPr>
      <w:r>
        <w:rPr/>
        <w:t xml:space="preserve">Debtors' Collection Period = </w:t>
      </w:r>
      <w:r>
        <w:rPr/>
      </w:r>
      <m:oMath xmlns:m="http://schemas.openxmlformats.org/officeDocument/2006/math">
        <m:f>
          <m:num>
            <m:r>
              <w:rPr>
                <w:rFonts w:ascii="Cambria Math" w:hAnsi="Cambria Math"/>
              </w:rPr>
              <m:t xml:space="preserve">Trade</m:t>
            </m:r>
            <m:r>
              <w:rPr>
                <w:rFonts w:ascii="Cambria Math" w:hAnsi="Cambria Math"/>
              </w:rPr>
              <m:t xml:space="preserve">Receivables</m:t>
            </m:r>
          </m:num>
          <m:den>
            <m:r>
              <w:rPr>
                <w:rFonts w:ascii="Cambria Math" w:hAnsi="Cambria Math"/>
              </w:rPr>
              <m:t xml:space="preserve">Revenue</m:t>
            </m:r>
          </m:den>
        </m:f>
        <m:r>
          <w:rPr>
            <w:rFonts w:ascii="Cambria Math" w:hAnsi="Cambria Math"/>
          </w:rPr>
          <m:t xml:space="preserve">×</m:t>
        </m:r>
        <m:r>
          <w:rPr>
            <w:rFonts w:ascii="Cambria Math" w:hAnsi="Cambria Math"/>
          </w:rPr>
          <m:t xml:space="preserve">365</m:t>
        </m:r>
      </m:oMath>
    </w:p>
    <w:p>
      <w:pPr>
        <w:pStyle w:val="Normal"/>
        <w:rPr/>
      </w:pPr>
      <w:r>
        <w:rPr/>
        <w:t xml:space="preserve">For 2021: </w:t>
      </w:r>
      <w:r>
        <w:rPr/>
      </w:r>
      <m:oMath xmlns:m="http://schemas.openxmlformats.org/officeDocument/2006/math">
        <m:f>
          <m:num>
            <m:r>
              <w:rPr>
                <w:rFonts w:ascii="Cambria Math" w:hAnsi="Cambria Math"/>
              </w:rPr>
              <m:t xml:space="preserve">1,249</m:t>
            </m:r>
          </m:num>
          <m:den>
            <m:r>
              <w:rPr>
                <w:rFonts w:ascii="Cambria Math" w:hAnsi="Cambria Math"/>
              </w:rPr>
              <m:t xml:space="preserve">6,738</m:t>
            </m:r>
          </m:den>
        </m:f>
        <m:r>
          <w:rPr>
            <w:rFonts w:ascii="Cambria Math" w:hAnsi="Cambria Math"/>
          </w:rPr>
          <m:t xml:space="preserve">×</m:t>
        </m:r>
        <m:r>
          <w:rPr>
            <w:rFonts w:ascii="Cambria Math" w:hAnsi="Cambria Math"/>
          </w:rPr>
          <m:t xml:space="preserve">365</m:t>
        </m:r>
      </m:oMath>
    </w:p>
    <w:p>
      <w:pPr>
        <w:pStyle w:val="Normal"/>
        <w:rPr/>
      </w:pPr>
      <w:r>
        <w:rPr/>
        <w:t>= 67.69 days</w:t>
      </w:r>
    </w:p>
    <w:p>
      <w:pPr>
        <w:pStyle w:val="Normal"/>
        <w:rPr/>
      </w:pPr>
      <w:r>
        <w:rPr/>
        <w:t xml:space="preserve">And 2020: </w:t>
      </w:r>
      <w:r>
        <w:rPr/>
      </w:r>
      <m:oMath xmlns:m="http://schemas.openxmlformats.org/officeDocument/2006/math">
        <m:f>
          <m:num>
            <m:r>
              <w:rPr>
                <w:rFonts w:ascii="Cambria Math" w:hAnsi="Cambria Math"/>
              </w:rPr>
              <m:t xml:space="preserve">1,287</m:t>
            </m:r>
          </m:num>
          <m:den>
            <m:r>
              <w:rPr>
                <w:rFonts w:ascii="Cambria Math" w:hAnsi="Cambria Math"/>
              </w:rPr>
              <m:t xml:space="preserve">6,441</m:t>
            </m:r>
          </m:den>
        </m:f>
        <m:r>
          <w:rPr>
            <w:rFonts w:ascii="Cambria Math" w:hAnsi="Cambria Math"/>
          </w:rPr>
          <m:t xml:space="preserve">×</m:t>
        </m:r>
        <m:r>
          <w:rPr>
            <w:rFonts w:ascii="Cambria Math" w:hAnsi="Cambria Math"/>
          </w:rPr>
          <m:t xml:space="preserve">365</m:t>
        </m:r>
      </m:oMath>
    </w:p>
    <w:p>
      <w:pPr>
        <w:pStyle w:val="Normal"/>
        <w:rPr/>
      </w:pPr>
      <w:r>
        <w:rPr/>
        <w:t>= 72.93 days</w:t>
      </w:r>
    </w:p>
    <w:p>
      <w:pPr>
        <w:pStyle w:val="Normal"/>
        <w:rPr/>
      </w:pPr>
      <w:r>
        <w:rPr/>
        <w:t>The DSO decreased from 72.93 days in 2020 to 67.69 days in 2021. This shows that the organisation was capable of collecting money from consumers faster in 2021 compared to 2020. A lower DSO can indicate that the business has improved its policies for debts, implemented better collection processes, or had a more efficient accounts receivable process.</w:t>
      </w:r>
    </w:p>
    <w:p>
      <w:pPr>
        <w:pStyle w:val="ListParagraph"/>
        <w:numPr>
          <w:ilvl w:val="0"/>
          <w:numId w:val="1"/>
        </w:numPr>
        <w:rPr>
          <w:b/>
          <w:b/>
          <w:bCs/>
        </w:rPr>
      </w:pPr>
      <w:r>
        <w:rPr>
          <w:b/>
          <w:bCs/>
        </w:rPr>
        <w:t>Current ratio</w:t>
      </w:r>
    </w:p>
    <w:p>
      <w:pPr>
        <w:pStyle w:val="Normal"/>
        <w:rPr/>
      </w:pPr>
      <w:r>
        <w:rPr/>
        <w:t>Current ratio is an economic indicator that gauges a company's capacity to meet current obligations with current assets. Investors rely heavily on the current ratio to evaluate a company's liquidity and capacity to satisfy its short-term commitments. A high current ratio may suggest that a firm has a solid economic condition and is able to pay its bills on time, while a low current ratio may suggest that a business has trouble paying its short-term commitments. But excessively high current ratio also cannot be considered positive as it entails that there are excess liquid funds remaining which can be invested in fixed asset to get better returns.</w:t>
      </w:r>
    </w:p>
    <w:p>
      <w:pPr>
        <w:pStyle w:val="Normal"/>
        <w:rPr/>
      </w:pPr>
      <w:r>
        <w:rPr/>
        <w:t xml:space="preserve">Current ratio = </w:t>
      </w:r>
      <w:r>
        <w:rPr/>
      </w:r>
      <m:oMath xmlns:m="http://schemas.openxmlformats.org/officeDocument/2006/math">
        <m:f>
          <m:num>
            <m:r>
              <w:rPr>
                <w:rFonts w:ascii="Cambria Math" w:hAnsi="Cambria Math"/>
              </w:rPr>
              <m:t xml:space="preserve">Current</m:t>
            </m:r>
            <m:r>
              <w:rPr>
                <w:rFonts w:ascii="Cambria Math" w:hAnsi="Cambria Math"/>
              </w:rPr>
              <m:t xml:space="preserve">Assets</m:t>
            </m:r>
          </m:num>
          <m:den>
            <m:r>
              <w:rPr>
                <w:rFonts w:ascii="Cambria Math" w:hAnsi="Cambria Math"/>
              </w:rPr>
              <m:t xml:space="preserve">Current</m:t>
            </m:r>
            <m:r>
              <w:rPr>
                <w:rFonts w:ascii="Cambria Math" w:hAnsi="Cambria Math"/>
              </w:rPr>
              <m:t xml:space="preserve">Liabilities</m:t>
            </m:r>
          </m:den>
        </m:f>
      </m:oMath>
    </w:p>
    <w:p>
      <w:pPr>
        <w:pStyle w:val="Normal"/>
        <w:rPr/>
      </w:pPr>
      <w:r>
        <w:rPr/>
        <w:t xml:space="preserve">For 2021: </w:t>
      </w:r>
      <w:r>
        <w:rPr/>
      </w:r>
      <m:oMath xmlns:m="http://schemas.openxmlformats.org/officeDocument/2006/math">
        <m:f>
          <m:num>
            <m:r>
              <w:rPr>
                <w:rFonts w:ascii="Cambria Math" w:hAnsi="Cambria Math"/>
              </w:rPr>
              <m:t xml:space="preserve">2,303</m:t>
            </m:r>
          </m:num>
          <m:den>
            <m:r>
              <w:rPr>
                <w:rFonts w:ascii="Cambria Math" w:hAnsi="Cambria Math"/>
              </w:rPr>
              <m:t xml:space="preserve">2,511</m:t>
            </m:r>
          </m:den>
        </m:f>
      </m:oMath>
    </w:p>
    <w:p>
      <w:pPr>
        <w:pStyle w:val="Normal"/>
        <w:rPr/>
      </w:pPr>
      <w:r>
        <w:rPr/>
        <w:t>= 0.92</w:t>
      </w:r>
    </w:p>
    <w:p>
      <w:pPr>
        <w:pStyle w:val="Normal"/>
        <w:rPr/>
      </w:pPr>
      <w:r>
        <w:rPr/>
        <w:t xml:space="preserve">And for 2020: </w:t>
      </w:r>
      <w:r>
        <w:rPr/>
      </w:r>
      <m:oMath xmlns:m="http://schemas.openxmlformats.org/officeDocument/2006/math">
        <m:f>
          <m:num>
            <m:r>
              <w:rPr>
                <w:rFonts w:ascii="Cambria Math" w:hAnsi="Cambria Math"/>
              </w:rPr>
              <m:t xml:space="preserve">2,355</m:t>
            </m:r>
          </m:num>
          <m:den>
            <m:r>
              <w:rPr>
                <w:rFonts w:ascii="Cambria Math" w:hAnsi="Cambria Math"/>
              </w:rPr>
              <m:t xml:space="preserve">3,046</m:t>
            </m:r>
          </m:den>
        </m:f>
      </m:oMath>
    </w:p>
    <w:p>
      <w:pPr>
        <w:pStyle w:val="Normal"/>
        <w:rPr/>
      </w:pPr>
      <w:r>
        <w:rPr/>
        <w:t>= 0.77</w:t>
      </w:r>
    </w:p>
    <w:p>
      <w:pPr>
        <w:pStyle w:val="Normal"/>
        <w:rPr/>
      </w:pPr>
      <w:r>
        <w:rPr/>
        <w:t>The current ratio for 2021 is 0.92, which says that the business may face some hardship to meet its relatively close responsibilities using its current assets. However, compared to 2020, where the current ratio was 0.77, the business has grown its liquidity situation.</w:t>
      </w:r>
    </w:p>
    <w:p>
      <w:pPr>
        <w:pStyle w:val="ListParagraph"/>
        <w:numPr>
          <w:ilvl w:val="0"/>
          <w:numId w:val="1"/>
        </w:numPr>
        <w:rPr>
          <w:b/>
          <w:b/>
          <w:bCs/>
        </w:rPr>
      </w:pPr>
      <w:r>
        <w:rPr>
          <w:b/>
          <w:bCs/>
        </w:rPr>
        <w:t>Gearing ratio or Debt to Equity ratio</w:t>
      </w:r>
    </w:p>
    <w:p>
      <w:pPr>
        <w:pStyle w:val="Normal"/>
        <w:rPr/>
      </w:pPr>
      <w:r>
        <w:rPr/>
        <w:t>The gearing ratio, commonly known as the debt-to-equity margin, is a financial indicator that quantifies the percentage of debt financing to equity financing for a corporation. The gearing ratio is an essential indicator that investors use to evaluate the financial risk and leverage of a firm (Poeh et al., 2022). A high gearing ratio may suggest that a firm relies extensively on debt funding, which may raise its financial risk and decrease its financial flexibility. A low gearing ratio, on the reverse, may imply that a corporation has less risk and greater financial mobility.</w:t>
      </w:r>
    </w:p>
    <w:p>
      <w:pPr>
        <w:pStyle w:val="Normal"/>
        <w:rPr/>
      </w:pPr>
      <w:r>
        <w:rPr/>
        <w:t xml:space="preserve">Gearing ratio = </w:t>
      </w:r>
      <w:r>
        <w:rPr/>
      </w:r>
      <m:oMath xmlns:m="http://schemas.openxmlformats.org/officeDocument/2006/math">
        <m:f>
          <m:num>
            <m:r>
              <w:rPr>
                <w:rFonts w:ascii="Cambria Math" w:hAnsi="Cambria Math"/>
              </w:rPr>
              <m:t xml:space="preserve">Total</m:t>
            </m:r>
            <m:r>
              <w:rPr>
                <w:rFonts w:ascii="Cambria Math" w:hAnsi="Cambria Math"/>
              </w:rPr>
              <m:t xml:space="preserve">Debt</m:t>
            </m:r>
          </m:num>
          <m:den>
            <m:r>
              <w:rPr>
                <w:rFonts w:ascii="Cambria Math" w:hAnsi="Cambria Math"/>
              </w:rPr>
              <m:t xml:space="preserve">Total</m:t>
            </m:r>
            <m:r>
              <w:rPr>
                <w:rFonts w:ascii="Cambria Math" w:hAnsi="Cambria Math"/>
              </w:rPr>
              <m:t xml:space="preserve">Equity</m:t>
            </m:r>
          </m:den>
        </m:f>
      </m:oMath>
    </w:p>
    <w:p>
      <w:pPr>
        <w:pStyle w:val="Normal"/>
        <w:rPr/>
      </w:pPr>
      <w:r>
        <w:rPr/>
        <w:t xml:space="preserve">For 2021, the gearing ratio = </w:t>
      </w:r>
      <w:r>
        <w:rPr/>
      </w:r>
      <m:oMath xmlns:m="http://schemas.openxmlformats.org/officeDocument/2006/math">
        <m:f>
          <m:num>
            <m:d>
              <m:dPr>
                <m:begChr m:val="("/>
                <m:endChr m:val=")"/>
              </m:dPr>
              <m:e>
                <m:r>
                  <w:rPr>
                    <w:rFonts w:ascii="Cambria Math" w:hAnsi="Cambria Math"/>
                  </w:rPr>
                  <m:t xml:space="preserve">2,511</m:t>
                </m:r>
                <m:r>
                  <w:rPr>
                    <w:rFonts w:ascii="Cambria Math" w:hAnsi="Cambria Math"/>
                  </w:rPr>
                  <m:t xml:space="preserve">+</m:t>
                </m:r>
                <m:r>
                  <w:rPr>
                    <w:rFonts w:ascii="Cambria Math" w:hAnsi="Cambria Math"/>
                  </w:rPr>
                  <m:t xml:space="preserve">4,137</m:t>
                </m:r>
              </m:e>
            </m:d>
          </m:num>
          <m:den>
            <m:r>
              <w:rPr>
                <w:rFonts w:ascii="Cambria Math" w:hAnsi="Cambria Math"/>
              </w:rPr>
              <m:t xml:space="preserve">3,088</m:t>
            </m:r>
          </m:den>
        </m:f>
      </m:oMath>
    </w:p>
    <w:p>
      <w:pPr>
        <w:pStyle w:val="Normal"/>
        <w:rPr/>
      </w:pPr>
      <w:r>
        <w:rPr/>
        <w:t>= 2.15</w:t>
      </w:r>
    </w:p>
    <w:p>
      <w:pPr>
        <w:pStyle w:val="Normal"/>
        <w:rPr/>
      </w:pPr>
      <w:r>
        <w:rPr/>
        <w:t xml:space="preserve">And for 2020: </w:t>
      </w:r>
      <w:r>
        <w:rPr/>
      </w:r>
      <m:oMath xmlns:m="http://schemas.openxmlformats.org/officeDocument/2006/math">
        <m:f>
          <m:num>
            <m:d>
              <m:dPr>
                <m:begChr m:val="("/>
                <m:endChr m:val=")"/>
              </m:dPr>
              <m:e>
                <m:r>
                  <w:rPr>
                    <w:rFonts w:ascii="Cambria Math" w:hAnsi="Cambria Math"/>
                  </w:rPr>
                  <m:t xml:space="preserve">3,046</m:t>
                </m:r>
                <m:r>
                  <w:rPr>
                    <w:rFonts w:ascii="Cambria Math" w:hAnsi="Cambria Math"/>
                  </w:rPr>
                  <m:t xml:space="preserve">+</m:t>
                </m:r>
                <m:r>
                  <w:rPr>
                    <w:rFonts w:ascii="Cambria Math" w:hAnsi="Cambria Math"/>
                  </w:rPr>
                  <m:t xml:space="preserve">4,129</m:t>
                </m:r>
              </m:e>
            </m:d>
          </m:num>
          <m:den>
            <m:r>
              <w:rPr>
                <w:rFonts w:ascii="Cambria Math" w:hAnsi="Cambria Math"/>
              </w:rPr>
              <m:t xml:space="preserve">2,912</m:t>
            </m:r>
          </m:den>
        </m:f>
      </m:oMath>
    </w:p>
    <w:p>
      <w:pPr>
        <w:pStyle w:val="Normal"/>
        <w:rPr/>
      </w:pPr>
      <w:r>
        <w:rPr/>
        <w:t>= 2.46</w:t>
      </w:r>
    </w:p>
    <w:p>
      <w:pPr>
        <w:pStyle w:val="Normal"/>
        <w:rPr/>
      </w:pPr>
      <w:r>
        <w:rPr/>
        <w:t>The Debt-to-Equity ratio has lessened from 2.46 in 2020 to 2.15 in 2021. This indicates that the company is relying less on debt and more on equity to finance its operations. However, the ratio is still relatively high, suggesting that the business may incur substantial debt in order to fund its expansion or other operations.</w:t>
      </w:r>
    </w:p>
    <w:p>
      <w:pPr>
        <w:pStyle w:val="ListParagraph"/>
        <w:numPr>
          <w:ilvl w:val="0"/>
          <w:numId w:val="1"/>
        </w:numPr>
        <w:rPr>
          <w:b/>
          <w:b/>
          <w:bCs/>
        </w:rPr>
      </w:pPr>
      <w:r>
        <w:rPr>
          <w:b/>
          <w:bCs/>
        </w:rPr>
        <w:t>Interest Cover or Interest Coverage</w:t>
      </w:r>
    </w:p>
    <w:p>
      <w:pPr>
        <w:pStyle w:val="Normal"/>
        <w:rPr/>
      </w:pPr>
      <w:r>
        <w:rPr/>
        <w:t>The interest coverage ratio is a financial indicator that gauges a company's capacity to pay its outstanding debt interest obligations. Investors utilise the interest coverage ratio to evaluate a company's capacity to satisfy its interest commitments and to judge its financial health. A greater interest coverage ratio implies that a corporation has more profits available to meet its interest expenditures, while a reduced interest coverage ratio may indicate that a company is more likely to fail on its debt commitments.</w:t>
      </w:r>
    </w:p>
    <w:p>
      <w:pPr>
        <w:pStyle w:val="Normal"/>
        <w:rPr/>
      </w:pPr>
      <w:r>
        <w:rPr/>
        <w:t xml:space="preserve">Interest Coverage = </w:t>
      </w:r>
      <w:r>
        <w:rPr/>
      </w:r>
      <m:oMath xmlns:m="http://schemas.openxmlformats.org/officeDocument/2006/math">
        <m:f>
          <m:num>
            <m:r>
              <w:rPr>
                <w:rFonts w:ascii="Cambria Math" w:hAnsi="Cambria Math"/>
              </w:rPr>
              <m:t xml:space="preserve">Operating</m:t>
            </m:r>
            <m:r>
              <w:rPr>
                <w:rFonts w:ascii="Cambria Math" w:hAnsi="Cambria Math"/>
              </w:rPr>
              <m:t xml:space="preserve">Income</m:t>
            </m:r>
          </m:num>
          <m:den>
            <m:r>
              <w:rPr>
                <w:rFonts w:ascii="Cambria Math" w:hAnsi="Cambria Math"/>
              </w:rPr>
              <m:t xml:space="preserve">Interest</m:t>
            </m:r>
          </m:den>
        </m:f>
      </m:oMath>
    </w:p>
    <w:p>
      <w:pPr>
        <w:pStyle w:val="Normal"/>
        <w:rPr/>
      </w:pPr>
      <w:r>
        <w:rPr/>
        <w:t xml:space="preserve">For 2021, Interest Coverage = </w:t>
      </w:r>
      <w:r>
        <w:rPr/>
      </w:r>
      <m:oMath xmlns:m="http://schemas.openxmlformats.org/officeDocument/2006/math">
        <m:f>
          <m:num>
            <m:r>
              <w:rPr>
                <w:rFonts w:ascii="Cambria Math" w:hAnsi="Cambria Math"/>
              </w:rPr>
              <m:t xml:space="preserve">805</m:t>
            </m:r>
          </m:num>
          <m:den>
            <m:r>
              <w:rPr>
                <w:rFonts w:ascii="Cambria Math" w:hAnsi="Cambria Math"/>
              </w:rPr>
              <m:t xml:space="preserve">226</m:t>
            </m:r>
          </m:den>
        </m:f>
      </m:oMath>
    </w:p>
    <w:p>
      <w:pPr>
        <w:pStyle w:val="Normal"/>
        <w:rPr/>
      </w:pPr>
      <w:r>
        <w:rPr/>
        <w:t>= 3.56 times</w:t>
      </w:r>
    </w:p>
    <w:p>
      <w:pPr>
        <w:pStyle w:val="Normal"/>
        <w:rPr/>
      </w:pPr>
      <w:r>
        <w:rPr/>
        <w:t xml:space="preserve">And for 2020 = </w:t>
      </w:r>
      <w:r>
        <w:rPr/>
      </w:r>
      <m:oMath xmlns:m="http://schemas.openxmlformats.org/officeDocument/2006/math">
        <m:f>
          <m:num>
            <m:r>
              <w:rPr>
                <w:rFonts w:ascii="Cambria Math" w:hAnsi="Cambria Math"/>
              </w:rPr>
              <m:t xml:space="preserve">699</m:t>
            </m:r>
          </m:num>
          <m:den>
            <m:r>
              <w:rPr>
                <w:rFonts w:ascii="Cambria Math" w:hAnsi="Cambria Math"/>
              </w:rPr>
              <m:t xml:space="preserve">181</m:t>
            </m:r>
          </m:den>
        </m:f>
      </m:oMath>
    </w:p>
    <w:p>
      <w:pPr>
        <w:pStyle w:val="Normal"/>
        <w:rPr/>
      </w:pPr>
      <w:r>
        <w:rPr/>
        <w:t>= 3.86 times</w:t>
      </w:r>
    </w:p>
    <w:p>
      <w:pPr>
        <w:pStyle w:val="Normal"/>
        <w:rPr/>
      </w:pPr>
      <w:r>
        <w:rPr/>
        <w:t>In 2021, the interest coverage ratio declined from 3.86 in 2020 to 3.56. This indicates that the company's ability to cover its interest payments with operating profit declined slightly. However, the ratio is still above 1, which means the company's operational profit is sufficient to meet its interest charges.</w:t>
      </w:r>
    </w:p>
    <w:p>
      <w:pPr>
        <w:pStyle w:val="Normal"/>
        <w:rPr/>
      </w:pPr>
      <w:r>
        <w:rPr/>
      </w:r>
    </w:p>
    <w:p>
      <w:pPr>
        <w:pStyle w:val="Normal"/>
        <w:spacing w:lineRule="auto" w:line="259" w:before="0" w:after="160"/>
        <w:jc w:val="left"/>
        <w:rPr>
          <w:sz w:val="36"/>
          <w:szCs w:val="32"/>
        </w:rPr>
      </w:pPr>
      <w:r>
        <w:rPr>
          <w:sz w:val="36"/>
          <w:szCs w:val="32"/>
        </w:rPr>
      </w:r>
      <w:r>
        <w:br w:type="page"/>
      </w:r>
    </w:p>
    <w:p>
      <w:pPr>
        <w:pStyle w:val="Heading1"/>
        <w:rPr/>
      </w:pPr>
      <w:bookmarkStart w:id="8" w:name="_Toc131022257"/>
      <w:r>
        <w:rPr/>
        <w:t>Conclusion</w:t>
      </w:r>
      <w:bookmarkEnd w:id="8"/>
    </w:p>
    <w:p>
      <w:pPr>
        <w:pStyle w:val="Normal"/>
        <w:rPr/>
      </w:pPr>
      <w:r>
        <w:rPr/>
        <w:t>Financial statements and ratio analysis are essential instrument for evaluating a business’ performance and position. Each financial statement gives a unique view on the economic condition of the business, and ratio analysis helps investors and stakeholders better understand a company's profitability, liquidity, solvency, and efficiency (Leonov et al., 2020). Utilizing these tools allows for better decision-making and helps to mitigate financial risk. As such, it is crucial for companies to produce precise and transparent statements (Poeh et al., 2022) and for investors and stakeholders to perform due diligence by utilizing ratio analysis to evaluate a company's financial standing.</w:t>
      </w:r>
    </w:p>
    <w:p>
      <w:pPr>
        <w:pStyle w:val="Normal"/>
        <w:rPr/>
      </w:pPr>
      <w:r>
        <w:rPr/>
      </w:r>
    </w:p>
    <w:p>
      <w:pPr>
        <w:pStyle w:val="Normal"/>
        <w:spacing w:lineRule="auto" w:line="259" w:before="0" w:after="160"/>
        <w:jc w:val="left"/>
        <w:rPr/>
      </w:pPr>
      <w:r>
        <w:rPr/>
      </w:r>
      <w:r>
        <w:br w:type="page"/>
      </w:r>
    </w:p>
    <w:p>
      <w:pPr>
        <w:pStyle w:val="Heading1"/>
        <w:rPr/>
      </w:pPr>
      <w:bookmarkStart w:id="9" w:name="_Toc131022258"/>
      <w:r>
        <w:rPr/>
        <w:t>Reference</w:t>
      </w:r>
      <w:bookmarkEnd w:id="9"/>
    </w:p>
    <w:p>
      <w:pPr>
        <w:pStyle w:val="Normal"/>
        <w:rPr/>
      </w:pPr>
      <w:r>
        <w:rPr/>
        <w:t xml:space="preserve">Leonov, P. et al. (2020) “Visual analysis in identifying a typical indicators of financial statements as an element of Artificial Intelligence Technology in audit,” Procedia Computer Science, 169, pp. 710–714. Available at: https://doi.org/10.1016/j.procs.2020.02.174. </w:t>
      </w:r>
    </w:p>
    <w:p>
      <w:pPr>
        <w:pStyle w:val="Normal"/>
        <w:rPr/>
      </w:pPr>
      <w:r>
        <w:rPr/>
        <w:t xml:space="preserve">Poeh, M.M., Dioh, S.S. and Peilouw, C.T. (2022) “Implementation analysis of financial accounting standards for entities without public accountability (SAK ETAP) on financial statements of Bumdes ora et labora in USAPISONBAI village, Nekamese District,” Proceedings of the International Conference on Applied Science and Technology on Social Science 2021 (iCAST-SS 2021) [Preprint]. Available at: https://doi.org/10.2991/assehr.k.220301.054. </w:t>
      </w:r>
    </w:p>
    <w:p>
      <w:pPr>
        <w:pStyle w:val="Normal"/>
        <w:rPr/>
      </w:pPr>
      <w:r>
        <w:rPr/>
        <w:t xml:space="preserve">Rosa, N.L. (2020) “Integrated Ratio Analysis,” Analysing Financial Performance, pp. 112–135. Available at: https://doi.org/10.4324/9781003092575-6. </w:t>
      </w:r>
    </w:p>
    <w:p>
      <w:pPr>
        <w:pStyle w:val="Normal"/>
        <w:rPr/>
      </w:pPr>
      <w:r>
        <w:rPr/>
        <w:t xml:space="preserve">Shim, J.K. (2008) The analysis and use of financial statements. London: Global Professional Publishing. </w:t>
      </w:r>
    </w:p>
    <w:p>
      <w:pPr>
        <w:pStyle w:val="Normal"/>
        <w:widowControl/>
        <w:bidi w:val="0"/>
        <w:spacing w:lineRule="auto" w:line="300" w:before="0" w:after="120"/>
        <w:jc w:val="both"/>
        <w:rPr/>
      </w:pPr>
      <w:r>
        <w:rPr/>
        <w:t>Wahlen, J.M., Baginski, S.P. and Bradshaw, M.T. (2023) Financial reporting, financial statement analysis, and valuation: A strategic perspective. Boston, MA: Cengage.</w:t>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360"/>
      </w:pPr>
    </w:lvl>
    <w:lvl w:ilvl="1">
      <w:start w:val="1"/>
      <w:numFmt w:val="bullet"/>
      <w:lvlText w:val=""/>
      <w:lvlJc w:val="left"/>
      <w:pPr>
        <w:ind w:left="1080" w:hanging="360"/>
      </w:pPr>
      <w:rPr>
        <w:rFonts w:ascii="Symbol" w:hAnsi="Symbol" w:cs="Symbol" w:hint="default"/>
      </w:r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372f3"/>
    <w:pPr>
      <w:widowControl/>
      <w:bidi w:val="0"/>
      <w:spacing w:lineRule="auto" w:line="300" w:before="0" w:after="120"/>
      <w:jc w:val="both"/>
    </w:pPr>
    <w:rPr>
      <w:rFonts w:ascii="Times New Roman" w:hAnsi="Times New Roman" w:eastAsia="Calibri" w:cs="Arial"/>
      <w:color w:val="000000" w:themeColor="text1"/>
      <w:kern w:val="0"/>
      <w:sz w:val="24"/>
      <w:szCs w:val="22"/>
      <w:lang w:val="en-GB" w:eastAsia="en-US" w:bidi="ar-SA"/>
    </w:rPr>
  </w:style>
  <w:style w:type="paragraph" w:styleId="Heading1">
    <w:name w:val="Heading 1"/>
    <w:basedOn w:val="Heading2"/>
    <w:next w:val="Normal"/>
    <w:link w:val="Heading1Char"/>
    <w:uiPriority w:val="9"/>
    <w:qFormat/>
    <w:rsid w:val="008b42eb"/>
    <w:pPr>
      <w:outlineLvl w:val="0"/>
    </w:pPr>
    <w:rPr>
      <w:b w:val="false"/>
      <w:bCs w:val="false"/>
      <w:sz w:val="36"/>
      <w:szCs w:val="32"/>
    </w:rPr>
  </w:style>
  <w:style w:type="paragraph" w:styleId="Heading2">
    <w:name w:val="Heading 2"/>
    <w:basedOn w:val="Normal"/>
    <w:next w:val="Normal"/>
    <w:link w:val="Heading2Char"/>
    <w:uiPriority w:val="9"/>
    <w:unhideWhenUsed/>
    <w:qFormat/>
    <w:rsid w:val="008b42eb"/>
    <w:pPr>
      <w:jc w:val="left"/>
      <w:outlineLvl w:val="1"/>
    </w:pPr>
    <w:rPr>
      <w:b/>
      <w:bCs/>
      <w:sz w:val="28"/>
      <w:szCs w:val="24"/>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8b42eb"/>
    <w:rPr>
      <w:rFonts w:ascii="Times New Roman" w:hAnsi="Times New Roman"/>
      <w:b/>
      <w:bCs/>
      <w:color w:val="000000" w:themeColor="text1"/>
      <w:sz w:val="28"/>
      <w:szCs w:val="24"/>
    </w:rPr>
  </w:style>
  <w:style w:type="character" w:styleId="Heading1Char" w:customStyle="1">
    <w:name w:val="Heading 1 Char"/>
    <w:basedOn w:val="DefaultParagraphFont"/>
    <w:link w:val="Heading1"/>
    <w:uiPriority w:val="9"/>
    <w:qFormat/>
    <w:rsid w:val="008b42eb"/>
    <w:rPr>
      <w:rFonts w:ascii="Times New Roman" w:hAnsi="Times New Roman"/>
      <w:color w:val="000000" w:themeColor="text1"/>
      <w:sz w:val="36"/>
      <w:szCs w:val="32"/>
    </w:rPr>
  </w:style>
  <w:style w:type="character" w:styleId="HeaderChar" w:customStyle="1">
    <w:name w:val="Header Char"/>
    <w:basedOn w:val="DefaultParagraphFont"/>
    <w:link w:val="Header"/>
    <w:uiPriority w:val="99"/>
    <w:qFormat/>
    <w:rsid w:val="00b32597"/>
    <w:rPr>
      <w:rFonts w:ascii="Times New Roman" w:hAnsi="Times New Roman"/>
      <w:color w:val="000000" w:themeColor="text1"/>
      <w:sz w:val="24"/>
    </w:rPr>
  </w:style>
  <w:style w:type="character" w:styleId="FooterChar" w:customStyle="1">
    <w:name w:val="Footer Char"/>
    <w:basedOn w:val="DefaultParagraphFont"/>
    <w:link w:val="Footer"/>
    <w:uiPriority w:val="99"/>
    <w:qFormat/>
    <w:rsid w:val="00b32597"/>
    <w:rPr>
      <w:rFonts w:ascii="Times New Roman" w:hAnsi="Times New Roman"/>
      <w:color w:val="000000" w:themeColor="text1"/>
      <w:sz w:val="24"/>
    </w:rPr>
  </w:style>
  <w:style w:type="character" w:styleId="InternetLink">
    <w:name w:val="Internet Link"/>
    <w:basedOn w:val="DefaultParagraphFont"/>
    <w:uiPriority w:val="99"/>
    <w:unhideWhenUsed/>
    <w:rsid w:val="00b32597"/>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pPr>
      <w:spacing w:before="0" w:after="120"/>
      <w:ind w:left="720" w:hanging="0"/>
      <w:contextualSpacing/>
    </w:pPr>
    <w:rPr/>
  </w:style>
  <w:style w:type="paragraph" w:styleId="Header">
    <w:name w:val="Header"/>
    <w:basedOn w:val="Normal"/>
    <w:link w:val="HeaderChar"/>
    <w:uiPriority w:val="99"/>
    <w:unhideWhenUsed/>
    <w:rsid w:val="00b3259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b32597"/>
    <w:pPr>
      <w:tabs>
        <w:tab w:val="clear" w:pos="720"/>
        <w:tab w:val="center" w:pos="4513" w:leader="none"/>
        <w:tab w:val="right" w:pos="9026" w:leader="none"/>
      </w:tabs>
      <w:spacing w:lineRule="auto" w:line="240" w:before="0" w:after="0"/>
    </w:pPr>
    <w:rPr/>
  </w:style>
  <w:style w:type="paragraph" w:styleId="TOCHeading">
    <w:name w:val="TOC Heading"/>
    <w:basedOn w:val="Heading1"/>
    <w:next w:val="Normal"/>
    <w:uiPriority w:val="39"/>
    <w:unhideWhenUsed/>
    <w:qFormat/>
    <w:rsid w:val="00b32597"/>
    <w:pPr>
      <w:keepNext w:val="true"/>
      <w:keepLines/>
      <w:spacing w:lineRule="auto" w:line="259" w:before="240" w:after="0"/>
    </w:pPr>
    <w:rPr>
      <w:rFonts w:ascii="Calibri Light" w:hAnsi="Calibri Light" w:eastAsia="" w:cs="Times New Roman" w:asciiTheme="majorHAnsi" w:cstheme="majorBidi" w:eastAsiaTheme="majorEastAsia" w:hAnsiTheme="majorHAnsi"/>
      <w:color w:val="2F5496" w:themeColor="accent1" w:themeShade="bf"/>
      <w:sz w:val="32"/>
      <w:lang w:val="en-US"/>
    </w:rPr>
  </w:style>
  <w:style w:type="paragraph" w:styleId="Contents1">
    <w:name w:val="TOC 1"/>
    <w:basedOn w:val="Normal"/>
    <w:next w:val="Normal"/>
    <w:autoRedefine/>
    <w:uiPriority w:val="39"/>
    <w:unhideWhenUsed/>
    <w:rsid w:val="00b32597"/>
    <w:pPr>
      <w:spacing w:before="0" w:after="100"/>
    </w:pPr>
    <w:rPr/>
  </w:style>
  <w:style w:type="paragraph" w:styleId="Contents2">
    <w:name w:val="TOC 2"/>
    <w:basedOn w:val="Normal"/>
    <w:next w:val="Normal"/>
    <w:autoRedefine/>
    <w:uiPriority w:val="39"/>
    <w:unhideWhenUsed/>
    <w:rsid w:val="00b32597"/>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2517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4d2769"/>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 w:type="table" w:styleId="GridTable1Light-Accent1">
    <w:name w:val="Grid Table 1 Light Accent 1"/>
    <w:basedOn w:val="TableNormal"/>
    <w:uiPriority w:val="46"/>
    <w:rsid w:val="004d2769"/>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sz="12" w:space="0"/>
        </w:tcBorders>
      </w:tcPr>
    </w:tblStylePr>
    <w:tblStylePr w:type="lastRow">
      <w:rPr>
        <w:b/>
        <w:bCs/>
      </w:rPr>
      <w:tblPr/>
      <w:tcPr>
        <w:tcBorders>
          <w:top w:val="double" w:color="8EAADB" w:themeColor="accent1" w:sz="2" w:space="0"/>
        </w:tcBorders>
      </w:tcPr>
    </w:tblStylePr>
    <w:tblStylePr w:type="firstCol">
      <w:rPr>
        <w:b/>
        <w:bCs/>
      </w:rPr>
      <w:tblPr/>
    </w:tblStylePr>
    <w:tblStylePr w:type="lastCol">
      <w:rPr>
        <w:b/>
        <w:bCs/>
      </w:rPr>
      <w:tbl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Application>Neat_Office/6.2.8.2$Windows_x86 LibreOffice_project/</Application>
  <Pages>15</Pages>
  <Words>2724</Words>
  <Characters>14725</Characters>
  <CharactersWithSpaces>17290</CharactersWithSpaces>
  <Paragraphs>202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2023-03-29T19:19:00Z</dcterms:created>
  <dc:creator/>
  <dc:description/>
  <dc:language>en-GB</dc:language>
  <cp:lastModifiedBy/>
  <dcterms:modified xsi:type="dcterms:W3CDTF">2023-04-29T21:34:53Z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