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4CB9C" w14:textId="4408A239" w:rsidR="00C931A4" w:rsidRDefault="00C931A4"/>
    <w:p w14:paraId="1A4430C3" w14:textId="450F6A54" w:rsidR="00C931A4" w:rsidRDefault="00C931A4"/>
    <w:p w14:paraId="7B6EE8E9" w14:textId="6B1CC4B2" w:rsidR="00C931A4" w:rsidRDefault="00C931A4">
      <w:r>
        <w:t xml:space="preserve">Group 4: </w:t>
      </w:r>
    </w:p>
    <w:p w14:paraId="49B2CAE0" w14:textId="6B1DCC50" w:rsidR="00C931A4" w:rsidRDefault="00C931A4"/>
    <w:p w14:paraId="0B5A15DD" w14:textId="71AE9E13" w:rsidR="00C931A4" w:rsidRPr="00574197" w:rsidRDefault="00C931A4">
      <w:pPr>
        <w:rPr>
          <w:sz w:val="36"/>
          <w:szCs w:val="36"/>
        </w:rPr>
      </w:pPr>
      <w:r w:rsidRPr="00574197">
        <w:rPr>
          <w:sz w:val="36"/>
          <w:szCs w:val="36"/>
        </w:rPr>
        <w:t>Explain to the group some of the issues surrounding social context of welfare provision.</w:t>
      </w:r>
    </w:p>
    <w:p w14:paraId="52F32D7F" w14:textId="7216BA84" w:rsidR="00C931A4" w:rsidRPr="00574197" w:rsidRDefault="00C931A4">
      <w:pPr>
        <w:rPr>
          <w:sz w:val="36"/>
          <w:szCs w:val="36"/>
        </w:rPr>
      </w:pPr>
      <w:r w:rsidRPr="00574197">
        <w:rPr>
          <w:sz w:val="36"/>
          <w:szCs w:val="36"/>
        </w:rPr>
        <w:t>In YOUR OWN WORDS</w:t>
      </w:r>
    </w:p>
    <w:p w14:paraId="6CFE4E2A" w14:textId="3A55FCE6" w:rsidR="00C931A4" w:rsidRPr="00574197" w:rsidRDefault="00C931A4">
      <w:pPr>
        <w:rPr>
          <w:sz w:val="36"/>
          <w:szCs w:val="36"/>
        </w:rPr>
      </w:pPr>
      <w:r w:rsidRPr="00574197">
        <w:rPr>
          <w:sz w:val="36"/>
          <w:szCs w:val="36"/>
        </w:rPr>
        <w:t>Ask them and note answers to the following:</w:t>
      </w:r>
    </w:p>
    <w:p w14:paraId="0FD3E903" w14:textId="4F9EC951" w:rsidR="00C931A4" w:rsidRPr="00574197" w:rsidRDefault="00C931A4">
      <w:pPr>
        <w:rPr>
          <w:sz w:val="36"/>
          <w:szCs w:val="36"/>
        </w:rPr>
      </w:pPr>
    </w:p>
    <w:p w14:paraId="199E0F3B" w14:textId="1FF9E923" w:rsidR="00C931A4" w:rsidRPr="00574197" w:rsidRDefault="00C931A4" w:rsidP="00C931A4">
      <w:pPr>
        <w:pStyle w:val="ListParagraph"/>
        <w:numPr>
          <w:ilvl w:val="0"/>
          <w:numId w:val="6"/>
        </w:numPr>
        <w:rPr>
          <w:sz w:val="36"/>
          <w:szCs w:val="36"/>
        </w:rPr>
      </w:pPr>
      <w:r w:rsidRPr="00574197">
        <w:rPr>
          <w:sz w:val="36"/>
          <w:szCs w:val="36"/>
        </w:rPr>
        <w:t>Why should the groups of people mentioned have consideration for welfare</w:t>
      </w:r>
      <w:r w:rsidR="00574197">
        <w:rPr>
          <w:sz w:val="36"/>
          <w:szCs w:val="36"/>
        </w:rPr>
        <w:t>?</w:t>
      </w:r>
    </w:p>
    <w:p w14:paraId="4DEF4872" w14:textId="5A5C87A0" w:rsidR="00C931A4" w:rsidRPr="00574197" w:rsidRDefault="00C931A4" w:rsidP="00C931A4">
      <w:pPr>
        <w:pStyle w:val="ListParagraph"/>
        <w:numPr>
          <w:ilvl w:val="0"/>
          <w:numId w:val="6"/>
        </w:numPr>
        <w:rPr>
          <w:sz w:val="36"/>
          <w:szCs w:val="36"/>
        </w:rPr>
      </w:pPr>
      <w:r w:rsidRPr="00574197">
        <w:rPr>
          <w:sz w:val="36"/>
          <w:szCs w:val="36"/>
        </w:rPr>
        <w:t xml:space="preserve">Is </w:t>
      </w:r>
      <w:proofErr w:type="gramStart"/>
      <w:r w:rsidRPr="00574197">
        <w:rPr>
          <w:sz w:val="36"/>
          <w:szCs w:val="36"/>
        </w:rPr>
        <w:t>this</w:t>
      </w:r>
      <w:proofErr w:type="gramEnd"/>
      <w:r w:rsidRPr="00574197">
        <w:rPr>
          <w:sz w:val="36"/>
          <w:szCs w:val="36"/>
        </w:rPr>
        <w:t xml:space="preserve"> morally right?</w:t>
      </w:r>
    </w:p>
    <w:p w14:paraId="2ACBDD18" w14:textId="79D9ADA8" w:rsidR="00C931A4" w:rsidRPr="00574197" w:rsidRDefault="00C931A4" w:rsidP="00C931A4">
      <w:pPr>
        <w:pStyle w:val="ListParagraph"/>
        <w:numPr>
          <w:ilvl w:val="0"/>
          <w:numId w:val="6"/>
        </w:numPr>
        <w:rPr>
          <w:sz w:val="36"/>
          <w:szCs w:val="36"/>
        </w:rPr>
      </w:pPr>
      <w:r w:rsidRPr="00574197">
        <w:rPr>
          <w:sz w:val="36"/>
          <w:szCs w:val="36"/>
        </w:rPr>
        <w:t xml:space="preserve">Why do they think some people do not want to help and support </w:t>
      </w:r>
      <w:proofErr w:type="gramStart"/>
      <w:r w:rsidRPr="00574197">
        <w:rPr>
          <w:sz w:val="36"/>
          <w:szCs w:val="36"/>
        </w:rPr>
        <w:t>others</w:t>
      </w:r>
      <w:proofErr w:type="gramEnd"/>
      <w:r w:rsidRPr="00574197">
        <w:rPr>
          <w:sz w:val="36"/>
          <w:szCs w:val="36"/>
        </w:rPr>
        <w:t xml:space="preserve"> names in this piece?</w:t>
      </w:r>
    </w:p>
    <w:p w14:paraId="2EE7F766" w14:textId="444084F1" w:rsidR="00C931A4" w:rsidRPr="00574197" w:rsidRDefault="00C931A4" w:rsidP="00C931A4">
      <w:pPr>
        <w:pStyle w:val="ListParagraph"/>
        <w:numPr>
          <w:ilvl w:val="0"/>
          <w:numId w:val="6"/>
        </w:numPr>
        <w:rPr>
          <w:sz w:val="36"/>
          <w:szCs w:val="36"/>
        </w:rPr>
      </w:pPr>
      <w:r w:rsidRPr="00574197">
        <w:rPr>
          <w:sz w:val="36"/>
          <w:szCs w:val="36"/>
        </w:rPr>
        <w:t>Log your answers</w:t>
      </w:r>
    </w:p>
    <w:p w14:paraId="5039959B" w14:textId="4C2D3F43" w:rsidR="00C931A4" w:rsidRDefault="00C931A4"/>
    <w:p w14:paraId="7EE0D304" w14:textId="120C2CF4" w:rsidR="00C931A4" w:rsidRDefault="00C931A4"/>
    <w:p w14:paraId="782540B6" w14:textId="48308F89" w:rsidR="00C931A4" w:rsidRDefault="00C931A4"/>
    <w:p w14:paraId="09FF59B5" w14:textId="64DE02E8" w:rsidR="00C931A4" w:rsidRDefault="00C931A4">
      <w:r>
        <w:t>(Spiker, 2018)</w:t>
      </w:r>
    </w:p>
    <w:p w14:paraId="79D43F9E" w14:textId="77777777" w:rsidR="00C931A4" w:rsidRPr="00C931A4" w:rsidRDefault="00C931A4" w:rsidP="00C931A4">
      <w:pPr>
        <w:pBdr>
          <w:bottom w:val="single" w:sz="6" w:space="0" w:color="000000"/>
        </w:pBdr>
        <w:spacing w:before="100" w:beforeAutospacing="1" w:after="100" w:afterAutospacing="1" w:line="240" w:lineRule="auto"/>
        <w:outlineLvl w:val="1"/>
        <w:rPr>
          <w:rFonts w:ascii="Arial" w:eastAsia="Times New Roman" w:hAnsi="Arial" w:cs="Arial"/>
          <w:b/>
          <w:bCs/>
          <w:color w:val="000000"/>
          <w:sz w:val="48"/>
          <w:szCs w:val="48"/>
          <w:lang w:eastAsia="en-GB"/>
        </w:rPr>
      </w:pPr>
      <w:r w:rsidRPr="00C931A4">
        <w:rPr>
          <w:rFonts w:ascii="Arial" w:eastAsia="Times New Roman" w:hAnsi="Arial" w:cs="Arial"/>
          <w:b/>
          <w:bCs/>
          <w:color w:val="000000"/>
          <w:sz w:val="48"/>
          <w:szCs w:val="48"/>
          <w:lang w:eastAsia="en-GB"/>
        </w:rPr>
        <w:t>The </w:t>
      </w:r>
      <w:bookmarkStart w:id="0" w:name="social-structure"/>
      <w:bookmarkEnd w:id="0"/>
      <w:r w:rsidRPr="00C931A4">
        <w:rPr>
          <w:rFonts w:ascii="Arial" w:eastAsia="Times New Roman" w:hAnsi="Arial" w:cs="Arial"/>
          <w:b/>
          <w:bCs/>
          <w:color w:val="000000"/>
          <w:sz w:val="48"/>
          <w:szCs w:val="48"/>
          <w:lang w:eastAsia="en-GB"/>
        </w:rPr>
        <w:t>social structure</w:t>
      </w:r>
    </w:p>
    <w:p w14:paraId="5E999AF0"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Societies are 'structured' in the sense that people's relationships follow consistent patterns. Fiona Williams has argued that social policy is dominated in practice by the dominant values of society - the issues of family, work and nation. [1]</w:t>
      </w:r>
    </w:p>
    <w:p w14:paraId="45D9E3D8"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hyperlink r:id="rId5" w:anchor="Family-policy" w:history="1">
        <w:r w:rsidRPr="00C931A4">
          <w:rPr>
            <w:rFonts w:ascii="Arial" w:eastAsia="Times New Roman" w:hAnsi="Arial" w:cs="Arial"/>
            <w:i/>
            <w:iCs/>
            <w:color w:val="800080"/>
            <w:sz w:val="27"/>
            <w:szCs w:val="27"/>
            <w:u w:val="single"/>
            <w:lang w:eastAsia="en-GB"/>
          </w:rPr>
          <w:t>Family</w:t>
        </w:r>
      </w:hyperlink>
      <w:r w:rsidRPr="00C931A4">
        <w:rPr>
          <w:rFonts w:ascii="Arial" w:eastAsia="Times New Roman" w:hAnsi="Arial" w:cs="Arial"/>
          <w:color w:val="000000"/>
          <w:sz w:val="27"/>
          <w:szCs w:val="27"/>
          <w:lang w:eastAsia="en-GB"/>
        </w:rPr>
        <w:t xml:space="preserve"> A range of policies are built around the idea of the 'family' as a man, woman and children. Examples are child benefits, education and child care. Some countries have policies built on the idea of the man as 'breadwinner', with support based on the idea that the marriage is </w:t>
      </w:r>
      <w:proofErr w:type="gramStart"/>
      <w:r w:rsidRPr="00C931A4">
        <w:rPr>
          <w:rFonts w:ascii="Arial" w:eastAsia="Times New Roman" w:hAnsi="Arial" w:cs="Arial"/>
          <w:color w:val="000000"/>
          <w:sz w:val="27"/>
          <w:szCs w:val="27"/>
          <w:lang w:eastAsia="en-GB"/>
        </w:rPr>
        <w:t>permanent</w:t>
      </w:r>
      <w:proofErr w:type="gramEnd"/>
      <w:r w:rsidRPr="00C931A4">
        <w:rPr>
          <w:rFonts w:ascii="Arial" w:eastAsia="Times New Roman" w:hAnsi="Arial" w:cs="Arial"/>
          <w:color w:val="000000"/>
          <w:sz w:val="27"/>
          <w:szCs w:val="27"/>
          <w:lang w:eastAsia="en-GB"/>
        </w:rPr>
        <w:t xml:space="preserve"> and the woman will not work. Families which deviate from the norm - for example, </w:t>
      </w:r>
      <w:r w:rsidRPr="00C931A4">
        <w:rPr>
          <w:rFonts w:ascii="Arial" w:eastAsia="Times New Roman" w:hAnsi="Arial" w:cs="Arial"/>
          <w:color w:val="000000"/>
          <w:sz w:val="27"/>
          <w:szCs w:val="27"/>
          <w:lang w:eastAsia="en-GB"/>
        </w:rPr>
        <w:lastRenderedPageBreak/>
        <w:t>poor single mothers - are likely to be penalised, though there may also be anomalies in the organisation of benefits (</w:t>
      </w:r>
      <w:proofErr w:type="spellStart"/>
      <w:r w:rsidRPr="00C931A4">
        <w:rPr>
          <w:rFonts w:ascii="Arial" w:eastAsia="Times New Roman" w:hAnsi="Arial" w:cs="Arial"/>
          <w:color w:val="000000"/>
          <w:sz w:val="27"/>
          <w:szCs w:val="27"/>
          <w:lang w:eastAsia="en-GB"/>
        </w:rPr>
        <w:t>e.g</w:t>
      </w:r>
      <w:proofErr w:type="spellEnd"/>
      <w:r w:rsidRPr="00C931A4">
        <w:rPr>
          <w:rFonts w:ascii="Arial" w:eastAsia="Times New Roman" w:hAnsi="Arial" w:cs="Arial"/>
          <w:color w:val="000000"/>
          <w:sz w:val="27"/>
          <w:szCs w:val="27"/>
          <w:lang w:eastAsia="en-GB"/>
        </w:rPr>
        <w:t xml:space="preserve">, when promiscuity is </w:t>
      </w:r>
      <w:proofErr w:type="gramStart"/>
      <w:r w:rsidRPr="00C931A4">
        <w:rPr>
          <w:rFonts w:ascii="Arial" w:eastAsia="Times New Roman" w:hAnsi="Arial" w:cs="Arial"/>
          <w:color w:val="000000"/>
          <w:sz w:val="27"/>
          <w:szCs w:val="27"/>
          <w:lang w:eastAsia="en-GB"/>
        </w:rPr>
        <w:t>accepted</w:t>
      </w:r>
      <w:proofErr w:type="gramEnd"/>
      <w:r w:rsidRPr="00C931A4">
        <w:rPr>
          <w:rFonts w:ascii="Arial" w:eastAsia="Times New Roman" w:hAnsi="Arial" w:cs="Arial"/>
          <w:color w:val="000000"/>
          <w:sz w:val="27"/>
          <w:szCs w:val="27"/>
          <w:lang w:eastAsia="en-GB"/>
        </w:rPr>
        <w:t xml:space="preserve"> and stable cohabitation is not).</w:t>
      </w:r>
    </w:p>
    <w:p w14:paraId="5306BC92"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hyperlink r:id="rId6" w:anchor="Work" w:history="1">
        <w:r w:rsidRPr="00C931A4">
          <w:rPr>
            <w:rFonts w:ascii="Arial" w:eastAsia="Times New Roman" w:hAnsi="Arial" w:cs="Arial"/>
            <w:i/>
            <w:iCs/>
            <w:color w:val="800080"/>
            <w:sz w:val="27"/>
            <w:szCs w:val="27"/>
            <w:u w:val="single"/>
            <w:lang w:eastAsia="en-GB"/>
          </w:rPr>
          <w:t>Work</w:t>
        </w:r>
      </w:hyperlink>
      <w:r w:rsidRPr="00C931A4">
        <w:rPr>
          <w:rFonts w:ascii="Arial" w:eastAsia="Times New Roman" w:hAnsi="Arial" w:cs="Arial"/>
          <w:color w:val="000000"/>
          <w:sz w:val="27"/>
          <w:szCs w:val="27"/>
          <w:lang w:eastAsia="en-GB"/>
        </w:rPr>
        <w:t> Many systems of social protection depend on a stable work record for basic cover in unemployment, ill health and old age. Workers who misbehave - for example, by striking or being dismissed - may be penalised.</w:t>
      </w:r>
    </w:p>
    <w:p w14:paraId="447D047B"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hyperlink r:id="rId7" w:anchor="Nation" w:history="1">
        <w:r w:rsidRPr="00C931A4">
          <w:rPr>
            <w:rFonts w:ascii="Arial" w:eastAsia="Times New Roman" w:hAnsi="Arial" w:cs="Arial"/>
            <w:i/>
            <w:iCs/>
            <w:color w:val="800080"/>
            <w:sz w:val="27"/>
            <w:szCs w:val="27"/>
            <w:u w:val="single"/>
            <w:lang w:eastAsia="en-GB"/>
          </w:rPr>
          <w:t>Nation</w:t>
        </w:r>
      </w:hyperlink>
      <w:r w:rsidRPr="00C931A4">
        <w:rPr>
          <w:rFonts w:ascii="Arial" w:eastAsia="Times New Roman" w:hAnsi="Arial" w:cs="Arial"/>
          <w:color w:val="000000"/>
          <w:sz w:val="27"/>
          <w:szCs w:val="27"/>
          <w:lang w:eastAsia="en-GB"/>
        </w:rPr>
        <w:t> Most systems discriminate against non-citizens, and many have residence rules for particular benefits or services. Immigrants are likely to have different, and often second-class, services.</w:t>
      </w:r>
    </w:p>
    <w:p w14:paraId="0B21BB8D"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These issues are discussed further in the sections which follow.</w:t>
      </w:r>
    </w:p>
    <w:p w14:paraId="2824D409" w14:textId="77777777" w:rsidR="00C931A4" w:rsidRPr="00C931A4" w:rsidRDefault="00C931A4" w:rsidP="00C931A4">
      <w:pPr>
        <w:pBdr>
          <w:bottom w:val="single" w:sz="6" w:space="0" w:color="000000"/>
        </w:pBdr>
        <w:spacing w:before="100" w:beforeAutospacing="1" w:after="100" w:afterAutospacing="1" w:line="240" w:lineRule="auto"/>
        <w:outlineLvl w:val="2"/>
        <w:rPr>
          <w:rFonts w:ascii="Arial" w:eastAsia="Times New Roman" w:hAnsi="Arial" w:cs="Arial"/>
          <w:b/>
          <w:bCs/>
          <w:color w:val="000000"/>
          <w:sz w:val="36"/>
          <w:szCs w:val="36"/>
          <w:lang w:eastAsia="en-GB"/>
        </w:rPr>
      </w:pPr>
      <w:bookmarkStart w:id="1" w:name="Family-policy"/>
      <w:bookmarkEnd w:id="1"/>
      <w:r w:rsidRPr="00C931A4">
        <w:rPr>
          <w:rFonts w:ascii="Arial" w:eastAsia="Times New Roman" w:hAnsi="Arial" w:cs="Arial"/>
          <w:b/>
          <w:bCs/>
          <w:color w:val="000000"/>
          <w:sz w:val="36"/>
          <w:szCs w:val="36"/>
          <w:lang w:eastAsia="en-GB"/>
        </w:rPr>
        <w:t>Family policy</w:t>
      </w:r>
    </w:p>
    <w:p w14:paraId="27E71F82" w14:textId="77777777" w:rsidR="00C931A4" w:rsidRPr="00C931A4" w:rsidRDefault="00C931A4" w:rsidP="00C931A4">
      <w:pPr>
        <w:spacing w:before="100" w:beforeAutospacing="1" w:after="100" w:afterAutospacing="1" w:line="240" w:lineRule="auto"/>
        <w:outlineLvl w:val="3"/>
        <w:rPr>
          <w:rFonts w:ascii="Arial" w:eastAsia="Times New Roman" w:hAnsi="Arial" w:cs="Arial"/>
          <w:b/>
          <w:bCs/>
          <w:color w:val="000000"/>
          <w:sz w:val="27"/>
          <w:szCs w:val="27"/>
          <w:lang w:eastAsia="en-GB"/>
        </w:rPr>
      </w:pPr>
      <w:r w:rsidRPr="00C931A4">
        <w:rPr>
          <w:rFonts w:ascii="Arial" w:eastAsia="Times New Roman" w:hAnsi="Arial" w:cs="Arial"/>
          <w:b/>
          <w:bCs/>
          <w:color w:val="000000"/>
          <w:sz w:val="27"/>
          <w:szCs w:val="27"/>
          <w:lang w:eastAsia="en-GB"/>
        </w:rPr>
        <w:t>The normal family</w:t>
      </w:r>
    </w:p>
    <w:p w14:paraId="68B08794"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"Normal" does not mean "average"; it means "conforming to social norms". The 'normal' family consists of two parents with one or more children, but it is increasingly untypical in developed countries. Several factors have contributed to this trend:</w:t>
      </w:r>
    </w:p>
    <w:p w14:paraId="574E324C" w14:textId="77777777" w:rsidR="00C931A4" w:rsidRPr="00C931A4" w:rsidRDefault="00C931A4" w:rsidP="00C931A4">
      <w:pPr>
        <w:numPr>
          <w:ilvl w:val="0"/>
          <w:numId w:val="1"/>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ageing populations, which mean that increasing numbers of households consist of elderly people without children;</w:t>
      </w:r>
    </w:p>
    <w:p w14:paraId="6DEC7F46" w14:textId="77777777" w:rsidR="00C931A4" w:rsidRPr="00C931A4" w:rsidRDefault="00C931A4" w:rsidP="00C931A4">
      <w:pPr>
        <w:numPr>
          <w:ilvl w:val="0"/>
          <w:numId w:val="1"/>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 delay in undertaking childbirth, which means that more households consist of single women or couples without children;</w:t>
      </w:r>
    </w:p>
    <w:p w14:paraId="24DB8F53" w14:textId="77777777" w:rsidR="00C931A4" w:rsidRPr="00C931A4" w:rsidRDefault="00C931A4" w:rsidP="00C931A4">
      <w:pPr>
        <w:numPr>
          <w:ilvl w:val="0"/>
          <w:numId w:val="1"/>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 growth of lone parenthood; and</w:t>
      </w:r>
    </w:p>
    <w:p w14:paraId="16163667" w14:textId="77777777" w:rsidR="00C931A4" w:rsidRPr="00C931A4" w:rsidRDefault="00C931A4" w:rsidP="00C931A4">
      <w:pPr>
        <w:numPr>
          <w:ilvl w:val="0"/>
          <w:numId w:val="1"/>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household fission - the tendency for households to split, because of divorce and earlier independence for children.</w:t>
      </w:r>
    </w:p>
    <w:p w14:paraId="6D31B953"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Social policies sometimes seek to reinforce the normal family, by rewarding normal conduct or penalising "</w:t>
      </w:r>
      <w:hyperlink r:id="rId8" w:anchor="Deviance" w:history="1">
        <w:r w:rsidRPr="00C931A4">
          <w:rPr>
            <w:rFonts w:ascii="Arial" w:eastAsia="Times New Roman" w:hAnsi="Arial" w:cs="Arial"/>
            <w:color w:val="800080"/>
            <w:sz w:val="27"/>
            <w:szCs w:val="27"/>
            <w:u w:val="single"/>
            <w:lang w:eastAsia="en-GB"/>
          </w:rPr>
          <w:t>deviant</w:t>
        </w:r>
      </w:hyperlink>
      <w:r w:rsidRPr="00C931A4">
        <w:rPr>
          <w:rFonts w:ascii="Arial" w:eastAsia="Times New Roman" w:hAnsi="Arial" w:cs="Arial"/>
          <w:color w:val="000000"/>
          <w:sz w:val="27"/>
          <w:szCs w:val="27"/>
          <w:lang w:eastAsia="en-GB"/>
        </w:rPr>
        <w:t>" (non-normal) circumstances. Rewards include subsidies for married dependants and children; penalties include requirements to support one's family, and legal and financial deterrents to divorce. At the same time, the assumption that couples live more cheaply than single people may lead to two single people getting greater support: cohabitation rules, treating people living together as if they were married, are used to ensure equity with married couples.</w:t>
      </w:r>
    </w:p>
    <w:p w14:paraId="279F8FED" w14:textId="77777777" w:rsidR="00C931A4" w:rsidRPr="00C931A4" w:rsidRDefault="00C931A4" w:rsidP="00C931A4">
      <w:pPr>
        <w:spacing w:before="100" w:beforeAutospacing="1" w:after="100" w:afterAutospacing="1" w:line="240" w:lineRule="auto"/>
        <w:outlineLvl w:val="3"/>
        <w:rPr>
          <w:rFonts w:ascii="Arial" w:eastAsia="Times New Roman" w:hAnsi="Arial" w:cs="Arial"/>
          <w:b/>
          <w:bCs/>
          <w:color w:val="000000"/>
          <w:sz w:val="27"/>
          <w:szCs w:val="27"/>
          <w:lang w:eastAsia="en-GB"/>
        </w:rPr>
      </w:pPr>
      <w:bookmarkStart w:id="2" w:name="Single-parents"/>
      <w:bookmarkEnd w:id="2"/>
      <w:r w:rsidRPr="00C931A4">
        <w:rPr>
          <w:rFonts w:ascii="Arial" w:eastAsia="Times New Roman" w:hAnsi="Arial" w:cs="Arial"/>
          <w:b/>
          <w:bCs/>
          <w:color w:val="000000"/>
          <w:sz w:val="27"/>
          <w:szCs w:val="27"/>
          <w:lang w:eastAsia="en-GB"/>
        </w:rPr>
        <w:t>Lone parents</w:t>
      </w:r>
    </w:p>
    <w:p w14:paraId="2F614ACB"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 rise in lone parenthood is mainly based on three factors:</w:t>
      </w:r>
    </w:p>
    <w:p w14:paraId="427F2377" w14:textId="77777777" w:rsidR="00C931A4" w:rsidRPr="00C931A4" w:rsidRDefault="00C931A4" w:rsidP="00C931A4">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i/>
          <w:iCs/>
          <w:color w:val="000000"/>
          <w:sz w:val="27"/>
          <w:szCs w:val="27"/>
          <w:lang w:eastAsia="en-GB"/>
        </w:rPr>
        <w:lastRenderedPageBreak/>
        <w:t>Divorce</w:t>
      </w:r>
      <w:r w:rsidRPr="00C931A4">
        <w:rPr>
          <w:rFonts w:ascii="Arial" w:eastAsia="Times New Roman" w:hAnsi="Arial" w:cs="Arial"/>
          <w:color w:val="000000"/>
          <w:sz w:val="27"/>
          <w:szCs w:val="27"/>
          <w:lang w:eastAsia="en-GB"/>
        </w:rPr>
        <w:t>, which has been increasing as women have gained independence in finance and career;</w:t>
      </w:r>
    </w:p>
    <w:p w14:paraId="22805E47" w14:textId="77777777" w:rsidR="00C931A4" w:rsidRPr="00C931A4" w:rsidRDefault="00C931A4" w:rsidP="00C931A4">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i/>
          <w:iCs/>
          <w:color w:val="000000"/>
          <w:sz w:val="27"/>
          <w:szCs w:val="27"/>
          <w:lang w:eastAsia="en-GB"/>
        </w:rPr>
        <w:t>Unemployment</w:t>
      </w:r>
      <w:r w:rsidRPr="00C931A4">
        <w:rPr>
          <w:rFonts w:ascii="Arial" w:eastAsia="Times New Roman" w:hAnsi="Arial" w:cs="Arial"/>
          <w:color w:val="000000"/>
          <w:sz w:val="27"/>
          <w:szCs w:val="27"/>
          <w:lang w:eastAsia="en-GB"/>
        </w:rPr>
        <w:t>. Unemployment is correlated with divorce, partly because it strains the marriage, and partly, perhaps, because it has undermined the role of the traditional male breadwinner.</w:t>
      </w:r>
    </w:p>
    <w:p w14:paraId="31AD9FA9" w14:textId="77777777" w:rsidR="00C931A4" w:rsidRPr="00C931A4" w:rsidRDefault="00C931A4" w:rsidP="00C931A4">
      <w:pPr>
        <w:numPr>
          <w:ilvl w:val="0"/>
          <w:numId w:val="2"/>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i/>
          <w:iCs/>
          <w:color w:val="000000"/>
          <w:sz w:val="27"/>
          <w:szCs w:val="27"/>
          <w:lang w:eastAsia="en-GB"/>
        </w:rPr>
        <w:t>Cohabitation</w:t>
      </w:r>
      <w:r w:rsidRPr="00C931A4">
        <w:rPr>
          <w:rFonts w:ascii="Arial" w:eastAsia="Times New Roman" w:hAnsi="Arial" w:cs="Arial"/>
          <w:color w:val="000000"/>
          <w:sz w:val="27"/>
          <w:szCs w:val="27"/>
          <w:lang w:eastAsia="en-GB"/>
        </w:rPr>
        <w:t>. This effect is a statistical artefact, rather than a real change in parental status.</w:t>
      </w:r>
    </w:p>
    <w:p w14:paraId="6CD2F660"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There is no reason to attribute the rise to teenage motherhood (which, like other forms of motherhood, has tended to fall).</w:t>
      </w:r>
    </w:p>
    <w:p w14:paraId="7442B4DC"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 position of lone parents who receive social benefits has been controversial. The </w:t>
      </w:r>
      <w:hyperlink r:id="rId9" w:anchor="Liberalism" w:history="1">
        <w:r w:rsidRPr="00C931A4">
          <w:rPr>
            <w:rFonts w:ascii="Arial" w:eastAsia="Times New Roman" w:hAnsi="Arial" w:cs="Arial"/>
            <w:color w:val="800080"/>
            <w:sz w:val="27"/>
            <w:szCs w:val="27"/>
            <w:u w:val="single"/>
            <w:lang w:eastAsia="en-GB"/>
          </w:rPr>
          <w:t>liberal individualist</w:t>
        </w:r>
      </w:hyperlink>
      <w:r w:rsidRPr="00C931A4">
        <w:rPr>
          <w:rFonts w:ascii="Arial" w:eastAsia="Times New Roman" w:hAnsi="Arial" w:cs="Arial"/>
          <w:color w:val="000000"/>
          <w:sz w:val="27"/>
          <w:szCs w:val="27"/>
          <w:lang w:eastAsia="en-GB"/>
        </w:rPr>
        <w:t xml:space="preserve"> position is that if people choose to have children it's then up to them to look after their family. The collectivist position, and to a large extent the dominant position in continental Europe, is that children are </w:t>
      </w:r>
      <w:proofErr w:type="gramStart"/>
      <w:r w:rsidRPr="00C931A4">
        <w:rPr>
          <w:rFonts w:ascii="Arial" w:eastAsia="Times New Roman" w:hAnsi="Arial" w:cs="Arial"/>
          <w:color w:val="000000"/>
          <w:sz w:val="27"/>
          <w:szCs w:val="27"/>
          <w:lang w:eastAsia="en-GB"/>
        </w:rPr>
        <w:t>other</w:t>
      </w:r>
      <w:proofErr w:type="gramEnd"/>
      <w:r w:rsidRPr="00C931A4">
        <w:rPr>
          <w:rFonts w:ascii="Arial" w:eastAsia="Times New Roman" w:hAnsi="Arial" w:cs="Arial"/>
          <w:color w:val="000000"/>
          <w:sz w:val="27"/>
          <w:szCs w:val="27"/>
          <w:lang w:eastAsia="en-GB"/>
        </w:rPr>
        <w:t xml:space="preserve"> people's business as well. There is also a strong body of opinion which considers that the interests of the children override any moral concerns about the status of the parents.</w:t>
      </w:r>
    </w:p>
    <w:p w14:paraId="3E216305" w14:textId="77777777" w:rsidR="00C931A4" w:rsidRPr="00C931A4" w:rsidRDefault="00C931A4" w:rsidP="00C931A4">
      <w:pPr>
        <w:spacing w:before="100" w:beforeAutospacing="1" w:after="100" w:afterAutospacing="1" w:line="240" w:lineRule="auto"/>
        <w:outlineLvl w:val="3"/>
        <w:rPr>
          <w:rFonts w:ascii="Arial" w:eastAsia="Times New Roman" w:hAnsi="Arial" w:cs="Arial"/>
          <w:b/>
          <w:bCs/>
          <w:color w:val="000000"/>
          <w:sz w:val="27"/>
          <w:szCs w:val="27"/>
          <w:lang w:eastAsia="en-GB"/>
        </w:rPr>
      </w:pPr>
      <w:bookmarkStart w:id="3" w:name="Teenage-pregnancy"/>
      <w:bookmarkEnd w:id="3"/>
      <w:r w:rsidRPr="00C931A4">
        <w:rPr>
          <w:rFonts w:ascii="Arial" w:eastAsia="Times New Roman" w:hAnsi="Arial" w:cs="Arial"/>
          <w:b/>
          <w:bCs/>
          <w:color w:val="000000"/>
          <w:sz w:val="27"/>
          <w:szCs w:val="27"/>
          <w:lang w:eastAsia="en-GB"/>
        </w:rPr>
        <w:t>Teenage pregnancy</w:t>
      </w:r>
    </w:p>
    <w:p w14:paraId="21E07D7A"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 xml:space="preserve">Teenage pregnancy and motherhood was the norm in previous generations, but it has become more common for women to delay childbearing. The reasons for the delay, and for falling </w:t>
      </w:r>
      <w:proofErr w:type="spellStart"/>
      <w:r w:rsidRPr="00C931A4">
        <w:rPr>
          <w:rFonts w:ascii="Arial" w:eastAsia="Times New Roman" w:hAnsi="Arial" w:cs="Arial"/>
          <w:color w:val="000000"/>
          <w:sz w:val="27"/>
          <w:szCs w:val="27"/>
          <w:lang w:eastAsia="en-GB"/>
        </w:rPr>
        <w:t>birthrates</w:t>
      </w:r>
      <w:proofErr w:type="spellEnd"/>
      <w:r w:rsidRPr="00C931A4">
        <w:rPr>
          <w:rFonts w:ascii="Arial" w:eastAsia="Times New Roman" w:hAnsi="Arial" w:cs="Arial"/>
          <w:color w:val="000000"/>
          <w:sz w:val="27"/>
          <w:szCs w:val="27"/>
          <w:lang w:eastAsia="en-GB"/>
        </w:rPr>
        <w:t>, include</w:t>
      </w:r>
    </w:p>
    <w:p w14:paraId="3C3A6FD0" w14:textId="77777777" w:rsidR="00C931A4" w:rsidRPr="00C931A4" w:rsidRDefault="00C931A4" w:rsidP="00C931A4">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 effect of urban society on the cost of having children;</w:t>
      </w:r>
    </w:p>
    <w:p w14:paraId="28E044C6" w14:textId="77777777" w:rsidR="00C931A4" w:rsidRPr="00C931A4" w:rsidRDefault="00C931A4" w:rsidP="00C931A4">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 changing role of women;</w:t>
      </w:r>
    </w:p>
    <w:p w14:paraId="3EBB1AF9" w14:textId="77777777" w:rsidR="00C931A4" w:rsidRPr="00C931A4" w:rsidRDefault="00C931A4" w:rsidP="00C931A4">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 economic effect of female employment, which leads to a loss of income if women leave the labour market to have children;</w:t>
      </w:r>
    </w:p>
    <w:p w14:paraId="2B06A165" w14:textId="77777777" w:rsidR="00C931A4" w:rsidRPr="00C931A4" w:rsidRDefault="00C931A4" w:rsidP="00C931A4">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increasing education and later marriage; and</w:t>
      </w:r>
    </w:p>
    <w:p w14:paraId="386A587D" w14:textId="77777777" w:rsidR="00C931A4" w:rsidRPr="00C931A4" w:rsidRDefault="00C931A4" w:rsidP="00C931A4">
      <w:pPr>
        <w:numPr>
          <w:ilvl w:val="0"/>
          <w:numId w:val="3"/>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 availability of contraception.</w:t>
      </w:r>
    </w:p>
    <w:p w14:paraId="62D1811C"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Teenage motherhood is highest when these factors do not apply to the same degree, and particularly when young women do not have educational and career opportunities. The difference between outcomes for those who have those opportunities and those who do not largely accounts for the apparent association of some social problems with teenage pregnancy.</w:t>
      </w:r>
    </w:p>
    <w:p w14:paraId="1A52F6E0" w14:textId="77777777" w:rsidR="00C931A4" w:rsidRPr="00C931A4" w:rsidRDefault="00C931A4" w:rsidP="00C931A4">
      <w:pPr>
        <w:pBdr>
          <w:bottom w:val="single" w:sz="6" w:space="0" w:color="000000"/>
        </w:pBdr>
        <w:spacing w:before="100" w:beforeAutospacing="1" w:after="100" w:afterAutospacing="1" w:line="240" w:lineRule="auto"/>
        <w:outlineLvl w:val="2"/>
        <w:rPr>
          <w:rFonts w:ascii="Arial" w:eastAsia="Times New Roman" w:hAnsi="Arial" w:cs="Arial"/>
          <w:b/>
          <w:bCs/>
          <w:color w:val="000000"/>
          <w:sz w:val="36"/>
          <w:szCs w:val="36"/>
          <w:lang w:eastAsia="en-GB"/>
        </w:rPr>
      </w:pPr>
      <w:bookmarkStart w:id="4" w:name="Work"/>
      <w:bookmarkEnd w:id="4"/>
      <w:r w:rsidRPr="00C931A4">
        <w:rPr>
          <w:rFonts w:ascii="Arial" w:eastAsia="Times New Roman" w:hAnsi="Arial" w:cs="Arial"/>
          <w:b/>
          <w:bCs/>
          <w:color w:val="000000"/>
          <w:sz w:val="36"/>
          <w:szCs w:val="36"/>
          <w:lang w:eastAsia="en-GB"/>
        </w:rPr>
        <w:t>Work</w:t>
      </w:r>
    </w:p>
    <w:p w14:paraId="7BD5B1D5" w14:textId="77777777" w:rsidR="00C931A4" w:rsidRPr="00C931A4" w:rsidRDefault="00C931A4" w:rsidP="00C931A4">
      <w:pPr>
        <w:spacing w:before="100" w:beforeAutospacing="1" w:after="100" w:afterAutospacing="1" w:line="240" w:lineRule="auto"/>
        <w:outlineLvl w:val="3"/>
        <w:rPr>
          <w:rFonts w:ascii="Arial" w:eastAsia="Times New Roman" w:hAnsi="Arial" w:cs="Arial"/>
          <w:b/>
          <w:bCs/>
          <w:color w:val="000000"/>
          <w:sz w:val="27"/>
          <w:szCs w:val="27"/>
          <w:lang w:eastAsia="en-GB"/>
        </w:rPr>
      </w:pPr>
      <w:bookmarkStart w:id="5" w:name="Inclusion"/>
      <w:bookmarkEnd w:id="5"/>
      <w:r w:rsidRPr="00C931A4">
        <w:rPr>
          <w:rFonts w:ascii="Arial" w:eastAsia="Times New Roman" w:hAnsi="Arial" w:cs="Arial"/>
          <w:b/>
          <w:bCs/>
          <w:color w:val="000000"/>
          <w:sz w:val="27"/>
          <w:szCs w:val="27"/>
          <w:lang w:eastAsia="en-GB"/>
        </w:rPr>
        <w:t>Patterns of work</w:t>
      </w:r>
    </w:p>
    <w:p w14:paraId="50143D00"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 xml:space="preserve">The incorporation of people into the formal labour market has been central both to policies to deal with poverty and exclusion, and to the development </w:t>
      </w:r>
      <w:r w:rsidRPr="00C931A4">
        <w:rPr>
          <w:rFonts w:ascii="Arial" w:eastAsia="Times New Roman" w:hAnsi="Arial" w:cs="Arial"/>
          <w:color w:val="000000"/>
          <w:sz w:val="27"/>
          <w:szCs w:val="27"/>
          <w:lang w:eastAsia="en-GB"/>
        </w:rPr>
        <w:lastRenderedPageBreak/>
        <w:t>of social protection. However, in many circumstances people are only partly integrated into the labour market. Their situation is characterised as</w:t>
      </w:r>
    </w:p>
    <w:p w14:paraId="33751652" w14:textId="77777777" w:rsidR="00C931A4" w:rsidRPr="00C931A4" w:rsidRDefault="00C931A4" w:rsidP="00C931A4">
      <w:pPr>
        <w:numPr>
          <w:ilvl w:val="0"/>
          <w:numId w:val="4"/>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a "dual labour market", distinguishing the social position of secure employees on regular pay from others;</w:t>
      </w:r>
    </w:p>
    <w:p w14:paraId="2DE62227" w14:textId="77777777" w:rsidR="00C931A4" w:rsidRPr="00C931A4" w:rsidRDefault="00C931A4" w:rsidP="00C931A4">
      <w:pPr>
        <w:numPr>
          <w:ilvl w:val="0"/>
          <w:numId w:val="4"/>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"peripheral" workers, whose role in the economy is more marginal, and who are liable to displacement during economic cycles; and</w:t>
      </w:r>
    </w:p>
    <w:p w14:paraId="70B90E41" w14:textId="77777777" w:rsidR="00C931A4" w:rsidRPr="00C931A4" w:rsidRDefault="00C931A4" w:rsidP="00C931A4">
      <w:pPr>
        <w:numPr>
          <w:ilvl w:val="0"/>
          <w:numId w:val="4"/>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"precariousness", the role of marginal workers who move between casual and part-time work and joblessness.</w:t>
      </w:r>
    </w:p>
    <w:p w14:paraId="0664B686"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Economic marginality has implications for social inclusion. Unstable economic conditions lead to social instability - marginal employment is associated with family breakdown - while also reducing the level of social protection available.</w:t>
      </w:r>
    </w:p>
    <w:p w14:paraId="7BC36DB8" w14:textId="77777777" w:rsidR="00C931A4" w:rsidRPr="00C931A4" w:rsidRDefault="00C931A4" w:rsidP="00C931A4">
      <w:pPr>
        <w:spacing w:before="100" w:beforeAutospacing="1" w:after="100" w:afterAutospacing="1" w:line="240" w:lineRule="auto"/>
        <w:outlineLvl w:val="3"/>
        <w:rPr>
          <w:rFonts w:ascii="Arial" w:eastAsia="Times New Roman" w:hAnsi="Arial" w:cs="Arial"/>
          <w:b/>
          <w:bCs/>
          <w:color w:val="000000"/>
          <w:sz w:val="27"/>
          <w:szCs w:val="27"/>
          <w:lang w:eastAsia="en-GB"/>
        </w:rPr>
      </w:pPr>
      <w:bookmarkStart w:id="6" w:name="Labour"/>
      <w:bookmarkEnd w:id="6"/>
      <w:r w:rsidRPr="00C931A4">
        <w:rPr>
          <w:rFonts w:ascii="Arial" w:eastAsia="Times New Roman" w:hAnsi="Arial" w:cs="Arial"/>
          <w:b/>
          <w:bCs/>
          <w:color w:val="000000"/>
          <w:sz w:val="27"/>
          <w:szCs w:val="27"/>
          <w:lang w:eastAsia="en-GB"/>
        </w:rPr>
        <w:t>The role of the labour movement</w:t>
      </w:r>
    </w:p>
    <w:p w14:paraId="13552767"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Many welfare systems have their origins in collective and mutualist actions by trades unions, professional or occupational groups, rather than the state. Trades unions developed, for example, unemployment benefits in Denmark, social housing in Norway, or the health service in Israel. In </w:t>
      </w:r>
      <w:hyperlink r:id="rId10" w:anchor="France" w:history="1">
        <w:r w:rsidRPr="00C931A4">
          <w:rPr>
            <w:rFonts w:ascii="Arial" w:eastAsia="Times New Roman" w:hAnsi="Arial" w:cs="Arial"/>
            <w:color w:val="800080"/>
            <w:sz w:val="27"/>
            <w:szCs w:val="27"/>
            <w:u w:val="single"/>
            <w:lang w:eastAsia="en-GB"/>
          </w:rPr>
          <w:t>France</w:t>
        </w:r>
      </w:hyperlink>
      <w:r w:rsidRPr="00C931A4">
        <w:rPr>
          <w:rFonts w:ascii="Arial" w:eastAsia="Times New Roman" w:hAnsi="Arial" w:cs="Arial"/>
          <w:color w:val="000000"/>
          <w:sz w:val="27"/>
          <w:szCs w:val="27"/>
          <w:lang w:eastAsia="en-GB"/>
        </w:rPr>
        <w:t>, social protection for unemployment is administered by a "convention" of employers and trades unions.</w:t>
      </w:r>
    </w:p>
    <w:p w14:paraId="44D56220"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It is also true that welfare developed historically at a time of social conflict, and labour organisations have had an important role in the development of policy, including </w:t>
      </w:r>
      <w:hyperlink r:id="rId11" w:anchor="Germany" w:history="1">
        <w:r w:rsidRPr="00C931A4">
          <w:rPr>
            <w:rFonts w:ascii="Arial" w:eastAsia="Times New Roman" w:hAnsi="Arial" w:cs="Arial"/>
            <w:color w:val="800080"/>
            <w:sz w:val="27"/>
            <w:szCs w:val="27"/>
            <w:u w:val="single"/>
            <w:lang w:eastAsia="en-GB"/>
          </w:rPr>
          <w:t>Bismarck</w:t>
        </w:r>
      </w:hyperlink>
      <w:r w:rsidRPr="00C931A4">
        <w:rPr>
          <w:rFonts w:ascii="Arial" w:eastAsia="Times New Roman" w:hAnsi="Arial" w:cs="Arial"/>
          <w:color w:val="000000"/>
          <w:sz w:val="27"/>
          <w:szCs w:val="27"/>
          <w:lang w:eastAsia="en-GB"/>
        </w:rPr>
        <w:t>'s establishment of social insurance and the foundations of the </w:t>
      </w:r>
      <w:hyperlink r:id="rId12" w:history="1">
        <w:r w:rsidRPr="00C931A4">
          <w:rPr>
            <w:rFonts w:ascii="Arial" w:eastAsia="Times New Roman" w:hAnsi="Arial" w:cs="Arial"/>
            <w:color w:val="800080"/>
            <w:sz w:val="27"/>
            <w:szCs w:val="27"/>
            <w:u w:val="single"/>
            <w:lang w:eastAsia="en-GB"/>
          </w:rPr>
          <w:t>British social services</w:t>
        </w:r>
      </w:hyperlink>
      <w:r w:rsidRPr="00C931A4">
        <w:rPr>
          <w:rFonts w:ascii="Arial" w:eastAsia="Times New Roman" w:hAnsi="Arial" w:cs="Arial"/>
          <w:color w:val="000000"/>
          <w:sz w:val="27"/>
          <w:szCs w:val="27"/>
          <w:lang w:eastAsia="en-GB"/>
        </w:rPr>
        <w:t>. </w:t>
      </w:r>
      <w:hyperlink r:id="rId13" w:anchor="Marxism" w:history="1">
        <w:r w:rsidRPr="00C931A4">
          <w:rPr>
            <w:rFonts w:ascii="Arial" w:eastAsia="Times New Roman" w:hAnsi="Arial" w:cs="Arial"/>
            <w:color w:val="800080"/>
            <w:sz w:val="27"/>
            <w:szCs w:val="27"/>
            <w:u w:val="single"/>
            <w:lang w:eastAsia="en-GB"/>
          </w:rPr>
          <w:t>Marxists</w:t>
        </w:r>
      </w:hyperlink>
      <w:r w:rsidRPr="00C931A4">
        <w:rPr>
          <w:rFonts w:ascii="Arial" w:eastAsia="Times New Roman" w:hAnsi="Arial" w:cs="Arial"/>
          <w:color w:val="000000"/>
          <w:sz w:val="27"/>
          <w:szCs w:val="27"/>
          <w:lang w:eastAsia="en-GB"/>
        </w:rPr>
        <w:t> have traditionally seen the welfare state as the outcome of struggles by the labour movement. This is only true in part: several measures - like insurance-based pensions in the UK - have developed despite the resistance of organised labour, and others, like the extension of rights to the poorest, have been marked by conflicts between groups.</w:t>
      </w:r>
    </w:p>
    <w:p w14:paraId="492238F2" w14:textId="77777777" w:rsidR="00C931A4" w:rsidRPr="00C931A4" w:rsidRDefault="00C931A4" w:rsidP="00C931A4">
      <w:pPr>
        <w:pBdr>
          <w:bottom w:val="single" w:sz="6" w:space="0" w:color="000000"/>
        </w:pBdr>
        <w:spacing w:before="100" w:beforeAutospacing="1" w:after="100" w:afterAutospacing="1" w:line="240" w:lineRule="auto"/>
        <w:outlineLvl w:val="2"/>
        <w:rPr>
          <w:rFonts w:ascii="Arial" w:eastAsia="Times New Roman" w:hAnsi="Arial" w:cs="Arial"/>
          <w:b/>
          <w:bCs/>
          <w:color w:val="000000"/>
          <w:sz w:val="36"/>
          <w:szCs w:val="36"/>
          <w:lang w:eastAsia="en-GB"/>
        </w:rPr>
      </w:pPr>
      <w:bookmarkStart w:id="7" w:name="Nation"/>
      <w:bookmarkEnd w:id="7"/>
      <w:r w:rsidRPr="00C931A4">
        <w:rPr>
          <w:rFonts w:ascii="Arial" w:eastAsia="Times New Roman" w:hAnsi="Arial" w:cs="Arial"/>
          <w:b/>
          <w:bCs/>
          <w:color w:val="000000"/>
          <w:sz w:val="36"/>
          <w:szCs w:val="36"/>
          <w:lang w:eastAsia="en-GB"/>
        </w:rPr>
        <w:t>Nation</w:t>
      </w:r>
      <w:bookmarkStart w:id="8" w:name="_GoBack"/>
      <w:bookmarkEnd w:id="8"/>
    </w:p>
    <w:p w14:paraId="40EF7527" w14:textId="77777777" w:rsidR="00C931A4" w:rsidRPr="00C931A4" w:rsidRDefault="00C931A4" w:rsidP="00C931A4">
      <w:pPr>
        <w:spacing w:before="100" w:beforeAutospacing="1" w:after="100" w:afterAutospacing="1" w:line="240" w:lineRule="auto"/>
        <w:outlineLvl w:val="3"/>
        <w:rPr>
          <w:rFonts w:ascii="Arial" w:eastAsia="Times New Roman" w:hAnsi="Arial" w:cs="Arial"/>
          <w:b/>
          <w:bCs/>
          <w:color w:val="000000"/>
          <w:sz w:val="27"/>
          <w:szCs w:val="27"/>
          <w:lang w:eastAsia="en-GB"/>
        </w:rPr>
      </w:pPr>
      <w:r w:rsidRPr="00C931A4">
        <w:rPr>
          <w:rFonts w:ascii="Arial" w:eastAsia="Times New Roman" w:hAnsi="Arial" w:cs="Arial"/>
          <w:b/>
          <w:bCs/>
          <w:color w:val="000000"/>
          <w:sz w:val="27"/>
          <w:szCs w:val="27"/>
          <w:lang w:eastAsia="en-GB"/>
        </w:rPr>
        <w:t>Nations and welfare</w:t>
      </w:r>
    </w:p>
    <w:p w14:paraId="3D6E3FD2"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Nations are seen at times as groups linked by a shared history or culture; as a collective group of people in a specific geographical location, with a common identity; or as political communities. Historically, social welfare became important shortly after the rise of "nation states", and in some views the ideas are closely associated. David Miller, for example, argues that the nation is the principal community on which welfare provision depends. [2]</w:t>
      </w:r>
    </w:p>
    <w:p w14:paraId="49932F49"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lastRenderedPageBreak/>
        <w:t xml:space="preserve">National identity is as often used, however, to exclude people from welfare as to promote inclusion, and the influence of nationalism on welfare has tended to be negative. </w:t>
      </w:r>
      <w:proofErr w:type="spellStart"/>
      <w:r w:rsidRPr="00C931A4">
        <w:rPr>
          <w:rFonts w:ascii="Arial" w:eastAsia="Times New Roman" w:hAnsi="Arial" w:cs="Arial"/>
          <w:color w:val="000000"/>
          <w:sz w:val="27"/>
          <w:szCs w:val="27"/>
          <w:lang w:eastAsia="en-GB"/>
        </w:rPr>
        <w:t>Titmuss</w:t>
      </w:r>
      <w:proofErr w:type="spellEnd"/>
      <w:r w:rsidRPr="00C931A4">
        <w:rPr>
          <w:rFonts w:ascii="Arial" w:eastAsia="Times New Roman" w:hAnsi="Arial" w:cs="Arial"/>
          <w:color w:val="000000"/>
          <w:sz w:val="27"/>
          <w:szCs w:val="27"/>
          <w:lang w:eastAsia="en-GB"/>
        </w:rPr>
        <w:t xml:space="preserve"> criticised the idea of the "welfare state" because it seemed to limit the scope of welfare to a particular locality. [3] Universalists have promoted an inclusive concept of welfare; in principle, this concept is inclusive, but in practice it tends to be confined to citizens, or members of the political community.</w:t>
      </w:r>
    </w:p>
    <w:p w14:paraId="2E89CEC0" w14:textId="77777777" w:rsidR="00C931A4" w:rsidRPr="00C931A4" w:rsidRDefault="00C931A4" w:rsidP="00C931A4">
      <w:pPr>
        <w:spacing w:before="100" w:beforeAutospacing="1" w:after="100" w:afterAutospacing="1" w:line="240" w:lineRule="auto"/>
        <w:outlineLvl w:val="3"/>
        <w:rPr>
          <w:rFonts w:ascii="Arial" w:eastAsia="Times New Roman" w:hAnsi="Arial" w:cs="Arial"/>
          <w:b/>
          <w:bCs/>
          <w:color w:val="000000"/>
          <w:sz w:val="27"/>
          <w:szCs w:val="27"/>
          <w:lang w:eastAsia="en-GB"/>
        </w:rPr>
      </w:pPr>
      <w:bookmarkStart w:id="9" w:name="Immigration"/>
      <w:bookmarkEnd w:id="9"/>
      <w:r w:rsidRPr="00C931A4">
        <w:rPr>
          <w:rFonts w:ascii="Arial" w:eastAsia="Times New Roman" w:hAnsi="Arial" w:cs="Arial"/>
          <w:b/>
          <w:bCs/>
          <w:color w:val="000000"/>
          <w:sz w:val="27"/>
          <w:szCs w:val="27"/>
          <w:lang w:eastAsia="en-GB"/>
        </w:rPr>
        <w:t>Immigration and nationality</w:t>
      </w:r>
    </w:p>
    <w:p w14:paraId="77CD5D4F"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Immigrants, by definition, come from outside a community; wherever social protection depends on contribution to collective welfare, immigrants are liable to be excluded. Residual income support may be available, but it is unusual for non-contributory benefits, such as benefits for disabled people, to be available directly to immigrants; many countries have some kind of minimum residential qualification.</w:t>
      </w:r>
    </w:p>
    <w:p w14:paraId="1C819D6E"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Much immigration consists of movements of people from poorer countries to richer ones: immigrants tend to come with relatively limited resources. Few countries offer immigrants a full range of social protection or benefits, and in the short term this is likely to lead to disadvantage. At the same time, migrants tend to be younger and more mobile than host populations. In the longer term, much depends on the economic niche occupied by immigrant groups, and their relative status and resources. Immigrant careers are highly differentiated.</w:t>
      </w:r>
    </w:p>
    <w:p w14:paraId="33815702"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Issues of immigration overlap with</w:t>
      </w:r>
      <w:hyperlink r:id="rId14" w:anchor="Race" w:history="1">
        <w:r w:rsidRPr="00C931A4">
          <w:rPr>
            <w:rFonts w:ascii="Arial" w:eastAsia="Times New Roman" w:hAnsi="Arial" w:cs="Arial"/>
            <w:color w:val="800080"/>
            <w:sz w:val="27"/>
            <w:szCs w:val="27"/>
            <w:u w:val="single"/>
            <w:lang w:eastAsia="en-GB"/>
          </w:rPr>
          <w:t> racism</w:t>
        </w:r>
      </w:hyperlink>
      <w:r w:rsidRPr="00C931A4">
        <w:rPr>
          <w:rFonts w:ascii="Arial" w:eastAsia="Times New Roman" w:hAnsi="Arial" w:cs="Arial"/>
          <w:color w:val="000000"/>
          <w:sz w:val="27"/>
          <w:szCs w:val="27"/>
          <w:lang w:eastAsia="en-GB"/>
        </w:rPr>
        <w:t>. However, there are racial minorities who are not immigrants and widely persecuted (like the Roma in central and Eastern Europe), and some immigrant groups are not disadvantaged.</w:t>
      </w:r>
    </w:p>
    <w:p w14:paraId="38BD5034" w14:textId="77777777" w:rsidR="00C931A4" w:rsidRPr="00C931A4" w:rsidRDefault="00C931A4" w:rsidP="00C931A4">
      <w:pPr>
        <w:pBdr>
          <w:bottom w:val="single" w:sz="6" w:space="0" w:color="000000"/>
        </w:pBdr>
        <w:spacing w:before="100" w:beforeAutospacing="1" w:after="100" w:afterAutospacing="1" w:line="240" w:lineRule="auto"/>
        <w:outlineLvl w:val="1"/>
        <w:rPr>
          <w:rFonts w:ascii="Arial" w:eastAsia="Times New Roman" w:hAnsi="Arial" w:cs="Arial"/>
          <w:b/>
          <w:bCs/>
          <w:color w:val="000000"/>
          <w:sz w:val="48"/>
          <w:szCs w:val="48"/>
          <w:lang w:eastAsia="en-GB"/>
        </w:rPr>
      </w:pPr>
      <w:bookmarkStart w:id="10" w:name="Social-problems"/>
      <w:bookmarkEnd w:id="10"/>
      <w:r w:rsidRPr="00C931A4">
        <w:rPr>
          <w:rFonts w:ascii="Arial" w:eastAsia="Times New Roman" w:hAnsi="Arial" w:cs="Arial"/>
          <w:b/>
          <w:bCs/>
          <w:color w:val="000000"/>
          <w:sz w:val="48"/>
          <w:szCs w:val="48"/>
          <w:lang w:eastAsia="en-GB"/>
        </w:rPr>
        <w:t>Social problems</w:t>
      </w:r>
    </w:p>
    <w:p w14:paraId="51BAA884"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 xml:space="preserve">Social policies can be seen as collective responses to social problems. A problem is social when it is socially recognised: important issues like grief and emotional distress are not necessarily 'social', and there may be no social policies to deal with them. Conversely, other, seemingly minor, concerns and complaints can be elevated to the status of social </w:t>
      </w:r>
      <w:proofErr w:type="gramStart"/>
      <w:r w:rsidRPr="00C931A4">
        <w:rPr>
          <w:rFonts w:ascii="Arial" w:eastAsia="Times New Roman" w:hAnsi="Arial" w:cs="Arial"/>
          <w:color w:val="000000"/>
          <w:sz w:val="27"/>
          <w:szCs w:val="27"/>
          <w:lang w:eastAsia="en-GB"/>
        </w:rPr>
        <w:t>problems, and</w:t>
      </w:r>
      <w:proofErr w:type="gramEnd"/>
      <w:r w:rsidRPr="00C931A4">
        <w:rPr>
          <w:rFonts w:ascii="Arial" w:eastAsia="Times New Roman" w:hAnsi="Arial" w:cs="Arial"/>
          <w:color w:val="000000"/>
          <w:sz w:val="27"/>
          <w:szCs w:val="27"/>
          <w:lang w:eastAsia="en-GB"/>
        </w:rPr>
        <w:t xml:space="preserve"> acted on - dealing with 'NIMBY' protests ('not in my back yard') bedevils community care provision.</w:t>
      </w:r>
    </w:p>
    <w:p w14:paraId="00DFB0B1"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 xml:space="preserve">Problems are 'socially constructed'. People's values, beliefs and opinions are conditioned by the society they live in, and people come to share many basic perceptions. This can shape the way people think about issues, and </w:t>
      </w:r>
      <w:r w:rsidRPr="00C931A4">
        <w:rPr>
          <w:rFonts w:ascii="Arial" w:eastAsia="Times New Roman" w:hAnsi="Arial" w:cs="Arial"/>
          <w:color w:val="000000"/>
          <w:sz w:val="27"/>
          <w:szCs w:val="27"/>
          <w:lang w:eastAsia="en-GB"/>
        </w:rPr>
        <w:lastRenderedPageBreak/>
        <w:t>close off some options: so, child abuse is usually constructed as the result of parental abnormality, and not as the obvious outcome of rules which allow children to be beaten physically.</w:t>
      </w:r>
    </w:p>
    <w:p w14:paraId="6C8ECA33" w14:textId="77777777" w:rsidR="00C931A4" w:rsidRPr="00C931A4" w:rsidRDefault="00C931A4" w:rsidP="00C931A4">
      <w:pPr>
        <w:pBdr>
          <w:bottom w:val="single" w:sz="6" w:space="0" w:color="000000"/>
        </w:pBdr>
        <w:spacing w:before="100" w:beforeAutospacing="1" w:after="100" w:afterAutospacing="1" w:line="240" w:lineRule="auto"/>
        <w:outlineLvl w:val="2"/>
        <w:rPr>
          <w:rFonts w:ascii="Arial" w:eastAsia="Times New Roman" w:hAnsi="Arial" w:cs="Arial"/>
          <w:b/>
          <w:bCs/>
          <w:color w:val="000000"/>
          <w:sz w:val="36"/>
          <w:szCs w:val="36"/>
          <w:lang w:eastAsia="en-GB"/>
        </w:rPr>
      </w:pPr>
      <w:bookmarkStart w:id="11" w:name="Deviance"/>
      <w:bookmarkEnd w:id="11"/>
      <w:r w:rsidRPr="00C931A4">
        <w:rPr>
          <w:rFonts w:ascii="Arial" w:eastAsia="Times New Roman" w:hAnsi="Arial" w:cs="Arial"/>
          <w:b/>
          <w:bCs/>
          <w:color w:val="000000"/>
          <w:sz w:val="36"/>
          <w:szCs w:val="36"/>
          <w:lang w:eastAsia="en-GB"/>
        </w:rPr>
        <w:t>Deviance</w:t>
      </w:r>
    </w:p>
    <w:p w14:paraId="3CF002B9"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Deviance refers to a breach of social rules, or 'norms'. Normal behaviour is behaviour within these rules. There are many possible explanations for deviance. The main schools of thought include</w:t>
      </w:r>
    </w:p>
    <w:p w14:paraId="5EA53C8F" w14:textId="77777777" w:rsidR="00C931A4" w:rsidRPr="00C931A4" w:rsidRDefault="00C931A4" w:rsidP="00C931A4">
      <w:pPr>
        <w:numPr>
          <w:ilvl w:val="0"/>
          <w:numId w:val="5"/>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i/>
          <w:iCs/>
          <w:color w:val="000000"/>
          <w:sz w:val="27"/>
          <w:szCs w:val="27"/>
          <w:lang w:eastAsia="en-GB"/>
        </w:rPr>
        <w:t>genetic views. </w:t>
      </w:r>
      <w:r w:rsidRPr="00C931A4">
        <w:rPr>
          <w:rFonts w:ascii="Arial" w:eastAsia="Times New Roman" w:hAnsi="Arial" w:cs="Arial"/>
          <w:color w:val="000000"/>
          <w:sz w:val="27"/>
          <w:szCs w:val="27"/>
          <w:lang w:eastAsia="en-GB"/>
        </w:rPr>
        <w:t>This is based on the idea that some social traits are inborn. The gene pool changes very little over time; this would imply a relatively static proportion of problems, and continuity between generations. Neither is consistent with the evidence.</w:t>
      </w:r>
    </w:p>
    <w:p w14:paraId="0411337D" w14:textId="77777777" w:rsidR="00C931A4" w:rsidRPr="00C931A4" w:rsidRDefault="00C931A4" w:rsidP="00C931A4">
      <w:pPr>
        <w:numPr>
          <w:ilvl w:val="0"/>
          <w:numId w:val="5"/>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i/>
          <w:iCs/>
          <w:color w:val="000000"/>
          <w:sz w:val="27"/>
          <w:szCs w:val="27"/>
          <w:lang w:eastAsia="en-GB"/>
        </w:rPr>
        <w:t>sub-cultural views. </w:t>
      </w:r>
      <w:r w:rsidRPr="00C931A4">
        <w:rPr>
          <w:rFonts w:ascii="Arial" w:eastAsia="Times New Roman" w:hAnsi="Arial" w:cs="Arial"/>
          <w:color w:val="000000"/>
          <w:sz w:val="27"/>
          <w:szCs w:val="27"/>
          <w:lang w:eastAsia="en-GB"/>
        </w:rPr>
        <w:t>There is an argument that people become deviant because they are part of deviant sub-cultures. They have different values, beliefs and patterns of behaviour, formed in adapting to different social circumstances.</w:t>
      </w:r>
    </w:p>
    <w:p w14:paraId="22F0E75A" w14:textId="77777777" w:rsidR="00C931A4" w:rsidRPr="00C931A4" w:rsidRDefault="00C931A4" w:rsidP="00C931A4">
      <w:pPr>
        <w:numPr>
          <w:ilvl w:val="0"/>
          <w:numId w:val="5"/>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i/>
          <w:iCs/>
          <w:color w:val="000000"/>
          <w:sz w:val="27"/>
          <w:szCs w:val="27"/>
          <w:lang w:eastAsia="en-GB"/>
        </w:rPr>
        <w:t>functional explanations</w:t>
      </w:r>
      <w:r w:rsidRPr="00C931A4">
        <w:rPr>
          <w:rFonts w:ascii="Arial" w:eastAsia="Times New Roman" w:hAnsi="Arial" w:cs="Arial"/>
          <w:color w:val="000000"/>
          <w:sz w:val="27"/>
          <w:szCs w:val="27"/>
          <w:lang w:eastAsia="en-GB"/>
        </w:rPr>
        <w:t>. Societies have to define what is acceptable and what is not. Lévi-Strauss argues for example that the ban on incest is functionally necessary, and that is why it is so common. [4]</w:t>
      </w:r>
    </w:p>
    <w:p w14:paraId="0EE8303B" w14:textId="77777777" w:rsidR="00C931A4" w:rsidRPr="00C931A4" w:rsidRDefault="00C931A4" w:rsidP="00C931A4">
      <w:pPr>
        <w:numPr>
          <w:ilvl w:val="0"/>
          <w:numId w:val="5"/>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i/>
          <w:iCs/>
          <w:color w:val="000000"/>
          <w:sz w:val="27"/>
          <w:szCs w:val="27"/>
          <w:lang w:eastAsia="en-GB"/>
        </w:rPr>
        <w:t>interactionist views.</w:t>
      </w:r>
      <w:r w:rsidRPr="00C931A4">
        <w:rPr>
          <w:rFonts w:ascii="Arial" w:eastAsia="Times New Roman" w:hAnsi="Arial" w:cs="Arial"/>
          <w:color w:val="000000"/>
          <w:sz w:val="27"/>
          <w:szCs w:val="27"/>
          <w:lang w:eastAsia="en-GB"/>
        </w:rPr>
        <w:t> Some sociologists have argued that deviance is the result of social definitions. Lemert distinguishes primary deviance (the deviant act) from secondary deviance (the identification of the person as deviant). [5] 'Labelling theory' goes further, attributing deviance to the creation of rules by society.</w:t>
      </w:r>
    </w:p>
    <w:p w14:paraId="7C8EF450" w14:textId="77777777" w:rsidR="00C931A4" w:rsidRPr="00C931A4" w:rsidRDefault="00C931A4" w:rsidP="00C931A4">
      <w:pPr>
        <w:numPr>
          <w:ilvl w:val="0"/>
          <w:numId w:val="5"/>
        </w:num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i/>
          <w:iCs/>
          <w:color w:val="000000"/>
          <w:sz w:val="27"/>
          <w:szCs w:val="27"/>
          <w:lang w:eastAsia="en-GB"/>
        </w:rPr>
        <w:t>structural views.</w:t>
      </w:r>
      <w:r w:rsidRPr="00C931A4">
        <w:rPr>
          <w:rFonts w:ascii="Arial" w:eastAsia="Times New Roman" w:hAnsi="Arial" w:cs="Arial"/>
          <w:color w:val="000000"/>
          <w:sz w:val="27"/>
          <w:szCs w:val="27"/>
          <w:lang w:eastAsia="en-GB"/>
        </w:rPr>
        <w:t> This attributes deviance to the social structure, including family, community and economy. For example, increasing crime has been linked with unemployment (though falls in unemployment have not been matched by falls in crime rates).</w:t>
      </w:r>
    </w:p>
    <w:p w14:paraId="133F99B3" w14:textId="77777777" w:rsidR="00C931A4" w:rsidRPr="00C931A4" w:rsidRDefault="00C931A4" w:rsidP="00C931A4">
      <w:pPr>
        <w:spacing w:before="100" w:beforeAutospacing="1" w:after="100" w:afterAutospacing="1" w:line="240" w:lineRule="auto"/>
        <w:rPr>
          <w:rFonts w:ascii="Arial" w:eastAsia="Times New Roman" w:hAnsi="Arial" w:cs="Arial"/>
          <w:color w:val="000000"/>
          <w:sz w:val="27"/>
          <w:szCs w:val="27"/>
          <w:lang w:eastAsia="en-GB"/>
        </w:rPr>
      </w:pPr>
      <w:r w:rsidRPr="00C931A4">
        <w:rPr>
          <w:rFonts w:ascii="Arial" w:eastAsia="Times New Roman" w:hAnsi="Arial" w:cs="Arial"/>
          <w:color w:val="000000"/>
          <w:sz w:val="27"/>
          <w:szCs w:val="27"/>
          <w:lang w:eastAsia="en-GB"/>
        </w:rPr>
        <w:t>The literature on deviance includes material not just on crime, but on many other issues which are seen as 'problematic', such as disability, sexuality and illegitimate births.</w:t>
      </w:r>
    </w:p>
    <w:p w14:paraId="27DD47ED" w14:textId="77777777" w:rsidR="00C931A4" w:rsidRDefault="00C931A4"/>
    <w:sectPr w:rsidR="00C931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C27A3"/>
    <w:multiLevelType w:val="multilevel"/>
    <w:tmpl w:val="826A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094C47"/>
    <w:multiLevelType w:val="multilevel"/>
    <w:tmpl w:val="2552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A01872"/>
    <w:multiLevelType w:val="hybridMultilevel"/>
    <w:tmpl w:val="5A249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4A4CEF"/>
    <w:multiLevelType w:val="multilevel"/>
    <w:tmpl w:val="3E16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101112"/>
    <w:multiLevelType w:val="multilevel"/>
    <w:tmpl w:val="3EDC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2F1EA3"/>
    <w:multiLevelType w:val="multilevel"/>
    <w:tmpl w:val="238E4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1A4"/>
    <w:rsid w:val="00574197"/>
    <w:rsid w:val="00C93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A6CDD"/>
  <w15:chartTrackingRefBased/>
  <w15:docId w15:val="{6D9830BD-00BE-446D-8EA0-33E7473F1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931A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931A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C931A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31A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931A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C931A4"/>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C931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931A4"/>
    <w:rPr>
      <w:i/>
      <w:iCs/>
    </w:rPr>
  </w:style>
  <w:style w:type="character" w:styleId="Hyperlink">
    <w:name w:val="Hyperlink"/>
    <w:basedOn w:val="DefaultParagraphFont"/>
    <w:uiPriority w:val="99"/>
    <w:semiHidden/>
    <w:unhideWhenUsed/>
    <w:rsid w:val="00C931A4"/>
    <w:rPr>
      <w:color w:val="0000FF"/>
      <w:u w:val="single"/>
    </w:rPr>
  </w:style>
  <w:style w:type="paragraph" w:customStyle="1" w:styleId="link">
    <w:name w:val="link"/>
    <w:basedOn w:val="Normal"/>
    <w:rsid w:val="00C931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93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119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cker.uk/social-policy/society.htm" TargetMode="External"/><Relationship Id="rId13" Type="http://schemas.openxmlformats.org/officeDocument/2006/relationships/hyperlink" Target="http://spicker.uk/social-policy/politics.htm" TargetMode="External"/><Relationship Id="rId3" Type="http://schemas.openxmlformats.org/officeDocument/2006/relationships/settings" Target="settings.xml"/><Relationship Id="rId7" Type="http://schemas.openxmlformats.org/officeDocument/2006/relationships/hyperlink" Target="http://spicker.uk/social-policy/society.htm" TargetMode="External"/><Relationship Id="rId12" Type="http://schemas.openxmlformats.org/officeDocument/2006/relationships/hyperlink" Target="http://spicker.uk/social-policy/uk.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picker.uk/social-policy/society.htm" TargetMode="External"/><Relationship Id="rId11" Type="http://schemas.openxmlformats.org/officeDocument/2006/relationships/hyperlink" Target="http://spicker.uk/social-policy/wstate.htm" TargetMode="External"/><Relationship Id="rId5" Type="http://schemas.openxmlformats.org/officeDocument/2006/relationships/hyperlink" Target="http://spicker.uk/social-policy/society.htm" TargetMode="External"/><Relationship Id="rId15" Type="http://schemas.openxmlformats.org/officeDocument/2006/relationships/fontTable" Target="fontTable.xml"/><Relationship Id="rId10" Type="http://schemas.openxmlformats.org/officeDocument/2006/relationships/hyperlink" Target="http://spicker.uk/social-policy/wstate.htm" TargetMode="External"/><Relationship Id="rId4" Type="http://schemas.openxmlformats.org/officeDocument/2006/relationships/webSettings" Target="webSettings.xml"/><Relationship Id="rId9" Type="http://schemas.openxmlformats.org/officeDocument/2006/relationships/hyperlink" Target="http://spicker.uk/social-policy/politics.htm" TargetMode="External"/><Relationship Id="rId14" Type="http://schemas.openxmlformats.org/officeDocument/2006/relationships/hyperlink" Target="http://spicker.uk/social-policy/equalit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1831</Words>
  <Characters>10440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Pitman (1503004)</dc:creator>
  <cp:keywords/>
  <dc:description/>
  <cp:lastModifiedBy>Jessica Pitman (1503004)</cp:lastModifiedBy>
  <cp:revision>2</cp:revision>
  <dcterms:created xsi:type="dcterms:W3CDTF">2018-11-08T22:20:00Z</dcterms:created>
  <dcterms:modified xsi:type="dcterms:W3CDTF">2018-11-08T22:36:00Z</dcterms:modified>
</cp:coreProperties>
</file>