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47E4E" w14:textId="77777777" w:rsidR="00D96584" w:rsidRPr="00CF763F" w:rsidRDefault="00D96584">
      <w:pPr>
        <w:jc w:val="center"/>
        <w:rPr>
          <w:u w:val="single"/>
        </w:rPr>
      </w:pPr>
    </w:p>
    <w:p w14:paraId="07DE5845" w14:textId="77777777" w:rsidR="00D96584" w:rsidRDefault="00000000">
      <w:pPr>
        <w:jc w:val="center"/>
      </w:pPr>
      <w:r>
        <w:rPr>
          <w:noProof/>
        </w:rPr>
        <w:drawing>
          <wp:inline distT="114300" distB="114300" distL="114300" distR="114300" wp14:anchorId="021DA231" wp14:editId="45E3D2A6">
            <wp:extent cx="2638425"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38425" cy="1066800"/>
                    </a:xfrm>
                    <a:prstGeom prst="rect">
                      <a:avLst/>
                    </a:prstGeom>
                    <a:ln/>
                  </pic:spPr>
                </pic:pic>
              </a:graphicData>
            </a:graphic>
          </wp:inline>
        </w:drawing>
      </w:r>
    </w:p>
    <w:p w14:paraId="77ED120D" w14:textId="77777777" w:rsidR="00D96584" w:rsidRDefault="00D96584">
      <w:pPr>
        <w:jc w:val="center"/>
      </w:pPr>
    </w:p>
    <w:p w14:paraId="5CDA6565" w14:textId="77777777" w:rsidR="00D96584" w:rsidRDefault="00D96584">
      <w:pPr>
        <w:jc w:val="center"/>
      </w:pPr>
    </w:p>
    <w:p w14:paraId="4170CA74" w14:textId="77777777" w:rsidR="00D96584" w:rsidRDefault="00D96584">
      <w:pPr>
        <w:jc w:val="center"/>
      </w:pPr>
    </w:p>
    <w:p w14:paraId="1F139A29" w14:textId="77777777" w:rsidR="00D96584" w:rsidRDefault="00D96584">
      <w:pPr>
        <w:jc w:val="center"/>
      </w:pPr>
    </w:p>
    <w:p w14:paraId="4E0DDE73" w14:textId="77777777" w:rsidR="00D96584" w:rsidRDefault="00D96584">
      <w:pPr>
        <w:jc w:val="center"/>
      </w:pPr>
    </w:p>
    <w:p w14:paraId="051BCD87" w14:textId="77777777" w:rsidR="00D96584" w:rsidRDefault="00000000">
      <w:pPr>
        <w:jc w:val="center"/>
        <w:rPr>
          <w:b/>
          <w:bCs/>
          <w:sz w:val="38"/>
          <w:szCs w:val="38"/>
        </w:rPr>
      </w:pPr>
      <w:r>
        <w:rPr>
          <w:b/>
          <w:bCs/>
          <w:sz w:val="38"/>
          <w:szCs w:val="38"/>
        </w:rPr>
        <w:t>COMPONENT 2</w:t>
      </w:r>
    </w:p>
    <w:p w14:paraId="16A86F2A" w14:textId="77777777" w:rsidR="00D96584" w:rsidRDefault="00000000">
      <w:pPr>
        <w:jc w:val="center"/>
        <w:rPr>
          <w:b/>
          <w:bCs/>
          <w:sz w:val="38"/>
          <w:szCs w:val="38"/>
        </w:rPr>
      </w:pPr>
      <w:r>
        <w:rPr>
          <w:b/>
          <w:bCs/>
          <w:sz w:val="38"/>
          <w:szCs w:val="38"/>
        </w:rPr>
        <w:t>COURSEWORK: INDIVIDUAL</w:t>
      </w:r>
    </w:p>
    <w:p w14:paraId="56BD5DCC" w14:textId="77777777" w:rsidR="00D96584" w:rsidRDefault="00000000">
      <w:pPr>
        <w:jc w:val="center"/>
        <w:rPr>
          <w:b/>
          <w:bCs/>
          <w:sz w:val="38"/>
          <w:szCs w:val="38"/>
        </w:rPr>
      </w:pPr>
      <w:r>
        <w:rPr>
          <w:b/>
          <w:bCs/>
          <w:sz w:val="38"/>
          <w:szCs w:val="38"/>
        </w:rPr>
        <w:t>REPORT</w:t>
      </w:r>
    </w:p>
    <w:p w14:paraId="4A66F7F0" w14:textId="5CA9AB9C" w:rsidR="000D0707" w:rsidRDefault="000D0707">
      <w:pPr>
        <w:jc w:val="center"/>
        <w:rPr>
          <w:b/>
          <w:bCs/>
          <w:sz w:val="38"/>
          <w:szCs w:val="38"/>
        </w:rPr>
      </w:pPr>
      <w:r>
        <w:rPr>
          <w:b/>
          <w:bCs/>
          <w:sz w:val="38"/>
          <w:szCs w:val="38"/>
        </w:rPr>
        <w:t>Name</w:t>
      </w:r>
      <w:r w:rsidRPr="000D0707">
        <w:rPr>
          <w:b/>
          <w:bCs/>
          <w:sz w:val="38"/>
          <w:szCs w:val="38"/>
        </w:rPr>
        <w:t>: Anamaria Alondra Iladie</w:t>
      </w:r>
    </w:p>
    <w:p w14:paraId="03AFE1EA" w14:textId="054D3AB3" w:rsidR="000D0707" w:rsidRDefault="000D0707">
      <w:pPr>
        <w:jc w:val="center"/>
        <w:rPr>
          <w:b/>
          <w:bCs/>
          <w:sz w:val="38"/>
          <w:szCs w:val="38"/>
        </w:rPr>
      </w:pPr>
      <w:r w:rsidRPr="000D0707">
        <w:rPr>
          <w:b/>
          <w:bCs/>
          <w:sz w:val="38"/>
          <w:szCs w:val="38"/>
        </w:rPr>
        <w:t>ID: 2532554</w:t>
      </w:r>
    </w:p>
    <w:p w14:paraId="39C43626" w14:textId="77777777" w:rsidR="00D96584" w:rsidRDefault="00D96584">
      <w:pPr>
        <w:jc w:val="center"/>
        <w:rPr>
          <w:b/>
          <w:bCs/>
          <w:sz w:val="34"/>
          <w:szCs w:val="34"/>
        </w:rPr>
      </w:pPr>
    </w:p>
    <w:p w14:paraId="375E1DE1" w14:textId="77777777" w:rsidR="00D96584" w:rsidRDefault="00000000">
      <w:pPr>
        <w:jc w:val="center"/>
        <w:rPr>
          <w:b/>
          <w:bCs/>
          <w:sz w:val="30"/>
          <w:szCs w:val="30"/>
        </w:rPr>
      </w:pPr>
      <w:r>
        <w:rPr>
          <w:b/>
          <w:bCs/>
          <w:sz w:val="30"/>
          <w:szCs w:val="30"/>
        </w:rPr>
        <w:t>Module code: LCBB5014</w:t>
      </w:r>
    </w:p>
    <w:p w14:paraId="30AD24EB" w14:textId="77777777" w:rsidR="00D96584" w:rsidRDefault="00000000">
      <w:pPr>
        <w:jc w:val="center"/>
      </w:pPr>
      <w:r>
        <w:rPr>
          <w:b/>
          <w:bCs/>
          <w:sz w:val="30"/>
          <w:szCs w:val="30"/>
        </w:rPr>
        <w:t>Module Title: Data Handling and Business Intelligence</w:t>
      </w:r>
      <w:r>
        <w:br w:type="page"/>
      </w:r>
    </w:p>
    <w:p w14:paraId="7D6E1F96" w14:textId="77777777" w:rsidR="00D96584" w:rsidRDefault="00000000">
      <w:pPr>
        <w:jc w:val="center"/>
        <w:rPr>
          <w:b/>
          <w:bCs/>
        </w:rPr>
      </w:pPr>
      <w:r>
        <w:rPr>
          <w:b/>
          <w:bCs/>
        </w:rPr>
        <w:lastRenderedPageBreak/>
        <w:t>Table of Contents</w:t>
      </w:r>
    </w:p>
    <w:sdt>
      <w:sdtPr>
        <w:id w:val="-786160453"/>
        <w:docPartObj>
          <w:docPartGallery w:val="Table of Contents"/>
          <w:docPartUnique/>
        </w:docPartObj>
      </w:sdtPr>
      <w:sdtContent>
        <w:p w14:paraId="04BEC3FE" w14:textId="77777777" w:rsidR="00D96584" w:rsidRDefault="00D96584">
          <w:pPr>
            <w:widowControl w:val="0"/>
            <w:tabs>
              <w:tab w:val="right" w:leader="dot" w:pos="9025"/>
            </w:tabs>
            <w:spacing w:before="60"/>
            <w:jc w:val="left"/>
            <w:rPr>
              <w:color w:val="000000"/>
            </w:rPr>
          </w:pPr>
          <w:r>
            <w:fldChar w:fldCharType="begin"/>
          </w:r>
          <w:r w:rsidR="00000000">
            <w:instrText xml:space="preserve"> TOC \h \u \z \t "Heading 1,1,Heading 2,2,Heading 3,3,Heading 4,4,Heading 5,5,Heading 6,6,"</w:instrText>
          </w:r>
          <w:r>
            <w:fldChar w:fldCharType="separate"/>
          </w:r>
          <w:hyperlink w:anchor="_heading=h.fxwc6paxbp3g">
            <w:r>
              <w:rPr>
                <w:color w:val="000000"/>
              </w:rPr>
              <w:t>Introduction</w:t>
            </w:r>
            <w:r>
              <w:rPr>
                <w:color w:val="000000"/>
              </w:rPr>
              <w:tab/>
            </w:r>
          </w:hyperlink>
          <w:r w:rsidR="00000000">
            <w:fldChar w:fldCharType="begin"/>
          </w:r>
          <w:r w:rsidR="00000000">
            <w:instrText xml:space="preserve"> PAGEREF _heading=h.fxwc6paxbp3g \h </w:instrText>
          </w:r>
          <w:r w:rsidR="00000000">
            <w:fldChar w:fldCharType="separate"/>
          </w:r>
          <w:r w:rsidR="00000000">
            <w:t>3</w:t>
          </w:r>
          <w:r w:rsidR="00000000">
            <w:fldChar w:fldCharType="end"/>
          </w:r>
        </w:p>
        <w:p w14:paraId="25719C8D" w14:textId="77777777" w:rsidR="00D96584" w:rsidRDefault="00D96584">
          <w:pPr>
            <w:widowControl w:val="0"/>
            <w:tabs>
              <w:tab w:val="right" w:leader="dot" w:pos="9025"/>
            </w:tabs>
            <w:spacing w:before="60"/>
            <w:jc w:val="left"/>
            <w:rPr>
              <w:color w:val="000000"/>
            </w:rPr>
          </w:pPr>
          <w:hyperlink w:anchor="_heading=h.e954mhfvfawp">
            <w:r>
              <w:rPr>
                <w:color w:val="000000"/>
              </w:rPr>
              <w:t>Data Cleaning and Preparation</w:t>
            </w:r>
            <w:r>
              <w:rPr>
                <w:color w:val="000000"/>
              </w:rPr>
              <w:tab/>
            </w:r>
          </w:hyperlink>
          <w:r>
            <w:fldChar w:fldCharType="begin"/>
          </w:r>
          <w:r>
            <w:instrText xml:space="preserve"> PAGEREF _heading=h.e954mhfvfawp \h </w:instrText>
          </w:r>
          <w:r>
            <w:fldChar w:fldCharType="separate"/>
          </w:r>
          <w:r>
            <w:t>3</w:t>
          </w:r>
          <w:r>
            <w:fldChar w:fldCharType="end"/>
          </w:r>
        </w:p>
        <w:p w14:paraId="128F8652" w14:textId="77777777" w:rsidR="00D96584" w:rsidRDefault="00D96584">
          <w:pPr>
            <w:widowControl w:val="0"/>
            <w:tabs>
              <w:tab w:val="right" w:leader="dot" w:pos="9025"/>
            </w:tabs>
            <w:spacing w:before="60"/>
            <w:jc w:val="left"/>
            <w:rPr>
              <w:color w:val="000000"/>
            </w:rPr>
          </w:pPr>
          <w:hyperlink w:anchor="_heading=h.c55n8fqhu0x0">
            <w:r>
              <w:rPr>
                <w:color w:val="000000"/>
              </w:rPr>
              <w:t>Descriptive Statistics and Summary</w:t>
            </w:r>
            <w:r>
              <w:rPr>
                <w:color w:val="000000"/>
              </w:rPr>
              <w:tab/>
            </w:r>
          </w:hyperlink>
          <w:r>
            <w:fldChar w:fldCharType="begin"/>
          </w:r>
          <w:r>
            <w:instrText xml:space="preserve"> PAGEREF _heading=h.c55n8fqhu0x0 \h </w:instrText>
          </w:r>
          <w:r>
            <w:fldChar w:fldCharType="separate"/>
          </w:r>
          <w:r>
            <w:t>4</w:t>
          </w:r>
          <w:r>
            <w:fldChar w:fldCharType="end"/>
          </w:r>
        </w:p>
        <w:p w14:paraId="2720BB00" w14:textId="77777777" w:rsidR="00D96584" w:rsidRDefault="00D96584">
          <w:pPr>
            <w:widowControl w:val="0"/>
            <w:tabs>
              <w:tab w:val="right" w:leader="dot" w:pos="9025"/>
            </w:tabs>
            <w:spacing w:before="60"/>
            <w:jc w:val="left"/>
            <w:rPr>
              <w:color w:val="000000"/>
            </w:rPr>
          </w:pPr>
          <w:hyperlink w:anchor="_heading=h.qs85ogu0u8u3">
            <w:r>
              <w:rPr>
                <w:color w:val="000000"/>
              </w:rPr>
              <w:t>Trend Analysis and Visualisation</w:t>
            </w:r>
            <w:r>
              <w:rPr>
                <w:color w:val="000000"/>
              </w:rPr>
              <w:tab/>
            </w:r>
          </w:hyperlink>
          <w:r>
            <w:fldChar w:fldCharType="begin"/>
          </w:r>
          <w:r>
            <w:instrText xml:space="preserve"> PAGEREF _heading=h.qs85ogu0u8u3 \h </w:instrText>
          </w:r>
          <w:r>
            <w:fldChar w:fldCharType="separate"/>
          </w:r>
          <w:r>
            <w:t>7</w:t>
          </w:r>
          <w:r>
            <w:fldChar w:fldCharType="end"/>
          </w:r>
        </w:p>
        <w:p w14:paraId="2DB2C638" w14:textId="77777777" w:rsidR="00D96584" w:rsidRDefault="00D96584">
          <w:pPr>
            <w:widowControl w:val="0"/>
            <w:tabs>
              <w:tab w:val="right" w:leader="dot" w:pos="9025"/>
            </w:tabs>
            <w:spacing w:before="60"/>
            <w:jc w:val="left"/>
            <w:rPr>
              <w:color w:val="000000"/>
            </w:rPr>
          </w:pPr>
          <w:hyperlink w:anchor="_heading=h.2wq7zk1q8em">
            <w:r>
              <w:rPr>
                <w:color w:val="000000"/>
              </w:rPr>
              <w:t>Statistical Analysis Result</w:t>
            </w:r>
            <w:r>
              <w:rPr>
                <w:color w:val="000000"/>
              </w:rPr>
              <w:tab/>
            </w:r>
          </w:hyperlink>
          <w:r>
            <w:fldChar w:fldCharType="begin"/>
          </w:r>
          <w:r>
            <w:instrText xml:space="preserve"> PAGEREF _heading=h.2wq7zk1q8em \h </w:instrText>
          </w:r>
          <w:r>
            <w:fldChar w:fldCharType="separate"/>
          </w:r>
          <w:r>
            <w:t>9</w:t>
          </w:r>
          <w:r>
            <w:fldChar w:fldCharType="end"/>
          </w:r>
        </w:p>
        <w:p w14:paraId="3E6B164E" w14:textId="77777777" w:rsidR="00D96584" w:rsidRDefault="00D96584">
          <w:pPr>
            <w:widowControl w:val="0"/>
            <w:tabs>
              <w:tab w:val="right" w:leader="dot" w:pos="9025"/>
            </w:tabs>
            <w:spacing w:before="60"/>
            <w:jc w:val="left"/>
            <w:rPr>
              <w:color w:val="000000"/>
            </w:rPr>
          </w:pPr>
          <w:hyperlink w:anchor="_heading=h.4qu4m3mi78uw">
            <w:r>
              <w:rPr>
                <w:color w:val="000000"/>
              </w:rPr>
              <w:t>Insights and Recommendations</w:t>
            </w:r>
            <w:r>
              <w:rPr>
                <w:color w:val="000000"/>
              </w:rPr>
              <w:tab/>
            </w:r>
          </w:hyperlink>
          <w:r>
            <w:fldChar w:fldCharType="begin"/>
          </w:r>
          <w:r>
            <w:instrText xml:space="preserve"> PAGEREF _heading=h.4qu4m3mi78uw \h </w:instrText>
          </w:r>
          <w:r>
            <w:fldChar w:fldCharType="separate"/>
          </w:r>
          <w:r>
            <w:t>12</w:t>
          </w:r>
          <w:r>
            <w:fldChar w:fldCharType="end"/>
          </w:r>
        </w:p>
        <w:p w14:paraId="2D437E83" w14:textId="77777777" w:rsidR="00D96584" w:rsidRDefault="00D96584">
          <w:pPr>
            <w:widowControl w:val="0"/>
            <w:tabs>
              <w:tab w:val="right" w:leader="dot" w:pos="9025"/>
            </w:tabs>
            <w:spacing w:before="60"/>
            <w:jc w:val="left"/>
            <w:rPr>
              <w:color w:val="000000"/>
            </w:rPr>
          </w:pPr>
          <w:hyperlink w:anchor="_heading=h.w94e56n62kjm">
            <w:r>
              <w:rPr>
                <w:color w:val="000000"/>
              </w:rPr>
              <w:t>References</w:t>
            </w:r>
            <w:r>
              <w:rPr>
                <w:color w:val="000000"/>
              </w:rPr>
              <w:tab/>
            </w:r>
          </w:hyperlink>
          <w:r>
            <w:fldChar w:fldCharType="begin"/>
          </w:r>
          <w:r>
            <w:instrText xml:space="preserve"> PAGEREF _heading=h.w94e56n62kjm \h </w:instrText>
          </w:r>
          <w:r>
            <w:fldChar w:fldCharType="separate"/>
          </w:r>
          <w:r>
            <w:t>14</w:t>
          </w:r>
          <w:r>
            <w:fldChar w:fldCharType="end"/>
          </w:r>
          <w:r>
            <w:fldChar w:fldCharType="end"/>
          </w:r>
        </w:p>
      </w:sdtContent>
    </w:sdt>
    <w:p w14:paraId="115928B5" w14:textId="77777777" w:rsidR="00D96584" w:rsidRDefault="00000000">
      <w:r>
        <w:br w:type="page"/>
      </w:r>
    </w:p>
    <w:p w14:paraId="247B5550" w14:textId="77777777" w:rsidR="00D96584" w:rsidRDefault="00000000">
      <w:pPr>
        <w:pStyle w:val="Titlu1"/>
      </w:pPr>
      <w:bookmarkStart w:id="0" w:name="_heading=h.fxwc6paxbp3g" w:colFirst="0" w:colLast="0"/>
      <w:bookmarkEnd w:id="0"/>
      <w:r>
        <w:lastRenderedPageBreak/>
        <w:t xml:space="preserve">Introduction </w:t>
      </w:r>
    </w:p>
    <w:p w14:paraId="2A84A253" w14:textId="183D979A" w:rsidR="00D96584" w:rsidRDefault="00000000">
      <w:r>
        <w:t xml:space="preserve">The overall reliance on data-driven decision-making is one of the critical parts of Business Intelligence and supports businesses in improving performance and achieving a competitive advantage. This report is analysing the Letterbox Movie Classification dataset, which helps to determine patterns to understand the audience behaviour and factors influencing the popularity and ratings. In this study, the analytical understanding is conducted using theoretical understanding, such as the Data-Information-Knowledge-Wisdom (DIKW) hierarchy, which provides an understanding of the way raw information gets transformed into several actionable insights (Cato, </w:t>
      </w:r>
      <w:proofErr w:type="spellStart"/>
      <w:r>
        <w:t>McGrowand</w:t>
      </w:r>
      <w:proofErr w:type="spellEnd"/>
      <w:r>
        <w:t xml:space="preserve"> Rossetti, 2020). Further, predictive analytics theory is used to describe the notion of forecasted outcome </w:t>
      </w:r>
      <w:r w:rsidR="00ED49B0" w:rsidRPr="00ED49B0">
        <w:t>that uses historical patterns in data to predict future outcomes</w:t>
      </w:r>
      <w:r w:rsidR="00ED49B0">
        <w:t xml:space="preserve"> </w:t>
      </w:r>
      <w:r>
        <w:t xml:space="preserve">(Kuhn and Johnson, 2013). The report also includes statistical concepts like descriptive and inferential analytics to test the relationship between the selected variables and bring alignment to BI frameworks. </w:t>
      </w:r>
    </w:p>
    <w:p w14:paraId="3D540FD6" w14:textId="77777777" w:rsidR="00D96584" w:rsidRDefault="00000000">
      <w:r>
        <w:t xml:space="preserve">This report aims to develop a structured analysis with the help of Microsoft Excel and SPSS. The analytical process includes cleaning, manipulation, conducting descriptive understanding, followed by trend identification, visualisation and hypothesis testing. The viewer preference and data-driven strategies to improve decision-making for the film industry are stated. </w:t>
      </w:r>
    </w:p>
    <w:p w14:paraId="5CF05BBC" w14:textId="77777777" w:rsidR="00D96584" w:rsidRDefault="00000000">
      <w:pPr>
        <w:pStyle w:val="Titlu1"/>
      </w:pPr>
      <w:bookmarkStart w:id="1" w:name="_heading=h.e954mhfvfawp" w:colFirst="0" w:colLast="0"/>
      <w:bookmarkEnd w:id="1"/>
      <w:r>
        <w:t xml:space="preserve">Data Cleaning and Preparation </w:t>
      </w:r>
    </w:p>
    <w:p w14:paraId="0BFC10B8" w14:textId="77777777" w:rsidR="00D96584" w:rsidRDefault="00000000">
      <w:r>
        <w:t xml:space="preserve">The initial audit of the data set is first conducted, which reflects on the identification of the missing values, inconsistent formatting and the identification of the duplicate values. The use of the filtration factor in Excel helps to identify the blank cells, but there are no missing values that could be detected in the dataset. </w:t>
      </w:r>
    </w:p>
    <w:p w14:paraId="601A1904" w14:textId="77777777" w:rsidR="00D96584" w:rsidRDefault="00000000">
      <w:r>
        <w:rPr>
          <w:noProof/>
        </w:rPr>
        <w:drawing>
          <wp:inline distT="114300" distB="114300" distL="114300" distR="114300" wp14:anchorId="5014FA9F" wp14:editId="4FDF7C87">
            <wp:extent cx="5731200" cy="19304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731200" cy="1930400"/>
                    </a:xfrm>
                    <a:prstGeom prst="rect">
                      <a:avLst/>
                    </a:prstGeom>
                    <a:ln/>
                  </pic:spPr>
                </pic:pic>
              </a:graphicData>
            </a:graphic>
          </wp:inline>
        </w:drawing>
      </w:r>
    </w:p>
    <w:p w14:paraId="643E94CE" w14:textId="77777777" w:rsidR="00D96584" w:rsidRDefault="00000000">
      <w:pPr>
        <w:jc w:val="center"/>
        <w:rPr>
          <w:b/>
          <w:bCs/>
        </w:rPr>
      </w:pPr>
      <w:r>
        <w:rPr>
          <w:b/>
          <w:bCs/>
        </w:rPr>
        <w:t>Figure 1: No Missing cells found</w:t>
      </w:r>
    </w:p>
    <w:p w14:paraId="4FDF8152" w14:textId="77777777" w:rsidR="00D96584" w:rsidRDefault="00000000">
      <w:pPr>
        <w:jc w:val="center"/>
      </w:pPr>
      <w:r>
        <w:t xml:space="preserve">(Source: Imported from Excel) </w:t>
      </w:r>
    </w:p>
    <w:p w14:paraId="4C710280" w14:textId="77777777" w:rsidR="00D96584" w:rsidRDefault="00000000">
      <w:r>
        <w:t xml:space="preserve">The lack of missing observation reflects on high data integrity, which is essential for greater credibility in terms of business insights (Fu, Nicholson and Easton, 2024). </w:t>
      </w:r>
    </w:p>
    <w:p w14:paraId="2679CEEE" w14:textId="77777777" w:rsidR="00D96584" w:rsidRDefault="00000000">
      <w:pPr>
        <w:jc w:val="center"/>
      </w:pPr>
      <w:r>
        <w:rPr>
          <w:noProof/>
        </w:rPr>
        <w:lastRenderedPageBreak/>
        <w:drawing>
          <wp:inline distT="114300" distB="114300" distL="114300" distR="114300" wp14:anchorId="4BB92DEB" wp14:editId="1A237946">
            <wp:extent cx="5731200" cy="19304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731200" cy="1930400"/>
                    </a:xfrm>
                    <a:prstGeom prst="rect">
                      <a:avLst/>
                    </a:prstGeom>
                    <a:ln/>
                  </pic:spPr>
                </pic:pic>
              </a:graphicData>
            </a:graphic>
          </wp:inline>
        </w:drawing>
      </w:r>
    </w:p>
    <w:p w14:paraId="2A043F8D" w14:textId="77777777" w:rsidR="00D96584" w:rsidRDefault="00000000">
      <w:pPr>
        <w:jc w:val="center"/>
        <w:rPr>
          <w:b/>
          <w:bCs/>
        </w:rPr>
      </w:pPr>
      <w:r>
        <w:rPr>
          <w:b/>
          <w:bCs/>
        </w:rPr>
        <w:t>Figure 2: No Duplicate cells observed</w:t>
      </w:r>
    </w:p>
    <w:p w14:paraId="0006DBD1" w14:textId="77777777" w:rsidR="00D96584" w:rsidRDefault="00000000">
      <w:pPr>
        <w:jc w:val="center"/>
      </w:pPr>
      <w:r>
        <w:t xml:space="preserve">(Source: Imported from Excel) </w:t>
      </w:r>
    </w:p>
    <w:p w14:paraId="222BA15E" w14:textId="77777777" w:rsidR="00D96584" w:rsidRDefault="00000000">
      <w:r>
        <w:t xml:space="preserve">The unique observations were identified through the missing information, and it is observed that there remain no unique duplicate values. The other text-based variables, including the film titles, names of the directors, language and genres, were also reviewed to determine the presence of inconsistencies. The use of the TRIM function helps in standardising all the entries effectively. The numerical variables, like average ratings and total ratings, were reviewed for outliers, while unsupported column names, like the Ratings, were standardised by removing the unsupported column symbols. These preparation steps are used for broader business analytics to ensure optimum accuracy in the decision-making procedure. </w:t>
      </w:r>
    </w:p>
    <w:p w14:paraId="7EDA4EB7" w14:textId="77777777" w:rsidR="00D96584" w:rsidRDefault="00000000">
      <w:pPr>
        <w:pStyle w:val="Titlu1"/>
      </w:pPr>
      <w:bookmarkStart w:id="2" w:name="_heading=h.c55n8fqhu0x0" w:colFirst="0" w:colLast="0"/>
      <w:bookmarkEnd w:id="2"/>
      <w:r>
        <w:t xml:space="preserve">Descriptive Statistics and Summary </w:t>
      </w:r>
    </w:p>
    <w:p w14:paraId="180AB978" w14:textId="77777777" w:rsidR="00D96584" w:rsidRDefault="00000000">
      <w:r>
        <w:t xml:space="preserve">The descriptive Statistics representation is presented below. </w:t>
      </w:r>
    </w:p>
    <w:p w14:paraId="6E79F527" w14:textId="77777777" w:rsidR="00D96584" w:rsidRDefault="00000000">
      <w:r>
        <w:rPr>
          <w:noProof/>
        </w:rPr>
        <w:drawing>
          <wp:inline distT="114300" distB="114300" distL="114300" distR="114300" wp14:anchorId="5DF0314B" wp14:editId="629FF34B">
            <wp:extent cx="5731200" cy="22987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2298700"/>
                    </a:xfrm>
                    <a:prstGeom prst="rect">
                      <a:avLst/>
                    </a:prstGeom>
                    <a:ln/>
                  </pic:spPr>
                </pic:pic>
              </a:graphicData>
            </a:graphic>
          </wp:inline>
        </w:drawing>
      </w:r>
    </w:p>
    <w:p w14:paraId="57BEBAB9" w14:textId="77777777" w:rsidR="00D96584" w:rsidRDefault="00000000">
      <w:pPr>
        <w:jc w:val="center"/>
        <w:rPr>
          <w:b/>
          <w:bCs/>
        </w:rPr>
      </w:pPr>
      <w:r>
        <w:rPr>
          <w:b/>
          <w:bCs/>
        </w:rPr>
        <w:t>Figure 3: Descriptive Statistics of the current dataset</w:t>
      </w:r>
    </w:p>
    <w:p w14:paraId="4B0E383A" w14:textId="77777777" w:rsidR="00D96584" w:rsidRDefault="00000000">
      <w:pPr>
        <w:jc w:val="center"/>
      </w:pPr>
      <w:r>
        <w:t xml:space="preserve">(Source: Imported from Excel) </w:t>
      </w:r>
    </w:p>
    <w:p w14:paraId="7B8FEDEC" w14:textId="53E8D8BD" w:rsidR="00D96584" w:rsidRDefault="00000000">
      <w:r>
        <w:t xml:space="preserve">There is an overall 10000 dataset observed in this situation. The result indicated that the average rating remains 3.26 with a deviation of 0.525. The results highlight that most of the ratings lie between 2.5 and 4. The average runtime of all the movies is around 103.17, indicating that it is </w:t>
      </w:r>
      <w:r>
        <w:lastRenderedPageBreak/>
        <w:t xml:space="preserve">almost 2 hours of the screen run time, with a median value of 99. Therefore, most of the movies have a lower run time to maintain efficiency in terms of providing entertainment and also catching the attention span of the users (O'Brien, 2021). The fan count is found to be holding a value of 1652.55 and holds a minimal division of </w:t>
      </w:r>
      <w:r w:rsidR="00ED49B0" w:rsidRPr="00ED49B0">
        <w:t>9,368.26</w:t>
      </w:r>
      <w:r>
        <w:t xml:space="preserve">, reflecting the ability of the movies to make ardent viewers and improved quality of outcome. </w:t>
      </w:r>
      <w:r w:rsidR="00ED49B0" w:rsidRPr="00ED49B0">
        <w:t xml:space="preserve">The mean number of watches is 170,314.82, with a standard deviation of </w:t>
      </w:r>
      <w:proofErr w:type="gramStart"/>
      <w:r w:rsidR="00ED49B0" w:rsidRPr="00ED49B0">
        <w:t>458,532.92</w:t>
      </w:r>
      <w:r w:rsidR="00ED49B0">
        <w:t xml:space="preserve"> </w:t>
      </w:r>
      <w:r>
        <w:t xml:space="preserve"> indicates</w:t>
      </w:r>
      <w:proofErr w:type="gramEnd"/>
      <w:r>
        <w:t xml:space="preserve"> that the movies have been able to attract high watch time among the 10000 users, and it is likely the case of repeated watches taking place as well, leading to high average watch time hours.   </w:t>
      </w:r>
    </w:p>
    <w:p w14:paraId="5BA7634E" w14:textId="77777777" w:rsidR="00D96584" w:rsidRDefault="00000000">
      <w:r>
        <w:rPr>
          <w:noProof/>
        </w:rPr>
        <w:drawing>
          <wp:inline distT="114300" distB="114300" distL="114300" distR="114300" wp14:anchorId="2D45776A" wp14:editId="5D02D7F3">
            <wp:extent cx="5731200" cy="29210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31200" cy="2921000"/>
                    </a:xfrm>
                    <a:prstGeom prst="rect">
                      <a:avLst/>
                    </a:prstGeom>
                    <a:ln/>
                  </pic:spPr>
                </pic:pic>
              </a:graphicData>
            </a:graphic>
          </wp:inline>
        </w:drawing>
      </w:r>
    </w:p>
    <w:p w14:paraId="3F9988D1" w14:textId="77777777" w:rsidR="00D96584" w:rsidRDefault="00000000">
      <w:pPr>
        <w:jc w:val="center"/>
        <w:rPr>
          <w:b/>
          <w:bCs/>
        </w:rPr>
      </w:pPr>
      <w:r>
        <w:rPr>
          <w:b/>
          <w:bCs/>
        </w:rPr>
        <w:t>Figure 4: Pie Chart Representation of the languages</w:t>
      </w:r>
    </w:p>
    <w:p w14:paraId="00229FD5" w14:textId="77777777" w:rsidR="00D96584" w:rsidRDefault="00000000">
      <w:pPr>
        <w:jc w:val="center"/>
      </w:pPr>
      <w:r>
        <w:t xml:space="preserve">(Source: Imported from Excel) </w:t>
      </w:r>
    </w:p>
    <w:p w14:paraId="4B5A630E" w14:textId="77777777" w:rsidR="00D96584" w:rsidRDefault="00000000">
      <w:r>
        <w:t xml:space="preserve">The result demonstrated that the English language has largely dominated the movies that were provided in the list. 84% of the movies are English, reflecting a highly biased consumer vision. Therefore, most of the understanding obtained from this analysis is likely to represent the perception related to the English movies. </w:t>
      </w:r>
    </w:p>
    <w:p w14:paraId="6596DE29" w14:textId="77777777" w:rsidR="00D96584" w:rsidRDefault="00000000">
      <w:r>
        <w:rPr>
          <w:noProof/>
        </w:rPr>
        <w:lastRenderedPageBreak/>
        <w:drawing>
          <wp:inline distT="114300" distB="114300" distL="114300" distR="114300" wp14:anchorId="51237931" wp14:editId="58ED2690">
            <wp:extent cx="5731200" cy="29337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933700"/>
                    </a:xfrm>
                    <a:prstGeom prst="rect">
                      <a:avLst/>
                    </a:prstGeom>
                    <a:ln/>
                  </pic:spPr>
                </pic:pic>
              </a:graphicData>
            </a:graphic>
          </wp:inline>
        </w:drawing>
      </w:r>
    </w:p>
    <w:p w14:paraId="67D5BD75" w14:textId="77777777" w:rsidR="00D96584" w:rsidRDefault="00000000">
      <w:pPr>
        <w:jc w:val="center"/>
        <w:rPr>
          <w:b/>
          <w:bCs/>
        </w:rPr>
      </w:pPr>
      <w:r>
        <w:rPr>
          <w:b/>
          <w:bCs/>
        </w:rPr>
        <w:t xml:space="preserve">Figure 5: Identification of the popular Genre </w:t>
      </w:r>
    </w:p>
    <w:p w14:paraId="0DD2274B" w14:textId="77777777" w:rsidR="00D96584" w:rsidRDefault="00000000">
      <w:pPr>
        <w:jc w:val="center"/>
      </w:pPr>
      <w:r>
        <w:t xml:space="preserve">(Source: Imported from Excel) </w:t>
      </w:r>
    </w:p>
    <w:p w14:paraId="523A3067" w14:textId="77777777" w:rsidR="00D96584" w:rsidRDefault="00000000">
      <w:r>
        <w:t>The above diagram represents the top 10 movie genres that have achieved higher popularity. It represents that Drama is a highly popular choice among the viewers, which is followed by comedy, thriller and action.</w:t>
      </w:r>
    </w:p>
    <w:p w14:paraId="1D5FB630" w14:textId="77777777" w:rsidR="00D96584" w:rsidRDefault="00000000">
      <w:r>
        <w:rPr>
          <w:noProof/>
        </w:rPr>
        <w:drawing>
          <wp:inline distT="114300" distB="114300" distL="114300" distR="114300" wp14:anchorId="1CED5362" wp14:editId="57A48DBF">
            <wp:extent cx="5731200" cy="29083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908300"/>
                    </a:xfrm>
                    <a:prstGeom prst="rect">
                      <a:avLst/>
                    </a:prstGeom>
                    <a:ln/>
                  </pic:spPr>
                </pic:pic>
              </a:graphicData>
            </a:graphic>
          </wp:inline>
        </w:drawing>
      </w:r>
    </w:p>
    <w:p w14:paraId="7BDD0FF3" w14:textId="77777777" w:rsidR="00D96584" w:rsidRDefault="00000000">
      <w:pPr>
        <w:jc w:val="center"/>
        <w:rPr>
          <w:b/>
          <w:bCs/>
        </w:rPr>
      </w:pPr>
      <w:r>
        <w:rPr>
          <w:b/>
          <w:bCs/>
        </w:rPr>
        <w:t>Figure 6: Bar chart representation of the average rating</w:t>
      </w:r>
    </w:p>
    <w:p w14:paraId="6AB9C62D" w14:textId="77777777" w:rsidR="00D96584" w:rsidRDefault="00000000">
      <w:pPr>
        <w:jc w:val="center"/>
      </w:pPr>
      <w:r>
        <w:t xml:space="preserve">(Source: Imported from Excel) </w:t>
      </w:r>
    </w:p>
    <w:p w14:paraId="73F49193" w14:textId="77777777" w:rsidR="00D96584" w:rsidRDefault="00000000">
      <w:pPr>
        <w:jc w:val="left"/>
      </w:pPr>
      <w:r>
        <w:t xml:space="preserve">The result indicated that the rating of 3-4 is provided by most of the viewers, which reflects an average good performance of the movies. </w:t>
      </w:r>
    </w:p>
    <w:p w14:paraId="08819D75" w14:textId="77777777" w:rsidR="00D96584" w:rsidRDefault="00000000">
      <w:pPr>
        <w:jc w:val="left"/>
      </w:pPr>
      <w:r>
        <w:rPr>
          <w:noProof/>
        </w:rPr>
        <w:lastRenderedPageBreak/>
        <w:drawing>
          <wp:inline distT="114300" distB="114300" distL="114300" distR="114300" wp14:anchorId="5EDECC99" wp14:editId="245BFF39">
            <wp:extent cx="5731200" cy="4000500"/>
            <wp:effectExtent l="0" t="0" r="0" b="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4"/>
                    <a:srcRect/>
                    <a:stretch>
                      <a:fillRect/>
                    </a:stretch>
                  </pic:blipFill>
                  <pic:spPr>
                    <a:xfrm>
                      <a:off x="0" y="0"/>
                      <a:ext cx="5731200" cy="4000500"/>
                    </a:xfrm>
                    <a:prstGeom prst="rect">
                      <a:avLst/>
                    </a:prstGeom>
                    <a:ln/>
                  </pic:spPr>
                </pic:pic>
              </a:graphicData>
            </a:graphic>
          </wp:inline>
        </w:drawing>
      </w:r>
    </w:p>
    <w:p w14:paraId="6F823817" w14:textId="77777777" w:rsidR="00D96584" w:rsidRDefault="00000000">
      <w:pPr>
        <w:jc w:val="center"/>
        <w:rPr>
          <w:b/>
          <w:bCs/>
        </w:rPr>
      </w:pPr>
      <w:r>
        <w:rPr>
          <w:b/>
          <w:bCs/>
        </w:rPr>
        <w:t>Figure 7: Boxplot representation of the ratings</w:t>
      </w:r>
    </w:p>
    <w:p w14:paraId="71AEB919" w14:textId="77777777" w:rsidR="00D96584" w:rsidRDefault="00000000">
      <w:pPr>
        <w:jc w:val="center"/>
      </w:pPr>
      <w:r>
        <w:t>(Source: Imported from Excel)</w:t>
      </w:r>
    </w:p>
    <w:p w14:paraId="56FFDFE7" w14:textId="77777777" w:rsidR="00D96584" w:rsidRDefault="00000000">
      <w:r>
        <w:t xml:space="preserve">The result indicated that the average rating is 3.27, while the upper quartile is 3.62 and 2.95. This represents that the majority of the ratings fall between these boundaries. The minimum rating is 1.08, and the maximum rating is 4.69, which had occurred on a rare occasion. </w:t>
      </w:r>
    </w:p>
    <w:p w14:paraId="313D8972" w14:textId="77777777" w:rsidR="00D96584" w:rsidRDefault="00000000">
      <w:pPr>
        <w:pStyle w:val="Titlu1"/>
        <w:jc w:val="left"/>
      </w:pPr>
      <w:bookmarkStart w:id="3" w:name="_heading=h.qs85ogu0u8u3" w:colFirst="0" w:colLast="0"/>
      <w:bookmarkEnd w:id="3"/>
      <w:r>
        <w:t xml:space="preserve">Trend Analysis and Visualisation </w:t>
      </w:r>
    </w:p>
    <w:p w14:paraId="20CE9CCE" w14:textId="77777777" w:rsidR="00D96584" w:rsidRDefault="00000000">
      <w:r>
        <w:t>The trend analysis conducted through Microsoft Excel helps in the identification of various patterns and relationships in the data set. First, the focus is over. Understanding the average rating based on the language of the movies and the relationship exist between watches and ratings. It provides a good understanding of the audience, engagement level and the content quality that varies based on the important numerical variables.</w:t>
      </w:r>
    </w:p>
    <w:p w14:paraId="31623BC4" w14:textId="77777777" w:rsidR="00D96584" w:rsidRDefault="00000000">
      <w:r>
        <w:rPr>
          <w:noProof/>
        </w:rPr>
        <w:lastRenderedPageBreak/>
        <w:drawing>
          <wp:inline distT="114300" distB="114300" distL="114300" distR="114300" wp14:anchorId="785AE7EC" wp14:editId="52804E1B">
            <wp:extent cx="5731200" cy="33909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390900"/>
                    </a:xfrm>
                    <a:prstGeom prst="rect">
                      <a:avLst/>
                    </a:prstGeom>
                    <a:ln/>
                  </pic:spPr>
                </pic:pic>
              </a:graphicData>
            </a:graphic>
          </wp:inline>
        </w:drawing>
      </w:r>
    </w:p>
    <w:p w14:paraId="209B9922" w14:textId="77777777" w:rsidR="00D96584" w:rsidRDefault="00000000">
      <w:pPr>
        <w:jc w:val="center"/>
        <w:rPr>
          <w:b/>
          <w:bCs/>
        </w:rPr>
      </w:pPr>
      <w:r>
        <w:rPr>
          <w:b/>
          <w:bCs/>
        </w:rPr>
        <w:t>Figure 8: Average Rating based on languages</w:t>
      </w:r>
    </w:p>
    <w:p w14:paraId="0C4E7968" w14:textId="77777777" w:rsidR="00D96584" w:rsidRDefault="00000000">
      <w:pPr>
        <w:jc w:val="center"/>
      </w:pPr>
      <w:r>
        <w:t xml:space="preserve">(Source: Imported from Excel) </w:t>
      </w:r>
    </w:p>
    <w:p w14:paraId="39944C45" w14:textId="77777777" w:rsidR="00D96584" w:rsidRDefault="00000000">
      <w:r>
        <w:t>The bar representation provides the average dating by language, that Indicates meaningful difference in terms of audience, evaluation across various language categories. The chart shows that the English language groups have higher average ratings. However, it is likely to occur because the English language observation has dominated the whole data considered for the analysis. Even though French, Italian and Japanese movies have also achieved higher average ratings as their countries are highly limited, the outcome cannot generate a meaningful result. However, from the business management perspective, the result is useful to understand the difference exist in the consumer test and the segmented market. The movies that are produced in a particular language are likely to resonate strongly with the local audience group, as can be understood from the case of the three local languages. This observation is highly consistent with the principle of the consumer behaviour theory that highlights that the cultural familiarity, local relevance, and accessibility towards the language variation significantly affect the satisfaction level of the users and the product evaluation (</w:t>
      </w:r>
      <w:proofErr w:type="spellStart"/>
      <w:r>
        <w:t>Mujahida</w:t>
      </w:r>
      <w:proofErr w:type="spellEnd"/>
      <w:r>
        <w:t xml:space="preserve">, </w:t>
      </w:r>
      <w:proofErr w:type="spellStart"/>
      <w:r>
        <w:t>Remmang</w:t>
      </w:r>
      <w:proofErr w:type="spellEnd"/>
      <w:r>
        <w:t xml:space="preserve"> and </w:t>
      </w:r>
      <w:proofErr w:type="spellStart"/>
      <w:r>
        <w:t>Azizurrohman</w:t>
      </w:r>
      <w:proofErr w:type="spellEnd"/>
      <w:r>
        <w:t>, 2024).  Therefore, for Letterboxd, it is essential to review localised content development and conduct regional market analysis to develop a diversified vision towards the use of the resources.</w:t>
      </w:r>
    </w:p>
    <w:p w14:paraId="093EC378" w14:textId="77777777" w:rsidR="00D96584" w:rsidRDefault="00000000">
      <w:r>
        <w:rPr>
          <w:noProof/>
        </w:rPr>
        <w:lastRenderedPageBreak/>
        <w:drawing>
          <wp:inline distT="114300" distB="114300" distL="114300" distR="114300" wp14:anchorId="1F4147F0" wp14:editId="26718BC5">
            <wp:extent cx="5731200" cy="23622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2362200"/>
                    </a:xfrm>
                    <a:prstGeom prst="rect">
                      <a:avLst/>
                    </a:prstGeom>
                    <a:ln/>
                  </pic:spPr>
                </pic:pic>
              </a:graphicData>
            </a:graphic>
          </wp:inline>
        </w:drawing>
      </w:r>
    </w:p>
    <w:p w14:paraId="47DD823F" w14:textId="77777777" w:rsidR="00D96584" w:rsidRDefault="00000000">
      <w:pPr>
        <w:jc w:val="center"/>
        <w:rPr>
          <w:b/>
          <w:bCs/>
        </w:rPr>
      </w:pPr>
      <w:r>
        <w:rPr>
          <w:b/>
          <w:bCs/>
        </w:rPr>
        <w:t>Figure 9: Watches and Ratings Relationship</w:t>
      </w:r>
    </w:p>
    <w:p w14:paraId="17DA98CF" w14:textId="77777777" w:rsidR="00D96584" w:rsidRDefault="00000000">
      <w:pPr>
        <w:jc w:val="center"/>
      </w:pPr>
      <w:r>
        <w:t xml:space="preserve">(Source: Imported from Excel) </w:t>
      </w:r>
    </w:p>
    <w:p w14:paraId="38250295" w14:textId="77777777" w:rsidR="00D96584" w:rsidRDefault="00000000">
      <w:r>
        <w:t>The second factor includes the scatter plot diagram that highlights the relationship exist between watch hours and the average dating. This scatterplot highlights that there remains a high dependency between the failure, popularity and audience perception. The observation highlights that the films that are popular and have high viewership tend to receive higher audience ratings. However, the popular alone cannot ensure greater ratings. This pattern analysis is done from the perspective of social proof and popularity effects that suggest that highly visible content is largely found to be attractive to users because of public interest and word-of-mouth influence (Park and McCallister, 2023). The rating levels, however, depend on the satisfaction and the content quality in meeting the audience’s expectations. The overall understanding of the analysis highlights that the understanding of the market demand and the view preferences often support the strategy, decision-making and target recommendation for a platform.</w:t>
      </w:r>
    </w:p>
    <w:p w14:paraId="7EE0EF9B" w14:textId="77777777" w:rsidR="00D96584" w:rsidRDefault="00000000">
      <w:pPr>
        <w:pStyle w:val="Titlu1"/>
      </w:pPr>
      <w:bookmarkStart w:id="4" w:name="_heading=h.2wq7zk1q8em" w:colFirst="0" w:colLast="0"/>
      <w:bookmarkEnd w:id="4"/>
      <w:r>
        <w:t xml:space="preserve">Statistical Analysis Result </w:t>
      </w:r>
    </w:p>
    <w:p w14:paraId="16551994" w14:textId="77777777" w:rsidR="00D96584" w:rsidRDefault="00000000">
      <w:r>
        <w:t xml:space="preserve">The independent t-test provides a comparative understanding of the English and Non-English films. The hypothesis constructed for this test is represented below. </w:t>
      </w:r>
    </w:p>
    <w:p w14:paraId="59C2F770" w14:textId="77777777" w:rsidR="00D96584" w:rsidRDefault="00000000">
      <w:r>
        <w:t xml:space="preserve">H0: There remains no statistical significance in the average rating between English and non-English films. </w:t>
      </w:r>
    </w:p>
    <w:p w14:paraId="279B7821" w14:textId="77777777" w:rsidR="00D96584" w:rsidRDefault="00000000">
      <w:r>
        <w:t xml:space="preserve">H1: The statistically significant differences in the average rating do not exist between English and Non-English films. </w:t>
      </w:r>
    </w:p>
    <w:p w14:paraId="125C47CF" w14:textId="77777777" w:rsidR="00D96584" w:rsidRDefault="00000000">
      <w:r>
        <w:t xml:space="preserve">The outcome is represented below. </w:t>
      </w:r>
    </w:p>
    <w:p w14:paraId="793B7E0D" w14:textId="77777777" w:rsidR="00D96584" w:rsidRDefault="00000000">
      <w:pPr>
        <w:spacing w:line="276" w:lineRule="auto"/>
        <w:jc w:val="left"/>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6D0BC647" wp14:editId="77C27718">
            <wp:extent cx="5731200" cy="1143000"/>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5731200" cy="1143000"/>
                    </a:xfrm>
                    <a:prstGeom prst="rect">
                      <a:avLst/>
                    </a:prstGeom>
                    <a:ln/>
                  </pic:spPr>
                </pic:pic>
              </a:graphicData>
            </a:graphic>
          </wp:inline>
        </w:drawing>
      </w:r>
    </w:p>
    <w:p w14:paraId="7A5FBF37" w14:textId="77777777" w:rsidR="00D96584" w:rsidRDefault="00000000">
      <w:pPr>
        <w:spacing w:line="276" w:lineRule="auto"/>
        <w:jc w:val="left"/>
        <w:rPr>
          <w:rFonts w:ascii="Arial" w:eastAsia="Arial" w:hAnsi="Arial" w:cs="Arial"/>
          <w:sz w:val="22"/>
          <w:szCs w:val="22"/>
        </w:rPr>
      </w:pPr>
      <w:r>
        <w:rPr>
          <w:rFonts w:ascii="Arial" w:eastAsia="Arial" w:hAnsi="Arial" w:cs="Arial"/>
          <w:noProof/>
          <w:sz w:val="22"/>
          <w:szCs w:val="22"/>
        </w:rPr>
        <w:drawing>
          <wp:inline distT="114300" distB="114300" distL="114300" distR="114300" wp14:anchorId="7A5FC3BC" wp14:editId="46E4F26A">
            <wp:extent cx="5731200" cy="10414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1041400"/>
                    </a:xfrm>
                    <a:prstGeom prst="rect">
                      <a:avLst/>
                    </a:prstGeom>
                    <a:ln/>
                  </pic:spPr>
                </pic:pic>
              </a:graphicData>
            </a:graphic>
          </wp:inline>
        </w:drawing>
      </w:r>
    </w:p>
    <w:p w14:paraId="4637A2FB" w14:textId="77777777" w:rsidR="00D96584" w:rsidRDefault="00000000">
      <w:pPr>
        <w:jc w:val="center"/>
        <w:rPr>
          <w:b/>
          <w:bCs/>
        </w:rPr>
      </w:pPr>
      <w:r>
        <w:rPr>
          <w:b/>
          <w:bCs/>
        </w:rPr>
        <w:t>Figure 10: Independent Sample t-test result</w:t>
      </w:r>
    </w:p>
    <w:p w14:paraId="5F7456B7" w14:textId="77777777" w:rsidR="00D96584" w:rsidRDefault="00000000">
      <w:pPr>
        <w:jc w:val="center"/>
      </w:pPr>
      <w:r>
        <w:t xml:space="preserve">(Source: Imported from SPSS results) </w:t>
      </w:r>
    </w:p>
    <w:p w14:paraId="0D2F9B07" w14:textId="77777777" w:rsidR="00D96584" w:rsidRDefault="00000000">
      <w:r>
        <w:t xml:space="preserve">The Levene test determining equality of variances is highlighted through the F-value of 27.710 that suggest that presence of homogeneity of Variance is violated for 5% level of significance. It emphasises the fact that equality of variances is not assumed. The t-statistic result with a value of -27.878 for unequal variances with a significance level less than 0.001 suggests the average rating difference between the English and Non-English films remains significant, and as the p-value is less than 0.05, the null hypothesis is rejected. Therefore, language is one of the influential factors that support the audience in evaluating content quality. Thus, linguistic segmentation helps to shape the preferences and engagement level of consumers. </w:t>
      </w:r>
    </w:p>
    <w:p w14:paraId="765B0846" w14:textId="77777777" w:rsidR="00D96584" w:rsidRDefault="00000000">
      <w:r>
        <w:t xml:space="preserve">The correlation analysis result is represented below. </w:t>
      </w:r>
    </w:p>
    <w:p w14:paraId="1D595021" w14:textId="77777777" w:rsidR="00D96584" w:rsidRDefault="00000000">
      <w:pPr>
        <w:jc w:val="center"/>
      </w:pPr>
      <w:r>
        <w:rPr>
          <w:noProof/>
        </w:rPr>
        <w:drawing>
          <wp:inline distT="114300" distB="114300" distL="114300" distR="114300" wp14:anchorId="5834B4BB" wp14:editId="79065D2C">
            <wp:extent cx="4194089" cy="2814638"/>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194089" cy="2814638"/>
                    </a:xfrm>
                    <a:prstGeom prst="rect">
                      <a:avLst/>
                    </a:prstGeom>
                    <a:ln/>
                  </pic:spPr>
                </pic:pic>
              </a:graphicData>
            </a:graphic>
          </wp:inline>
        </w:drawing>
      </w:r>
    </w:p>
    <w:p w14:paraId="0663CEA5" w14:textId="77777777" w:rsidR="00D96584" w:rsidRDefault="00000000">
      <w:pPr>
        <w:jc w:val="center"/>
        <w:rPr>
          <w:b/>
          <w:bCs/>
        </w:rPr>
      </w:pPr>
      <w:r>
        <w:rPr>
          <w:b/>
          <w:bCs/>
        </w:rPr>
        <w:t>Figure 11: Correlation Analysis result</w:t>
      </w:r>
    </w:p>
    <w:p w14:paraId="3DFB3C73" w14:textId="77777777" w:rsidR="00D96584" w:rsidRDefault="00000000">
      <w:pPr>
        <w:jc w:val="center"/>
      </w:pPr>
      <w:r>
        <w:t xml:space="preserve">(Source: Imported from SPSS results) </w:t>
      </w:r>
    </w:p>
    <w:p w14:paraId="6A4ADD91" w14:textId="77777777" w:rsidR="00D96584" w:rsidRDefault="00000000">
      <w:r>
        <w:lastRenderedPageBreak/>
        <w:t xml:space="preserve">The Pearson Correlation Analysis highlighted the relationship between runtime, likes and watches. The runtime and watches hold a weak positive correlation with a value of 0.146, but the result is significant. Similarly, runtime and likes also </w:t>
      </w:r>
      <w:proofErr w:type="gramStart"/>
      <w:r>
        <w:t>hold</w:t>
      </w:r>
      <w:proofErr w:type="gramEnd"/>
      <w:r>
        <w:t xml:space="preserve"> a weak positive correlation with a value of 0.129. Therefore, it indicates that the longer the film, the greater the audience engagement, but the strength of the relationship is weak. The watches and likes </w:t>
      </w:r>
      <w:proofErr w:type="gramStart"/>
      <w:r>
        <w:t>hold</w:t>
      </w:r>
      <w:proofErr w:type="gramEnd"/>
      <w:r>
        <w:t xml:space="preserve"> a strong positive correlation with a value of 0.951, suggesting that higher viewership is likely to generate a higher appreciation rate. </w:t>
      </w:r>
    </w:p>
    <w:p w14:paraId="5523030E" w14:textId="77777777" w:rsidR="00D96584" w:rsidRDefault="00000000">
      <w:r>
        <w:t xml:space="preserve">The regression analysis is further conducted to demonstrate the influence of movie description on the rating level. </w:t>
      </w:r>
    </w:p>
    <w:p w14:paraId="3B3901D5" w14:textId="77777777" w:rsidR="00D96584" w:rsidRDefault="00000000">
      <w:r>
        <w:rPr>
          <w:noProof/>
        </w:rPr>
        <w:drawing>
          <wp:inline distT="114300" distB="114300" distL="114300" distR="114300" wp14:anchorId="043148C4" wp14:editId="71C12A57">
            <wp:extent cx="5731200" cy="38227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1200" cy="3822700"/>
                    </a:xfrm>
                    <a:prstGeom prst="rect">
                      <a:avLst/>
                    </a:prstGeom>
                    <a:ln/>
                  </pic:spPr>
                </pic:pic>
              </a:graphicData>
            </a:graphic>
          </wp:inline>
        </w:drawing>
      </w:r>
    </w:p>
    <w:p w14:paraId="150828BD" w14:textId="77777777" w:rsidR="00D96584" w:rsidRDefault="00000000">
      <w:pPr>
        <w:jc w:val="center"/>
        <w:rPr>
          <w:b/>
          <w:bCs/>
        </w:rPr>
      </w:pPr>
      <w:r>
        <w:rPr>
          <w:b/>
          <w:bCs/>
        </w:rPr>
        <w:t>Figure 13: Relationship description length and average rating</w:t>
      </w:r>
    </w:p>
    <w:p w14:paraId="750FA4C3" w14:textId="77777777" w:rsidR="00D96584" w:rsidRDefault="00000000">
      <w:pPr>
        <w:jc w:val="center"/>
      </w:pPr>
      <w:r>
        <w:t xml:space="preserve">(Source: Imported from SPSS) </w:t>
      </w:r>
    </w:p>
    <w:p w14:paraId="7430BF54" w14:textId="77777777" w:rsidR="00D96584" w:rsidRDefault="00000000">
      <w:r>
        <w:t xml:space="preserve">The linear regression demonstrates the relationship between the length of the description and the average movie rating. The R-square value of 0.001 suggests that only 0.1% variability in the average rating is caused by description length. However, the model is significant with a p-value of 0.021, indicating a measurable relationship exists, but the actual impact on the average rate is negligible. It indicates that factors like the language, cast, genre and audience preference could be more influential factors than description. </w:t>
      </w:r>
    </w:p>
    <w:p w14:paraId="0D28E857" w14:textId="77777777" w:rsidR="00D96584" w:rsidRDefault="00000000">
      <w:r>
        <w:rPr>
          <w:noProof/>
        </w:rPr>
        <w:lastRenderedPageBreak/>
        <w:drawing>
          <wp:inline distT="114300" distB="114300" distL="114300" distR="114300" wp14:anchorId="1A825314" wp14:editId="14B9E954">
            <wp:extent cx="5731200" cy="38227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731200" cy="3822700"/>
                    </a:xfrm>
                    <a:prstGeom prst="rect">
                      <a:avLst/>
                    </a:prstGeom>
                    <a:ln/>
                  </pic:spPr>
                </pic:pic>
              </a:graphicData>
            </a:graphic>
          </wp:inline>
        </w:drawing>
      </w:r>
    </w:p>
    <w:p w14:paraId="7565F797" w14:textId="77777777" w:rsidR="00D96584" w:rsidRDefault="00000000">
      <w:pPr>
        <w:jc w:val="center"/>
        <w:rPr>
          <w:b/>
          <w:bCs/>
        </w:rPr>
      </w:pPr>
      <w:r>
        <w:rPr>
          <w:b/>
          <w:bCs/>
        </w:rPr>
        <w:t>Figure 14: Relationship between watches over movie language and runtime</w:t>
      </w:r>
    </w:p>
    <w:p w14:paraId="63D85F94" w14:textId="77777777" w:rsidR="00D96584" w:rsidRDefault="00000000">
      <w:pPr>
        <w:jc w:val="center"/>
      </w:pPr>
      <w:r>
        <w:t>(Source: Imported from SPSS)</w:t>
      </w:r>
    </w:p>
    <w:p w14:paraId="7ED79730" w14:textId="77777777" w:rsidR="00D96584" w:rsidRDefault="00000000">
      <w:r>
        <w:t xml:space="preserve">The regression analysis demonstrated the influence of the average rating on the runtime level over watches. The model is statistically significant with a p-value less than 0.05, that suggest that runtime and language influence the engagement rate. The R-square value of 0.35 indicate 35% change in the engagement rate is explained by language and runtime rating, which is moderate explanatory power. It suggests that films with strong audience ratings and long duration often attract higher viewership and greater engagement. </w:t>
      </w:r>
    </w:p>
    <w:p w14:paraId="2FD01841" w14:textId="77777777" w:rsidR="00D96584" w:rsidRDefault="00000000">
      <w:pPr>
        <w:pStyle w:val="Titlu1"/>
      </w:pPr>
      <w:bookmarkStart w:id="5" w:name="_heading=h.4qu4m3mi78uw" w:colFirst="0" w:colLast="0"/>
      <w:bookmarkEnd w:id="5"/>
      <w:r>
        <w:t xml:space="preserve">Insights and Recommendations </w:t>
      </w:r>
    </w:p>
    <w:p w14:paraId="5D3F4D5A" w14:textId="77777777" w:rsidR="00D96584" w:rsidRDefault="00000000">
      <w:r>
        <w:t xml:space="preserve">The analytical outcome helps in generating greater value from business intelligence insights. It contributes to the understanding of audience behaviour. The independent sample t-test ensures that the average rating is largely influenced by the English and non-English languages. It indicates that language does influence audience perception, but as a result, being highly biased towards the English audience, the local languages like Japan, Italy and France also exerted positive responses from the participants. It reflects on the market segmentation theory, where the consumer preferences vary with language and their social status (Li, Liu and Yu, 2025). The result indicated a strong relationship between watch and likes, which suggests that films are likely to generate positive engagement through a high viewership rate. The popularity of the film is found to have a positive engagement with the users. </w:t>
      </w:r>
    </w:p>
    <w:p w14:paraId="60876A6F" w14:textId="77777777" w:rsidR="00D96584" w:rsidRDefault="00000000">
      <w:r>
        <w:lastRenderedPageBreak/>
        <w:t xml:space="preserve">The regression result highlights that language differences and the runtime can jointly influence 35% of the watches. The audience engagement thus depends on the language and the runtime rate. Therefore, it is highly recommended that streaming platforms incorporate genre and language-based targeting strategies by incorporating region-specific targeting strategies (Tang and Wei, 2023). The engagement can be further enhanced by providing subtitles and other dubbing options to help different demographic consumers engage with non-English content (Sánchez-Mompeán, 2023). Based on the BI decision-making, the outcome is highly effective in targeting consumers and formulating personalised strategies. The analysis remains limited because of several qualitative factors included in the dataset. Text analytics and predictive modelling can be used in the future to generate improved strategic insights. </w:t>
      </w:r>
      <w:r>
        <w:br w:type="page"/>
      </w:r>
    </w:p>
    <w:p w14:paraId="460AFE03" w14:textId="77777777" w:rsidR="00D96584" w:rsidRDefault="00000000">
      <w:pPr>
        <w:pStyle w:val="Titlu1"/>
      </w:pPr>
      <w:bookmarkStart w:id="6" w:name="_heading=h.w94e56n62kjm" w:colFirst="0" w:colLast="0"/>
      <w:bookmarkEnd w:id="6"/>
      <w:r>
        <w:lastRenderedPageBreak/>
        <w:t>References</w:t>
      </w:r>
    </w:p>
    <w:p w14:paraId="2EBFA331" w14:textId="77777777" w:rsidR="00D96584" w:rsidRDefault="00000000" w:rsidP="00E50071">
      <w:pPr>
        <w:spacing w:before="100" w:beforeAutospacing="1" w:after="100" w:afterAutospacing="1"/>
      </w:pPr>
      <w:r>
        <w:t xml:space="preserve">Cato, K.D., McGrow, K. and Rossetti, S.C. (2020) ‘Transforming clinical data into wisdom: Artificial intelligence implications for nurse leaders’, </w:t>
      </w:r>
      <w:r>
        <w:rPr>
          <w:i/>
          <w:iCs/>
        </w:rPr>
        <w:t>Nursing management</w:t>
      </w:r>
      <w:r>
        <w:t>, 51(11), pp.24-30.</w:t>
      </w:r>
    </w:p>
    <w:p w14:paraId="08E44A13" w14:textId="77777777" w:rsidR="00D96584" w:rsidRDefault="00000000" w:rsidP="00E50071">
      <w:pPr>
        <w:spacing w:before="100" w:beforeAutospacing="1" w:after="100" w:afterAutospacing="1"/>
      </w:pPr>
      <w:r>
        <w:t xml:space="preserve">Fu, Q., Nicholson, G.L. and Easton, J.M. (2024) ‘Understanding data quality in a data-driven industry context: Insights from the fundamentals’, </w:t>
      </w:r>
      <w:r>
        <w:rPr>
          <w:i/>
          <w:iCs/>
        </w:rPr>
        <w:t>Journal of Industrial Information Integration</w:t>
      </w:r>
      <w:r>
        <w:t>, 42, p.100729.</w:t>
      </w:r>
    </w:p>
    <w:p w14:paraId="38FA6204" w14:textId="77777777" w:rsidR="00D96584" w:rsidRDefault="00000000" w:rsidP="00E50071">
      <w:pPr>
        <w:spacing w:before="100" w:beforeAutospacing="1" w:after="100" w:afterAutospacing="1"/>
      </w:pPr>
      <w:r>
        <w:t xml:space="preserve">Kuhn, M. and Johnson, K. (2013). </w:t>
      </w:r>
      <w:r>
        <w:rPr>
          <w:i/>
          <w:iCs/>
        </w:rPr>
        <w:t>Applied predictive modelling</w:t>
      </w:r>
      <w:r>
        <w:t>. New York: Springer.</w:t>
      </w:r>
    </w:p>
    <w:p w14:paraId="788F063F" w14:textId="77777777" w:rsidR="00D96584" w:rsidRDefault="00000000" w:rsidP="00E50071">
      <w:pPr>
        <w:spacing w:before="100" w:beforeAutospacing="1" w:after="100" w:afterAutospacing="1"/>
      </w:pPr>
      <w:r>
        <w:t xml:space="preserve">Li, Y., Liu, Y. and Yu, M. (2025) ‘Consumer segmentation with large language models’, </w:t>
      </w:r>
      <w:r>
        <w:rPr>
          <w:i/>
          <w:iCs/>
        </w:rPr>
        <w:t>Journal of Retailing and Consumer Services</w:t>
      </w:r>
      <w:r>
        <w:t>, 82, p.104078.</w:t>
      </w:r>
    </w:p>
    <w:p w14:paraId="21EF9414" w14:textId="77777777" w:rsidR="00D96584" w:rsidRDefault="00000000" w:rsidP="00E50071">
      <w:pPr>
        <w:spacing w:before="100" w:beforeAutospacing="1" w:after="100" w:afterAutospacing="1"/>
      </w:pPr>
      <w:r>
        <w:t xml:space="preserve">Mujahida, S., </w:t>
      </w:r>
      <w:proofErr w:type="spellStart"/>
      <w:r>
        <w:t>Remmang</w:t>
      </w:r>
      <w:proofErr w:type="spellEnd"/>
      <w:r>
        <w:t xml:space="preserve">, H. and </w:t>
      </w:r>
      <w:proofErr w:type="spellStart"/>
      <w:r>
        <w:t>Azizurrohman</w:t>
      </w:r>
      <w:proofErr w:type="spellEnd"/>
      <w:r>
        <w:t xml:space="preserve">, M. (2024) ‘Cultural familiarity and its impact on customer satisfaction and brand awareness: A study of Indonesian restaurants in Taiwan’, </w:t>
      </w:r>
      <w:r>
        <w:rPr>
          <w:i/>
          <w:iCs/>
        </w:rPr>
        <w:t>Journal of Marketing Innovation (JMI)</w:t>
      </w:r>
      <w:r>
        <w:t>, 4(2).</w:t>
      </w:r>
    </w:p>
    <w:p w14:paraId="7F107A09" w14:textId="77777777" w:rsidR="00D96584" w:rsidRDefault="00000000" w:rsidP="00E50071">
      <w:pPr>
        <w:spacing w:before="100" w:beforeAutospacing="1" w:after="100" w:afterAutospacing="1"/>
      </w:pPr>
      <w:r>
        <w:t xml:space="preserve">O'Brien, E. (2021) ‘A mind stretched: The psychology of repeat consumption’, </w:t>
      </w:r>
      <w:r>
        <w:rPr>
          <w:i/>
          <w:iCs/>
        </w:rPr>
        <w:t>Consumer Psychology Review</w:t>
      </w:r>
      <w:r>
        <w:t>, 4(1), pp.42-58.</w:t>
      </w:r>
    </w:p>
    <w:p w14:paraId="3626A302" w14:textId="77777777" w:rsidR="00D96584" w:rsidRDefault="00000000" w:rsidP="00E50071">
      <w:pPr>
        <w:spacing w:before="100" w:beforeAutospacing="1" w:after="100" w:afterAutospacing="1"/>
      </w:pPr>
      <w:r>
        <w:t xml:space="preserve">Park, S. and McCallister, J. (2023) ‘The effects of social proof marketing tactics on nudging consumer purchase’, </w:t>
      </w:r>
      <w:r>
        <w:rPr>
          <w:i/>
          <w:iCs/>
        </w:rPr>
        <w:t>Journal of Student Research</w:t>
      </w:r>
      <w:r>
        <w:t>, 12(3), pp.1-12.</w:t>
      </w:r>
    </w:p>
    <w:p w14:paraId="03484166" w14:textId="77777777" w:rsidR="00D96584" w:rsidRDefault="00000000" w:rsidP="00E50071">
      <w:pPr>
        <w:spacing w:before="100" w:beforeAutospacing="1" w:after="100" w:afterAutospacing="1"/>
      </w:pPr>
      <w:r>
        <w:t xml:space="preserve">Sánchez-Mompeán, S. (2023) ‘Engaging English audiences in the dubbing experience: A matter of quality or habituation?’, </w:t>
      </w:r>
      <w:proofErr w:type="spellStart"/>
      <w:r>
        <w:rPr>
          <w:i/>
          <w:iCs/>
        </w:rPr>
        <w:t>Ikala</w:t>
      </w:r>
      <w:proofErr w:type="spellEnd"/>
      <w:r>
        <w:rPr>
          <w:i/>
          <w:iCs/>
        </w:rPr>
        <w:t>, Journal of Language and Culture</w:t>
      </w:r>
      <w:r>
        <w:t>, 28(2).</w:t>
      </w:r>
    </w:p>
    <w:p w14:paraId="060185FA" w14:textId="77777777" w:rsidR="00D96584" w:rsidRDefault="00000000" w:rsidP="00E50071">
      <w:pPr>
        <w:spacing w:before="100" w:beforeAutospacing="1" w:after="100" w:afterAutospacing="1"/>
      </w:pPr>
      <w:r>
        <w:t xml:space="preserve">Tang, W. and Wei, M. (2023) ‘Streaming media business strategies and audience-centred practices: a comparative study of Netflix and Tencent Video’, </w:t>
      </w:r>
      <w:r>
        <w:rPr>
          <w:i/>
          <w:iCs/>
        </w:rPr>
        <w:t>Online media and global communication</w:t>
      </w:r>
      <w:r>
        <w:t>, 2(1), pp.3-24.</w:t>
      </w:r>
    </w:p>
    <w:p w14:paraId="037D89D7" w14:textId="77777777" w:rsidR="00D96584" w:rsidRDefault="00D96584" w:rsidP="00E50071">
      <w:pPr>
        <w:spacing w:before="100" w:beforeAutospacing="1" w:after="100" w:afterAutospacing="1"/>
      </w:pPr>
    </w:p>
    <w:sectPr w:rsidR="00D96584">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30754" w14:textId="77777777" w:rsidR="00657FA0" w:rsidRDefault="00657FA0">
      <w:pPr>
        <w:spacing w:line="240" w:lineRule="auto"/>
      </w:pPr>
      <w:r>
        <w:separator/>
      </w:r>
    </w:p>
  </w:endnote>
  <w:endnote w:type="continuationSeparator" w:id="0">
    <w:p w14:paraId="692337E7" w14:textId="77777777" w:rsidR="00657FA0" w:rsidRDefault="00657F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E3104C4-B6F8-46D5-84F8-CA39483A4FC4}"/>
  </w:font>
  <w:font w:name="Cambria">
    <w:panose1 w:val="02040503050406030204"/>
    <w:charset w:val="00"/>
    <w:family w:val="roman"/>
    <w:pitch w:val="variable"/>
    <w:sig w:usb0="E00006FF" w:usb1="420024FF" w:usb2="02000000" w:usb3="00000000" w:csb0="0000019F" w:csb1="00000000"/>
    <w:embedRegular r:id="rId2" w:fontKey="{7F2A88FF-7A7B-43B2-A782-A47159EF00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B87F4" w14:textId="77777777" w:rsidR="00D96584" w:rsidRDefault="00000000">
    <w:pPr>
      <w:jc w:val="right"/>
    </w:pPr>
    <w:r>
      <w:fldChar w:fldCharType="begin"/>
    </w:r>
    <w:r>
      <w:instrText>PAGE</w:instrText>
    </w:r>
    <w:r>
      <w:fldChar w:fldCharType="separate"/>
    </w:r>
    <w:r w:rsidR="00E5007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DF7EA" w14:textId="77777777" w:rsidR="00657FA0" w:rsidRDefault="00657FA0">
      <w:pPr>
        <w:spacing w:line="240" w:lineRule="auto"/>
      </w:pPr>
      <w:r>
        <w:separator/>
      </w:r>
    </w:p>
  </w:footnote>
  <w:footnote w:type="continuationSeparator" w:id="0">
    <w:p w14:paraId="279F435E" w14:textId="77777777" w:rsidR="00657FA0" w:rsidRDefault="00657F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584"/>
    <w:rsid w:val="000C7C92"/>
    <w:rsid w:val="000D0707"/>
    <w:rsid w:val="005370B3"/>
    <w:rsid w:val="00657FA0"/>
    <w:rsid w:val="00C77087"/>
    <w:rsid w:val="00CF763F"/>
    <w:rsid w:val="00D81FDB"/>
    <w:rsid w:val="00D96584"/>
    <w:rsid w:val="00E50071"/>
    <w:rsid w:val="00ED49B0"/>
    <w:rsid w:val="00FF6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2F30"/>
  <w15:docId w15:val="{BD823918-AE4F-4FD1-ADFE-BC3CE6279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MFIJxkrOqyyRJ0a/d2xrZKTtYA==">CgMxLjAyDmguZnh3YzZwYXhicDNnMg5oLmU5NTRtaGZ2ZmF3cDIOaC5jNTVuOGZxaHUweDAyDmgucXM4NW9ndTB1OHUzMg1oLjJ3cTd6azFxOGVtMg5oLjRxdTRtM21pNzh1dzIOaC53OTRlNTZuNjJram04AHIhMXFTMXNwSmYxUVdDRDg4dV9WVnJiYUx0U0VHcW1zcmlL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2417</Words>
  <Characters>13779</Characters>
  <Application>Microsoft Office Word</Application>
  <DocSecurity>0</DocSecurity>
  <Lines>114</Lines>
  <Paragraphs>32</Paragraphs>
  <ScaleCrop>false</ScaleCrop>
  <Company/>
  <LinksUpToDate>false</LinksUpToDate>
  <CharactersWithSpaces>16164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Anamaria Iladie (2532554)</cp:lastModifiedBy>
  <cp:revision>2</cp:revision>
  <dcterms:created xsi:type="dcterms:W3CDTF">2026-04-22T20:44:00Z</dcterms:created>
  <dcterms:modified xsi:type="dcterms:W3CDTF">2026-04-22T20:44:00Z</dcterms:modified>
</cp:coreProperties>
</file>