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F7015B" w14:textId="77777777" w:rsidR="00634BCE" w:rsidRDefault="00634BCE" w:rsidP="00634BCE">
      <w:pPr>
        <w:pStyle w:val="BodyText"/>
        <w:kinsoku w:val="0"/>
        <w:overflowPunct w:val="0"/>
        <w:spacing w:before="3"/>
      </w:pPr>
    </w:p>
    <w:p w14:paraId="44D2768F" w14:textId="471000AF" w:rsidR="00634BCE" w:rsidRPr="00634BCE" w:rsidRDefault="00634BCE" w:rsidP="00634BCE">
      <w:pPr>
        <w:pStyle w:val="BodyText"/>
        <w:kinsoku w:val="0"/>
        <w:overflowPunct w:val="0"/>
        <w:spacing w:before="3"/>
        <w:ind w:left="2880"/>
        <w:rPr>
          <w:rFonts w:ascii="Times New Roman" w:hAnsi="Times New Roman" w:cs="Times New Roman"/>
          <w:b w:val="0"/>
          <w:bCs w:val="0"/>
          <w:sz w:val="21"/>
          <w:szCs w:val="21"/>
        </w:rPr>
      </w:pPr>
      <w:r>
        <w:t>BACHELOR’S DEGREE ASSIGNMENT SPECIFICATION</w:t>
      </w:r>
    </w:p>
    <w:p w14:paraId="591B29C2" w14:textId="5B0D6344" w:rsidR="00634BCE" w:rsidRDefault="00634BCE" w:rsidP="00634BCE">
      <w:pPr>
        <w:pStyle w:val="BodyText"/>
        <w:kinsoku w:val="0"/>
        <w:overflowPunct w:val="0"/>
        <w:spacing w:line="439" w:lineRule="exact"/>
        <w:ind w:left="2160" w:right="741"/>
        <w:rPr>
          <w:sz w:val="36"/>
          <w:szCs w:val="36"/>
        </w:rPr>
      </w:pPr>
      <w:r>
        <w:rPr>
          <w:sz w:val="36"/>
          <w:szCs w:val="36"/>
        </w:rPr>
        <w:t xml:space="preserve">      </w:t>
      </w:r>
      <w:r>
        <w:rPr>
          <w:sz w:val="36"/>
          <w:szCs w:val="36"/>
        </w:rPr>
        <w:t>School of Social Justice and Inclusion</w:t>
      </w:r>
    </w:p>
    <w:p w14:paraId="021DE134" w14:textId="77777777" w:rsidR="00634BCE" w:rsidRDefault="00634BCE" w:rsidP="00634BCE">
      <w:pPr>
        <w:pStyle w:val="BodyText"/>
        <w:kinsoku w:val="0"/>
        <w:overflowPunct w:val="0"/>
        <w:ind w:left="2158" w:right="739" w:firstLine="2"/>
        <w:rPr>
          <w:i/>
          <w:iCs/>
          <w:sz w:val="36"/>
          <w:szCs w:val="36"/>
        </w:rPr>
      </w:pPr>
      <w:r>
        <w:rPr>
          <w:i/>
          <w:iCs/>
          <w:sz w:val="36"/>
          <w:szCs w:val="36"/>
        </w:rPr>
        <w:t>BA Hons Counselling Studies and Psychology</w:t>
      </w:r>
    </w:p>
    <w:p w14:paraId="4F5546AE" w14:textId="77777777" w:rsidR="00634BCE" w:rsidRDefault="00634BCE" w:rsidP="00634BCE">
      <w:pPr>
        <w:pStyle w:val="BodyText"/>
        <w:kinsoku w:val="0"/>
        <w:overflowPunct w:val="0"/>
        <w:rPr>
          <w:i/>
          <w:iCs/>
          <w:sz w:val="20"/>
          <w:szCs w:val="20"/>
        </w:rPr>
      </w:pPr>
    </w:p>
    <w:p w14:paraId="1585634C" w14:textId="77777777" w:rsidR="00634BCE" w:rsidRDefault="00634BCE" w:rsidP="00634BCE">
      <w:pPr>
        <w:pStyle w:val="BodyText"/>
        <w:kinsoku w:val="0"/>
        <w:overflowPunct w:val="0"/>
        <w:spacing w:before="2"/>
        <w:rPr>
          <w:i/>
          <w:iCs/>
          <w:sz w:val="13"/>
          <w:szCs w:val="13"/>
        </w:rPr>
      </w:pPr>
    </w:p>
    <w:tbl>
      <w:tblPr>
        <w:tblW w:w="0" w:type="auto"/>
        <w:tblInd w:w="3344" w:type="dxa"/>
        <w:tblLayout w:type="fixed"/>
        <w:tblCellMar>
          <w:left w:w="0" w:type="dxa"/>
          <w:right w:w="0" w:type="dxa"/>
        </w:tblCellMar>
        <w:tblLook w:val="0000" w:firstRow="0" w:lastRow="0" w:firstColumn="0" w:lastColumn="0" w:noHBand="0" w:noVBand="0"/>
      </w:tblPr>
      <w:tblGrid>
        <w:gridCol w:w="3781"/>
        <w:gridCol w:w="1138"/>
      </w:tblGrid>
      <w:tr w:rsidR="00634BCE" w14:paraId="7757D207" w14:textId="77777777" w:rsidTr="00634BCE">
        <w:tblPrEx>
          <w:tblCellMar>
            <w:top w:w="0" w:type="dxa"/>
            <w:left w:w="0" w:type="dxa"/>
            <w:bottom w:w="0" w:type="dxa"/>
            <w:right w:w="0" w:type="dxa"/>
          </w:tblCellMar>
        </w:tblPrEx>
        <w:trPr>
          <w:trHeight w:val="881"/>
        </w:trPr>
        <w:tc>
          <w:tcPr>
            <w:tcW w:w="3781" w:type="dxa"/>
            <w:tcBorders>
              <w:top w:val="double" w:sz="2" w:space="0" w:color="000000"/>
              <w:left w:val="double" w:sz="2" w:space="0" w:color="000000"/>
              <w:bottom w:val="double" w:sz="2" w:space="0" w:color="000000"/>
              <w:right w:val="single" w:sz="6" w:space="0" w:color="000000"/>
            </w:tcBorders>
          </w:tcPr>
          <w:p w14:paraId="393F1C2C" w14:textId="77777777" w:rsidR="00634BCE" w:rsidRDefault="00634BCE">
            <w:pPr>
              <w:pStyle w:val="TableParagraph"/>
              <w:kinsoku w:val="0"/>
              <w:overflowPunct w:val="0"/>
              <w:spacing w:line="390" w:lineRule="exact"/>
              <w:ind w:left="228" w:right="234"/>
              <w:jc w:val="center"/>
              <w:rPr>
                <w:b/>
                <w:bCs/>
                <w:sz w:val="32"/>
                <w:szCs w:val="32"/>
              </w:rPr>
            </w:pPr>
            <w:r>
              <w:rPr>
                <w:b/>
                <w:bCs/>
                <w:sz w:val="32"/>
                <w:szCs w:val="32"/>
                <w:u w:val="thick"/>
              </w:rPr>
              <w:t>Provisional Mark</w:t>
            </w:r>
          </w:p>
          <w:p w14:paraId="45289B5A" w14:textId="77777777" w:rsidR="00634BCE" w:rsidRDefault="00634BCE">
            <w:pPr>
              <w:pStyle w:val="TableParagraph"/>
              <w:kinsoku w:val="0"/>
              <w:overflowPunct w:val="0"/>
              <w:spacing w:before="2" w:line="243" w:lineRule="exact"/>
              <w:ind w:left="228" w:right="234"/>
              <w:jc w:val="center"/>
              <w:rPr>
                <w:i/>
                <w:iCs/>
                <w:color w:val="FF0000"/>
                <w:sz w:val="20"/>
                <w:szCs w:val="20"/>
              </w:rPr>
            </w:pPr>
            <w:r>
              <w:rPr>
                <w:i/>
                <w:iCs/>
                <w:color w:val="FF0000"/>
                <w:sz w:val="20"/>
                <w:szCs w:val="20"/>
              </w:rPr>
              <w:t>All marks are subject to moderation and</w:t>
            </w:r>
          </w:p>
          <w:p w14:paraId="41DC9D98" w14:textId="77777777" w:rsidR="00634BCE" w:rsidRDefault="00634BCE">
            <w:pPr>
              <w:pStyle w:val="TableParagraph"/>
              <w:kinsoku w:val="0"/>
              <w:overflowPunct w:val="0"/>
              <w:spacing w:line="226" w:lineRule="exact"/>
              <w:ind w:left="228" w:right="231"/>
              <w:jc w:val="center"/>
              <w:rPr>
                <w:i/>
                <w:iCs/>
                <w:color w:val="FF0000"/>
                <w:sz w:val="20"/>
                <w:szCs w:val="20"/>
              </w:rPr>
            </w:pPr>
            <w:r>
              <w:rPr>
                <w:i/>
                <w:iCs/>
                <w:color w:val="FF0000"/>
                <w:sz w:val="20"/>
                <w:szCs w:val="20"/>
              </w:rPr>
              <w:t>scrutiny by External Examiners</w:t>
            </w:r>
          </w:p>
        </w:tc>
        <w:tc>
          <w:tcPr>
            <w:tcW w:w="1138" w:type="dxa"/>
            <w:tcBorders>
              <w:top w:val="double" w:sz="2" w:space="0" w:color="000000"/>
              <w:left w:val="single" w:sz="6" w:space="0" w:color="000000"/>
              <w:bottom w:val="double" w:sz="2" w:space="0" w:color="000000"/>
              <w:right w:val="double" w:sz="2" w:space="0" w:color="000000"/>
            </w:tcBorders>
          </w:tcPr>
          <w:p w14:paraId="47969826" w14:textId="77777777" w:rsidR="00634BCE" w:rsidRDefault="00634BCE">
            <w:pPr>
              <w:pStyle w:val="TableParagraph"/>
              <w:kinsoku w:val="0"/>
              <w:overflowPunct w:val="0"/>
              <w:spacing w:line="390" w:lineRule="exact"/>
              <w:ind w:left="25"/>
              <w:jc w:val="center"/>
              <w:rPr>
                <w:b/>
                <w:bCs/>
                <w:w w:val="99"/>
                <w:sz w:val="32"/>
                <w:szCs w:val="32"/>
              </w:rPr>
            </w:pPr>
            <w:r>
              <w:rPr>
                <w:b/>
                <w:bCs/>
                <w:w w:val="99"/>
                <w:sz w:val="32"/>
                <w:szCs w:val="32"/>
                <w:u w:val="thick" w:color="000000"/>
              </w:rPr>
              <w:t>%</w:t>
            </w:r>
          </w:p>
        </w:tc>
      </w:tr>
    </w:tbl>
    <w:p w14:paraId="7F2149C7" w14:textId="77777777" w:rsidR="00634BCE" w:rsidRDefault="00634BCE" w:rsidP="00634BCE">
      <w:pPr>
        <w:pStyle w:val="BodyText"/>
        <w:kinsoku w:val="0"/>
        <w:overflowPunct w:val="0"/>
        <w:spacing w:before="69"/>
        <w:ind w:left="718" w:right="738"/>
        <w:jc w:val="center"/>
        <w:rPr>
          <w:color w:val="FF0000"/>
          <w:sz w:val="28"/>
          <w:szCs w:val="28"/>
        </w:rPr>
      </w:pPr>
      <w:r>
        <w:rPr>
          <w:color w:val="FF0000"/>
          <w:sz w:val="28"/>
          <w:szCs w:val="28"/>
          <w:u w:val="single"/>
        </w:rPr>
        <w:t>For Completion by Students</w:t>
      </w:r>
    </w:p>
    <w:p w14:paraId="3B186595" w14:textId="77777777" w:rsidR="00634BCE" w:rsidRDefault="00634BCE" w:rsidP="00634BCE">
      <w:pPr>
        <w:pStyle w:val="BodyText"/>
        <w:kinsoku w:val="0"/>
        <w:overflowPunct w:val="0"/>
        <w:spacing w:before="169" w:after="13"/>
        <w:ind w:left="718" w:right="743"/>
        <w:jc w:val="center"/>
      </w:pPr>
      <w:r>
        <w:t>DO NOT put this form into Turnitin or it will match many similarities with other students’ submissions.</w:t>
      </w:r>
    </w:p>
    <w:tbl>
      <w:tblPr>
        <w:tblW w:w="0" w:type="auto"/>
        <w:tblInd w:w="115" w:type="dxa"/>
        <w:tblLayout w:type="fixed"/>
        <w:tblCellMar>
          <w:left w:w="0" w:type="dxa"/>
          <w:right w:w="0" w:type="dxa"/>
        </w:tblCellMar>
        <w:tblLook w:val="0000" w:firstRow="0" w:lastRow="0" w:firstColumn="0" w:lastColumn="0" w:noHBand="0" w:noVBand="0"/>
      </w:tblPr>
      <w:tblGrid>
        <w:gridCol w:w="1952"/>
        <w:gridCol w:w="2269"/>
        <w:gridCol w:w="1071"/>
        <w:gridCol w:w="430"/>
        <w:gridCol w:w="1230"/>
        <w:gridCol w:w="678"/>
        <w:gridCol w:w="1415"/>
        <w:gridCol w:w="2400"/>
      </w:tblGrid>
      <w:tr w:rsidR="00634BCE" w14:paraId="7B326D5A" w14:textId="77777777">
        <w:tblPrEx>
          <w:tblCellMar>
            <w:top w:w="0" w:type="dxa"/>
            <w:left w:w="0" w:type="dxa"/>
            <w:bottom w:w="0" w:type="dxa"/>
            <w:right w:w="0" w:type="dxa"/>
          </w:tblCellMar>
        </w:tblPrEx>
        <w:trPr>
          <w:trHeight w:val="704"/>
        </w:trPr>
        <w:tc>
          <w:tcPr>
            <w:tcW w:w="1952" w:type="dxa"/>
            <w:tcBorders>
              <w:top w:val="double" w:sz="2" w:space="0" w:color="000000"/>
              <w:left w:val="double" w:sz="2" w:space="0" w:color="000000"/>
              <w:bottom w:val="single" w:sz="6" w:space="0" w:color="000000"/>
              <w:right w:val="single" w:sz="6" w:space="0" w:color="000000"/>
            </w:tcBorders>
            <w:shd w:val="clear" w:color="auto" w:fill="D9D9D9"/>
          </w:tcPr>
          <w:p w14:paraId="31FDDC92" w14:textId="77777777" w:rsidR="00634BCE" w:rsidRDefault="00634BCE">
            <w:pPr>
              <w:pStyle w:val="TableParagraph"/>
              <w:kinsoku w:val="0"/>
              <w:overflowPunct w:val="0"/>
              <w:spacing w:line="292" w:lineRule="exact"/>
              <w:ind w:left="97"/>
              <w:rPr>
                <w:b/>
                <w:bCs/>
              </w:rPr>
            </w:pPr>
            <w:r>
              <w:rPr>
                <w:b/>
                <w:bCs/>
              </w:rPr>
              <w:t>Student Number:</w:t>
            </w:r>
          </w:p>
        </w:tc>
        <w:tc>
          <w:tcPr>
            <w:tcW w:w="2269" w:type="dxa"/>
            <w:tcBorders>
              <w:top w:val="double" w:sz="2" w:space="0" w:color="000000"/>
              <w:left w:val="single" w:sz="6" w:space="0" w:color="000000"/>
              <w:bottom w:val="single" w:sz="6" w:space="0" w:color="000000"/>
              <w:right w:val="none" w:sz="6" w:space="0" w:color="auto"/>
            </w:tcBorders>
          </w:tcPr>
          <w:p w14:paraId="7303A5E7" w14:textId="6D311740" w:rsidR="00634BCE" w:rsidRDefault="00634BCE">
            <w:pPr>
              <w:pStyle w:val="TableParagraph"/>
              <w:kinsoku w:val="0"/>
              <w:overflowPunct w:val="0"/>
              <w:rPr>
                <w:rFonts w:ascii="Times New Roman" w:hAnsi="Times New Roman" w:cs="Times New Roman"/>
              </w:rPr>
            </w:pPr>
            <w:r>
              <w:rPr>
                <w:rFonts w:ascii="Times New Roman" w:hAnsi="Times New Roman" w:cs="Times New Roman"/>
              </w:rPr>
              <w:t>170</w:t>
            </w:r>
            <w:r w:rsidR="00320FBC">
              <w:rPr>
                <w:rFonts w:ascii="Times New Roman" w:hAnsi="Times New Roman" w:cs="Times New Roman"/>
              </w:rPr>
              <w:t>3876</w:t>
            </w:r>
          </w:p>
        </w:tc>
        <w:tc>
          <w:tcPr>
            <w:tcW w:w="1071" w:type="dxa"/>
            <w:tcBorders>
              <w:top w:val="double" w:sz="2" w:space="0" w:color="000000"/>
              <w:left w:val="none" w:sz="6" w:space="0" w:color="auto"/>
              <w:bottom w:val="single" w:sz="6" w:space="0" w:color="000000"/>
              <w:right w:val="single" w:sz="6" w:space="0" w:color="000000"/>
            </w:tcBorders>
          </w:tcPr>
          <w:p w14:paraId="6E007917" w14:textId="77777777" w:rsidR="00634BCE" w:rsidRDefault="00634BCE">
            <w:pPr>
              <w:pStyle w:val="TableParagraph"/>
              <w:kinsoku w:val="0"/>
              <w:overflowPunct w:val="0"/>
              <w:rPr>
                <w:rFonts w:ascii="Times New Roman" w:hAnsi="Times New Roman" w:cs="Times New Roman"/>
              </w:rPr>
            </w:pPr>
          </w:p>
        </w:tc>
        <w:tc>
          <w:tcPr>
            <w:tcW w:w="1660" w:type="dxa"/>
            <w:gridSpan w:val="2"/>
            <w:tcBorders>
              <w:top w:val="double" w:sz="2" w:space="0" w:color="000000"/>
              <w:left w:val="single" w:sz="6" w:space="0" w:color="000000"/>
              <w:bottom w:val="single" w:sz="6" w:space="0" w:color="000000"/>
              <w:right w:val="single" w:sz="6" w:space="0" w:color="000000"/>
            </w:tcBorders>
            <w:shd w:val="clear" w:color="auto" w:fill="D9D9D9"/>
          </w:tcPr>
          <w:p w14:paraId="23325008" w14:textId="77777777" w:rsidR="00634BCE" w:rsidRDefault="00634BCE">
            <w:pPr>
              <w:pStyle w:val="TableParagraph"/>
              <w:kinsoku w:val="0"/>
              <w:overflowPunct w:val="0"/>
              <w:ind w:left="101" w:right="736"/>
              <w:rPr>
                <w:b/>
                <w:bCs/>
              </w:rPr>
            </w:pPr>
            <w:r>
              <w:rPr>
                <w:b/>
                <w:bCs/>
              </w:rPr>
              <w:t>Student Name:</w:t>
            </w:r>
          </w:p>
        </w:tc>
        <w:tc>
          <w:tcPr>
            <w:tcW w:w="4493" w:type="dxa"/>
            <w:gridSpan w:val="3"/>
            <w:tcBorders>
              <w:top w:val="double" w:sz="2" w:space="0" w:color="000000"/>
              <w:left w:val="single" w:sz="6" w:space="0" w:color="000000"/>
              <w:bottom w:val="single" w:sz="6" w:space="0" w:color="000000"/>
              <w:right w:val="single" w:sz="12" w:space="0" w:color="000000"/>
            </w:tcBorders>
          </w:tcPr>
          <w:p w14:paraId="5C35134E" w14:textId="1B47AB54" w:rsidR="00634BCE" w:rsidRDefault="00320FBC">
            <w:pPr>
              <w:pStyle w:val="TableParagraph"/>
              <w:kinsoku w:val="0"/>
              <w:overflowPunct w:val="0"/>
              <w:rPr>
                <w:rFonts w:ascii="Times New Roman" w:hAnsi="Times New Roman" w:cs="Times New Roman"/>
              </w:rPr>
            </w:pPr>
            <w:r>
              <w:rPr>
                <w:rFonts w:ascii="Times New Roman" w:hAnsi="Times New Roman" w:cs="Times New Roman"/>
              </w:rPr>
              <w:t>John Rees</w:t>
            </w:r>
          </w:p>
        </w:tc>
      </w:tr>
      <w:tr w:rsidR="00634BCE" w14:paraId="59943521" w14:textId="77777777">
        <w:tblPrEx>
          <w:tblCellMar>
            <w:top w:w="0" w:type="dxa"/>
            <w:left w:w="0" w:type="dxa"/>
            <w:bottom w:w="0" w:type="dxa"/>
            <w:right w:w="0" w:type="dxa"/>
          </w:tblCellMar>
        </w:tblPrEx>
        <w:trPr>
          <w:trHeight w:val="708"/>
        </w:trPr>
        <w:tc>
          <w:tcPr>
            <w:tcW w:w="1952" w:type="dxa"/>
            <w:tcBorders>
              <w:top w:val="single" w:sz="6" w:space="0" w:color="000000"/>
              <w:left w:val="double" w:sz="2" w:space="0" w:color="000000"/>
              <w:bottom w:val="single" w:sz="6" w:space="0" w:color="000000"/>
              <w:right w:val="single" w:sz="6" w:space="0" w:color="000000"/>
            </w:tcBorders>
            <w:shd w:val="clear" w:color="auto" w:fill="D9D9D9"/>
          </w:tcPr>
          <w:p w14:paraId="589A039D" w14:textId="77777777" w:rsidR="00634BCE" w:rsidRDefault="00634BCE">
            <w:pPr>
              <w:pStyle w:val="TableParagraph"/>
              <w:kinsoku w:val="0"/>
              <w:overflowPunct w:val="0"/>
              <w:spacing w:line="293" w:lineRule="exact"/>
              <w:ind w:left="97"/>
              <w:rPr>
                <w:b/>
                <w:bCs/>
              </w:rPr>
            </w:pPr>
            <w:r>
              <w:rPr>
                <w:b/>
                <w:bCs/>
              </w:rPr>
              <w:t>Lecturer:</w:t>
            </w:r>
          </w:p>
        </w:tc>
        <w:tc>
          <w:tcPr>
            <w:tcW w:w="2269" w:type="dxa"/>
            <w:tcBorders>
              <w:top w:val="single" w:sz="6" w:space="0" w:color="000000"/>
              <w:left w:val="single" w:sz="6" w:space="0" w:color="000000"/>
              <w:bottom w:val="single" w:sz="6" w:space="0" w:color="000000"/>
              <w:right w:val="none" w:sz="6" w:space="0" w:color="auto"/>
            </w:tcBorders>
          </w:tcPr>
          <w:p w14:paraId="278989DC" w14:textId="77777777" w:rsidR="00634BCE" w:rsidRDefault="00634BCE">
            <w:pPr>
              <w:pStyle w:val="TableParagraph"/>
              <w:kinsoku w:val="0"/>
              <w:overflowPunct w:val="0"/>
              <w:spacing w:line="293" w:lineRule="exact"/>
              <w:ind w:left="104"/>
            </w:pPr>
            <w:r>
              <w:t>Andrea Williams</w:t>
            </w:r>
          </w:p>
        </w:tc>
        <w:tc>
          <w:tcPr>
            <w:tcW w:w="1071" w:type="dxa"/>
            <w:tcBorders>
              <w:top w:val="single" w:sz="6" w:space="0" w:color="000000"/>
              <w:left w:val="none" w:sz="6" w:space="0" w:color="auto"/>
              <w:bottom w:val="single" w:sz="6" w:space="0" w:color="000000"/>
              <w:right w:val="single" w:sz="6" w:space="0" w:color="000000"/>
            </w:tcBorders>
          </w:tcPr>
          <w:p w14:paraId="627A7F02" w14:textId="77777777" w:rsidR="00634BCE" w:rsidRDefault="00634BCE">
            <w:pPr>
              <w:pStyle w:val="TableParagraph"/>
              <w:kinsoku w:val="0"/>
              <w:overflowPunct w:val="0"/>
              <w:rPr>
                <w:rFonts w:ascii="Times New Roman" w:hAnsi="Times New Roman" w:cs="Times New Roman"/>
              </w:rPr>
            </w:pPr>
          </w:p>
        </w:tc>
        <w:tc>
          <w:tcPr>
            <w:tcW w:w="1660" w:type="dxa"/>
            <w:gridSpan w:val="2"/>
            <w:tcBorders>
              <w:top w:val="single" w:sz="6" w:space="0" w:color="000000"/>
              <w:left w:val="single" w:sz="6" w:space="0" w:color="000000"/>
              <w:bottom w:val="single" w:sz="6" w:space="0" w:color="000000"/>
              <w:right w:val="single" w:sz="6" w:space="0" w:color="000000"/>
            </w:tcBorders>
            <w:shd w:val="clear" w:color="auto" w:fill="D9D9D9"/>
          </w:tcPr>
          <w:p w14:paraId="10675183" w14:textId="77777777" w:rsidR="00634BCE" w:rsidRDefault="00634BCE">
            <w:pPr>
              <w:pStyle w:val="TableParagraph"/>
              <w:kinsoku w:val="0"/>
              <w:overflowPunct w:val="0"/>
              <w:ind w:left="101" w:right="709"/>
              <w:rPr>
                <w:b/>
                <w:bCs/>
              </w:rPr>
            </w:pPr>
            <w:r>
              <w:rPr>
                <w:b/>
                <w:bCs/>
              </w:rPr>
              <w:t>Internal Verifier:</w:t>
            </w:r>
          </w:p>
        </w:tc>
        <w:tc>
          <w:tcPr>
            <w:tcW w:w="4493" w:type="dxa"/>
            <w:gridSpan w:val="3"/>
            <w:tcBorders>
              <w:top w:val="single" w:sz="6" w:space="0" w:color="000000"/>
              <w:left w:val="single" w:sz="6" w:space="0" w:color="000000"/>
              <w:bottom w:val="single" w:sz="6" w:space="0" w:color="000000"/>
              <w:right w:val="single" w:sz="12" w:space="0" w:color="000000"/>
            </w:tcBorders>
          </w:tcPr>
          <w:p w14:paraId="66AEC3A3" w14:textId="77777777" w:rsidR="00634BCE" w:rsidRDefault="00634BCE">
            <w:pPr>
              <w:pStyle w:val="TableParagraph"/>
              <w:kinsoku w:val="0"/>
              <w:overflowPunct w:val="0"/>
              <w:spacing w:line="293" w:lineRule="exact"/>
              <w:ind w:left="102"/>
            </w:pPr>
            <w:r>
              <w:t>Counselling Team Member</w:t>
            </w:r>
          </w:p>
        </w:tc>
      </w:tr>
      <w:tr w:rsidR="00634BCE" w14:paraId="1DF28756" w14:textId="77777777">
        <w:tblPrEx>
          <w:tblCellMar>
            <w:top w:w="0" w:type="dxa"/>
            <w:left w:w="0" w:type="dxa"/>
            <w:bottom w:w="0" w:type="dxa"/>
            <w:right w:w="0" w:type="dxa"/>
          </w:tblCellMar>
        </w:tblPrEx>
        <w:trPr>
          <w:trHeight w:val="704"/>
        </w:trPr>
        <w:tc>
          <w:tcPr>
            <w:tcW w:w="1952" w:type="dxa"/>
            <w:tcBorders>
              <w:top w:val="single" w:sz="6" w:space="0" w:color="000000"/>
              <w:left w:val="double" w:sz="2" w:space="0" w:color="000000"/>
              <w:bottom w:val="single" w:sz="6" w:space="0" w:color="000000"/>
              <w:right w:val="single" w:sz="6" w:space="0" w:color="000000"/>
            </w:tcBorders>
            <w:shd w:val="clear" w:color="auto" w:fill="D9D9D9"/>
          </w:tcPr>
          <w:p w14:paraId="25C728ED" w14:textId="77777777" w:rsidR="00634BCE" w:rsidRDefault="00634BCE">
            <w:pPr>
              <w:pStyle w:val="TableParagraph"/>
              <w:kinsoku w:val="0"/>
              <w:overflowPunct w:val="0"/>
              <w:ind w:left="97" w:right="476"/>
              <w:rPr>
                <w:b/>
                <w:bCs/>
              </w:rPr>
            </w:pPr>
            <w:r>
              <w:rPr>
                <w:b/>
                <w:bCs/>
              </w:rPr>
              <w:t>Module Code No:</w:t>
            </w:r>
          </w:p>
        </w:tc>
        <w:tc>
          <w:tcPr>
            <w:tcW w:w="2269" w:type="dxa"/>
            <w:tcBorders>
              <w:top w:val="single" w:sz="6" w:space="0" w:color="000000"/>
              <w:left w:val="single" w:sz="6" w:space="0" w:color="000000"/>
              <w:bottom w:val="single" w:sz="6" w:space="0" w:color="000000"/>
              <w:right w:val="none" w:sz="6" w:space="0" w:color="auto"/>
            </w:tcBorders>
          </w:tcPr>
          <w:p w14:paraId="6479E230" w14:textId="77777777" w:rsidR="00634BCE" w:rsidRDefault="00634BCE">
            <w:pPr>
              <w:pStyle w:val="TableParagraph"/>
              <w:kinsoku w:val="0"/>
              <w:overflowPunct w:val="0"/>
              <w:spacing w:line="292" w:lineRule="exact"/>
              <w:ind w:left="104"/>
            </w:pPr>
            <w:r>
              <w:t>M4X00954</w:t>
            </w:r>
          </w:p>
        </w:tc>
        <w:tc>
          <w:tcPr>
            <w:tcW w:w="1071" w:type="dxa"/>
            <w:tcBorders>
              <w:top w:val="single" w:sz="6" w:space="0" w:color="000000"/>
              <w:left w:val="none" w:sz="6" w:space="0" w:color="auto"/>
              <w:bottom w:val="single" w:sz="6" w:space="0" w:color="000000"/>
              <w:right w:val="single" w:sz="6" w:space="0" w:color="000000"/>
            </w:tcBorders>
          </w:tcPr>
          <w:p w14:paraId="32E74054" w14:textId="77777777" w:rsidR="00634BCE" w:rsidRDefault="00634BCE">
            <w:pPr>
              <w:pStyle w:val="TableParagraph"/>
              <w:kinsoku w:val="0"/>
              <w:overflowPunct w:val="0"/>
              <w:rPr>
                <w:rFonts w:ascii="Times New Roman" w:hAnsi="Times New Roman" w:cs="Times New Roman"/>
              </w:rPr>
            </w:pPr>
          </w:p>
        </w:tc>
        <w:tc>
          <w:tcPr>
            <w:tcW w:w="1660" w:type="dxa"/>
            <w:gridSpan w:val="2"/>
            <w:tcBorders>
              <w:top w:val="single" w:sz="6" w:space="0" w:color="000000"/>
              <w:left w:val="single" w:sz="6" w:space="0" w:color="000000"/>
              <w:bottom w:val="single" w:sz="6" w:space="0" w:color="000000"/>
              <w:right w:val="single" w:sz="6" w:space="0" w:color="000000"/>
            </w:tcBorders>
            <w:shd w:val="clear" w:color="auto" w:fill="D9D9D9"/>
          </w:tcPr>
          <w:p w14:paraId="6C9B97C7" w14:textId="77777777" w:rsidR="00634BCE" w:rsidRDefault="00634BCE">
            <w:pPr>
              <w:pStyle w:val="TableParagraph"/>
              <w:kinsoku w:val="0"/>
              <w:overflowPunct w:val="0"/>
              <w:spacing w:line="292" w:lineRule="exact"/>
              <w:ind w:left="101"/>
              <w:rPr>
                <w:b/>
                <w:bCs/>
              </w:rPr>
            </w:pPr>
            <w:r>
              <w:rPr>
                <w:b/>
                <w:bCs/>
              </w:rPr>
              <w:t>Module Title</w:t>
            </w:r>
          </w:p>
        </w:tc>
        <w:tc>
          <w:tcPr>
            <w:tcW w:w="4493" w:type="dxa"/>
            <w:gridSpan w:val="3"/>
            <w:tcBorders>
              <w:top w:val="single" w:sz="6" w:space="0" w:color="000000"/>
              <w:left w:val="single" w:sz="6" w:space="0" w:color="000000"/>
              <w:bottom w:val="single" w:sz="6" w:space="0" w:color="000000"/>
              <w:right w:val="single" w:sz="12" w:space="0" w:color="000000"/>
            </w:tcBorders>
          </w:tcPr>
          <w:p w14:paraId="281A8F27" w14:textId="77777777" w:rsidR="00634BCE" w:rsidRDefault="00634BCE">
            <w:pPr>
              <w:pStyle w:val="TableParagraph"/>
              <w:kinsoku w:val="0"/>
              <w:overflowPunct w:val="0"/>
              <w:spacing w:line="292" w:lineRule="exact"/>
              <w:ind w:left="102"/>
            </w:pPr>
            <w:r>
              <w:t>Contemporary Context of Counselling Skill</w:t>
            </w:r>
          </w:p>
        </w:tc>
      </w:tr>
      <w:tr w:rsidR="00634BCE" w14:paraId="334305A6" w14:textId="77777777">
        <w:tblPrEx>
          <w:tblCellMar>
            <w:top w:w="0" w:type="dxa"/>
            <w:left w:w="0" w:type="dxa"/>
            <w:bottom w:w="0" w:type="dxa"/>
            <w:right w:w="0" w:type="dxa"/>
          </w:tblCellMar>
        </w:tblPrEx>
        <w:trPr>
          <w:trHeight w:val="705"/>
        </w:trPr>
        <w:tc>
          <w:tcPr>
            <w:tcW w:w="1952" w:type="dxa"/>
            <w:tcBorders>
              <w:top w:val="single" w:sz="6" w:space="0" w:color="000000"/>
              <w:left w:val="double" w:sz="2" w:space="0" w:color="000000"/>
              <w:bottom w:val="single" w:sz="6" w:space="0" w:color="000000"/>
              <w:right w:val="single" w:sz="6" w:space="0" w:color="000000"/>
            </w:tcBorders>
            <w:shd w:val="clear" w:color="auto" w:fill="D9D9D9"/>
          </w:tcPr>
          <w:p w14:paraId="7C3EC29C" w14:textId="77777777" w:rsidR="00634BCE" w:rsidRDefault="00634BCE">
            <w:pPr>
              <w:pStyle w:val="TableParagraph"/>
              <w:kinsoku w:val="0"/>
              <w:overflowPunct w:val="0"/>
              <w:ind w:left="97" w:right="721"/>
              <w:rPr>
                <w:b/>
                <w:bCs/>
              </w:rPr>
            </w:pPr>
            <w:r>
              <w:rPr>
                <w:b/>
                <w:bCs/>
              </w:rPr>
              <w:t>Module Weighting:</w:t>
            </w:r>
          </w:p>
        </w:tc>
        <w:tc>
          <w:tcPr>
            <w:tcW w:w="2269" w:type="dxa"/>
            <w:tcBorders>
              <w:top w:val="single" w:sz="6" w:space="0" w:color="000000"/>
              <w:left w:val="single" w:sz="6" w:space="0" w:color="000000"/>
              <w:bottom w:val="single" w:sz="6" w:space="0" w:color="000000"/>
              <w:right w:val="single" w:sz="6" w:space="0" w:color="000000"/>
            </w:tcBorders>
          </w:tcPr>
          <w:p w14:paraId="0EBCC8BF" w14:textId="77777777" w:rsidR="00634BCE" w:rsidRDefault="00634BCE">
            <w:pPr>
              <w:pStyle w:val="TableParagraph"/>
              <w:kinsoku w:val="0"/>
              <w:overflowPunct w:val="0"/>
              <w:spacing w:line="292" w:lineRule="exact"/>
              <w:ind w:left="104"/>
              <w:rPr>
                <w:b/>
                <w:bCs/>
              </w:rPr>
            </w:pPr>
            <w:r>
              <w:rPr>
                <w:b/>
                <w:bCs/>
              </w:rPr>
              <w:t>50%</w:t>
            </w:r>
          </w:p>
        </w:tc>
        <w:tc>
          <w:tcPr>
            <w:tcW w:w="1501" w:type="dxa"/>
            <w:gridSpan w:val="2"/>
            <w:tcBorders>
              <w:top w:val="single" w:sz="6" w:space="0" w:color="000000"/>
              <w:left w:val="single" w:sz="6" w:space="0" w:color="000000"/>
              <w:bottom w:val="single" w:sz="6" w:space="0" w:color="000000"/>
              <w:right w:val="single" w:sz="6" w:space="0" w:color="000000"/>
            </w:tcBorders>
            <w:shd w:val="clear" w:color="auto" w:fill="D9D9D9"/>
          </w:tcPr>
          <w:p w14:paraId="7B6DF46A" w14:textId="77777777" w:rsidR="00634BCE" w:rsidRDefault="00634BCE">
            <w:pPr>
              <w:pStyle w:val="TableParagraph"/>
              <w:kinsoku w:val="0"/>
              <w:overflowPunct w:val="0"/>
              <w:ind w:left="104" w:right="585"/>
              <w:rPr>
                <w:b/>
                <w:bCs/>
              </w:rPr>
            </w:pPr>
            <w:r>
              <w:rPr>
                <w:b/>
                <w:bCs/>
              </w:rPr>
              <w:t>Module Type:</w:t>
            </w:r>
          </w:p>
        </w:tc>
        <w:tc>
          <w:tcPr>
            <w:tcW w:w="1230" w:type="dxa"/>
            <w:tcBorders>
              <w:top w:val="single" w:sz="6" w:space="0" w:color="000000"/>
              <w:left w:val="single" w:sz="6" w:space="0" w:color="000000"/>
              <w:bottom w:val="single" w:sz="6" w:space="0" w:color="000000"/>
              <w:right w:val="none" w:sz="6" w:space="0" w:color="auto"/>
            </w:tcBorders>
          </w:tcPr>
          <w:p w14:paraId="44468D14" w14:textId="77777777" w:rsidR="00634BCE" w:rsidRDefault="00634BCE">
            <w:pPr>
              <w:pStyle w:val="TableParagraph"/>
              <w:kinsoku w:val="0"/>
              <w:overflowPunct w:val="0"/>
              <w:spacing w:line="292" w:lineRule="exact"/>
              <w:ind w:left="101"/>
              <w:rPr>
                <w:b/>
                <w:bCs/>
              </w:rPr>
            </w:pPr>
            <w:r>
              <w:rPr>
                <w:b/>
                <w:bCs/>
              </w:rPr>
              <w:t>Essay</w:t>
            </w:r>
          </w:p>
        </w:tc>
        <w:tc>
          <w:tcPr>
            <w:tcW w:w="678" w:type="dxa"/>
            <w:tcBorders>
              <w:top w:val="single" w:sz="6" w:space="0" w:color="000000"/>
              <w:left w:val="none" w:sz="6" w:space="0" w:color="auto"/>
              <w:bottom w:val="single" w:sz="6" w:space="0" w:color="000000"/>
              <w:right w:val="single" w:sz="6" w:space="0" w:color="000000"/>
            </w:tcBorders>
          </w:tcPr>
          <w:p w14:paraId="619F1ACB" w14:textId="77777777" w:rsidR="00634BCE" w:rsidRDefault="00634BCE">
            <w:pPr>
              <w:pStyle w:val="TableParagraph"/>
              <w:kinsoku w:val="0"/>
              <w:overflowPunct w:val="0"/>
              <w:rPr>
                <w:rFonts w:ascii="Times New Roman" w:hAnsi="Times New Roman" w:cs="Times New Roman"/>
              </w:rPr>
            </w:pPr>
          </w:p>
        </w:tc>
        <w:tc>
          <w:tcPr>
            <w:tcW w:w="1415" w:type="dxa"/>
            <w:tcBorders>
              <w:top w:val="single" w:sz="6" w:space="0" w:color="000000"/>
              <w:left w:val="single" w:sz="6" w:space="0" w:color="000000"/>
              <w:bottom w:val="single" w:sz="6" w:space="0" w:color="000000"/>
              <w:right w:val="single" w:sz="6" w:space="0" w:color="000000"/>
            </w:tcBorders>
            <w:shd w:val="clear" w:color="auto" w:fill="D9D9D9"/>
          </w:tcPr>
          <w:p w14:paraId="2FD3D87B" w14:textId="77777777" w:rsidR="00634BCE" w:rsidRDefault="00634BCE">
            <w:pPr>
              <w:pStyle w:val="TableParagraph"/>
              <w:kinsoku w:val="0"/>
              <w:overflowPunct w:val="0"/>
              <w:ind w:left="99" w:right="103"/>
              <w:rPr>
                <w:b/>
                <w:bCs/>
              </w:rPr>
            </w:pPr>
            <w:r>
              <w:rPr>
                <w:b/>
                <w:bCs/>
              </w:rPr>
              <w:t>Assessment No:</w:t>
            </w:r>
          </w:p>
        </w:tc>
        <w:tc>
          <w:tcPr>
            <w:tcW w:w="2400" w:type="dxa"/>
            <w:tcBorders>
              <w:top w:val="single" w:sz="6" w:space="0" w:color="000000"/>
              <w:left w:val="single" w:sz="6" w:space="0" w:color="000000"/>
              <w:bottom w:val="single" w:sz="6" w:space="0" w:color="000000"/>
              <w:right w:val="single" w:sz="12" w:space="0" w:color="000000"/>
            </w:tcBorders>
          </w:tcPr>
          <w:p w14:paraId="6D24AE63" w14:textId="77777777" w:rsidR="00634BCE" w:rsidRDefault="00634BCE">
            <w:pPr>
              <w:pStyle w:val="TableParagraph"/>
              <w:kinsoku w:val="0"/>
              <w:overflowPunct w:val="0"/>
              <w:spacing w:line="292" w:lineRule="exact"/>
              <w:ind w:left="100"/>
              <w:rPr>
                <w:b/>
                <w:bCs/>
              </w:rPr>
            </w:pPr>
            <w:r>
              <w:rPr>
                <w:b/>
                <w:bCs/>
              </w:rPr>
              <w:t>1 of 2</w:t>
            </w:r>
          </w:p>
        </w:tc>
      </w:tr>
      <w:tr w:rsidR="00634BCE" w14:paraId="24D70FF4" w14:textId="77777777">
        <w:tblPrEx>
          <w:tblCellMar>
            <w:top w:w="0" w:type="dxa"/>
            <w:left w:w="0" w:type="dxa"/>
            <w:bottom w:w="0" w:type="dxa"/>
            <w:right w:w="0" w:type="dxa"/>
          </w:tblCellMar>
        </w:tblPrEx>
        <w:trPr>
          <w:trHeight w:val="1742"/>
        </w:trPr>
        <w:tc>
          <w:tcPr>
            <w:tcW w:w="1952" w:type="dxa"/>
            <w:tcBorders>
              <w:top w:val="single" w:sz="6" w:space="0" w:color="000000"/>
              <w:left w:val="double" w:sz="2" w:space="0" w:color="000000"/>
              <w:bottom w:val="single" w:sz="6" w:space="0" w:color="000000"/>
              <w:right w:val="single" w:sz="6" w:space="0" w:color="000000"/>
            </w:tcBorders>
            <w:shd w:val="clear" w:color="auto" w:fill="D9D9D9"/>
          </w:tcPr>
          <w:p w14:paraId="2D3C8A8C" w14:textId="77777777" w:rsidR="00634BCE" w:rsidRDefault="00634BCE">
            <w:pPr>
              <w:pStyle w:val="TableParagraph"/>
              <w:kinsoku w:val="0"/>
              <w:overflowPunct w:val="0"/>
              <w:spacing w:before="1"/>
              <w:ind w:left="97"/>
              <w:rPr>
                <w:b/>
                <w:bCs/>
              </w:rPr>
            </w:pPr>
            <w:r>
              <w:rPr>
                <w:b/>
                <w:bCs/>
              </w:rPr>
              <w:t>Question Title:</w:t>
            </w:r>
          </w:p>
        </w:tc>
        <w:tc>
          <w:tcPr>
            <w:tcW w:w="9493" w:type="dxa"/>
            <w:gridSpan w:val="7"/>
            <w:tcBorders>
              <w:top w:val="single" w:sz="6" w:space="0" w:color="000000"/>
              <w:left w:val="single" w:sz="6" w:space="0" w:color="000000"/>
              <w:bottom w:val="single" w:sz="6" w:space="0" w:color="000000"/>
              <w:right w:val="single" w:sz="12" w:space="0" w:color="000000"/>
            </w:tcBorders>
          </w:tcPr>
          <w:p w14:paraId="069BDD27" w14:textId="77777777" w:rsidR="00634BCE" w:rsidRDefault="00634BCE">
            <w:pPr>
              <w:pStyle w:val="TableParagraph"/>
              <w:kinsoku w:val="0"/>
              <w:overflowPunct w:val="0"/>
              <w:spacing w:before="3"/>
              <w:rPr>
                <w:b/>
                <w:bCs/>
                <w:sz w:val="32"/>
                <w:szCs w:val="32"/>
              </w:rPr>
            </w:pPr>
          </w:p>
          <w:p w14:paraId="247FCECD" w14:textId="77777777" w:rsidR="00634BCE" w:rsidRDefault="00634BCE">
            <w:pPr>
              <w:pStyle w:val="TableParagraph"/>
              <w:kinsoku w:val="0"/>
              <w:overflowPunct w:val="0"/>
              <w:ind w:left="104" w:right="511" w:firstLine="67"/>
              <w:rPr>
                <w:rFonts w:ascii="Arial" w:hAnsi="Arial" w:cs="Arial"/>
                <w:b/>
                <w:bCs/>
              </w:rPr>
            </w:pPr>
            <w:r>
              <w:rPr>
                <w:rFonts w:ascii="Arial" w:hAnsi="Arial" w:cs="Arial"/>
                <w:b/>
                <w:bCs/>
              </w:rPr>
              <w:t>‘There is often a link between ill health and poverty; Discuss the social, economic and environmental influences that impact psychological health and well-being’</w:t>
            </w:r>
          </w:p>
          <w:p w14:paraId="562D59B3" w14:textId="77777777" w:rsidR="00634BCE" w:rsidRDefault="00634BCE">
            <w:pPr>
              <w:pStyle w:val="TableParagraph"/>
              <w:kinsoku w:val="0"/>
              <w:overflowPunct w:val="0"/>
              <w:spacing w:before="120"/>
              <w:ind w:left="104"/>
              <w:rPr>
                <w:rFonts w:ascii="Arial" w:hAnsi="Arial" w:cs="Arial"/>
                <w:b/>
                <w:bCs/>
              </w:rPr>
            </w:pPr>
            <w:r>
              <w:rPr>
                <w:rFonts w:ascii="Arial" w:hAnsi="Arial" w:cs="Arial"/>
                <w:b/>
                <w:bCs/>
              </w:rPr>
              <w:t>Word Count: 2,000 words</w:t>
            </w:r>
          </w:p>
        </w:tc>
      </w:tr>
      <w:tr w:rsidR="00634BCE" w14:paraId="6F3D0308" w14:textId="77777777">
        <w:tblPrEx>
          <w:tblCellMar>
            <w:top w:w="0" w:type="dxa"/>
            <w:left w:w="0" w:type="dxa"/>
            <w:bottom w:w="0" w:type="dxa"/>
            <w:right w:w="0" w:type="dxa"/>
          </w:tblCellMar>
        </w:tblPrEx>
        <w:trPr>
          <w:trHeight w:val="824"/>
        </w:trPr>
        <w:tc>
          <w:tcPr>
            <w:tcW w:w="1952" w:type="dxa"/>
            <w:tcBorders>
              <w:top w:val="single" w:sz="6" w:space="0" w:color="000000"/>
              <w:left w:val="double" w:sz="2" w:space="0" w:color="000000"/>
              <w:bottom w:val="double" w:sz="2" w:space="0" w:color="000000"/>
              <w:right w:val="single" w:sz="6" w:space="0" w:color="000000"/>
            </w:tcBorders>
            <w:shd w:val="clear" w:color="auto" w:fill="D9D9D9"/>
          </w:tcPr>
          <w:p w14:paraId="698BDB01" w14:textId="77777777" w:rsidR="00634BCE" w:rsidRDefault="00634BCE">
            <w:pPr>
              <w:pStyle w:val="TableParagraph"/>
              <w:kinsoku w:val="0"/>
              <w:overflowPunct w:val="0"/>
              <w:spacing w:line="292" w:lineRule="exact"/>
              <w:ind w:left="97"/>
              <w:rPr>
                <w:b/>
                <w:bCs/>
              </w:rPr>
            </w:pPr>
            <w:r>
              <w:rPr>
                <w:b/>
                <w:bCs/>
              </w:rPr>
              <w:t>Hand-out Date</w:t>
            </w:r>
          </w:p>
        </w:tc>
        <w:tc>
          <w:tcPr>
            <w:tcW w:w="2269" w:type="dxa"/>
            <w:tcBorders>
              <w:top w:val="single" w:sz="6" w:space="0" w:color="000000"/>
              <w:left w:val="single" w:sz="6" w:space="0" w:color="000000"/>
              <w:bottom w:val="double" w:sz="2" w:space="0" w:color="000000"/>
              <w:right w:val="single" w:sz="6" w:space="0" w:color="000000"/>
            </w:tcBorders>
          </w:tcPr>
          <w:p w14:paraId="355DADA0" w14:textId="77777777" w:rsidR="00634BCE" w:rsidRDefault="00634BCE">
            <w:pPr>
              <w:pStyle w:val="TableParagraph"/>
              <w:kinsoku w:val="0"/>
              <w:overflowPunct w:val="0"/>
              <w:spacing w:line="292" w:lineRule="exact"/>
              <w:ind w:left="104"/>
              <w:rPr>
                <w:b/>
                <w:bCs/>
              </w:rPr>
            </w:pPr>
            <w:r>
              <w:rPr>
                <w:b/>
                <w:bCs/>
              </w:rPr>
              <w:t>2nd October 2017</w:t>
            </w:r>
          </w:p>
        </w:tc>
        <w:tc>
          <w:tcPr>
            <w:tcW w:w="1501" w:type="dxa"/>
            <w:gridSpan w:val="2"/>
            <w:tcBorders>
              <w:top w:val="single" w:sz="6" w:space="0" w:color="000000"/>
              <w:left w:val="single" w:sz="6" w:space="0" w:color="000000"/>
              <w:bottom w:val="double" w:sz="2" w:space="0" w:color="000000"/>
              <w:right w:val="single" w:sz="6" w:space="0" w:color="000000"/>
            </w:tcBorders>
            <w:shd w:val="clear" w:color="auto" w:fill="D9D9D9"/>
          </w:tcPr>
          <w:p w14:paraId="65DA9B0E" w14:textId="77777777" w:rsidR="00634BCE" w:rsidRDefault="00634BCE">
            <w:pPr>
              <w:pStyle w:val="TableParagraph"/>
              <w:kinsoku w:val="0"/>
              <w:overflowPunct w:val="0"/>
              <w:ind w:left="104" w:right="228"/>
              <w:rPr>
                <w:b/>
                <w:bCs/>
              </w:rPr>
            </w:pPr>
            <w:r>
              <w:rPr>
                <w:b/>
                <w:bCs/>
              </w:rPr>
              <w:t>Submission Date</w:t>
            </w:r>
          </w:p>
        </w:tc>
        <w:tc>
          <w:tcPr>
            <w:tcW w:w="1908" w:type="dxa"/>
            <w:gridSpan w:val="2"/>
            <w:tcBorders>
              <w:top w:val="single" w:sz="6" w:space="0" w:color="000000"/>
              <w:left w:val="single" w:sz="6" w:space="0" w:color="000000"/>
              <w:bottom w:val="double" w:sz="2" w:space="0" w:color="000000"/>
              <w:right w:val="single" w:sz="6" w:space="0" w:color="000000"/>
            </w:tcBorders>
          </w:tcPr>
          <w:p w14:paraId="0E7B5051" w14:textId="77777777" w:rsidR="00634BCE" w:rsidRDefault="00634BCE">
            <w:pPr>
              <w:pStyle w:val="TableParagraph"/>
              <w:kinsoku w:val="0"/>
              <w:overflowPunct w:val="0"/>
              <w:ind w:left="101" w:right="2"/>
              <w:rPr>
                <w:b/>
                <w:bCs/>
              </w:rPr>
            </w:pPr>
            <w:r>
              <w:rPr>
                <w:b/>
                <w:bCs/>
              </w:rPr>
              <w:t>5</w:t>
            </w:r>
            <w:r>
              <w:rPr>
                <w:b/>
                <w:bCs/>
                <w:position w:val="8"/>
                <w:sz w:val="16"/>
                <w:szCs w:val="16"/>
              </w:rPr>
              <w:t xml:space="preserve">th </w:t>
            </w:r>
            <w:r>
              <w:rPr>
                <w:b/>
                <w:bCs/>
              </w:rPr>
              <w:t>December 2017</w:t>
            </w:r>
          </w:p>
        </w:tc>
        <w:tc>
          <w:tcPr>
            <w:tcW w:w="1415" w:type="dxa"/>
            <w:tcBorders>
              <w:top w:val="single" w:sz="6" w:space="0" w:color="000000"/>
              <w:left w:val="single" w:sz="6" w:space="0" w:color="000000"/>
              <w:bottom w:val="double" w:sz="2" w:space="0" w:color="000000"/>
              <w:right w:val="single" w:sz="6" w:space="0" w:color="000000"/>
            </w:tcBorders>
            <w:shd w:val="clear" w:color="auto" w:fill="D9D9D9"/>
          </w:tcPr>
          <w:p w14:paraId="2BC4D9F1" w14:textId="77777777" w:rsidR="00634BCE" w:rsidRDefault="00634BCE">
            <w:pPr>
              <w:pStyle w:val="TableParagraph"/>
              <w:kinsoku w:val="0"/>
              <w:overflowPunct w:val="0"/>
              <w:ind w:left="99" w:right="598"/>
              <w:rPr>
                <w:b/>
                <w:bCs/>
              </w:rPr>
            </w:pPr>
            <w:r>
              <w:rPr>
                <w:b/>
                <w:bCs/>
              </w:rPr>
              <w:t>Return Date</w:t>
            </w:r>
          </w:p>
        </w:tc>
        <w:tc>
          <w:tcPr>
            <w:tcW w:w="2400" w:type="dxa"/>
            <w:tcBorders>
              <w:top w:val="single" w:sz="6" w:space="0" w:color="000000"/>
              <w:left w:val="single" w:sz="6" w:space="0" w:color="000000"/>
              <w:bottom w:val="double" w:sz="2" w:space="0" w:color="000000"/>
              <w:right w:val="single" w:sz="12" w:space="0" w:color="000000"/>
            </w:tcBorders>
          </w:tcPr>
          <w:p w14:paraId="39E9B3F7" w14:textId="77777777" w:rsidR="00634BCE" w:rsidRDefault="00634BCE">
            <w:pPr>
              <w:pStyle w:val="TableParagraph"/>
              <w:kinsoku w:val="0"/>
              <w:overflowPunct w:val="0"/>
              <w:spacing w:line="292" w:lineRule="exact"/>
              <w:ind w:left="100"/>
              <w:rPr>
                <w:b/>
                <w:bCs/>
              </w:rPr>
            </w:pPr>
            <w:r>
              <w:rPr>
                <w:b/>
                <w:bCs/>
              </w:rPr>
              <w:t>20 working days</w:t>
            </w:r>
          </w:p>
          <w:p w14:paraId="55A9D429" w14:textId="77777777" w:rsidR="00634BCE" w:rsidRDefault="00634BCE">
            <w:pPr>
              <w:pStyle w:val="TableParagraph"/>
              <w:kinsoku w:val="0"/>
              <w:overflowPunct w:val="0"/>
              <w:spacing w:before="116"/>
              <w:ind w:left="100"/>
              <w:rPr>
                <w:b/>
                <w:bCs/>
              </w:rPr>
            </w:pPr>
            <w:r>
              <w:rPr>
                <w:b/>
                <w:bCs/>
              </w:rPr>
              <w:t>9</w:t>
            </w:r>
            <w:r>
              <w:rPr>
                <w:b/>
                <w:bCs/>
                <w:position w:val="8"/>
                <w:sz w:val="16"/>
                <w:szCs w:val="16"/>
              </w:rPr>
              <w:t xml:space="preserve">th </w:t>
            </w:r>
            <w:r>
              <w:rPr>
                <w:b/>
                <w:bCs/>
              </w:rPr>
              <w:t>January 2018</w:t>
            </w:r>
          </w:p>
        </w:tc>
      </w:tr>
    </w:tbl>
    <w:p w14:paraId="12AA3774" w14:textId="77777777" w:rsidR="00634BCE" w:rsidRDefault="00634BCE" w:rsidP="00634BCE">
      <w:pPr>
        <w:pStyle w:val="BodyText"/>
        <w:kinsoku w:val="0"/>
        <w:overflowPunct w:val="0"/>
        <w:rPr>
          <w:sz w:val="22"/>
          <w:szCs w:val="22"/>
        </w:rPr>
      </w:pPr>
    </w:p>
    <w:tbl>
      <w:tblPr>
        <w:tblW w:w="0" w:type="auto"/>
        <w:tblInd w:w="212" w:type="dxa"/>
        <w:tblLayout w:type="fixed"/>
        <w:tblCellMar>
          <w:left w:w="0" w:type="dxa"/>
          <w:right w:w="0" w:type="dxa"/>
        </w:tblCellMar>
        <w:tblLook w:val="0000" w:firstRow="0" w:lastRow="0" w:firstColumn="0" w:lastColumn="0" w:noHBand="0" w:noVBand="0"/>
      </w:tblPr>
      <w:tblGrid>
        <w:gridCol w:w="9357"/>
        <w:gridCol w:w="1136"/>
        <w:gridCol w:w="706"/>
      </w:tblGrid>
      <w:tr w:rsidR="00634BCE" w14:paraId="49CD5F70" w14:textId="77777777">
        <w:tblPrEx>
          <w:tblCellMar>
            <w:top w:w="0" w:type="dxa"/>
            <w:left w:w="0" w:type="dxa"/>
            <w:bottom w:w="0" w:type="dxa"/>
            <w:right w:w="0" w:type="dxa"/>
          </w:tblCellMar>
        </w:tblPrEx>
        <w:trPr>
          <w:trHeight w:val="291"/>
        </w:trPr>
        <w:tc>
          <w:tcPr>
            <w:tcW w:w="9357" w:type="dxa"/>
            <w:tcBorders>
              <w:top w:val="double" w:sz="2" w:space="0" w:color="000000"/>
              <w:left w:val="single" w:sz="12" w:space="0" w:color="000000"/>
              <w:bottom w:val="single" w:sz="6" w:space="0" w:color="000000"/>
              <w:right w:val="single" w:sz="6" w:space="0" w:color="000000"/>
            </w:tcBorders>
            <w:shd w:val="clear" w:color="auto" w:fill="D9D9D9"/>
          </w:tcPr>
          <w:p w14:paraId="271E2633" w14:textId="77777777" w:rsidR="00634BCE" w:rsidRDefault="00634BCE">
            <w:pPr>
              <w:pStyle w:val="TableParagraph"/>
              <w:kinsoku w:val="0"/>
              <w:overflowPunct w:val="0"/>
              <w:spacing w:line="272" w:lineRule="exact"/>
              <w:ind w:left="3977" w:right="3961"/>
              <w:jc w:val="center"/>
              <w:rPr>
                <w:b/>
                <w:bCs/>
              </w:rPr>
            </w:pPr>
            <w:r>
              <w:rPr>
                <w:b/>
                <w:bCs/>
              </w:rPr>
              <w:t>SUBMISSION:</w:t>
            </w:r>
          </w:p>
        </w:tc>
        <w:tc>
          <w:tcPr>
            <w:tcW w:w="1842" w:type="dxa"/>
            <w:gridSpan w:val="2"/>
            <w:tcBorders>
              <w:top w:val="double" w:sz="2" w:space="0" w:color="000000"/>
              <w:left w:val="single" w:sz="6" w:space="0" w:color="000000"/>
              <w:bottom w:val="single" w:sz="6" w:space="0" w:color="000000"/>
              <w:right w:val="single" w:sz="18" w:space="0" w:color="000000"/>
            </w:tcBorders>
            <w:shd w:val="clear" w:color="auto" w:fill="D9D9D9"/>
          </w:tcPr>
          <w:p w14:paraId="4AAC29D3" w14:textId="77777777" w:rsidR="00634BCE" w:rsidRDefault="00634BCE">
            <w:pPr>
              <w:pStyle w:val="TableParagraph"/>
              <w:kinsoku w:val="0"/>
              <w:overflowPunct w:val="0"/>
              <w:spacing w:line="265" w:lineRule="exact"/>
              <w:ind w:left="663" w:right="613"/>
              <w:jc w:val="center"/>
              <w:rPr>
                <w:b/>
                <w:bCs/>
                <w:sz w:val="22"/>
                <w:szCs w:val="22"/>
              </w:rPr>
            </w:pPr>
            <w:r>
              <w:rPr>
                <w:b/>
                <w:bCs/>
                <w:sz w:val="22"/>
                <w:szCs w:val="22"/>
              </w:rPr>
              <w:t>Date:</w:t>
            </w:r>
          </w:p>
        </w:tc>
      </w:tr>
      <w:tr w:rsidR="00634BCE" w14:paraId="37690D91" w14:textId="77777777">
        <w:tblPrEx>
          <w:tblCellMar>
            <w:top w:w="0" w:type="dxa"/>
            <w:left w:w="0" w:type="dxa"/>
            <w:bottom w:w="0" w:type="dxa"/>
            <w:right w:w="0" w:type="dxa"/>
          </w:tblCellMar>
        </w:tblPrEx>
        <w:trPr>
          <w:trHeight w:val="1344"/>
        </w:trPr>
        <w:tc>
          <w:tcPr>
            <w:tcW w:w="9357" w:type="dxa"/>
            <w:tcBorders>
              <w:top w:val="single" w:sz="6" w:space="0" w:color="000000"/>
              <w:left w:val="single" w:sz="12" w:space="0" w:color="000000"/>
              <w:bottom w:val="single" w:sz="6" w:space="0" w:color="000000"/>
              <w:right w:val="single" w:sz="6" w:space="0" w:color="000000"/>
            </w:tcBorders>
            <w:shd w:val="clear" w:color="auto" w:fill="D9D9D9"/>
          </w:tcPr>
          <w:p w14:paraId="66D33915" w14:textId="77777777" w:rsidR="00634BCE" w:rsidRDefault="00634BCE">
            <w:pPr>
              <w:pStyle w:val="TableParagraph"/>
              <w:kinsoku w:val="0"/>
              <w:overflowPunct w:val="0"/>
              <w:ind w:left="106" w:right="922"/>
              <w:rPr>
                <w:sz w:val="22"/>
                <w:szCs w:val="22"/>
              </w:rPr>
            </w:pPr>
            <w:r>
              <w:rPr>
                <w:b/>
                <w:bCs/>
                <w:sz w:val="22"/>
                <w:szCs w:val="22"/>
              </w:rPr>
              <w:t>All assignments must be submitted to Turnitin unless otherwise instructed by the Lecturer. Note</w:t>
            </w:r>
            <w:r>
              <w:rPr>
                <w:sz w:val="22"/>
                <w:szCs w:val="22"/>
              </w:rPr>
              <w:t>: the Turnitin version is the primary submission and acts as a receipt for the student.</w:t>
            </w:r>
          </w:p>
          <w:p w14:paraId="5041BBF6" w14:textId="77777777" w:rsidR="00634BCE" w:rsidRDefault="00634BCE">
            <w:pPr>
              <w:pStyle w:val="TableParagraph"/>
              <w:kinsoku w:val="0"/>
              <w:overflowPunct w:val="0"/>
              <w:spacing w:line="267" w:lineRule="exact"/>
              <w:ind w:left="106"/>
              <w:rPr>
                <w:b/>
                <w:bCs/>
                <w:sz w:val="22"/>
                <w:szCs w:val="22"/>
              </w:rPr>
            </w:pPr>
            <w:r>
              <w:rPr>
                <w:b/>
                <w:bCs/>
                <w:sz w:val="22"/>
                <w:szCs w:val="22"/>
              </w:rPr>
              <w:t>Late submission of the electronic version of the assignment will result in a late penalty mark.</w:t>
            </w:r>
          </w:p>
          <w:p w14:paraId="04D4A456" w14:textId="77777777" w:rsidR="00634BCE" w:rsidRDefault="00634BCE">
            <w:pPr>
              <w:pStyle w:val="TableParagraph"/>
              <w:kinsoku w:val="0"/>
              <w:overflowPunct w:val="0"/>
              <w:spacing w:line="267" w:lineRule="exact"/>
              <w:ind w:left="106"/>
              <w:rPr>
                <w:sz w:val="22"/>
                <w:szCs w:val="22"/>
              </w:rPr>
            </w:pPr>
            <w:r>
              <w:rPr>
                <w:sz w:val="22"/>
                <w:szCs w:val="22"/>
              </w:rPr>
              <w:t>Penalties for late submission: Up to one week late, maximum mark of 40%.</w:t>
            </w:r>
          </w:p>
          <w:p w14:paraId="6CB13428" w14:textId="77777777" w:rsidR="00634BCE" w:rsidRDefault="00634BCE">
            <w:pPr>
              <w:pStyle w:val="TableParagraph"/>
              <w:kinsoku w:val="0"/>
              <w:overflowPunct w:val="0"/>
              <w:spacing w:line="252" w:lineRule="exact"/>
              <w:ind w:left="106"/>
              <w:rPr>
                <w:sz w:val="22"/>
                <w:szCs w:val="22"/>
              </w:rPr>
            </w:pPr>
            <w:r>
              <w:rPr>
                <w:sz w:val="22"/>
                <w:szCs w:val="22"/>
              </w:rPr>
              <w:t>Only the Extenuating Circumstances Panel may grant an extension.</w:t>
            </w:r>
          </w:p>
        </w:tc>
        <w:tc>
          <w:tcPr>
            <w:tcW w:w="1842" w:type="dxa"/>
            <w:gridSpan w:val="2"/>
            <w:tcBorders>
              <w:top w:val="single" w:sz="6" w:space="0" w:color="000000"/>
              <w:left w:val="single" w:sz="6" w:space="0" w:color="000000"/>
              <w:bottom w:val="single" w:sz="6" w:space="0" w:color="000000"/>
              <w:right w:val="single" w:sz="18" w:space="0" w:color="000000"/>
            </w:tcBorders>
          </w:tcPr>
          <w:p w14:paraId="652AD638" w14:textId="77777777" w:rsidR="00634BCE" w:rsidRDefault="00634BCE">
            <w:pPr>
              <w:pStyle w:val="TableParagraph"/>
              <w:kinsoku w:val="0"/>
              <w:overflowPunct w:val="0"/>
              <w:ind w:left="116"/>
              <w:rPr>
                <w:b/>
                <w:bCs/>
                <w:color w:val="FF0000"/>
              </w:rPr>
            </w:pPr>
            <w:r>
              <w:rPr>
                <w:b/>
                <w:bCs/>
                <w:color w:val="FF0000"/>
              </w:rPr>
              <w:t>5</w:t>
            </w:r>
            <w:r>
              <w:rPr>
                <w:b/>
                <w:bCs/>
                <w:color w:val="FF0000"/>
                <w:position w:val="8"/>
                <w:sz w:val="16"/>
                <w:szCs w:val="16"/>
              </w:rPr>
              <w:t xml:space="preserve">th </w:t>
            </w:r>
            <w:r>
              <w:rPr>
                <w:b/>
                <w:bCs/>
                <w:color w:val="FF0000"/>
              </w:rPr>
              <w:t>December 2017 Midday</w:t>
            </w:r>
          </w:p>
        </w:tc>
      </w:tr>
      <w:tr w:rsidR="00634BCE" w14:paraId="21A447AE" w14:textId="77777777">
        <w:tblPrEx>
          <w:tblCellMar>
            <w:top w:w="0" w:type="dxa"/>
            <w:left w:w="0" w:type="dxa"/>
            <w:bottom w:w="0" w:type="dxa"/>
            <w:right w:w="0" w:type="dxa"/>
          </w:tblCellMar>
        </w:tblPrEx>
        <w:trPr>
          <w:trHeight w:val="1177"/>
        </w:trPr>
        <w:tc>
          <w:tcPr>
            <w:tcW w:w="11199" w:type="dxa"/>
            <w:gridSpan w:val="3"/>
            <w:tcBorders>
              <w:top w:val="single" w:sz="6" w:space="0" w:color="000000"/>
              <w:left w:val="single" w:sz="12" w:space="0" w:color="000000"/>
              <w:bottom w:val="triple" w:sz="4" w:space="0" w:color="000000"/>
              <w:right w:val="single" w:sz="18" w:space="0" w:color="000000"/>
            </w:tcBorders>
          </w:tcPr>
          <w:p w14:paraId="543A4ABE" w14:textId="77777777" w:rsidR="00634BCE" w:rsidRDefault="00634BCE">
            <w:pPr>
              <w:pStyle w:val="TableParagraph"/>
              <w:kinsoku w:val="0"/>
              <w:overflowPunct w:val="0"/>
              <w:spacing w:line="292" w:lineRule="exact"/>
              <w:ind w:left="4526"/>
              <w:rPr>
                <w:b/>
                <w:bCs/>
              </w:rPr>
            </w:pPr>
            <w:r>
              <w:rPr>
                <w:b/>
                <w:bCs/>
              </w:rPr>
              <w:t>Originality Statement</w:t>
            </w:r>
          </w:p>
          <w:p w14:paraId="5B523769" w14:textId="6357C78E" w:rsidR="00634BCE" w:rsidRDefault="00634BCE">
            <w:pPr>
              <w:pStyle w:val="TableParagraph"/>
              <w:kinsoku w:val="0"/>
              <w:overflowPunct w:val="0"/>
              <w:spacing w:before="2"/>
              <w:ind w:left="106" w:right="151" w:firstLine="55"/>
            </w:pPr>
            <w:r>
              <w:t>“By submitting my work I</w:t>
            </w:r>
            <w:r w:rsidRPr="00320FBC">
              <w:t xml:space="preserve">           </w:t>
            </w:r>
            <w:r w:rsidR="00320FBC" w:rsidRPr="00320FBC">
              <w:t>John</w:t>
            </w:r>
            <w:r w:rsidRPr="00320FBC">
              <w:t xml:space="preserve">          </w:t>
            </w:r>
            <w:r>
              <w:t>confirm that this is my original work and that I have adhered to the College |Policy on Plagiarism.” “I have also submitted my work to Turnitin UK for checking or have included</w:t>
            </w:r>
            <w:r>
              <w:rPr>
                <w:spacing w:val="-37"/>
              </w:rPr>
              <w:t xml:space="preserve"> </w:t>
            </w:r>
            <w:r>
              <w:t>a</w:t>
            </w:r>
          </w:p>
          <w:p w14:paraId="7C248F8E" w14:textId="77777777" w:rsidR="00634BCE" w:rsidRDefault="00634BCE">
            <w:pPr>
              <w:pStyle w:val="TableParagraph"/>
              <w:kinsoku w:val="0"/>
              <w:overflowPunct w:val="0"/>
              <w:spacing w:line="277" w:lineRule="exact"/>
              <w:ind w:left="106"/>
            </w:pPr>
            <w:r>
              <w:t>disk if this assignment is submitted as a paper copy.”</w:t>
            </w:r>
          </w:p>
        </w:tc>
      </w:tr>
      <w:tr w:rsidR="00634BCE" w14:paraId="50AC9748" w14:textId="77777777">
        <w:tblPrEx>
          <w:tblCellMar>
            <w:top w:w="0" w:type="dxa"/>
            <w:left w:w="0" w:type="dxa"/>
            <w:bottom w:w="0" w:type="dxa"/>
            <w:right w:w="0" w:type="dxa"/>
          </w:tblCellMar>
        </w:tblPrEx>
        <w:trPr>
          <w:trHeight w:val="384"/>
        </w:trPr>
        <w:tc>
          <w:tcPr>
            <w:tcW w:w="9357" w:type="dxa"/>
            <w:vMerge w:val="restart"/>
            <w:tcBorders>
              <w:top w:val="triple" w:sz="4" w:space="0" w:color="000000"/>
              <w:left w:val="single" w:sz="18" w:space="0" w:color="000000"/>
              <w:bottom w:val="double" w:sz="2" w:space="0" w:color="000000"/>
              <w:right w:val="single" w:sz="6" w:space="0" w:color="000000"/>
            </w:tcBorders>
            <w:shd w:val="clear" w:color="auto" w:fill="D9D9D9"/>
          </w:tcPr>
          <w:p w14:paraId="365E92E3" w14:textId="77777777" w:rsidR="00634BCE" w:rsidRDefault="00634BCE">
            <w:pPr>
              <w:pStyle w:val="TableParagraph"/>
              <w:kinsoku w:val="0"/>
              <w:overflowPunct w:val="0"/>
              <w:spacing w:before="5"/>
              <w:ind w:left="101"/>
            </w:pPr>
            <w:r>
              <w:t>Lecturer to tick to indicate if a hard copy version of the assignment must be submitted.</w:t>
            </w:r>
          </w:p>
        </w:tc>
        <w:tc>
          <w:tcPr>
            <w:tcW w:w="1136" w:type="dxa"/>
            <w:tcBorders>
              <w:top w:val="triple" w:sz="4" w:space="0" w:color="000000"/>
              <w:left w:val="single" w:sz="6" w:space="0" w:color="000000"/>
              <w:bottom w:val="single" w:sz="6" w:space="0" w:color="000000"/>
              <w:right w:val="single" w:sz="6" w:space="0" w:color="000000"/>
            </w:tcBorders>
            <w:shd w:val="clear" w:color="auto" w:fill="D9D9D9"/>
          </w:tcPr>
          <w:p w14:paraId="6535DC8A" w14:textId="77777777" w:rsidR="00634BCE" w:rsidRDefault="00634BCE">
            <w:pPr>
              <w:pStyle w:val="TableParagraph"/>
              <w:kinsoku w:val="0"/>
              <w:overflowPunct w:val="0"/>
              <w:spacing w:before="5"/>
              <w:ind w:left="116"/>
              <w:rPr>
                <w:b/>
                <w:bCs/>
              </w:rPr>
            </w:pPr>
            <w:r>
              <w:rPr>
                <w:b/>
                <w:bCs/>
              </w:rPr>
              <w:t>YES</w:t>
            </w:r>
          </w:p>
        </w:tc>
        <w:tc>
          <w:tcPr>
            <w:tcW w:w="706" w:type="dxa"/>
            <w:tcBorders>
              <w:top w:val="triple" w:sz="4" w:space="0" w:color="000000"/>
              <w:left w:val="single" w:sz="6" w:space="0" w:color="000000"/>
              <w:bottom w:val="single" w:sz="6" w:space="0" w:color="000000"/>
              <w:right w:val="single" w:sz="18" w:space="0" w:color="000000"/>
            </w:tcBorders>
          </w:tcPr>
          <w:p w14:paraId="5E5A7E4F" w14:textId="77777777" w:rsidR="00634BCE" w:rsidRDefault="00634BCE">
            <w:pPr>
              <w:pStyle w:val="TableParagraph"/>
              <w:kinsoku w:val="0"/>
              <w:overflowPunct w:val="0"/>
              <w:rPr>
                <w:rFonts w:ascii="Times New Roman" w:hAnsi="Times New Roman" w:cs="Times New Roman"/>
              </w:rPr>
            </w:pPr>
          </w:p>
        </w:tc>
      </w:tr>
      <w:tr w:rsidR="00634BCE" w14:paraId="37A23F9D" w14:textId="77777777">
        <w:tblPrEx>
          <w:tblCellMar>
            <w:top w:w="0" w:type="dxa"/>
            <w:left w:w="0" w:type="dxa"/>
            <w:bottom w:w="0" w:type="dxa"/>
            <w:right w:w="0" w:type="dxa"/>
          </w:tblCellMar>
        </w:tblPrEx>
        <w:trPr>
          <w:trHeight w:val="399"/>
        </w:trPr>
        <w:tc>
          <w:tcPr>
            <w:tcW w:w="9357" w:type="dxa"/>
            <w:vMerge/>
            <w:tcBorders>
              <w:top w:val="nil"/>
              <w:left w:val="single" w:sz="18" w:space="0" w:color="000000"/>
              <w:bottom w:val="double" w:sz="2" w:space="0" w:color="000000"/>
              <w:right w:val="single" w:sz="6" w:space="0" w:color="000000"/>
            </w:tcBorders>
            <w:shd w:val="clear" w:color="auto" w:fill="D9D9D9"/>
          </w:tcPr>
          <w:p w14:paraId="0834854B" w14:textId="77777777" w:rsidR="00634BCE" w:rsidRDefault="00634BCE">
            <w:pPr>
              <w:pStyle w:val="BodyText"/>
              <w:kinsoku w:val="0"/>
              <w:overflowPunct w:val="0"/>
              <w:rPr>
                <w:sz w:val="2"/>
                <w:szCs w:val="2"/>
              </w:rPr>
            </w:pPr>
          </w:p>
        </w:tc>
        <w:tc>
          <w:tcPr>
            <w:tcW w:w="1136" w:type="dxa"/>
            <w:tcBorders>
              <w:top w:val="single" w:sz="6" w:space="0" w:color="000000"/>
              <w:left w:val="single" w:sz="6" w:space="0" w:color="000000"/>
              <w:bottom w:val="double" w:sz="2" w:space="0" w:color="000000"/>
              <w:right w:val="single" w:sz="6" w:space="0" w:color="000000"/>
            </w:tcBorders>
            <w:shd w:val="clear" w:color="auto" w:fill="D9D9D9"/>
          </w:tcPr>
          <w:p w14:paraId="61EA4372" w14:textId="77777777" w:rsidR="00634BCE" w:rsidRDefault="00634BCE">
            <w:pPr>
              <w:pStyle w:val="TableParagraph"/>
              <w:kinsoku w:val="0"/>
              <w:overflowPunct w:val="0"/>
              <w:spacing w:line="285" w:lineRule="exact"/>
              <w:ind w:left="116"/>
              <w:rPr>
                <w:b/>
                <w:bCs/>
              </w:rPr>
            </w:pPr>
            <w:r>
              <w:rPr>
                <w:b/>
                <w:bCs/>
              </w:rPr>
              <w:t>NO</w:t>
            </w:r>
          </w:p>
        </w:tc>
        <w:tc>
          <w:tcPr>
            <w:tcW w:w="706" w:type="dxa"/>
            <w:tcBorders>
              <w:top w:val="single" w:sz="6" w:space="0" w:color="000000"/>
              <w:left w:val="single" w:sz="6" w:space="0" w:color="000000"/>
              <w:bottom w:val="double" w:sz="2" w:space="0" w:color="000000"/>
              <w:right w:val="single" w:sz="18" w:space="0" w:color="000000"/>
            </w:tcBorders>
          </w:tcPr>
          <w:p w14:paraId="732A44E7" w14:textId="77777777" w:rsidR="00634BCE" w:rsidRDefault="00634BCE">
            <w:pPr>
              <w:pStyle w:val="TableParagraph"/>
              <w:kinsoku w:val="0"/>
              <w:overflowPunct w:val="0"/>
              <w:spacing w:line="285" w:lineRule="exact"/>
              <w:ind w:left="48"/>
              <w:jc w:val="center"/>
              <w:rPr>
                <w:b/>
                <w:bCs/>
              </w:rPr>
            </w:pPr>
            <w:r>
              <w:rPr>
                <w:b/>
                <w:bCs/>
              </w:rPr>
              <w:t>X</w:t>
            </w:r>
          </w:p>
        </w:tc>
      </w:tr>
    </w:tbl>
    <w:tbl>
      <w:tblPr>
        <w:tblpPr w:leftFromText="180" w:rightFromText="180" w:vertAnchor="page" w:horzAnchor="margin" w:tblpY="13929"/>
        <w:tblW w:w="0" w:type="auto"/>
        <w:tblLayout w:type="fixed"/>
        <w:tblCellMar>
          <w:left w:w="0" w:type="dxa"/>
          <w:right w:w="0" w:type="dxa"/>
        </w:tblCellMar>
        <w:tblLook w:val="0000" w:firstRow="0" w:lastRow="0" w:firstColumn="0" w:lastColumn="0" w:noHBand="0" w:noVBand="0"/>
      </w:tblPr>
      <w:tblGrid>
        <w:gridCol w:w="4861"/>
        <w:gridCol w:w="6339"/>
      </w:tblGrid>
      <w:tr w:rsidR="00320FBC" w14:paraId="22675632" w14:textId="77777777" w:rsidTr="00320FBC">
        <w:tblPrEx>
          <w:tblCellMar>
            <w:top w:w="0" w:type="dxa"/>
            <w:left w:w="0" w:type="dxa"/>
            <w:bottom w:w="0" w:type="dxa"/>
            <w:right w:w="0" w:type="dxa"/>
          </w:tblCellMar>
        </w:tblPrEx>
        <w:trPr>
          <w:trHeight w:val="1173"/>
        </w:trPr>
        <w:tc>
          <w:tcPr>
            <w:tcW w:w="11200" w:type="dxa"/>
            <w:gridSpan w:val="2"/>
            <w:tcBorders>
              <w:top w:val="double" w:sz="2" w:space="0" w:color="000000"/>
              <w:left w:val="double" w:sz="2" w:space="0" w:color="000000"/>
              <w:bottom w:val="single" w:sz="6" w:space="0" w:color="000000"/>
              <w:right w:val="single" w:sz="12" w:space="0" w:color="000000"/>
            </w:tcBorders>
          </w:tcPr>
          <w:p w14:paraId="066A0671" w14:textId="77777777" w:rsidR="00320FBC" w:rsidRDefault="00320FBC" w:rsidP="00320FBC">
            <w:pPr>
              <w:pStyle w:val="TableParagraph"/>
              <w:kinsoku w:val="0"/>
              <w:overflowPunct w:val="0"/>
              <w:spacing w:before="1"/>
              <w:ind w:left="282" w:right="278"/>
              <w:jc w:val="center"/>
            </w:pPr>
            <w:r>
              <w:rPr>
                <w:b/>
                <w:bCs/>
              </w:rPr>
              <w:t xml:space="preserve">Personal Evaluation </w:t>
            </w:r>
            <w:r>
              <w:t>– to support your academic progress, we are interested to read your own assessment of this work as a measure of your own effort and in order that we may comment on your strengths and weaknesses.</w:t>
            </w:r>
          </w:p>
          <w:p w14:paraId="2C85C1C4" w14:textId="77777777" w:rsidR="00320FBC" w:rsidRDefault="00320FBC" w:rsidP="00320FBC">
            <w:pPr>
              <w:pStyle w:val="TableParagraph"/>
              <w:kinsoku w:val="0"/>
              <w:overflowPunct w:val="0"/>
              <w:spacing w:line="273" w:lineRule="exact"/>
              <w:ind w:left="281" w:right="278"/>
              <w:jc w:val="center"/>
              <w:rPr>
                <w:b/>
                <w:bCs/>
              </w:rPr>
            </w:pPr>
            <w:r>
              <w:rPr>
                <w:b/>
                <w:bCs/>
                <w:u w:val="single" w:color="000000"/>
              </w:rPr>
              <w:t>Please ensure you complete this assessment before submitting your work.</w:t>
            </w:r>
          </w:p>
        </w:tc>
      </w:tr>
      <w:tr w:rsidR="00320FBC" w14:paraId="2674894A" w14:textId="77777777" w:rsidTr="00320FBC">
        <w:tblPrEx>
          <w:tblCellMar>
            <w:top w:w="0" w:type="dxa"/>
            <w:left w:w="0" w:type="dxa"/>
            <w:bottom w:w="0" w:type="dxa"/>
            <w:right w:w="0" w:type="dxa"/>
          </w:tblCellMar>
        </w:tblPrEx>
        <w:trPr>
          <w:trHeight w:val="585"/>
        </w:trPr>
        <w:tc>
          <w:tcPr>
            <w:tcW w:w="4861" w:type="dxa"/>
            <w:tcBorders>
              <w:top w:val="single" w:sz="6" w:space="0" w:color="000000"/>
              <w:left w:val="double" w:sz="2" w:space="0" w:color="000000"/>
              <w:bottom w:val="single" w:sz="6" w:space="0" w:color="000000"/>
              <w:right w:val="single" w:sz="6" w:space="0" w:color="000000"/>
            </w:tcBorders>
          </w:tcPr>
          <w:p w14:paraId="71627568" w14:textId="77777777" w:rsidR="00320FBC" w:rsidRDefault="00320FBC" w:rsidP="00320FBC">
            <w:pPr>
              <w:pStyle w:val="TableParagraph"/>
              <w:kinsoku w:val="0"/>
              <w:overflowPunct w:val="0"/>
              <w:spacing w:line="292" w:lineRule="exact"/>
              <w:ind w:left="97"/>
            </w:pPr>
            <w:r>
              <w:t>What do you consider are the best aspects of</w:t>
            </w:r>
          </w:p>
          <w:p w14:paraId="693F0E4A" w14:textId="77777777" w:rsidR="00320FBC" w:rsidRDefault="00320FBC" w:rsidP="00320FBC">
            <w:pPr>
              <w:pStyle w:val="TableParagraph"/>
              <w:kinsoku w:val="0"/>
              <w:overflowPunct w:val="0"/>
              <w:spacing w:line="273" w:lineRule="exact"/>
              <w:ind w:left="97"/>
            </w:pPr>
            <w:r>
              <w:t>this piece of work?</w:t>
            </w:r>
          </w:p>
        </w:tc>
        <w:tc>
          <w:tcPr>
            <w:tcW w:w="6339" w:type="dxa"/>
            <w:tcBorders>
              <w:top w:val="single" w:sz="6" w:space="0" w:color="000000"/>
              <w:left w:val="single" w:sz="6" w:space="0" w:color="000000"/>
              <w:bottom w:val="single" w:sz="6" w:space="0" w:color="000000"/>
              <w:right w:val="single" w:sz="12" w:space="0" w:color="000000"/>
            </w:tcBorders>
          </w:tcPr>
          <w:p w14:paraId="3314224C" w14:textId="77777777" w:rsidR="00320FBC" w:rsidRDefault="00320FBC" w:rsidP="00320FBC">
            <w:pPr>
              <w:pStyle w:val="TableParagraph"/>
              <w:kinsoku w:val="0"/>
              <w:overflowPunct w:val="0"/>
              <w:rPr>
                <w:rFonts w:ascii="Times New Roman" w:hAnsi="Times New Roman" w:cs="Times New Roman"/>
              </w:rPr>
            </w:pPr>
            <w:r>
              <w:rPr>
                <w:rFonts w:ascii="Times New Roman" w:hAnsi="Times New Roman" w:cs="Times New Roman"/>
              </w:rPr>
              <w:t xml:space="preserve">I feel that I have given many examples of circumstances that are effected by the influences stated in the assignment question. </w:t>
            </w:r>
          </w:p>
        </w:tc>
      </w:tr>
      <w:tr w:rsidR="00320FBC" w14:paraId="799437EB" w14:textId="77777777" w:rsidTr="00320FBC">
        <w:tblPrEx>
          <w:tblCellMar>
            <w:top w:w="0" w:type="dxa"/>
            <w:left w:w="0" w:type="dxa"/>
            <w:bottom w:w="0" w:type="dxa"/>
            <w:right w:w="0" w:type="dxa"/>
          </w:tblCellMar>
        </w:tblPrEx>
        <w:trPr>
          <w:trHeight w:val="587"/>
        </w:trPr>
        <w:tc>
          <w:tcPr>
            <w:tcW w:w="4861" w:type="dxa"/>
            <w:tcBorders>
              <w:top w:val="single" w:sz="6" w:space="0" w:color="000000"/>
              <w:left w:val="double" w:sz="2" w:space="0" w:color="000000"/>
              <w:bottom w:val="single" w:sz="6" w:space="0" w:color="000000"/>
              <w:right w:val="single" w:sz="6" w:space="0" w:color="000000"/>
            </w:tcBorders>
          </w:tcPr>
          <w:p w14:paraId="5FC3A0E4" w14:textId="77777777" w:rsidR="00320FBC" w:rsidRDefault="00320FBC" w:rsidP="00320FBC">
            <w:pPr>
              <w:pStyle w:val="TableParagraph"/>
              <w:kinsoku w:val="0"/>
              <w:overflowPunct w:val="0"/>
              <w:spacing w:line="292" w:lineRule="exact"/>
              <w:ind w:left="97"/>
            </w:pPr>
            <w:r>
              <w:t>Which aspects do you consider could have</w:t>
            </w:r>
          </w:p>
          <w:p w14:paraId="6F002FD4" w14:textId="77777777" w:rsidR="00320FBC" w:rsidRDefault="00320FBC" w:rsidP="00320FBC">
            <w:pPr>
              <w:pStyle w:val="TableParagraph"/>
              <w:kinsoku w:val="0"/>
              <w:overflowPunct w:val="0"/>
              <w:spacing w:line="275" w:lineRule="exact"/>
              <w:ind w:left="97"/>
            </w:pPr>
            <w:r>
              <w:t>been improved in this piece of work?</w:t>
            </w:r>
          </w:p>
        </w:tc>
        <w:tc>
          <w:tcPr>
            <w:tcW w:w="6339" w:type="dxa"/>
            <w:tcBorders>
              <w:top w:val="single" w:sz="6" w:space="0" w:color="000000"/>
              <w:left w:val="single" w:sz="6" w:space="0" w:color="000000"/>
              <w:bottom w:val="single" w:sz="6" w:space="0" w:color="000000"/>
              <w:right w:val="single" w:sz="12" w:space="0" w:color="000000"/>
            </w:tcBorders>
          </w:tcPr>
          <w:p w14:paraId="7537D285" w14:textId="77777777" w:rsidR="00320FBC" w:rsidRDefault="00320FBC" w:rsidP="00320FBC">
            <w:pPr>
              <w:pStyle w:val="TableParagraph"/>
              <w:kinsoku w:val="0"/>
              <w:overflowPunct w:val="0"/>
              <w:rPr>
                <w:rFonts w:ascii="Times New Roman" w:hAnsi="Times New Roman" w:cs="Times New Roman"/>
              </w:rPr>
            </w:pPr>
            <w:r>
              <w:rPr>
                <w:rFonts w:ascii="Times New Roman" w:hAnsi="Times New Roman" w:cs="Times New Roman"/>
              </w:rPr>
              <w:t xml:space="preserve">Although I believe I’ve given good examples, I struggle to explain things with limited words; so in an attempt to stay within </w:t>
            </w:r>
            <w:r>
              <w:rPr>
                <w:rFonts w:ascii="Times New Roman" w:hAnsi="Times New Roman" w:cs="Times New Roman"/>
              </w:rPr>
              <w:lastRenderedPageBreak/>
              <w:t>the word count, I feel I may have not given as much detail as I’d have liked in some cases.</w:t>
            </w:r>
          </w:p>
        </w:tc>
      </w:tr>
    </w:tbl>
    <w:p w14:paraId="666F40E0" w14:textId="72BAE11C" w:rsidR="00634BCE" w:rsidRDefault="00634BCE" w:rsidP="00634BCE">
      <w:pPr>
        <w:pStyle w:val="BodyText"/>
        <w:kinsoku w:val="0"/>
        <w:overflowPunct w:val="0"/>
        <w:spacing w:before="9"/>
        <w:rPr>
          <w:sz w:val="25"/>
          <w:szCs w:val="25"/>
        </w:rPr>
      </w:pPr>
    </w:p>
    <w:p w14:paraId="065AE902" w14:textId="28362787" w:rsidR="00DB0E66" w:rsidRDefault="00DB0E66" w:rsidP="00634BCE">
      <w:pPr>
        <w:pStyle w:val="BodyText"/>
        <w:kinsoku w:val="0"/>
        <w:overflowPunct w:val="0"/>
        <w:spacing w:before="9"/>
        <w:rPr>
          <w:sz w:val="25"/>
          <w:szCs w:val="25"/>
        </w:rPr>
      </w:pPr>
    </w:p>
    <w:tbl>
      <w:tblPr>
        <w:tblStyle w:val="TableGrid"/>
        <w:tblW w:w="0" w:type="auto"/>
        <w:tblLook w:val="04A0" w:firstRow="1" w:lastRow="0" w:firstColumn="1" w:lastColumn="0" w:noHBand="0" w:noVBand="1"/>
      </w:tblPr>
      <w:tblGrid>
        <w:gridCol w:w="4815"/>
        <w:gridCol w:w="6379"/>
      </w:tblGrid>
      <w:tr w:rsidR="00DB0E66" w14:paraId="10434370" w14:textId="77777777" w:rsidTr="00DB0E66">
        <w:trPr>
          <w:trHeight w:val="872"/>
        </w:trPr>
        <w:tc>
          <w:tcPr>
            <w:tcW w:w="4815" w:type="dxa"/>
          </w:tcPr>
          <w:p w14:paraId="4C334809" w14:textId="77777777" w:rsidR="00DB0E66" w:rsidRDefault="00DB0E66" w:rsidP="00DB0E66">
            <w:pPr>
              <w:pStyle w:val="BodyText"/>
              <w:kinsoku w:val="0"/>
              <w:overflowPunct w:val="0"/>
              <w:ind w:left="103" w:right="468"/>
              <w:rPr>
                <w:b w:val="0"/>
                <w:bCs w:val="0"/>
              </w:rPr>
            </w:pPr>
            <w:r>
              <w:rPr>
                <w:b w:val="0"/>
                <w:bCs w:val="0"/>
              </w:rPr>
              <w:t>What have you found most satisfying whilst undertaking this submission?</w:t>
            </w:r>
          </w:p>
          <w:p w14:paraId="1B4FEAFE" w14:textId="77777777" w:rsidR="00DB0E66" w:rsidRDefault="00DB0E66" w:rsidP="00634BCE">
            <w:pPr>
              <w:pStyle w:val="BodyText"/>
              <w:kinsoku w:val="0"/>
              <w:overflowPunct w:val="0"/>
              <w:spacing w:before="9"/>
              <w:rPr>
                <w:sz w:val="25"/>
                <w:szCs w:val="25"/>
              </w:rPr>
            </w:pPr>
          </w:p>
        </w:tc>
        <w:tc>
          <w:tcPr>
            <w:tcW w:w="6379" w:type="dxa"/>
          </w:tcPr>
          <w:p w14:paraId="63F6DB2D" w14:textId="4C8C998C" w:rsidR="00DB0E66" w:rsidRPr="00DB0E66" w:rsidRDefault="00DB0E66" w:rsidP="00634BCE">
            <w:pPr>
              <w:pStyle w:val="BodyText"/>
              <w:kinsoku w:val="0"/>
              <w:overflowPunct w:val="0"/>
              <w:spacing w:before="9"/>
              <w:rPr>
                <w:rFonts w:ascii="Times New Roman" w:hAnsi="Times New Roman" w:cs="Times New Roman"/>
                <w:b w:val="0"/>
              </w:rPr>
            </w:pPr>
            <w:r w:rsidRPr="00DB0E66">
              <w:rPr>
                <w:rFonts w:ascii="Times New Roman" w:hAnsi="Times New Roman" w:cs="Times New Roman"/>
                <w:b w:val="0"/>
              </w:rPr>
              <w:t xml:space="preserve">Gaining </w:t>
            </w:r>
            <w:r>
              <w:rPr>
                <w:rFonts w:ascii="Times New Roman" w:hAnsi="Times New Roman" w:cs="Times New Roman"/>
                <w:b w:val="0"/>
              </w:rPr>
              <w:t>a better understanding of impacts on our health and well-being.</w:t>
            </w:r>
          </w:p>
        </w:tc>
      </w:tr>
    </w:tbl>
    <w:p w14:paraId="40971E2A" w14:textId="4498210E" w:rsidR="00DB0E66" w:rsidRDefault="00DB0E66" w:rsidP="00634BCE">
      <w:pPr>
        <w:pStyle w:val="BodyText"/>
        <w:kinsoku w:val="0"/>
        <w:overflowPunct w:val="0"/>
        <w:spacing w:before="9"/>
        <w:rPr>
          <w:sz w:val="25"/>
          <w:szCs w:val="25"/>
        </w:rPr>
      </w:pPr>
    </w:p>
    <w:p w14:paraId="72976C85" w14:textId="77777777" w:rsidR="00DB0E66" w:rsidRDefault="00DB0E66" w:rsidP="00634BCE">
      <w:pPr>
        <w:pStyle w:val="BodyText"/>
        <w:kinsoku w:val="0"/>
        <w:overflowPunct w:val="0"/>
        <w:spacing w:before="9"/>
        <w:rPr>
          <w:sz w:val="25"/>
          <w:szCs w:val="25"/>
        </w:rPr>
      </w:pPr>
    </w:p>
    <w:p w14:paraId="6761C702" w14:textId="28CE921E" w:rsidR="00634BCE" w:rsidRDefault="00634BCE" w:rsidP="00634BCE">
      <w:pPr>
        <w:rPr>
          <w:b/>
          <w:bCs/>
          <w:sz w:val="25"/>
          <w:szCs w:val="25"/>
        </w:rPr>
        <w:sectPr w:rsidR="00634BCE" w:rsidSect="00634BCE">
          <w:pgSz w:w="11910" w:h="16840"/>
          <w:pgMar w:top="280" w:right="100" w:bottom="280" w:left="120" w:header="720" w:footer="720" w:gutter="0"/>
          <w:cols w:space="720"/>
          <w:noEndnote/>
        </w:sectPr>
      </w:pPr>
    </w:p>
    <w:p w14:paraId="2D1C8C77" w14:textId="1C301F03" w:rsidR="00634BCE" w:rsidRDefault="00634BCE" w:rsidP="00634BCE">
      <w:pPr>
        <w:pStyle w:val="BodyText"/>
        <w:kinsoku w:val="0"/>
        <w:overflowPunct w:val="0"/>
        <w:ind w:left="196"/>
        <w:rPr>
          <w:b w:val="0"/>
          <w:bCs w:val="0"/>
          <w:sz w:val="20"/>
          <w:szCs w:val="20"/>
        </w:rPr>
      </w:pPr>
    </w:p>
    <w:p w14:paraId="66C7E310" w14:textId="7327DA15" w:rsidR="0018617B" w:rsidRDefault="00755D45" w:rsidP="00DB0E66">
      <w:pPr>
        <w:spacing w:line="48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t>There is often a link between ill health and poverty; Discuss the social, economic and environmental influences that impact psychological health and well-being</w:t>
      </w:r>
    </w:p>
    <w:p w14:paraId="665ADAEB" w14:textId="77777777" w:rsidR="00157F35" w:rsidRDefault="00157F35" w:rsidP="000D56DB">
      <w:pPr>
        <w:spacing w:line="480" w:lineRule="auto"/>
        <w:rPr>
          <w:rFonts w:ascii="Times New Roman" w:hAnsi="Times New Roman" w:cs="Times New Roman"/>
          <w:sz w:val="24"/>
          <w:szCs w:val="24"/>
        </w:rPr>
      </w:pPr>
    </w:p>
    <w:p w14:paraId="1D5ECDE2" w14:textId="03D03A57" w:rsidR="00755D45" w:rsidRDefault="00DB3251" w:rsidP="000D56D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more we look at happiness and health, the more complicated it can sometimes become. The reason for this is because we all want to achieve happiness and good </w:t>
      </w:r>
      <w:r w:rsidR="000F4095">
        <w:rPr>
          <w:rFonts w:ascii="Times New Roman" w:hAnsi="Times New Roman" w:cs="Times New Roman"/>
          <w:sz w:val="24"/>
          <w:szCs w:val="24"/>
        </w:rPr>
        <w:t>health;</w:t>
      </w:r>
      <w:r>
        <w:rPr>
          <w:rFonts w:ascii="Times New Roman" w:hAnsi="Times New Roman" w:cs="Times New Roman"/>
          <w:sz w:val="24"/>
          <w:szCs w:val="24"/>
        </w:rPr>
        <w:t xml:space="preserve"> </w:t>
      </w:r>
      <w:r w:rsidR="004318E0">
        <w:rPr>
          <w:rFonts w:ascii="Times New Roman" w:hAnsi="Times New Roman" w:cs="Times New Roman"/>
          <w:sz w:val="24"/>
          <w:szCs w:val="24"/>
        </w:rPr>
        <w:t>however,</w:t>
      </w:r>
      <w:r>
        <w:rPr>
          <w:rFonts w:ascii="Times New Roman" w:hAnsi="Times New Roman" w:cs="Times New Roman"/>
          <w:sz w:val="24"/>
          <w:szCs w:val="24"/>
        </w:rPr>
        <w:t xml:space="preserve"> we don’t always understand how to achieve these states or how to acknowledge them once we have (Tantam 2014). </w:t>
      </w:r>
    </w:p>
    <w:p w14:paraId="1B9A1746" w14:textId="49EBC1E6" w:rsidR="00DB3251" w:rsidRDefault="00DB3251" w:rsidP="000D56DB">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Theories on how to achieve a healthy body and state of mind has changed throughout the ages. </w:t>
      </w:r>
      <w:r w:rsidR="00C91BB0">
        <w:rPr>
          <w:rFonts w:ascii="Times New Roman" w:hAnsi="Times New Roman" w:cs="Times New Roman"/>
          <w:sz w:val="24"/>
          <w:szCs w:val="24"/>
        </w:rPr>
        <w:t xml:space="preserve">Archaeological studies have found evidence of </w:t>
      </w:r>
      <w:r w:rsidR="00C91BB0">
        <w:rPr>
          <w:rFonts w:ascii="Times New Roman" w:hAnsi="Times New Roman" w:cs="Times New Roman"/>
          <w:i/>
          <w:sz w:val="24"/>
          <w:szCs w:val="24"/>
        </w:rPr>
        <w:t>trephination</w:t>
      </w:r>
      <w:r w:rsidR="00C91BB0">
        <w:rPr>
          <w:rFonts w:ascii="Times New Roman" w:hAnsi="Times New Roman" w:cs="Times New Roman"/>
          <w:sz w:val="24"/>
          <w:szCs w:val="24"/>
        </w:rPr>
        <w:t xml:space="preserve"> dating as far back as the Neolithic period. It is believed that this was used to release evil spirits from the body or cure headaches and convulsions, therefore relieving them of their illness and giving them a better state of mind. Moving forward in time, Hippocrates believed that the body and mind were connected and that four humours (bodily fluids) were responsible for the state of our physical and mental health. His findings helped us understand that the seasons, good nutrition and our relationships can all have an impact on our health and well</w:t>
      </w:r>
      <w:r w:rsidR="007E61AC">
        <w:rPr>
          <w:rFonts w:ascii="Times New Roman" w:hAnsi="Times New Roman" w:cs="Times New Roman"/>
          <w:sz w:val="24"/>
          <w:szCs w:val="24"/>
        </w:rPr>
        <w:t>-</w:t>
      </w:r>
      <w:r w:rsidR="00C91BB0">
        <w:rPr>
          <w:rFonts w:ascii="Times New Roman" w:hAnsi="Times New Roman" w:cs="Times New Roman"/>
          <w:sz w:val="24"/>
          <w:szCs w:val="24"/>
        </w:rPr>
        <w:t xml:space="preserve">being. </w:t>
      </w:r>
      <w:r w:rsidR="003D2111">
        <w:rPr>
          <w:rFonts w:ascii="Times New Roman" w:hAnsi="Times New Roman" w:cs="Times New Roman"/>
          <w:sz w:val="24"/>
          <w:szCs w:val="24"/>
        </w:rPr>
        <w:t xml:space="preserve">After this period, many people believed that ill health and mental difficulties were a result of punishment from god or evil spirits. </w:t>
      </w:r>
    </w:p>
    <w:p w14:paraId="53F0AD72" w14:textId="6892769C" w:rsidR="003D2111" w:rsidRPr="00C91BB0" w:rsidRDefault="003D2111" w:rsidP="000D56DB">
      <w:pPr>
        <w:spacing w:line="480" w:lineRule="auto"/>
        <w:rPr>
          <w:rFonts w:ascii="Times New Roman" w:hAnsi="Times New Roman" w:cs="Times New Roman"/>
          <w:sz w:val="24"/>
          <w:szCs w:val="24"/>
        </w:rPr>
      </w:pPr>
      <w:r>
        <w:rPr>
          <w:rFonts w:ascii="Times New Roman" w:hAnsi="Times New Roman" w:cs="Times New Roman"/>
          <w:sz w:val="24"/>
          <w:szCs w:val="24"/>
        </w:rPr>
        <w:tab/>
        <w:t>Now in the 21</w:t>
      </w:r>
      <w:r w:rsidRPr="003D2111">
        <w:rPr>
          <w:rFonts w:ascii="Times New Roman" w:hAnsi="Times New Roman" w:cs="Times New Roman"/>
          <w:sz w:val="24"/>
          <w:szCs w:val="24"/>
          <w:vertAlign w:val="superscript"/>
        </w:rPr>
        <w:t>st</w:t>
      </w:r>
      <w:r>
        <w:rPr>
          <w:rFonts w:ascii="Times New Roman" w:hAnsi="Times New Roman" w:cs="Times New Roman"/>
          <w:sz w:val="24"/>
          <w:szCs w:val="24"/>
        </w:rPr>
        <w:t xml:space="preserve"> century, we have learnt and evolved from </w:t>
      </w:r>
      <w:r w:rsidR="004318E0">
        <w:rPr>
          <w:rFonts w:ascii="Times New Roman" w:hAnsi="Times New Roman" w:cs="Times New Roman"/>
          <w:sz w:val="24"/>
          <w:szCs w:val="24"/>
        </w:rPr>
        <w:t xml:space="preserve">these </w:t>
      </w:r>
      <w:r>
        <w:rPr>
          <w:rFonts w:ascii="Times New Roman" w:hAnsi="Times New Roman" w:cs="Times New Roman"/>
          <w:sz w:val="24"/>
          <w:szCs w:val="24"/>
        </w:rPr>
        <w:t>past theories. Our understanding of how to achieve good health and well</w:t>
      </w:r>
      <w:r w:rsidR="007E61AC">
        <w:rPr>
          <w:rFonts w:ascii="Times New Roman" w:hAnsi="Times New Roman" w:cs="Times New Roman"/>
          <w:sz w:val="24"/>
          <w:szCs w:val="24"/>
        </w:rPr>
        <w:t>-</w:t>
      </w:r>
      <w:r>
        <w:rPr>
          <w:rFonts w:ascii="Times New Roman" w:hAnsi="Times New Roman" w:cs="Times New Roman"/>
          <w:sz w:val="24"/>
          <w:szCs w:val="24"/>
        </w:rPr>
        <w:t>being is much clearer and we can identify many factors that influence them such as the environment we live in and their conditions, religion and culture, attitudes and beliefs, economies</w:t>
      </w:r>
      <w:r w:rsidR="000F4095">
        <w:rPr>
          <w:rFonts w:ascii="Times New Roman" w:hAnsi="Times New Roman" w:cs="Times New Roman"/>
          <w:sz w:val="24"/>
          <w:szCs w:val="24"/>
        </w:rPr>
        <w:t xml:space="preserve">, relationships and upbringings to name a few. Below we will look at the social, economic and environmental </w:t>
      </w:r>
      <w:r w:rsidR="000F4095">
        <w:rPr>
          <w:rFonts w:ascii="Times New Roman" w:hAnsi="Times New Roman" w:cs="Times New Roman"/>
          <w:sz w:val="24"/>
          <w:szCs w:val="24"/>
        </w:rPr>
        <w:lastRenderedPageBreak/>
        <w:t>influences on health and well</w:t>
      </w:r>
      <w:r w:rsidR="007E61AC">
        <w:rPr>
          <w:rFonts w:ascii="Times New Roman" w:hAnsi="Times New Roman" w:cs="Times New Roman"/>
          <w:sz w:val="24"/>
          <w:szCs w:val="24"/>
        </w:rPr>
        <w:t>-</w:t>
      </w:r>
      <w:r w:rsidR="000F4095">
        <w:rPr>
          <w:rFonts w:ascii="Times New Roman" w:hAnsi="Times New Roman" w:cs="Times New Roman"/>
          <w:sz w:val="24"/>
          <w:szCs w:val="24"/>
        </w:rPr>
        <w:t>being</w:t>
      </w:r>
      <w:r w:rsidR="002711AB">
        <w:rPr>
          <w:rFonts w:ascii="Times New Roman" w:hAnsi="Times New Roman" w:cs="Times New Roman"/>
          <w:sz w:val="24"/>
          <w:szCs w:val="24"/>
        </w:rPr>
        <w:t xml:space="preserve"> and what is being done in Wales and the rest of the United Kingdom to rectify this issue. </w:t>
      </w:r>
    </w:p>
    <w:p w14:paraId="715A025F" w14:textId="221D4975" w:rsidR="002711AB" w:rsidRDefault="002711AB" w:rsidP="002711A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World Health Organisation (1948) defines health as </w:t>
      </w:r>
      <w:r w:rsidRPr="00704964">
        <w:rPr>
          <w:rFonts w:ascii="Times New Roman" w:hAnsi="Times New Roman" w:cs="Times New Roman"/>
          <w:sz w:val="24"/>
          <w:szCs w:val="24"/>
        </w:rPr>
        <w:t>‘A state of complete physical, mental and social well-being and not merely the absence of disease or infirmity’.</w:t>
      </w:r>
    </w:p>
    <w:p w14:paraId="76BCF466" w14:textId="6F5BE002" w:rsidR="00BB4AE2" w:rsidRDefault="00E346A9" w:rsidP="002711AB">
      <w:pPr>
        <w:spacing w:line="480" w:lineRule="auto"/>
        <w:ind w:firstLine="720"/>
        <w:rPr>
          <w:rFonts w:ascii="Times New Roman" w:hAnsi="Times New Roman" w:cs="Times New Roman"/>
          <w:sz w:val="24"/>
          <w:szCs w:val="24"/>
        </w:rPr>
      </w:pPr>
      <w:r>
        <w:rPr>
          <w:rFonts w:ascii="Times New Roman" w:hAnsi="Times New Roman" w:cs="Times New Roman"/>
          <w:sz w:val="24"/>
          <w:szCs w:val="24"/>
        </w:rPr>
        <w:t>Good h</w:t>
      </w:r>
      <w:r w:rsidR="000D56DB">
        <w:rPr>
          <w:rFonts w:ascii="Times New Roman" w:hAnsi="Times New Roman" w:cs="Times New Roman"/>
          <w:sz w:val="24"/>
          <w:szCs w:val="24"/>
        </w:rPr>
        <w:t xml:space="preserve">ealth and well-being can mean many different things, depending on where you’re from, your beliefs, religion, culture and so on. What may mean good health to one person, may mean something different to somebody else. </w:t>
      </w:r>
      <w:r w:rsidR="002711AB">
        <w:rPr>
          <w:rFonts w:ascii="Times New Roman" w:hAnsi="Times New Roman" w:cs="Times New Roman"/>
          <w:sz w:val="24"/>
          <w:szCs w:val="24"/>
        </w:rPr>
        <w:t xml:space="preserve">For example, individuals who live in the western world have better economies and standards of living compared to those living in third world countries. Individuals living in the western world may therefore take things for granted and believe good health to them would be something like regular exercise, owning a nice home or nice clothes. In contrast to this, people living in third world countries would prioritise more basic things such as safety, food, </w:t>
      </w:r>
      <w:r w:rsidR="00634BCE">
        <w:rPr>
          <w:rFonts w:ascii="Times New Roman" w:hAnsi="Times New Roman" w:cs="Times New Roman"/>
          <w:sz w:val="24"/>
          <w:szCs w:val="24"/>
        </w:rPr>
        <w:t>sanitised</w:t>
      </w:r>
      <w:r w:rsidR="002711AB">
        <w:rPr>
          <w:rFonts w:ascii="Times New Roman" w:hAnsi="Times New Roman" w:cs="Times New Roman"/>
          <w:sz w:val="24"/>
          <w:szCs w:val="24"/>
        </w:rPr>
        <w:t xml:space="preserve"> water and housing just to name a few.</w:t>
      </w:r>
    </w:p>
    <w:p w14:paraId="59B01251" w14:textId="5D25E94D" w:rsidR="006B674D" w:rsidRDefault="002711AB" w:rsidP="009A14F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Health and well</w:t>
      </w:r>
      <w:r w:rsidR="007E61AC">
        <w:rPr>
          <w:rFonts w:ascii="Times New Roman" w:hAnsi="Times New Roman" w:cs="Times New Roman"/>
          <w:sz w:val="24"/>
          <w:szCs w:val="24"/>
        </w:rPr>
        <w:t>-</w:t>
      </w:r>
      <w:r>
        <w:rPr>
          <w:rFonts w:ascii="Times New Roman" w:hAnsi="Times New Roman" w:cs="Times New Roman"/>
          <w:sz w:val="24"/>
          <w:szCs w:val="24"/>
        </w:rPr>
        <w:t>being can also be described in different ways. A positive view</w:t>
      </w:r>
      <w:r w:rsidR="00BB4AE2">
        <w:rPr>
          <w:rFonts w:ascii="Times New Roman" w:hAnsi="Times New Roman" w:cs="Times New Roman"/>
          <w:sz w:val="24"/>
          <w:szCs w:val="24"/>
        </w:rPr>
        <w:t xml:space="preserve"> is to see health and well</w:t>
      </w:r>
      <w:r w:rsidR="007E61AC">
        <w:rPr>
          <w:rFonts w:ascii="Times New Roman" w:hAnsi="Times New Roman" w:cs="Times New Roman"/>
          <w:sz w:val="24"/>
          <w:szCs w:val="24"/>
        </w:rPr>
        <w:t>-</w:t>
      </w:r>
      <w:r w:rsidR="00BB4AE2">
        <w:rPr>
          <w:rFonts w:ascii="Times New Roman" w:hAnsi="Times New Roman" w:cs="Times New Roman"/>
          <w:sz w:val="24"/>
          <w:szCs w:val="24"/>
        </w:rPr>
        <w:t xml:space="preserve">being as achieving a stable physical and mental state and maintaining it. A negative view is seeing it as the absence of illnesses, stresses and disease. Finally, a holistic view involves many different factors </w:t>
      </w:r>
      <w:r w:rsidR="00B23320">
        <w:rPr>
          <w:rFonts w:ascii="Times New Roman" w:hAnsi="Times New Roman" w:cs="Times New Roman"/>
          <w:sz w:val="24"/>
          <w:szCs w:val="24"/>
        </w:rPr>
        <w:t>contributing</w:t>
      </w:r>
      <w:r w:rsidR="00BB4AE2">
        <w:rPr>
          <w:rFonts w:ascii="Times New Roman" w:hAnsi="Times New Roman" w:cs="Times New Roman"/>
          <w:sz w:val="24"/>
          <w:szCs w:val="24"/>
        </w:rPr>
        <w:t>. As you can see, theories change depending on cultures, time and stage in your life (Williams, 2017).</w:t>
      </w:r>
      <w:r w:rsidR="009A14FC">
        <w:rPr>
          <w:rFonts w:ascii="Times New Roman" w:hAnsi="Times New Roman" w:cs="Times New Roman"/>
          <w:sz w:val="24"/>
          <w:szCs w:val="24"/>
        </w:rPr>
        <w:t xml:space="preserve"> </w:t>
      </w:r>
    </w:p>
    <w:p w14:paraId="21089AA3" w14:textId="35179998" w:rsidR="009A14FC" w:rsidRDefault="00614B65" w:rsidP="009A14FC">
      <w:pPr>
        <w:spacing w:line="480" w:lineRule="auto"/>
        <w:ind w:firstLine="720"/>
        <w:rPr>
          <w:rFonts w:ascii="Times New Roman" w:hAnsi="Times New Roman" w:cs="Times New Roman"/>
          <w:sz w:val="24"/>
          <w:szCs w:val="24"/>
        </w:rPr>
      </w:pPr>
      <w:r>
        <w:rPr>
          <w:rFonts w:ascii="Times New Roman" w:hAnsi="Times New Roman" w:cs="Times New Roman"/>
          <w:sz w:val="24"/>
          <w:szCs w:val="24"/>
        </w:rPr>
        <w:t>Regardless of how you look at h</w:t>
      </w:r>
      <w:r w:rsidR="009A14FC">
        <w:rPr>
          <w:rFonts w:ascii="Times New Roman" w:hAnsi="Times New Roman" w:cs="Times New Roman"/>
          <w:sz w:val="24"/>
          <w:szCs w:val="24"/>
        </w:rPr>
        <w:t>ealth and well-being</w:t>
      </w:r>
      <w:r>
        <w:rPr>
          <w:rFonts w:ascii="Times New Roman" w:hAnsi="Times New Roman" w:cs="Times New Roman"/>
          <w:sz w:val="24"/>
          <w:szCs w:val="24"/>
        </w:rPr>
        <w:t>, there is no argument that it</w:t>
      </w:r>
      <w:r w:rsidR="009A14FC">
        <w:rPr>
          <w:rFonts w:ascii="Times New Roman" w:hAnsi="Times New Roman" w:cs="Times New Roman"/>
          <w:sz w:val="24"/>
          <w:szCs w:val="24"/>
        </w:rPr>
        <w:t xml:space="preserve"> last</w:t>
      </w:r>
      <w:r>
        <w:rPr>
          <w:rFonts w:ascii="Times New Roman" w:hAnsi="Times New Roman" w:cs="Times New Roman"/>
          <w:sz w:val="24"/>
          <w:szCs w:val="24"/>
        </w:rPr>
        <w:t>s</w:t>
      </w:r>
      <w:r w:rsidR="009A14FC">
        <w:rPr>
          <w:rFonts w:ascii="Times New Roman" w:hAnsi="Times New Roman" w:cs="Times New Roman"/>
          <w:sz w:val="24"/>
          <w:szCs w:val="24"/>
        </w:rPr>
        <w:t xml:space="preserve"> your entire lifetime, from the moment we come into this world, to the moment we leave. The conditions we find ourselves in once we’re born, can significantly impact our lives long into the future. Recent studies suggest that children who are born and raised in poverty</w:t>
      </w:r>
      <w:r w:rsidR="00DC099B">
        <w:rPr>
          <w:rFonts w:ascii="Times New Roman" w:hAnsi="Times New Roman" w:cs="Times New Roman"/>
          <w:sz w:val="24"/>
          <w:szCs w:val="24"/>
        </w:rPr>
        <w:t xml:space="preserve"> are more likely to struggle academically, suffer some form of mental health, and continue to live in</w:t>
      </w:r>
      <w:r w:rsidR="00B23320">
        <w:rPr>
          <w:rFonts w:ascii="Times New Roman" w:hAnsi="Times New Roman" w:cs="Times New Roman"/>
          <w:sz w:val="24"/>
          <w:szCs w:val="24"/>
        </w:rPr>
        <w:t xml:space="preserve"> </w:t>
      </w:r>
      <w:r w:rsidR="00DC099B">
        <w:rPr>
          <w:rFonts w:ascii="Times New Roman" w:hAnsi="Times New Roman" w:cs="Times New Roman"/>
          <w:sz w:val="24"/>
          <w:szCs w:val="24"/>
        </w:rPr>
        <w:t xml:space="preserve">poverty for much of their lives (Bradshaw &amp; Main, 2016). </w:t>
      </w:r>
    </w:p>
    <w:p w14:paraId="70CE023C" w14:textId="2BC77818" w:rsidR="00BC3CDC" w:rsidRDefault="005105DA" w:rsidP="009A14FC">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Marmot &amp; Wilkinson (2006), offer a</w:t>
      </w:r>
      <w:r w:rsidR="00DC099B">
        <w:rPr>
          <w:rFonts w:ascii="Times New Roman" w:hAnsi="Times New Roman" w:cs="Times New Roman"/>
          <w:sz w:val="24"/>
          <w:szCs w:val="24"/>
        </w:rPr>
        <w:t>dditional research to support the theory</w:t>
      </w:r>
      <w:r w:rsidR="0020027F">
        <w:rPr>
          <w:rFonts w:ascii="Times New Roman" w:hAnsi="Times New Roman" w:cs="Times New Roman"/>
          <w:sz w:val="24"/>
          <w:szCs w:val="24"/>
        </w:rPr>
        <w:t xml:space="preserve"> that the social and cultural environment can have a detrimental impact on our health and well</w:t>
      </w:r>
      <w:r w:rsidR="007E61AC">
        <w:rPr>
          <w:rFonts w:ascii="Times New Roman" w:hAnsi="Times New Roman" w:cs="Times New Roman"/>
          <w:sz w:val="24"/>
          <w:szCs w:val="24"/>
        </w:rPr>
        <w:t>-</w:t>
      </w:r>
      <w:r w:rsidR="0020027F">
        <w:rPr>
          <w:rFonts w:ascii="Times New Roman" w:hAnsi="Times New Roman" w:cs="Times New Roman"/>
          <w:sz w:val="24"/>
          <w:szCs w:val="24"/>
        </w:rPr>
        <w:t>being</w:t>
      </w:r>
      <w:r>
        <w:rPr>
          <w:rFonts w:ascii="Times New Roman" w:hAnsi="Times New Roman" w:cs="Times New Roman"/>
          <w:sz w:val="24"/>
          <w:szCs w:val="24"/>
        </w:rPr>
        <w:t>.</w:t>
      </w:r>
      <w:r w:rsidR="0020027F">
        <w:rPr>
          <w:rFonts w:ascii="Times New Roman" w:hAnsi="Times New Roman" w:cs="Times New Roman"/>
          <w:sz w:val="24"/>
          <w:szCs w:val="24"/>
        </w:rPr>
        <w:t xml:space="preserve"> </w:t>
      </w:r>
      <w:r w:rsidR="004769F3">
        <w:rPr>
          <w:rFonts w:ascii="Times New Roman" w:hAnsi="Times New Roman" w:cs="Times New Roman"/>
          <w:sz w:val="24"/>
          <w:szCs w:val="24"/>
        </w:rPr>
        <w:t xml:space="preserve">These can include variables such as socioeconomic status, gender, ethnicity, poverty &amp; deprivation, and social networks and support. </w:t>
      </w:r>
      <w:r w:rsidR="00B23320">
        <w:rPr>
          <w:rFonts w:ascii="Times New Roman" w:hAnsi="Times New Roman" w:cs="Times New Roman"/>
          <w:sz w:val="24"/>
          <w:szCs w:val="24"/>
        </w:rPr>
        <w:t>T</w:t>
      </w:r>
      <w:r w:rsidR="004769F3">
        <w:rPr>
          <w:rFonts w:ascii="Times New Roman" w:hAnsi="Times New Roman" w:cs="Times New Roman"/>
          <w:sz w:val="24"/>
          <w:szCs w:val="24"/>
        </w:rPr>
        <w:t xml:space="preserve">hese variables can have an increased or decreased influence on us depending on the stage in our lives and how much repetitive exposure we receive from them. </w:t>
      </w:r>
    </w:p>
    <w:p w14:paraId="5C443B1A" w14:textId="54D4F2C2" w:rsidR="00062965" w:rsidRDefault="00ED7319" w:rsidP="009A14FC">
      <w:pPr>
        <w:spacing w:line="480" w:lineRule="auto"/>
        <w:ind w:firstLine="720"/>
        <w:rPr>
          <w:rFonts w:ascii="Times New Roman" w:hAnsi="Times New Roman" w:cs="Times New Roman"/>
          <w:sz w:val="24"/>
          <w:szCs w:val="24"/>
        </w:rPr>
      </w:pPr>
      <w:r>
        <w:rPr>
          <w:rFonts w:ascii="Times New Roman" w:hAnsi="Times New Roman" w:cs="Times New Roman"/>
          <w:sz w:val="24"/>
          <w:szCs w:val="24"/>
        </w:rPr>
        <w:t>One of the earliest and most important stages in our lives is education</w:t>
      </w:r>
      <w:r w:rsidR="003A142F">
        <w:rPr>
          <w:rFonts w:ascii="Times New Roman" w:hAnsi="Times New Roman" w:cs="Times New Roman"/>
          <w:sz w:val="24"/>
          <w:szCs w:val="24"/>
        </w:rPr>
        <w:t xml:space="preserve"> and t</w:t>
      </w:r>
      <w:r>
        <w:rPr>
          <w:rFonts w:ascii="Times New Roman" w:hAnsi="Times New Roman" w:cs="Times New Roman"/>
          <w:sz w:val="24"/>
          <w:szCs w:val="24"/>
        </w:rPr>
        <w:t>his lays the foundations down for your future</w:t>
      </w:r>
      <w:r w:rsidR="003A142F">
        <w:rPr>
          <w:rFonts w:ascii="Times New Roman" w:hAnsi="Times New Roman" w:cs="Times New Roman"/>
          <w:sz w:val="24"/>
          <w:szCs w:val="24"/>
        </w:rPr>
        <w:t>. H</w:t>
      </w:r>
      <w:r>
        <w:rPr>
          <w:rFonts w:ascii="Times New Roman" w:hAnsi="Times New Roman" w:cs="Times New Roman"/>
          <w:sz w:val="24"/>
          <w:szCs w:val="24"/>
        </w:rPr>
        <w:t xml:space="preserve">ow you experience your educational years can significantly influence how healthy you </w:t>
      </w:r>
      <w:r w:rsidR="003A142F">
        <w:rPr>
          <w:rFonts w:ascii="Times New Roman" w:hAnsi="Times New Roman" w:cs="Times New Roman"/>
          <w:sz w:val="24"/>
          <w:szCs w:val="24"/>
        </w:rPr>
        <w:t>become</w:t>
      </w:r>
      <w:r w:rsidR="00AE6F3E">
        <w:rPr>
          <w:rFonts w:ascii="Times New Roman" w:hAnsi="Times New Roman" w:cs="Times New Roman"/>
          <w:sz w:val="24"/>
          <w:szCs w:val="24"/>
        </w:rPr>
        <w:t xml:space="preserve">, your progression in life </w:t>
      </w:r>
      <w:r>
        <w:rPr>
          <w:rFonts w:ascii="Times New Roman" w:hAnsi="Times New Roman" w:cs="Times New Roman"/>
          <w:sz w:val="24"/>
          <w:szCs w:val="24"/>
        </w:rPr>
        <w:t xml:space="preserve">and whether you achieve good well-being. </w:t>
      </w:r>
      <w:r w:rsidR="00B23320">
        <w:rPr>
          <w:rFonts w:ascii="Times New Roman" w:hAnsi="Times New Roman" w:cs="Times New Roman"/>
          <w:sz w:val="24"/>
          <w:szCs w:val="24"/>
        </w:rPr>
        <w:t>S</w:t>
      </w:r>
      <w:r>
        <w:rPr>
          <w:rFonts w:ascii="Times New Roman" w:hAnsi="Times New Roman" w:cs="Times New Roman"/>
          <w:sz w:val="24"/>
          <w:szCs w:val="24"/>
        </w:rPr>
        <w:t xml:space="preserve">uccessful education can increase the confidence of </w:t>
      </w:r>
      <w:r w:rsidR="00B23320">
        <w:rPr>
          <w:rFonts w:ascii="Times New Roman" w:hAnsi="Times New Roman" w:cs="Times New Roman"/>
          <w:sz w:val="24"/>
          <w:szCs w:val="24"/>
        </w:rPr>
        <w:t>c</w:t>
      </w:r>
      <w:r>
        <w:rPr>
          <w:rFonts w:ascii="Times New Roman" w:hAnsi="Times New Roman" w:cs="Times New Roman"/>
          <w:sz w:val="24"/>
          <w:szCs w:val="24"/>
        </w:rPr>
        <w:t>hild</w:t>
      </w:r>
      <w:r w:rsidR="00B23320">
        <w:rPr>
          <w:rFonts w:ascii="Times New Roman" w:hAnsi="Times New Roman" w:cs="Times New Roman"/>
          <w:sz w:val="24"/>
          <w:szCs w:val="24"/>
        </w:rPr>
        <w:t>ren</w:t>
      </w:r>
      <w:r>
        <w:rPr>
          <w:rFonts w:ascii="Times New Roman" w:hAnsi="Times New Roman" w:cs="Times New Roman"/>
          <w:sz w:val="24"/>
          <w:szCs w:val="24"/>
        </w:rPr>
        <w:t xml:space="preserve"> and better their knowledge of things. If the child comes from a lower-class family, school can become a positive or negative environment for them. For example, attending school can act as an escape from their home reality where life may be a struggle for a number of reasons; on the other hand, it may add to the stresses and difficulties the child faces at home. If the child is subjected to financial strains, violence, stress, or other typical results of poverty, </w:t>
      </w:r>
      <w:r w:rsidR="003A142F">
        <w:rPr>
          <w:rFonts w:ascii="Times New Roman" w:hAnsi="Times New Roman" w:cs="Times New Roman"/>
          <w:sz w:val="24"/>
          <w:szCs w:val="24"/>
        </w:rPr>
        <w:t xml:space="preserve">they can find it difficult to concentrate or learn their work. This can lead them to fall behind, gain very little knowledge and send them on a downward spiral throughout their academic years. In contrast to this, things can work the other way around; bad health conditions can lead to a lack of education which can lead to the same </w:t>
      </w:r>
      <w:r w:rsidR="00AE6F3E">
        <w:rPr>
          <w:rFonts w:ascii="Times New Roman" w:hAnsi="Times New Roman" w:cs="Times New Roman"/>
          <w:sz w:val="24"/>
          <w:szCs w:val="24"/>
        </w:rPr>
        <w:t xml:space="preserve">results </w:t>
      </w:r>
      <w:r w:rsidR="003A142F">
        <w:rPr>
          <w:rFonts w:ascii="Times New Roman" w:hAnsi="Times New Roman" w:cs="Times New Roman"/>
          <w:sz w:val="24"/>
          <w:szCs w:val="24"/>
        </w:rPr>
        <w:t xml:space="preserve">stated above. For example, if a child suffers from a learning </w:t>
      </w:r>
      <w:r w:rsidR="00AE6F3E">
        <w:rPr>
          <w:rFonts w:ascii="Times New Roman" w:hAnsi="Times New Roman" w:cs="Times New Roman"/>
          <w:sz w:val="24"/>
          <w:szCs w:val="24"/>
        </w:rPr>
        <w:t xml:space="preserve">disability or some kind of physical ailment, this can reduce their opportunities in education, create a disadvantage compared to classmates, and lower their prospects for the future. </w:t>
      </w:r>
    </w:p>
    <w:p w14:paraId="56782DD0" w14:textId="32B919A3" w:rsidR="00157F35" w:rsidRDefault="00157F35" w:rsidP="00BB4AE2">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sz w:val="24"/>
          <w:szCs w:val="24"/>
        </w:rPr>
        <w:t>Adults who achieve a good education tend to be exposed to less economic hardship, due to achieving greater job prestige and social status, all leading to better access to health promoting resources</w:t>
      </w:r>
      <w:r w:rsidR="008C75BA">
        <w:rPr>
          <w:rFonts w:ascii="Times New Roman" w:hAnsi="Times New Roman" w:cs="Times New Roman"/>
          <w:sz w:val="24"/>
          <w:szCs w:val="24"/>
        </w:rPr>
        <w:t xml:space="preserve"> (Baum, Ma &amp; Payea, 2013).</w:t>
      </w:r>
      <w:r>
        <w:rPr>
          <w:rFonts w:ascii="Times New Roman" w:hAnsi="Times New Roman" w:cs="Times New Roman"/>
          <w:sz w:val="24"/>
          <w:szCs w:val="24"/>
        </w:rPr>
        <w:t xml:space="preserve"> It has been widely identified that income as </w:t>
      </w:r>
      <w:r>
        <w:rPr>
          <w:rFonts w:ascii="Times New Roman" w:hAnsi="Times New Roman" w:cs="Times New Roman"/>
          <w:sz w:val="24"/>
          <w:szCs w:val="24"/>
        </w:rPr>
        <w:lastRenderedPageBreak/>
        <w:t xml:space="preserve">a result of good education is one of the main reasons for superior health and well-being. </w:t>
      </w:r>
      <w:r w:rsidR="004852A6">
        <w:rPr>
          <w:rFonts w:ascii="Times New Roman" w:hAnsi="Times New Roman" w:cs="Times New Roman"/>
          <w:sz w:val="24"/>
          <w:szCs w:val="24"/>
        </w:rPr>
        <w:t>Families with higher incomes can afford healthier foods, have time and disposable income to exercise and pay for better health services. Contrasting to this, negative impacts associated with less education are job insecurity, lower income, and lack of assets and resources. This can lead to increased vulnerabilities for the family such as financial difficulties (unable to afford utility bills, rent, food etc.), relationship struggles and much more. All this contributes to increased economic hardship</w:t>
      </w:r>
      <w:r w:rsidR="000968A4">
        <w:rPr>
          <w:rFonts w:ascii="Times New Roman" w:hAnsi="Times New Roman" w:cs="Times New Roman"/>
          <w:sz w:val="24"/>
          <w:szCs w:val="24"/>
        </w:rPr>
        <w:t xml:space="preserve"> (</w:t>
      </w:r>
      <w:r w:rsidR="000968A4" w:rsidRPr="000968A4">
        <w:rPr>
          <w:rFonts w:ascii="Times New Roman" w:hAnsi="Times New Roman" w:cs="Times New Roman"/>
          <w:sz w:val="24"/>
          <w:szCs w:val="24"/>
          <w:shd w:val="clear" w:color="auto" w:fill="FFFFFF"/>
        </w:rPr>
        <w:t xml:space="preserve">Sobolewski &amp; Amato, 2005). </w:t>
      </w:r>
    </w:p>
    <w:p w14:paraId="02194AE6" w14:textId="7E5FED58" w:rsidR="000968A4" w:rsidRDefault="000968A4" w:rsidP="00BB4AE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Our ability to create relationships, </w:t>
      </w:r>
      <w:r w:rsidR="009E04A5">
        <w:rPr>
          <w:rFonts w:ascii="Times New Roman" w:hAnsi="Times New Roman" w:cs="Times New Roman"/>
          <w:sz w:val="24"/>
          <w:szCs w:val="24"/>
        </w:rPr>
        <w:t xml:space="preserve">circles of influence and good social networks can strengthen our ability to gain access to resources that better our health and well-being; this can sometimes be referred to as </w:t>
      </w:r>
      <w:r w:rsidR="009E04A5">
        <w:rPr>
          <w:rFonts w:ascii="Times New Roman" w:hAnsi="Times New Roman" w:cs="Times New Roman"/>
          <w:i/>
          <w:sz w:val="24"/>
          <w:szCs w:val="24"/>
        </w:rPr>
        <w:t>social capital</w:t>
      </w:r>
      <w:r w:rsidR="00CE4E9F">
        <w:rPr>
          <w:rFonts w:ascii="Times New Roman" w:hAnsi="Times New Roman" w:cs="Times New Roman"/>
          <w:sz w:val="24"/>
          <w:szCs w:val="24"/>
        </w:rPr>
        <w:t xml:space="preserve"> (Cutts &amp; Fieldhouse, 2015). This explains the aspect of social inclusion; however social exclusion can often be prominent in certain circumstances. Social exclusion can occur when individuals or environments suffer things such as unemployment, financial difficulties, </w:t>
      </w:r>
      <w:r w:rsidR="00BF1F8D">
        <w:rPr>
          <w:rFonts w:ascii="Times New Roman" w:hAnsi="Times New Roman" w:cs="Times New Roman"/>
          <w:sz w:val="24"/>
          <w:szCs w:val="24"/>
        </w:rPr>
        <w:t xml:space="preserve">health issues, poor housing, high crime rates or breakdowns in relationships. Any individual can suffer social exclusion, although it tends to be an issue with people who suffer mental health problems, ex-offenders, young parents or young runaways/homeless people. Due to their circumstances, they may not feel connected to networks or other social groups that can promote good health or well-being. </w:t>
      </w:r>
      <w:r w:rsidR="005929FC">
        <w:rPr>
          <w:rFonts w:ascii="Times New Roman" w:hAnsi="Times New Roman" w:cs="Times New Roman"/>
          <w:sz w:val="24"/>
          <w:szCs w:val="24"/>
        </w:rPr>
        <w:t xml:space="preserve">Reintegration and exposure to social networks is pivotal in developing a better psychosocial state. For example, research has discovered that religion and spirituality create a sense of belonging and by participating in a variety of activities, this can promote good health and well-being (Yeung, 2004). </w:t>
      </w:r>
    </w:p>
    <w:p w14:paraId="41213B29" w14:textId="0150C91F" w:rsidR="00B2738C" w:rsidRDefault="00D94898" w:rsidP="00BB4AE2">
      <w:pPr>
        <w:spacing w:line="480" w:lineRule="auto"/>
        <w:ind w:firstLine="720"/>
        <w:rPr>
          <w:rFonts w:ascii="Times New Roman" w:hAnsi="Times New Roman" w:cs="Times New Roman"/>
          <w:sz w:val="24"/>
          <w:szCs w:val="24"/>
        </w:rPr>
      </w:pPr>
      <w:r>
        <w:rPr>
          <w:rFonts w:ascii="Times New Roman" w:hAnsi="Times New Roman" w:cs="Times New Roman"/>
          <w:sz w:val="24"/>
          <w:szCs w:val="24"/>
        </w:rPr>
        <w:t>So,</w:t>
      </w:r>
      <w:r w:rsidR="00B2738C">
        <w:rPr>
          <w:rFonts w:ascii="Times New Roman" w:hAnsi="Times New Roman" w:cs="Times New Roman"/>
          <w:sz w:val="24"/>
          <w:szCs w:val="24"/>
        </w:rPr>
        <w:t xml:space="preserve"> we know that the social and community impacts on us are extremely influential on our health and well-being, but it is also imperative that we consider the actual conditions in which we live and work. </w:t>
      </w:r>
      <w:r w:rsidR="00132D8C">
        <w:rPr>
          <w:rFonts w:ascii="Times New Roman" w:hAnsi="Times New Roman" w:cs="Times New Roman"/>
          <w:sz w:val="24"/>
          <w:szCs w:val="24"/>
        </w:rPr>
        <w:t xml:space="preserve">Hilary Graham (1993) conducted research on women and smoking. Her research concluded that the poorest were the most likely to smoke and that they used it as </w:t>
      </w:r>
      <w:r w:rsidR="00132D8C">
        <w:rPr>
          <w:rFonts w:ascii="Times New Roman" w:hAnsi="Times New Roman" w:cs="Times New Roman"/>
          <w:sz w:val="24"/>
          <w:szCs w:val="24"/>
        </w:rPr>
        <w:lastRenderedPageBreak/>
        <w:t xml:space="preserve">a strategy to cope with stresses related to poverty and social exclusion. They identified that things such as upcoming bills and inability to afford things for celebratory occasions contributed to increased smoking and stress. </w:t>
      </w:r>
      <w:r w:rsidR="001440FC">
        <w:rPr>
          <w:rFonts w:ascii="Times New Roman" w:hAnsi="Times New Roman" w:cs="Times New Roman"/>
          <w:sz w:val="24"/>
          <w:szCs w:val="24"/>
        </w:rPr>
        <w:t>People who live in poverty stricken hous</w:t>
      </w:r>
      <w:r w:rsidR="00E2295F">
        <w:rPr>
          <w:rFonts w:ascii="Times New Roman" w:hAnsi="Times New Roman" w:cs="Times New Roman"/>
          <w:sz w:val="24"/>
          <w:szCs w:val="24"/>
        </w:rPr>
        <w:t xml:space="preserve">eholds or face social exclusion often have a greater need to access good healthcare, mental health services, education, employment and housing. However, according to recent reports by the Welsh Assembly Government </w:t>
      </w:r>
      <w:hyperlink r:id="rId6" w:history="1">
        <w:r w:rsidR="00E2295F" w:rsidRPr="008375A3">
          <w:rPr>
            <w:rStyle w:val="Hyperlink"/>
            <w:rFonts w:ascii="Times New Roman" w:hAnsi="Times New Roman" w:cs="Times New Roman"/>
            <w:sz w:val="24"/>
            <w:szCs w:val="24"/>
          </w:rPr>
          <w:t>http://gov.wales</w:t>
        </w:r>
      </w:hyperlink>
      <w:r w:rsidR="00E2295F">
        <w:rPr>
          <w:rFonts w:ascii="Times New Roman" w:hAnsi="Times New Roman" w:cs="Times New Roman"/>
          <w:sz w:val="24"/>
          <w:szCs w:val="24"/>
        </w:rPr>
        <w:t xml:space="preserve">, those who require the most support, often receive the least access to services. </w:t>
      </w:r>
      <w:r w:rsidR="00C94A93">
        <w:rPr>
          <w:rFonts w:ascii="Times New Roman" w:hAnsi="Times New Roman" w:cs="Times New Roman"/>
          <w:sz w:val="24"/>
          <w:szCs w:val="24"/>
        </w:rPr>
        <w:t xml:space="preserve">Living in such conditions lead to increased stress and physical illness, due to constant worry and lack of access to resources. </w:t>
      </w:r>
      <w:r w:rsidR="002C72B2">
        <w:rPr>
          <w:rFonts w:ascii="Times New Roman" w:hAnsi="Times New Roman" w:cs="Times New Roman"/>
          <w:sz w:val="24"/>
          <w:szCs w:val="24"/>
        </w:rPr>
        <w:t xml:space="preserve">There is lots of evidence to suggest that children exposed to poverty, have a higher risk of developing mental health issues and underachieving (Ayre, 2016). </w:t>
      </w:r>
    </w:p>
    <w:p w14:paraId="523CB27B" w14:textId="7CCBC539" w:rsidR="002C72B2" w:rsidRDefault="002C72B2" w:rsidP="00BB4AE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Poor working conditions </w:t>
      </w:r>
      <w:r w:rsidR="00ED356D">
        <w:rPr>
          <w:rFonts w:ascii="Times New Roman" w:hAnsi="Times New Roman" w:cs="Times New Roman"/>
          <w:sz w:val="24"/>
          <w:szCs w:val="24"/>
        </w:rPr>
        <w:t>such as ergonomic hazards or physical demands and stress due to reward, disciplinary procedures, incentives and long working hours can all contribute to damaged health and well-being. A survey conducted in Sweden (</w:t>
      </w:r>
      <w:bookmarkStart w:id="0" w:name="baep-author-id2"/>
      <w:r w:rsidR="00ED356D" w:rsidRPr="00ED356D">
        <w:rPr>
          <w:rFonts w:ascii="Times New Roman" w:hAnsi="Times New Roman" w:cs="Times New Roman"/>
          <w:sz w:val="24"/>
          <w:szCs w:val="24"/>
        </w:rPr>
        <w:fldChar w:fldCharType="begin"/>
      </w:r>
      <w:r w:rsidR="00ED356D" w:rsidRPr="00ED356D">
        <w:rPr>
          <w:rFonts w:ascii="Times New Roman" w:hAnsi="Times New Roman" w:cs="Times New Roman"/>
          <w:sz w:val="24"/>
          <w:szCs w:val="24"/>
        </w:rPr>
        <w:instrText xml:space="preserve"> HYPERLINK "http://www.sciencedirect.com/science/article/pii/S0277953605000055" \l "!" </w:instrText>
      </w:r>
      <w:r w:rsidR="00ED356D" w:rsidRPr="00ED356D">
        <w:rPr>
          <w:rFonts w:ascii="Times New Roman" w:hAnsi="Times New Roman" w:cs="Times New Roman"/>
          <w:sz w:val="24"/>
          <w:szCs w:val="24"/>
        </w:rPr>
        <w:fldChar w:fldCharType="separate"/>
      </w:r>
      <w:r w:rsidR="00ED356D" w:rsidRPr="00ED356D">
        <w:rPr>
          <w:rStyle w:val="text"/>
          <w:rFonts w:ascii="Times New Roman" w:hAnsi="Times New Roman" w:cs="Times New Roman"/>
          <w:sz w:val="24"/>
          <w:szCs w:val="24"/>
        </w:rPr>
        <w:t>Hemström</w:t>
      </w:r>
      <w:r w:rsidR="00ED356D" w:rsidRPr="00ED356D">
        <w:rPr>
          <w:rFonts w:ascii="Times New Roman" w:hAnsi="Times New Roman" w:cs="Times New Roman"/>
          <w:sz w:val="24"/>
          <w:szCs w:val="24"/>
        </w:rPr>
        <w:fldChar w:fldCharType="end"/>
      </w:r>
      <w:bookmarkEnd w:id="0"/>
      <w:r w:rsidR="00ED356D">
        <w:rPr>
          <w:rFonts w:ascii="Times New Roman" w:hAnsi="Times New Roman" w:cs="Times New Roman"/>
          <w:sz w:val="24"/>
          <w:szCs w:val="24"/>
        </w:rPr>
        <w:t>, 2005)</w:t>
      </w:r>
      <w:r w:rsidR="00273F43">
        <w:rPr>
          <w:rFonts w:ascii="Times New Roman" w:hAnsi="Times New Roman" w:cs="Times New Roman"/>
          <w:sz w:val="24"/>
          <w:szCs w:val="24"/>
        </w:rPr>
        <w:t>, aimed to explore the connections between work environment, health inequalities and wage income. It concluded that our working environment is a significant contributor to our socio-economic class influencing our inequalities in health. Sickness as a result of these issues can lead to increased absence. This can have a detrimental impact on</w:t>
      </w:r>
      <w:r w:rsidR="00C304EA">
        <w:rPr>
          <w:rFonts w:ascii="Times New Roman" w:hAnsi="Times New Roman" w:cs="Times New Roman"/>
          <w:sz w:val="24"/>
          <w:szCs w:val="24"/>
        </w:rPr>
        <w:t xml:space="preserve"> our economy as it becomes costly for our health service and both private and public sectors. People living in poverty but in </w:t>
      </w:r>
      <w:r w:rsidR="00D94898">
        <w:rPr>
          <w:rFonts w:ascii="Times New Roman" w:hAnsi="Times New Roman" w:cs="Times New Roman"/>
          <w:sz w:val="24"/>
          <w:szCs w:val="24"/>
        </w:rPr>
        <w:t>employment</w:t>
      </w:r>
      <w:r w:rsidR="00C304EA">
        <w:rPr>
          <w:rFonts w:ascii="Times New Roman" w:hAnsi="Times New Roman" w:cs="Times New Roman"/>
          <w:sz w:val="24"/>
          <w:szCs w:val="24"/>
        </w:rPr>
        <w:t xml:space="preserve">, often continue to work through ill health or mental instability. This is because they feel a sense of desperation to provide for their families, not let them down or simply pay their bills. This often leads to worsened conditions and subsequently larger financial consequences. </w:t>
      </w:r>
    </w:p>
    <w:p w14:paraId="305A292C" w14:textId="42700104" w:rsidR="00D94898" w:rsidRDefault="00D94898" w:rsidP="00BB4AE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Populations are rapidly increasing, and people’s life expectancy is following suit. This can lead to strains on the government and other services which can influence our health and well-being. </w:t>
      </w:r>
      <w:r w:rsidR="00AD1571">
        <w:rPr>
          <w:rFonts w:ascii="Times New Roman" w:hAnsi="Times New Roman" w:cs="Times New Roman"/>
          <w:sz w:val="24"/>
          <w:szCs w:val="24"/>
        </w:rPr>
        <w:t xml:space="preserve">People are outliving their financial resources and with older age, maintaining a </w:t>
      </w:r>
      <w:r w:rsidR="00AD1571">
        <w:rPr>
          <w:rFonts w:ascii="Times New Roman" w:hAnsi="Times New Roman" w:cs="Times New Roman"/>
          <w:sz w:val="24"/>
          <w:szCs w:val="24"/>
        </w:rPr>
        <w:lastRenderedPageBreak/>
        <w:t>decent quality of life and health and social care are all increasing responsibilities for the government. As well as including financial cuts, added responsibility can take up resources and thin out an already stretched sector, resulting in less services, longer waiting lists and even refusal of treatment. While populations are increasing, and communities are becoming denser, it is sometimes hard to escape the chaotic urban lifestyle. Higher populated areas often receive higher crime rates and increased fear of violence</w:t>
      </w:r>
      <w:r w:rsidR="00A713B7">
        <w:rPr>
          <w:rFonts w:ascii="Times New Roman" w:hAnsi="Times New Roman" w:cs="Times New Roman"/>
          <w:sz w:val="24"/>
          <w:szCs w:val="24"/>
        </w:rPr>
        <w:t xml:space="preserve"> which is known to lead to negative impacts on mental health and well-being. Higher air pollution is also a usual hazard in such areas and this can obviously lead to bad health conditions such as cancer or respiratory issues. Integrating back with nature has been found to better people’s health and improve their well-being (</w:t>
      </w:r>
      <w:r w:rsidR="00A713B7" w:rsidRPr="00A713B7">
        <w:rPr>
          <w:rFonts w:ascii="Times New Roman" w:hAnsi="Times New Roman" w:cs="Times New Roman"/>
          <w:sz w:val="24"/>
          <w:szCs w:val="24"/>
          <w:shd w:val="clear" w:color="auto" w:fill="FFFFFF"/>
        </w:rPr>
        <w:t>Hartig</w:t>
      </w:r>
      <w:r w:rsidR="00A713B7">
        <w:rPr>
          <w:rFonts w:ascii="Times New Roman" w:hAnsi="Times New Roman" w:cs="Times New Roman"/>
          <w:sz w:val="24"/>
          <w:szCs w:val="24"/>
          <w:shd w:val="clear" w:color="auto" w:fill="FFFFFF"/>
        </w:rPr>
        <w:t xml:space="preserve">, Mitchell, De Vries &amp; Frumkin, 2014). </w:t>
      </w:r>
    </w:p>
    <w:p w14:paraId="2F2990E3" w14:textId="499F9694" w:rsidR="00B36CBA" w:rsidRDefault="00D94898" w:rsidP="00A713B7">
      <w:pPr>
        <w:spacing w:line="480" w:lineRule="auto"/>
        <w:ind w:firstLine="720"/>
        <w:rPr>
          <w:rFonts w:ascii="Times New Roman" w:hAnsi="Times New Roman" w:cs="Times New Roman"/>
          <w:sz w:val="24"/>
          <w:szCs w:val="24"/>
        </w:rPr>
      </w:pPr>
      <w:r w:rsidRPr="007C1F1B">
        <w:rPr>
          <w:rFonts w:ascii="Times New Roman" w:hAnsi="Times New Roman" w:cs="Times New Roman"/>
          <w:sz w:val="24"/>
          <w:szCs w:val="24"/>
        </w:rPr>
        <w:t>So,</w:t>
      </w:r>
      <w:r w:rsidR="007C1F1B" w:rsidRPr="007C1F1B">
        <w:rPr>
          <w:rFonts w:ascii="Times New Roman" w:hAnsi="Times New Roman" w:cs="Times New Roman"/>
          <w:sz w:val="24"/>
          <w:szCs w:val="24"/>
        </w:rPr>
        <w:t xml:space="preserve"> who is responsible for </w:t>
      </w:r>
      <w:r w:rsidR="007C1F1B">
        <w:rPr>
          <w:rFonts w:ascii="Times New Roman" w:hAnsi="Times New Roman" w:cs="Times New Roman"/>
          <w:sz w:val="24"/>
          <w:szCs w:val="24"/>
        </w:rPr>
        <w:t>good health and well</w:t>
      </w:r>
      <w:r w:rsidR="007E61AC">
        <w:rPr>
          <w:rFonts w:ascii="Times New Roman" w:hAnsi="Times New Roman" w:cs="Times New Roman"/>
          <w:sz w:val="24"/>
          <w:szCs w:val="24"/>
        </w:rPr>
        <w:t>-</w:t>
      </w:r>
      <w:r w:rsidR="007C1F1B">
        <w:rPr>
          <w:rFonts w:ascii="Times New Roman" w:hAnsi="Times New Roman" w:cs="Times New Roman"/>
          <w:sz w:val="24"/>
          <w:szCs w:val="24"/>
        </w:rPr>
        <w:t>being? Some would argue that the individual is ultimately responsible for this as it is your responsibility to take care of yourself; however, this is a multidisciplinary effort</w:t>
      </w:r>
      <w:r w:rsidR="004A05CE">
        <w:rPr>
          <w:rFonts w:ascii="Times New Roman" w:hAnsi="Times New Roman" w:cs="Times New Roman"/>
          <w:sz w:val="24"/>
          <w:szCs w:val="24"/>
        </w:rPr>
        <w:t xml:space="preserve"> ranging from </w:t>
      </w:r>
      <w:r w:rsidR="0073086B">
        <w:rPr>
          <w:rFonts w:ascii="Times New Roman" w:hAnsi="Times New Roman" w:cs="Times New Roman"/>
          <w:sz w:val="24"/>
          <w:szCs w:val="24"/>
        </w:rPr>
        <w:t>monitoring health and disease within populations, to education and health advice.</w:t>
      </w:r>
      <w:r w:rsidR="007C1F1B">
        <w:rPr>
          <w:rFonts w:ascii="Times New Roman" w:hAnsi="Times New Roman" w:cs="Times New Roman"/>
          <w:sz w:val="24"/>
          <w:szCs w:val="24"/>
        </w:rPr>
        <w:t xml:space="preserve"> For example, a necessity for having good health and well</w:t>
      </w:r>
      <w:r w:rsidR="007E61AC">
        <w:rPr>
          <w:rFonts w:ascii="Times New Roman" w:hAnsi="Times New Roman" w:cs="Times New Roman"/>
          <w:sz w:val="24"/>
          <w:szCs w:val="24"/>
        </w:rPr>
        <w:t>-</w:t>
      </w:r>
      <w:r w:rsidR="007C1F1B">
        <w:rPr>
          <w:rFonts w:ascii="Times New Roman" w:hAnsi="Times New Roman" w:cs="Times New Roman"/>
          <w:sz w:val="24"/>
          <w:szCs w:val="24"/>
        </w:rPr>
        <w:t>being is</w:t>
      </w:r>
      <w:r w:rsidR="007E61AC">
        <w:rPr>
          <w:rFonts w:ascii="Times New Roman" w:hAnsi="Times New Roman" w:cs="Times New Roman"/>
          <w:sz w:val="24"/>
          <w:szCs w:val="24"/>
        </w:rPr>
        <w:t xml:space="preserve"> good sanitised</w:t>
      </w:r>
      <w:r w:rsidR="007C1F1B">
        <w:rPr>
          <w:rFonts w:ascii="Times New Roman" w:hAnsi="Times New Roman" w:cs="Times New Roman"/>
          <w:sz w:val="24"/>
          <w:szCs w:val="24"/>
        </w:rPr>
        <w:t xml:space="preserve"> water. If you do not have clean water to drink, this can lead to ill health, disease, mental illnesses and potentially even death. The government </w:t>
      </w:r>
      <w:r w:rsidR="00E346A9">
        <w:rPr>
          <w:rFonts w:ascii="Times New Roman" w:hAnsi="Times New Roman" w:cs="Times New Roman"/>
          <w:sz w:val="24"/>
          <w:szCs w:val="24"/>
        </w:rPr>
        <w:t>and related agencies are</w:t>
      </w:r>
      <w:r w:rsidR="007C1F1B">
        <w:rPr>
          <w:rFonts w:ascii="Times New Roman" w:hAnsi="Times New Roman" w:cs="Times New Roman"/>
          <w:sz w:val="24"/>
          <w:szCs w:val="24"/>
        </w:rPr>
        <w:t xml:space="preserve"> responsible for ensu</w:t>
      </w:r>
      <w:r w:rsidR="007E61AC">
        <w:rPr>
          <w:rFonts w:ascii="Times New Roman" w:hAnsi="Times New Roman" w:cs="Times New Roman"/>
          <w:sz w:val="24"/>
          <w:szCs w:val="24"/>
        </w:rPr>
        <w:t>ring people have access to good sanitised</w:t>
      </w:r>
      <w:r w:rsidR="007C1F1B">
        <w:rPr>
          <w:rFonts w:ascii="Times New Roman" w:hAnsi="Times New Roman" w:cs="Times New Roman"/>
          <w:sz w:val="24"/>
          <w:szCs w:val="24"/>
        </w:rPr>
        <w:t xml:space="preserve"> water, so therefore they are partly responsible for your health and well</w:t>
      </w:r>
      <w:r w:rsidR="0085720E">
        <w:rPr>
          <w:rFonts w:ascii="Times New Roman" w:hAnsi="Times New Roman" w:cs="Times New Roman"/>
          <w:sz w:val="24"/>
          <w:szCs w:val="24"/>
        </w:rPr>
        <w:t>-</w:t>
      </w:r>
      <w:r w:rsidR="007C1F1B">
        <w:rPr>
          <w:rFonts w:ascii="Times New Roman" w:hAnsi="Times New Roman" w:cs="Times New Roman"/>
          <w:sz w:val="24"/>
          <w:szCs w:val="24"/>
        </w:rPr>
        <w:t>being.</w:t>
      </w:r>
      <w:r w:rsidR="002C72B2">
        <w:rPr>
          <w:rFonts w:ascii="Times New Roman" w:hAnsi="Times New Roman" w:cs="Times New Roman"/>
          <w:sz w:val="24"/>
          <w:szCs w:val="24"/>
        </w:rPr>
        <w:t xml:space="preserve"> Another example is healthcare. If we become ill, are we as individuals responsible for getting better or is it the responsibility of healthcare professionals? The answer is both; we can ensure we use good hygienic practices, exercise and have good nutrition to strengthen our immune systems and take precautions such as rest when we do become ill, however when we reach a point where the seriousness of our condition</w:t>
      </w:r>
      <w:r w:rsidR="00ED356D">
        <w:rPr>
          <w:rFonts w:ascii="Times New Roman" w:hAnsi="Times New Roman" w:cs="Times New Roman"/>
          <w:sz w:val="24"/>
          <w:szCs w:val="24"/>
        </w:rPr>
        <w:t xml:space="preserve"> becomes potentially dangerous, it then becomes the responsibility of healthcare agencies and professionals to give us sufficient treatment. </w:t>
      </w:r>
    </w:p>
    <w:p w14:paraId="47D0FBC0" w14:textId="18E13E07" w:rsidR="007C1F1B" w:rsidRDefault="007C1F1B" w:rsidP="00B36CBA">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73086B">
        <w:rPr>
          <w:rFonts w:ascii="Times New Roman" w:hAnsi="Times New Roman" w:cs="Times New Roman"/>
          <w:sz w:val="24"/>
          <w:szCs w:val="24"/>
        </w:rPr>
        <w:t>Improving health and well</w:t>
      </w:r>
      <w:r w:rsidR="0085720E">
        <w:rPr>
          <w:rFonts w:ascii="Times New Roman" w:hAnsi="Times New Roman" w:cs="Times New Roman"/>
          <w:sz w:val="24"/>
          <w:szCs w:val="24"/>
        </w:rPr>
        <w:t>-</w:t>
      </w:r>
      <w:r w:rsidR="0073086B">
        <w:rPr>
          <w:rFonts w:ascii="Times New Roman" w:hAnsi="Times New Roman" w:cs="Times New Roman"/>
          <w:sz w:val="24"/>
          <w:szCs w:val="24"/>
        </w:rPr>
        <w:t>being is a major concern at local, national and international levels. In Wales, the Welsh Assembly Government have implemented the ‘Well-being of Future Generations (Wales) Act, 2015’</w:t>
      </w:r>
      <w:r w:rsidR="00E73C62">
        <w:rPr>
          <w:rFonts w:ascii="Times New Roman" w:hAnsi="Times New Roman" w:cs="Times New Roman"/>
          <w:sz w:val="24"/>
          <w:szCs w:val="24"/>
        </w:rPr>
        <w:t>,</w:t>
      </w:r>
      <w:r w:rsidR="005C5AEB" w:rsidRPr="005C5AEB">
        <w:t xml:space="preserve"> </w:t>
      </w:r>
      <w:hyperlink r:id="rId7" w:history="1">
        <w:r w:rsidR="00E73C62" w:rsidRPr="008375A3">
          <w:rPr>
            <w:rStyle w:val="Hyperlink"/>
            <w:rFonts w:ascii="Times New Roman" w:hAnsi="Times New Roman" w:cs="Times New Roman"/>
            <w:sz w:val="24"/>
            <w:szCs w:val="24"/>
          </w:rPr>
          <w:t>http://gov.wales</w:t>
        </w:r>
      </w:hyperlink>
      <w:r w:rsidR="00E73C62">
        <w:rPr>
          <w:rFonts w:ascii="Times New Roman" w:hAnsi="Times New Roman" w:cs="Times New Roman"/>
          <w:sz w:val="24"/>
          <w:szCs w:val="24"/>
        </w:rPr>
        <w:t xml:space="preserve">. </w:t>
      </w:r>
      <w:r w:rsidR="00C9306B">
        <w:rPr>
          <w:rFonts w:ascii="Times New Roman" w:hAnsi="Times New Roman" w:cs="Times New Roman"/>
          <w:sz w:val="24"/>
          <w:szCs w:val="24"/>
        </w:rPr>
        <w:t xml:space="preserve">It sets out to improve the social, economic, environmental and cultural well-being of Wales. Public bodies </w:t>
      </w:r>
      <w:r w:rsidR="00B36CBA">
        <w:rPr>
          <w:rFonts w:ascii="Times New Roman" w:hAnsi="Times New Roman" w:cs="Times New Roman"/>
          <w:sz w:val="24"/>
          <w:szCs w:val="24"/>
        </w:rPr>
        <w:t xml:space="preserve">listed in this act will now have to ensure they do everything they do in a sustainable way and that they consider the impact their decisions make on the public. They will be expected to all work better together, reflect on the diversity of our communities and involve people from them, focus on long term and </w:t>
      </w:r>
      <w:r w:rsidR="00E73C62">
        <w:rPr>
          <w:rFonts w:ascii="Times New Roman" w:hAnsi="Times New Roman" w:cs="Times New Roman"/>
          <w:sz w:val="24"/>
          <w:szCs w:val="24"/>
        </w:rPr>
        <w:t>short-term</w:t>
      </w:r>
      <w:r w:rsidR="00B36CBA">
        <w:rPr>
          <w:rFonts w:ascii="Times New Roman" w:hAnsi="Times New Roman" w:cs="Times New Roman"/>
          <w:sz w:val="24"/>
          <w:szCs w:val="24"/>
        </w:rPr>
        <w:t xml:space="preserve"> goals, and work towards reducing and eradicating problems. </w:t>
      </w:r>
    </w:p>
    <w:p w14:paraId="1A4AD8C5" w14:textId="08C61371" w:rsidR="00A713B7" w:rsidRPr="00DF74D0" w:rsidRDefault="00A713B7" w:rsidP="00A713B7">
      <w:pPr>
        <w:spacing w:line="480" w:lineRule="auto"/>
        <w:rPr>
          <w:rFonts w:ascii="Times New Roman" w:hAnsi="Times New Roman" w:cs="Times New Roman"/>
          <w:b/>
          <w:sz w:val="24"/>
          <w:szCs w:val="24"/>
          <w:u w:val="single"/>
        </w:rPr>
      </w:pPr>
      <w:r w:rsidRPr="00DF74D0">
        <w:rPr>
          <w:rFonts w:ascii="Times New Roman" w:hAnsi="Times New Roman" w:cs="Times New Roman"/>
          <w:b/>
          <w:sz w:val="24"/>
          <w:szCs w:val="24"/>
          <w:u w:val="single"/>
        </w:rPr>
        <w:t>Conclusion</w:t>
      </w:r>
    </w:p>
    <w:p w14:paraId="31E49CDC" w14:textId="2A7C5179" w:rsidR="00A713B7" w:rsidRPr="00DF74D0" w:rsidRDefault="00DF74D0" w:rsidP="00A713B7">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many health inequalities that negatively impact our health and well-being, and they seem to have been persistent for quite some time. These health inequalities also differ depending on age, gender, social-economic status, ethnicity and more. This is such a </w:t>
      </w:r>
      <w:r w:rsidR="001C7596">
        <w:rPr>
          <w:rFonts w:ascii="Times New Roman" w:hAnsi="Times New Roman" w:cs="Times New Roman"/>
          <w:sz w:val="24"/>
          <w:szCs w:val="24"/>
        </w:rPr>
        <w:t xml:space="preserve">widespread and ongoing issue that is impacted by a vast array of factors, and in order to improve our general health and well-being, we must take a multifactorial approach. This would consider how different factors often combine to cause problems; and by identifying this, strategies could be implemented to aim for prevention rather than remediation. Focus should also be on reintegrating people who have disconnected from society and ‘fallen through the net’. </w:t>
      </w:r>
      <w:r w:rsidR="0062034E">
        <w:rPr>
          <w:rFonts w:ascii="Times New Roman" w:hAnsi="Times New Roman" w:cs="Times New Roman"/>
          <w:sz w:val="24"/>
          <w:szCs w:val="24"/>
        </w:rPr>
        <w:t xml:space="preserve">With technology and understanding advancing, but populations and responsibilities increasing, are we heading towards a future where good health and well-being will be more easily accessible, or in fact more difficult due to all these increasing </w:t>
      </w:r>
      <w:r w:rsidR="0085720E">
        <w:rPr>
          <w:rFonts w:ascii="Times New Roman" w:hAnsi="Times New Roman" w:cs="Times New Roman"/>
          <w:sz w:val="24"/>
          <w:szCs w:val="24"/>
        </w:rPr>
        <w:t>hindrances</w:t>
      </w:r>
      <w:r w:rsidR="0062034E">
        <w:rPr>
          <w:rFonts w:ascii="Times New Roman" w:hAnsi="Times New Roman" w:cs="Times New Roman"/>
          <w:sz w:val="24"/>
          <w:szCs w:val="24"/>
        </w:rPr>
        <w:t xml:space="preserve">? </w:t>
      </w:r>
    </w:p>
    <w:p w14:paraId="3E570E4F" w14:textId="77777777" w:rsidR="007C1F1B" w:rsidRDefault="007C1F1B" w:rsidP="000D56DB">
      <w:pPr>
        <w:spacing w:line="480" w:lineRule="auto"/>
        <w:rPr>
          <w:rFonts w:ascii="Times New Roman" w:hAnsi="Times New Roman" w:cs="Times New Roman"/>
          <w:b/>
          <w:sz w:val="28"/>
          <w:szCs w:val="28"/>
          <w:u w:val="single"/>
        </w:rPr>
      </w:pPr>
    </w:p>
    <w:p w14:paraId="0D496A6E" w14:textId="48649413" w:rsidR="000D56DB" w:rsidRDefault="000D56DB" w:rsidP="00755D45">
      <w:pPr>
        <w:rPr>
          <w:rFonts w:ascii="Times New Roman" w:hAnsi="Times New Roman" w:cs="Times New Roman"/>
          <w:b/>
          <w:sz w:val="28"/>
          <w:szCs w:val="28"/>
          <w:u w:val="single"/>
        </w:rPr>
      </w:pPr>
    </w:p>
    <w:p w14:paraId="55918580" w14:textId="771CB541" w:rsidR="00704964" w:rsidRDefault="00704964" w:rsidP="00755D45">
      <w:pPr>
        <w:rPr>
          <w:rFonts w:ascii="Times New Roman" w:hAnsi="Times New Roman" w:cs="Times New Roman"/>
          <w:b/>
          <w:sz w:val="28"/>
          <w:szCs w:val="28"/>
          <w:u w:val="single"/>
        </w:rPr>
      </w:pPr>
    </w:p>
    <w:p w14:paraId="462B0448" w14:textId="11C441E7" w:rsidR="00704964" w:rsidRDefault="00704964" w:rsidP="00755D45">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References</w:t>
      </w:r>
    </w:p>
    <w:p w14:paraId="6933C2A8" w14:textId="77777777" w:rsidR="0085720E" w:rsidRDefault="0085720E" w:rsidP="00DB3251">
      <w:pPr>
        <w:rPr>
          <w:rFonts w:ascii="Times New Roman" w:hAnsi="Times New Roman" w:cs="Times New Roman"/>
          <w:sz w:val="24"/>
          <w:szCs w:val="24"/>
        </w:rPr>
      </w:pPr>
    </w:p>
    <w:p w14:paraId="3DC922F2" w14:textId="77777777" w:rsidR="0085720E" w:rsidRDefault="0085720E" w:rsidP="0085720E">
      <w:pPr>
        <w:rPr>
          <w:rFonts w:ascii="Times New Roman" w:hAnsi="Times New Roman" w:cs="Times New Roman"/>
          <w:sz w:val="24"/>
          <w:szCs w:val="24"/>
          <w:shd w:val="clear" w:color="auto" w:fill="FFFFFF"/>
        </w:rPr>
      </w:pPr>
      <w:r w:rsidRPr="002C72B2">
        <w:rPr>
          <w:rFonts w:ascii="Times New Roman" w:hAnsi="Times New Roman" w:cs="Times New Roman"/>
          <w:sz w:val="24"/>
          <w:szCs w:val="24"/>
          <w:shd w:val="clear" w:color="auto" w:fill="FFFFFF"/>
        </w:rPr>
        <w:t>Ayre, D. (2016). Poor Mental Health: The links between child poverty and mental health</w:t>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sidRPr="002C72B2">
        <w:rPr>
          <w:rFonts w:ascii="Times New Roman" w:hAnsi="Times New Roman" w:cs="Times New Roman"/>
          <w:sz w:val="24"/>
          <w:szCs w:val="24"/>
          <w:shd w:val="clear" w:color="auto" w:fill="FFFFFF"/>
        </w:rPr>
        <w:t xml:space="preserve"> problems. </w:t>
      </w:r>
      <w:r w:rsidRPr="002C72B2">
        <w:rPr>
          <w:rFonts w:ascii="Times New Roman" w:hAnsi="Times New Roman" w:cs="Times New Roman"/>
          <w:i/>
          <w:iCs/>
          <w:sz w:val="24"/>
          <w:szCs w:val="24"/>
          <w:shd w:val="clear" w:color="auto" w:fill="FFFFFF"/>
        </w:rPr>
        <w:t>The Children’s Society</w:t>
      </w:r>
      <w:r w:rsidRPr="002C72B2">
        <w:rPr>
          <w:rFonts w:ascii="Times New Roman" w:hAnsi="Times New Roman" w:cs="Times New Roman"/>
          <w:sz w:val="24"/>
          <w:szCs w:val="24"/>
          <w:shd w:val="clear" w:color="auto" w:fill="FFFFFF"/>
        </w:rPr>
        <w:t>.</w:t>
      </w:r>
    </w:p>
    <w:p w14:paraId="071DA52D" w14:textId="77777777" w:rsidR="0085720E" w:rsidRDefault="0085720E" w:rsidP="00DB3251">
      <w:pPr>
        <w:rPr>
          <w:rFonts w:ascii="Times New Roman" w:hAnsi="Times New Roman" w:cs="Times New Roman"/>
          <w:sz w:val="24"/>
          <w:szCs w:val="24"/>
        </w:rPr>
      </w:pPr>
    </w:p>
    <w:p w14:paraId="5D059429" w14:textId="77777777" w:rsidR="0085720E" w:rsidRDefault="0085720E" w:rsidP="0085720E">
      <w:pPr>
        <w:rPr>
          <w:rFonts w:ascii="Times New Roman" w:hAnsi="Times New Roman" w:cs="Times New Roman"/>
          <w:sz w:val="24"/>
          <w:szCs w:val="24"/>
        </w:rPr>
      </w:pPr>
      <w:r w:rsidRPr="00C94A93">
        <w:rPr>
          <w:rFonts w:ascii="Times New Roman" w:hAnsi="Times New Roman" w:cs="Times New Roman"/>
          <w:sz w:val="24"/>
          <w:szCs w:val="24"/>
        </w:rPr>
        <w:t xml:space="preserve">Annual report on households below average income (electronic). (2017). Welsh Government. </w:t>
      </w:r>
      <w:r w:rsidRPr="00C94A93">
        <w:rPr>
          <w:rFonts w:ascii="Times New Roman" w:hAnsi="Times New Roman" w:cs="Times New Roman"/>
          <w:sz w:val="24"/>
          <w:szCs w:val="24"/>
        </w:rPr>
        <w:tab/>
        <w:t xml:space="preserve">Available from: </w:t>
      </w:r>
      <w:hyperlink r:id="rId8" w:history="1">
        <w:r w:rsidRPr="00C94A93">
          <w:rPr>
            <w:rStyle w:val="Hyperlink"/>
            <w:rFonts w:ascii="Times New Roman" w:hAnsi="Times New Roman" w:cs="Times New Roman"/>
            <w:sz w:val="24"/>
            <w:szCs w:val="24"/>
            <w:u w:val="none"/>
          </w:rPr>
          <w:t>http://gov.wales/statistics-and-research/households-below-average-</w:t>
        </w:r>
        <w:r w:rsidRPr="00C94A93">
          <w:rPr>
            <w:rStyle w:val="Hyperlink"/>
            <w:rFonts w:ascii="Times New Roman" w:hAnsi="Times New Roman" w:cs="Times New Roman"/>
            <w:sz w:val="24"/>
            <w:szCs w:val="24"/>
            <w:u w:val="none"/>
          </w:rPr>
          <w:tab/>
          <w:t>income/?lang=en</w:t>
        </w:r>
      </w:hyperlink>
      <w:r w:rsidRPr="00C94A93">
        <w:rPr>
          <w:rFonts w:ascii="Times New Roman" w:hAnsi="Times New Roman" w:cs="Times New Roman"/>
          <w:sz w:val="24"/>
          <w:szCs w:val="24"/>
        </w:rPr>
        <w:t xml:space="preserve"> (Accessed 3 December 2017).</w:t>
      </w:r>
    </w:p>
    <w:p w14:paraId="03F41290" w14:textId="77777777" w:rsidR="0085720E" w:rsidRDefault="0085720E" w:rsidP="00DB3251">
      <w:pPr>
        <w:rPr>
          <w:rFonts w:ascii="Times New Roman" w:hAnsi="Times New Roman" w:cs="Times New Roman"/>
          <w:sz w:val="24"/>
          <w:szCs w:val="24"/>
        </w:rPr>
      </w:pPr>
    </w:p>
    <w:p w14:paraId="03D07690" w14:textId="77777777" w:rsidR="0085720E" w:rsidRPr="00C94A93" w:rsidRDefault="0085720E" w:rsidP="0085720E">
      <w:pPr>
        <w:rPr>
          <w:rFonts w:ascii="Times New Roman" w:hAnsi="Times New Roman" w:cs="Times New Roman"/>
          <w:sz w:val="24"/>
          <w:szCs w:val="24"/>
          <w:shd w:val="clear" w:color="auto" w:fill="FFFFFF"/>
        </w:rPr>
      </w:pPr>
      <w:r w:rsidRPr="00C94A93">
        <w:rPr>
          <w:rFonts w:ascii="Times New Roman" w:hAnsi="Times New Roman" w:cs="Times New Roman"/>
          <w:sz w:val="24"/>
          <w:szCs w:val="24"/>
          <w:shd w:val="clear" w:color="auto" w:fill="FFFFFF"/>
        </w:rPr>
        <w:t>Bradshaw, J. (Ed.). (2016). </w:t>
      </w:r>
      <w:r w:rsidRPr="00C94A93">
        <w:rPr>
          <w:rFonts w:ascii="Times New Roman" w:hAnsi="Times New Roman" w:cs="Times New Roman"/>
          <w:i/>
          <w:iCs/>
          <w:sz w:val="24"/>
          <w:szCs w:val="24"/>
          <w:shd w:val="clear" w:color="auto" w:fill="FFFFFF"/>
        </w:rPr>
        <w:t>The Wellbeing of Children in the UK</w:t>
      </w:r>
      <w:r w:rsidRPr="00C94A93">
        <w:rPr>
          <w:rFonts w:ascii="Times New Roman" w:hAnsi="Times New Roman" w:cs="Times New Roman"/>
          <w:sz w:val="24"/>
          <w:szCs w:val="24"/>
          <w:shd w:val="clear" w:color="auto" w:fill="FFFFFF"/>
        </w:rPr>
        <w:t>. Policy Press.</w:t>
      </w:r>
    </w:p>
    <w:p w14:paraId="27569D40" w14:textId="77777777" w:rsidR="0085720E" w:rsidRDefault="0085720E" w:rsidP="00DB3251">
      <w:pPr>
        <w:rPr>
          <w:rFonts w:ascii="Times New Roman" w:hAnsi="Times New Roman" w:cs="Times New Roman"/>
          <w:sz w:val="24"/>
          <w:szCs w:val="24"/>
        </w:rPr>
      </w:pPr>
    </w:p>
    <w:p w14:paraId="6C5ACE9C" w14:textId="14F26760" w:rsidR="0085720E" w:rsidRDefault="0085720E" w:rsidP="0085720E">
      <w:pPr>
        <w:shd w:val="clear" w:color="auto" w:fill="FFFFFF"/>
        <w:spacing w:after="300" w:line="240" w:lineRule="atLeast"/>
        <w:outlineLvl w:val="1"/>
        <w:rPr>
          <w:rFonts w:ascii="Times New Roman" w:hAnsi="Times New Roman" w:cs="Times New Roman"/>
          <w:sz w:val="24"/>
          <w:szCs w:val="24"/>
          <w:shd w:val="clear" w:color="auto" w:fill="FFFFFF"/>
        </w:rPr>
      </w:pPr>
      <w:r w:rsidRPr="00C94A93">
        <w:rPr>
          <w:rFonts w:ascii="Times New Roman" w:hAnsi="Times New Roman" w:cs="Times New Roman"/>
          <w:sz w:val="24"/>
          <w:szCs w:val="24"/>
          <w:shd w:val="clear" w:color="auto" w:fill="FFFFFF"/>
        </w:rPr>
        <w:t>Bradshaw, J., &amp; Main, G. (2016). Child poverty and deprivation. </w:t>
      </w:r>
      <w:r w:rsidRPr="00C94A93">
        <w:rPr>
          <w:rFonts w:ascii="Times New Roman" w:hAnsi="Times New Roman" w:cs="Times New Roman"/>
          <w:i/>
          <w:iCs/>
          <w:sz w:val="24"/>
          <w:szCs w:val="24"/>
          <w:shd w:val="clear" w:color="auto" w:fill="FFFFFF"/>
        </w:rPr>
        <w:t xml:space="preserve">The Wellbeing of Children </w:t>
      </w:r>
      <w:r w:rsidRPr="00C94A93">
        <w:rPr>
          <w:rFonts w:ascii="Times New Roman" w:hAnsi="Times New Roman" w:cs="Times New Roman"/>
          <w:i/>
          <w:iCs/>
          <w:sz w:val="24"/>
          <w:szCs w:val="24"/>
          <w:shd w:val="clear" w:color="auto" w:fill="FFFFFF"/>
        </w:rPr>
        <w:tab/>
        <w:t>in the UK</w:t>
      </w:r>
      <w:r w:rsidRPr="00C94A93">
        <w:rPr>
          <w:rFonts w:ascii="Times New Roman" w:hAnsi="Times New Roman" w:cs="Times New Roman"/>
          <w:sz w:val="24"/>
          <w:szCs w:val="24"/>
          <w:shd w:val="clear" w:color="auto" w:fill="FFFFFF"/>
        </w:rPr>
        <w:t xml:space="preserve">, 31. Policy Press. Bristol. </w:t>
      </w:r>
    </w:p>
    <w:p w14:paraId="32749608" w14:textId="77777777" w:rsidR="0085720E" w:rsidRPr="00C94A93" w:rsidRDefault="0085720E" w:rsidP="0085720E">
      <w:pPr>
        <w:shd w:val="clear" w:color="auto" w:fill="FFFFFF"/>
        <w:spacing w:after="300" w:line="240" w:lineRule="atLeast"/>
        <w:outlineLvl w:val="1"/>
        <w:rPr>
          <w:rFonts w:ascii="Times New Roman" w:eastAsia="Times New Roman" w:hAnsi="Times New Roman" w:cs="Times New Roman"/>
          <w:bCs/>
          <w:spacing w:val="-12"/>
          <w:sz w:val="24"/>
          <w:szCs w:val="24"/>
          <w:lang w:eastAsia="en-GB"/>
        </w:rPr>
      </w:pPr>
    </w:p>
    <w:p w14:paraId="24C5A97F" w14:textId="77777777" w:rsidR="0085720E" w:rsidRPr="00C94A93" w:rsidRDefault="0085720E" w:rsidP="0085720E">
      <w:pPr>
        <w:rPr>
          <w:rFonts w:ascii="Times New Roman" w:hAnsi="Times New Roman" w:cs="Times New Roman"/>
          <w:sz w:val="24"/>
          <w:szCs w:val="24"/>
        </w:rPr>
      </w:pPr>
      <w:r w:rsidRPr="00C94A93">
        <w:rPr>
          <w:rFonts w:ascii="Times New Roman" w:hAnsi="Times New Roman" w:cs="Times New Roman"/>
          <w:sz w:val="24"/>
          <w:szCs w:val="24"/>
          <w:shd w:val="clear" w:color="auto" w:fill="FFFFFF"/>
        </w:rPr>
        <w:t xml:space="preserve">Baum, S., Ma, J., &amp; Payea, K. (2013). Education Pays, 2013: The Benefits of Higher </w:t>
      </w:r>
      <w:r w:rsidRPr="00C94A93">
        <w:rPr>
          <w:rFonts w:ascii="Times New Roman" w:hAnsi="Times New Roman" w:cs="Times New Roman"/>
          <w:sz w:val="24"/>
          <w:szCs w:val="24"/>
          <w:shd w:val="clear" w:color="auto" w:fill="FFFFFF"/>
        </w:rPr>
        <w:tab/>
        <w:t>Education for Individuals and Society. Trends in Higher Education Series. </w:t>
      </w:r>
      <w:r w:rsidRPr="00C94A93">
        <w:rPr>
          <w:rFonts w:ascii="Times New Roman" w:hAnsi="Times New Roman" w:cs="Times New Roman"/>
          <w:i/>
          <w:iCs/>
          <w:sz w:val="24"/>
          <w:szCs w:val="24"/>
          <w:shd w:val="clear" w:color="auto" w:fill="FFFFFF"/>
        </w:rPr>
        <w:t>College</w:t>
      </w:r>
      <w:r w:rsidRPr="00C94A93">
        <w:rPr>
          <w:rFonts w:ascii="Times New Roman" w:hAnsi="Times New Roman" w:cs="Times New Roman"/>
          <w:i/>
          <w:iCs/>
          <w:sz w:val="24"/>
          <w:szCs w:val="24"/>
          <w:shd w:val="clear" w:color="auto" w:fill="FFFFFF"/>
        </w:rPr>
        <w:tab/>
        <w:t xml:space="preserve"> Board</w:t>
      </w:r>
      <w:r w:rsidRPr="00C94A93">
        <w:rPr>
          <w:rFonts w:ascii="Times New Roman" w:hAnsi="Times New Roman" w:cs="Times New Roman"/>
          <w:sz w:val="24"/>
          <w:szCs w:val="24"/>
          <w:shd w:val="clear" w:color="auto" w:fill="FFFFFF"/>
        </w:rPr>
        <w:t>.</w:t>
      </w:r>
    </w:p>
    <w:p w14:paraId="1FE25431" w14:textId="77777777" w:rsidR="0085720E" w:rsidRDefault="0085720E" w:rsidP="00DB3251">
      <w:pPr>
        <w:rPr>
          <w:rFonts w:ascii="Times New Roman" w:hAnsi="Times New Roman" w:cs="Times New Roman"/>
          <w:sz w:val="24"/>
          <w:szCs w:val="24"/>
        </w:rPr>
      </w:pPr>
    </w:p>
    <w:p w14:paraId="07FBF418" w14:textId="1DB8D581" w:rsidR="0085720E" w:rsidRDefault="0085720E" w:rsidP="0085720E">
      <w:pPr>
        <w:rPr>
          <w:rFonts w:ascii="Times New Roman" w:hAnsi="Times New Roman" w:cs="Times New Roman"/>
          <w:sz w:val="24"/>
          <w:szCs w:val="24"/>
          <w:shd w:val="clear" w:color="auto" w:fill="FFFFFF"/>
        </w:rPr>
      </w:pPr>
      <w:r w:rsidRPr="00C94A93">
        <w:rPr>
          <w:rFonts w:ascii="Times New Roman" w:hAnsi="Times New Roman" w:cs="Times New Roman"/>
          <w:sz w:val="24"/>
          <w:szCs w:val="24"/>
          <w:shd w:val="clear" w:color="auto" w:fill="FFFFFF"/>
        </w:rPr>
        <w:t xml:space="preserve">Cutts, D., &amp; Fieldhouse, E. (2015). Diversity and social capital in the US and UK: The role of </w:t>
      </w:r>
      <w:r w:rsidRPr="00C94A93">
        <w:rPr>
          <w:rFonts w:ascii="Times New Roman" w:hAnsi="Times New Roman" w:cs="Times New Roman"/>
          <w:sz w:val="24"/>
          <w:szCs w:val="24"/>
          <w:shd w:val="clear" w:color="auto" w:fill="FFFFFF"/>
        </w:rPr>
        <w:tab/>
        <w:t>bridging friendships. </w:t>
      </w:r>
      <w:r w:rsidRPr="00C94A93">
        <w:rPr>
          <w:rFonts w:ascii="Times New Roman" w:hAnsi="Times New Roman" w:cs="Times New Roman"/>
          <w:i/>
          <w:iCs/>
          <w:sz w:val="24"/>
          <w:szCs w:val="24"/>
          <w:shd w:val="clear" w:color="auto" w:fill="FFFFFF"/>
        </w:rPr>
        <w:t>Handbook of research methods and applications in social</w:t>
      </w:r>
      <w:r w:rsidRPr="00C94A93">
        <w:rPr>
          <w:rFonts w:ascii="Times New Roman" w:hAnsi="Times New Roman" w:cs="Times New Roman"/>
          <w:i/>
          <w:iCs/>
          <w:sz w:val="24"/>
          <w:szCs w:val="24"/>
          <w:shd w:val="clear" w:color="auto" w:fill="FFFFFF"/>
        </w:rPr>
        <w:tab/>
      </w:r>
      <w:r w:rsidRPr="00C94A93">
        <w:rPr>
          <w:rFonts w:ascii="Times New Roman" w:hAnsi="Times New Roman" w:cs="Times New Roman"/>
          <w:i/>
          <w:iCs/>
          <w:sz w:val="24"/>
          <w:szCs w:val="24"/>
          <w:shd w:val="clear" w:color="auto" w:fill="FFFFFF"/>
        </w:rPr>
        <w:tab/>
        <w:t xml:space="preserve"> capital</w:t>
      </w:r>
      <w:r w:rsidRPr="00C94A93">
        <w:rPr>
          <w:rFonts w:ascii="Times New Roman" w:hAnsi="Times New Roman" w:cs="Times New Roman"/>
          <w:sz w:val="24"/>
          <w:szCs w:val="24"/>
          <w:shd w:val="clear" w:color="auto" w:fill="FFFFFF"/>
        </w:rPr>
        <w:t>, 107À125.</w:t>
      </w:r>
    </w:p>
    <w:p w14:paraId="56E378D9" w14:textId="57D5A78E" w:rsidR="0085720E" w:rsidRDefault="0085720E" w:rsidP="0085720E">
      <w:pPr>
        <w:rPr>
          <w:rFonts w:ascii="Times New Roman" w:hAnsi="Times New Roman" w:cs="Times New Roman"/>
          <w:sz w:val="24"/>
          <w:szCs w:val="24"/>
          <w:shd w:val="clear" w:color="auto" w:fill="FFFFFF"/>
        </w:rPr>
      </w:pPr>
    </w:p>
    <w:p w14:paraId="7C7BE8E2" w14:textId="77777777" w:rsidR="0085720E" w:rsidRDefault="0085720E" w:rsidP="0085720E">
      <w:pPr>
        <w:rPr>
          <w:rFonts w:ascii="Times New Roman" w:hAnsi="Times New Roman" w:cs="Times New Roman"/>
          <w:sz w:val="24"/>
          <w:szCs w:val="24"/>
          <w:shd w:val="clear" w:color="auto" w:fill="FFFFFF"/>
        </w:rPr>
      </w:pPr>
      <w:r w:rsidRPr="00273F43">
        <w:rPr>
          <w:rFonts w:ascii="Times New Roman" w:hAnsi="Times New Roman" w:cs="Times New Roman"/>
          <w:sz w:val="24"/>
          <w:szCs w:val="24"/>
          <w:shd w:val="clear" w:color="auto" w:fill="FFFFFF"/>
        </w:rPr>
        <w:t>Hemström, Ö. (2005). Health inequalities by wage income in Sweden: the role of work</w:t>
      </w:r>
      <w:r>
        <w:rPr>
          <w:rFonts w:ascii="Times New Roman" w:hAnsi="Times New Roman" w:cs="Times New Roman"/>
          <w:sz w:val="24"/>
          <w:szCs w:val="24"/>
          <w:shd w:val="clear" w:color="auto" w:fill="FFFFFF"/>
        </w:rPr>
        <w:tab/>
      </w:r>
      <w:r>
        <w:rPr>
          <w:rFonts w:ascii="Times New Roman" w:hAnsi="Times New Roman" w:cs="Times New Roman"/>
          <w:sz w:val="24"/>
          <w:szCs w:val="24"/>
          <w:shd w:val="clear" w:color="auto" w:fill="FFFFFF"/>
        </w:rPr>
        <w:tab/>
      </w:r>
      <w:r w:rsidRPr="00273F43">
        <w:rPr>
          <w:rFonts w:ascii="Times New Roman" w:hAnsi="Times New Roman" w:cs="Times New Roman"/>
          <w:sz w:val="24"/>
          <w:szCs w:val="24"/>
          <w:shd w:val="clear" w:color="auto" w:fill="FFFFFF"/>
        </w:rPr>
        <w:t xml:space="preserve"> environment. </w:t>
      </w:r>
      <w:r w:rsidRPr="00273F43">
        <w:rPr>
          <w:rFonts w:ascii="Times New Roman" w:hAnsi="Times New Roman" w:cs="Times New Roman"/>
          <w:i/>
          <w:iCs/>
          <w:sz w:val="24"/>
          <w:szCs w:val="24"/>
          <w:shd w:val="clear" w:color="auto" w:fill="FFFFFF"/>
        </w:rPr>
        <w:t>Social science &amp; medicine</w:t>
      </w:r>
      <w:r w:rsidRPr="00273F43">
        <w:rPr>
          <w:rFonts w:ascii="Times New Roman" w:hAnsi="Times New Roman" w:cs="Times New Roman"/>
          <w:sz w:val="24"/>
          <w:szCs w:val="24"/>
          <w:shd w:val="clear" w:color="auto" w:fill="FFFFFF"/>
        </w:rPr>
        <w:t>, </w:t>
      </w:r>
      <w:r w:rsidRPr="00273F43">
        <w:rPr>
          <w:rFonts w:ascii="Times New Roman" w:hAnsi="Times New Roman" w:cs="Times New Roman"/>
          <w:i/>
          <w:iCs/>
          <w:sz w:val="24"/>
          <w:szCs w:val="24"/>
          <w:shd w:val="clear" w:color="auto" w:fill="FFFFFF"/>
        </w:rPr>
        <w:t>61</w:t>
      </w:r>
      <w:r w:rsidRPr="00273F43">
        <w:rPr>
          <w:rFonts w:ascii="Times New Roman" w:hAnsi="Times New Roman" w:cs="Times New Roman"/>
          <w:sz w:val="24"/>
          <w:szCs w:val="24"/>
          <w:shd w:val="clear" w:color="auto" w:fill="FFFFFF"/>
        </w:rPr>
        <w:t>(3), 637-647.</w:t>
      </w:r>
    </w:p>
    <w:p w14:paraId="3A89E022" w14:textId="77777777" w:rsidR="0085720E" w:rsidRPr="00C94A93" w:rsidRDefault="0085720E" w:rsidP="0085720E">
      <w:pPr>
        <w:rPr>
          <w:rFonts w:ascii="Times New Roman" w:hAnsi="Times New Roman" w:cs="Times New Roman"/>
          <w:sz w:val="24"/>
          <w:szCs w:val="24"/>
          <w:shd w:val="clear" w:color="auto" w:fill="FFFFFF"/>
        </w:rPr>
      </w:pPr>
    </w:p>
    <w:p w14:paraId="1642E06E" w14:textId="0EFEC980" w:rsidR="0085720E" w:rsidRDefault="0085720E" w:rsidP="0085720E">
      <w:pPr>
        <w:rPr>
          <w:rFonts w:ascii="Times New Roman" w:hAnsi="Times New Roman" w:cs="Times New Roman"/>
          <w:sz w:val="24"/>
          <w:szCs w:val="24"/>
          <w:shd w:val="clear" w:color="auto" w:fill="FFFFFF"/>
        </w:rPr>
      </w:pPr>
      <w:r w:rsidRPr="00A713B7">
        <w:rPr>
          <w:rFonts w:ascii="Times New Roman" w:hAnsi="Times New Roman" w:cs="Times New Roman"/>
          <w:sz w:val="24"/>
          <w:szCs w:val="24"/>
          <w:shd w:val="clear" w:color="auto" w:fill="FFFFFF"/>
        </w:rPr>
        <w:t>Hartig, T., Mitchell, R., De Vries, S., &amp; Frumkin, H. (2014). Nature and health. </w:t>
      </w:r>
      <w:r w:rsidRPr="00A713B7">
        <w:rPr>
          <w:rFonts w:ascii="Times New Roman" w:hAnsi="Times New Roman" w:cs="Times New Roman"/>
          <w:i/>
          <w:iCs/>
          <w:sz w:val="24"/>
          <w:szCs w:val="24"/>
          <w:shd w:val="clear" w:color="auto" w:fill="FFFFFF"/>
        </w:rPr>
        <w:t>Annual review of public health</w:t>
      </w:r>
      <w:r w:rsidRPr="00A713B7">
        <w:rPr>
          <w:rFonts w:ascii="Times New Roman" w:hAnsi="Times New Roman" w:cs="Times New Roman"/>
          <w:sz w:val="24"/>
          <w:szCs w:val="24"/>
          <w:shd w:val="clear" w:color="auto" w:fill="FFFFFF"/>
        </w:rPr>
        <w:t>, </w:t>
      </w:r>
      <w:r w:rsidRPr="00A713B7">
        <w:rPr>
          <w:rFonts w:ascii="Times New Roman" w:hAnsi="Times New Roman" w:cs="Times New Roman"/>
          <w:i/>
          <w:iCs/>
          <w:sz w:val="24"/>
          <w:szCs w:val="24"/>
          <w:shd w:val="clear" w:color="auto" w:fill="FFFFFF"/>
        </w:rPr>
        <w:t>35</w:t>
      </w:r>
      <w:r w:rsidRPr="00A713B7">
        <w:rPr>
          <w:rFonts w:ascii="Times New Roman" w:hAnsi="Times New Roman" w:cs="Times New Roman"/>
          <w:sz w:val="24"/>
          <w:szCs w:val="24"/>
          <w:shd w:val="clear" w:color="auto" w:fill="FFFFFF"/>
        </w:rPr>
        <w:t>, 207-228.</w:t>
      </w:r>
    </w:p>
    <w:p w14:paraId="5F84F609" w14:textId="283E0A24" w:rsidR="0085720E" w:rsidRDefault="0085720E" w:rsidP="0085720E">
      <w:pPr>
        <w:rPr>
          <w:rFonts w:ascii="Times New Roman" w:hAnsi="Times New Roman" w:cs="Times New Roman"/>
          <w:sz w:val="24"/>
          <w:szCs w:val="24"/>
          <w:shd w:val="clear" w:color="auto" w:fill="FFFFFF"/>
        </w:rPr>
      </w:pPr>
    </w:p>
    <w:p w14:paraId="66AE8391" w14:textId="6932E1DA" w:rsidR="0085720E" w:rsidRDefault="0085720E" w:rsidP="0085720E">
      <w:pPr>
        <w:rPr>
          <w:rFonts w:ascii="Times New Roman" w:hAnsi="Times New Roman" w:cs="Times New Roman"/>
          <w:sz w:val="24"/>
          <w:szCs w:val="24"/>
          <w:shd w:val="clear" w:color="auto" w:fill="FFFFFF"/>
        </w:rPr>
      </w:pPr>
      <w:r w:rsidRPr="00C94A93">
        <w:rPr>
          <w:rFonts w:ascii="Times New Roman" w:hAnsi="Times New Roman" w:cs="Times New Roman"/>
          <w:sz w:val="24"/>
          <w:szCs w:val="24"/>
          <w:shd w:val="clear" w:color="auto" w:fill="FFFFFF"/>
        </w:rPr>
        <w:t xml:space="preserve">Sobolewski, J. M., &amp; Amato, P. R. (2005). Economic hardship in the family of origin and </w:t>
      </w:r>
      <w:r w:rsidRPr="00C94A93">
        <w:rPr>
          <w:rFonts w:ascii="Times New Roman" w:hAnsi="Times New Roman" w:cs="Times New Roman"/>
          <w:sz w:val="24"/>
          <w:szCs w:val="24"/>
          <w:shd w:val="clear" w:color="auto" w:fill="FFFFFF"/>
        </w:rPr>
        <w:tab/>
        <w:t>children's psychological well‐being in adulthood. </w:t>
      </w:r>
      <w:r w:rsidRPr="00C94A93">
        <w:rPr>
          <w:rFonts w:ascii="Times New Roman" w:hAnsi="Times New Roman" w:cs="Times New Roman"/>
          <w:i/>
          <w:iCs/>
          <w:sz w:val="24"/>
          <w:szCs w:val="24"/>
          <w:shd w:val="clear" w:color="auto" w:fill="FFFFFF"/>
        </w:rPr>
        <w:t xml:space="preserve">Journal of Marriage and </w:t>
      </w:r>
      <w:r w:rsidRPr="00C94A93">
        <w:rPr>
          <w:rFonts w:ascii="Times New Roman" w:hAnsi="Times New Roman" w:cs="Times New Roman"/>
          <w:i/>
          <w:iCs/>
          <w:sz w:val="24"/>
          <w:szCs w:val="24"/>
          <w:shd w:val="clear" w:color="auto" w:fill="FFFFFF"/>
        </w:rPr>
        <w:tab/>
        <w:t>Family</w:t>
      </w:r>
      <w:r w:rsidRPr="00C94A93">
        <w:rPr>
          <w:rFonts w:ascii="Times New Roman" w:hAnsi="Times New Roman" w:cs="Times New Roman"/>
          <w:sz w:val="24"/>
          <w:szCs w:val="24"/>
          <w:shd w:val="clear" w:color="auto" w:fill="FFFFFF"/>
        </w:rPr>
        <w:t>, </w:t>
      </w:r>
      <w:r w:rsidRPr="00C94A93">
        <w:rPr>
          <w:rFonts w:ascii="Times New Roman" w:hAnsi="Times New Roman" w:cs="Times New Roman"/>
          <w:i/>
          <w:iCs/>
          <w:sz w:val="24"/>
          <w:szCs w:val="24"/>
          <w:shd w:val="clear" w:color="auto" w:fill="FFFFFF"/>
        </w:rPr>
        <w:t>67</w:t>
      </w:r>
      <w:r w:rsidRPr="00C94A93">
        <w:rPr>
          <w:rFonts w:ascii="Times New Roman" w:hAnsi="Times New Roman" w:cs="Times New Roman"/>
          <w:sz w:val="24"/>
          <w:szCs w:val="24"/>
          <w:shd w:val="clear" w:color="auto" w:fill="FFFFFF"/>
        </w:rPr>
        <w:t>(1), 141-156.</w:t>
      </w:r>
    </w:p>
    <w:p w14:paraId="600F501F" w14:textId="15ED0CAB" w:rsidR="0085720E" w:rsidRDefault="0085720E" w:rsidP="0085720E">
      <w:pPr>
        <w:rPr>
          <w:rFonts w:ascii="Times New Roman" w:hAnsi="Times New Roman" w:cs="Times New Roman"/>
          <w:sz w:val="24"/>
          <w:szCs w:val="24"/>
          <w:shd w:val="clear" w:color="auto" w:fill="FFFFFF"/>
        </w:rPr>
      </w:pPr>
    </w:p>
    <w:p w14:paraId="279E1EED" w14:textId="77777777" w:rsidR="0085720E" w:rsidRDefault="0085720E" w:rsidP="00DB3251">
      <w:pPr>
        <w:rPr>
          <w:rFonts w:ascii="Times New Roman" w:hAnsi="Times New Roman" w:cs="Times New Roman"/>
          <w:sz w:val="24"/>
          <w:szCs w:val="24"/>
        </w:rPr>
      </w:pPr>
      <w:r w:rsidRPr="00C94A93">
        <w:rPr>
          <w:rFonts w:ascii="Times New Roman" w:hAnsi="Times New Roman" w:cs="Times New Roman"/>
          <w:sz w:val="24"/>
          <w:szCs w:val="24"/>
          <w:shd w:val="clear" w:color="auto" w:fill="FFFFFF"/>
        </w:rPr>
        <w:t>Tantam, D. (2014). </w:t>
      </w:r>
      <w:r w:rsidRPr="00C94A93">
        <w:rPr>
          <w:rFonts w:ascii="Times New Roman" w:hAnsi="Times New Roman" w:cs="Times New Roman"/>
          <w:i/>
          <w:iCs/>
          <w:sz w:val="24"/>
          <w:szCs w:val="24"/>
          <w:shd w:val="clear" w:color="auto" w:fill="FFFFFF"/>
        </w:rPr>
        <w:t>Emotional Well-being and Mental Health: A Guide for Counsellors &amp;</w:t>
      </w:r>
      <w:r w:rsidRPr="00C94A93">
        <w:rPr>
          <w:rFonts w:ascii="Times New Roman" w:hAnsi="Times New Roman" w:cs="Times New Roman"/>
          <w:i/>
          <w:iCs/>
          <w:sz w:val="24"/>
          <w:szCs w:val="24"/>
          <w:shd w:val="clear" w:color="auto" w:fill="FFFFFF"/>
        </w:rPr>
        <w:tab/>
      </w:r>
      <w:r w:rsidRPr="00C94A93">
        <w:rPr>
          <w:rFonts w:ascii="Times New Roman" w:hAnsi="Times New Roman" w:cs="Times New Roman"/>
          <w:i/>
          <w:iCs/>
          <w:sz w:val="24"/>
          <w:szCs w:val="24"/>
          <w:shd w:val="clear" w:color="auto" w:fill="FFFFFF"/>
        </w:rPr>
        <w:tab/>
        <w:t xml:space="preserve"> Psychotherapists</w:t>
      </w:r>
      <w:r w:rsidRPr="00C94A93">
        <w:rPr>
          <w:rFonts w:ascii="Times New Roman" w:hAnsi="Times New Roman" w:cs="Times New Roman"/>
          <w:sz w:val="24"/>
          <w:szCs w:val="24"/>
          <w:shd w:val="clear" w:color="auto" w:fill="FFFFFF"/>
        </w:rPr>
        <w:t>. Sage.</w:t>
      </w:r>
    </w:p>
    <w:p w14:paraId="66444309" w14:textId="23F275CE" w:rsidR="00704964" w:rsidRPr="00C94A93" w:rsidRDefault="00704964" w:rsidP="00DB3251">
      <w:pPr>
        <w:rPr>
          <w:rFonts w:ascii="Times New Roman" w:hAnsi="Times New Roman" w:cs="Times New Roman"/>
          <w:sz w:val="24"/>
          <w:szCs w:val="24"/>
        </w:rPr>
      </w:pPr>
      <w:r w:rsidRPr="00C94A93">
        <w:rPr>
          <w:rFonts w:ascii="Times New Roman" w:hAnsi="Times New Roman" w:cs="Times New Roman"/>
          <w:sz w:val="24"/>
          <w:szCs w:val="24"/>
        </w:rPr>
        <w:lastRenderedPageBreak/>
        <w:t xml:space="preserve">World health organisation. Retrieved from </w:t>
      </w:r>
      <w:r w:rsidR="00DB3251" w:rsidRPr="00C94A93">
        <w:rPr>
          <w:rFonts w:ascii="Times New Roman" w:hAnsi="Times New Roman" w:cs="Times New Roman"/>
          <w:sz w:val="24"/>
          <w:szCs w:val="24"/>
        </w:rPr>
        <w:tab/>
      </w:r>
      <w:hyperlink r:id="rId9" w:history="1">
        <w:r w:rsidR="00DB3251" w:rsidRPr="00C94A93">
          <w:rPr>
            <w:rStyle w:val="Hyperlink"/>
            <w:rFonts w:ascii="Times New Roman" w:hAnsi="Times New Roman" w:cs="Times New Roman"/>
            <w:color w:val="auto"/>
            <w:sz w:val="24"/>
            <w:szCs w:val="24"/>
            <w:u w:val="none"/>
          </w:rPr>
          <w:t>http://www.euro.who.int/__data/assets/pdf_file/0003/152184/RD_Dastein</w:t>
        </w:r>
        <w:r w:rsidR="00DB3251" w:rsidRPr="00C94A93">
          <w:rPr>
            <w:rStyle w:val="Hyperlink"/>
            <w:rFonts w:ascii="Times New Roman" w:hAnsi="Times New Roman" w:cs="Times New Roman"/>
            <w:color w:val="auto"/>
            <w:sz w:val="24"/>
            <w:szCs w:val="24"/>
            <w:u w:val="none"/>
          </w:rPr>
          <w:tab/>
          <w:t>speech_wellbeing_07Oct.pdf</w:t>
        </w:r>
      </w:hyperlink>
      <w:r w:rsidRPr="00C94A93">
        <w:rPr>
          <w:rFonts w:ascii="Times New Roman" w:hAnsi="Times New Roman" w:cs="Times New Roman"/>
          <w:sz w:val="24"/>
          <w:szCs w:val="24"/>
        </w:rPr>
        <w:t xml:space="preserve"> </w:t>
      </w:r>
    </w:p>
    <w:p w14:paraId="13E2429C" w14:textId="5E951B4C" w:rsidR="00DB3251" w:rsidRPr="00C94A93" w:rsidRDefault="00DB3251" w:rsidP="00755D45">
      <w:pPr>
        <w:rPr>
          <w:rFonts w:ascii="Times New Roman" w:hAnsi="Times New Roman" w:cs="Times New Roman"/>
          <w:sz w:val="28"/>
          <w:szCs w:val="28"/>
        </w:rPr>
      </w:pPr>
    </w:p>
    <w:p w14:paraId="069308E1" w14:textId="1B244583" w:rsidR="00BB4AE2" w:rsidRPr="00C94A93" w:rsidRDefault="00BB4AE2" w:rsidP="00755D45">
      <w:pPr>
        <w:rPr>
          <w:rFonts w:ascii="Times New Roman" w:hAnsi="Times New Roman" w:cs="Times New Roman"/>
        </w:rPr>
      </w:pPr>
      <w:r w:rsidRPr="00C94A93">
        <w:rPr>
          <w:rFonts w:ascii="Times New Roman" w:hAnsi="Times New Roman" w:cs="Times New Roman"/>
        </w:rPr>
        <w:t xml:space="preserve">Williams, A. (2017). M4X00954: </w:t>
      </w:r>
      <w:r w:rsidRPr="00C94A93">
        <w:rPr>
          <w:rFonts w:ascii="Times New Roman" w:hAnsi="Times New Roman" w:cs="Times New Roman"/>
          <w:i/>
        </w:rPr>
        <w:t>Contemporary Context of Counselling Skills, Lecture 5:</w:t>
      </w:r>
      <w:r w:rsidR="00BC3CDC" w:rsidRPr="00C94A93">
        <w:rPr>
          <w:rFonts w:ascii="Times New Roman" w:hAnsi="Times New Roman" w:cs="Times New Roman"/>
          <w:i/>
        </w:rPr>
        <w:tab/>
      </w:r>
      <w:r w:rsidR="00BC3CDC" w:rsidRPr="00C94A93">
        <w:rPr>
          <w:rFonts w:ascii="Times New Roman" w:hAnsi="Times New Roman" w:cs="Times New Roman"/>
          <w:i/>
        </w:rPr>
        <w:tab/>
      </w:r>
      <w:r w:rsidRPr="00C94A93">
        <w:rPr>
          <w:rFonts w:ascii="Times New Roman" w:hAnsi="Times New Roman" w:cs="Times New Roman"/>
          <w:i/>
        </w:rPr>
        <w:t xml:space="preserve"> Psychological Health and well-being. </w:t>
      </w:r>
      <w:r w:rsidR="00BC3CDC" w:rsidRPr="00C94A93">
        <w:rPr>
          <w:rFonts w:ascii="Times New Roman" w:hAnsi="Times New Roman" w:cs="Times New Roman"/>
        </w:rPr>
        <w:t xml:space="preserve">(PowerPoint slides). Retrieved from </w:t>
      </w:r>
      <w:r w:rsidR="00BC3CDC" w:rsidRPr="00C94A93">
        <w:rPr>
          <w:rFonts w:ascii="Times New Roman" w:hAnsi="Times New Roman" w:cs="Times New Roman"/>
        </w:rPr>
        <w:tab/>
      </w:r>
      <w:hyperlink r:id="rId10" w:history="1">
        <w:r w:rsidR="00BC3CDC" w:rsidRPr="00C94A93">
          <w:rPr>
            <w:rStyle w:val="Hyperlink"/>
            <w:rFonts w:ascii="Times New Roman" w:hAnsi="Times New Roman" w:cs="Times New Roman"/>
            <w:color w:val="auto"/>
            <w:u w:val="none"/>
          </w:rPr>
          <w:t>http://moodle.uwtsd.ac.uk/pluginfile.php/116577/mod_resource/content/1/CCCS%20Essay%</w:t>
        </w:r>
        <w:r w:rsidR="00BC3CDC" w:rsidRPr="00C94A93">
          <w:rPr>
            <w:rStyle w:val="Hyperlink"/>
            <w:rFonts w:ascii="Times New Roman" w:hAnsi="Times New Roman" w:cs="Times New Roman"/>
            <w:color w:val="auto"/>
            <w:u w:val="none"/>
          </w:rPr>
          <w:tab/>
          <w:t>20Guidance%202017.pdf</w:t>
        </w:r>
      </w:hyperlink>
      <w:r w:rsidR="00BC3CDC" w:rsidRPr="00C94A93">
        <w:rPr>
          <w:rFonts w:ascii="Times New Roman" w:hAnsi="Times New Roman" w:cs="Times New Roman"/>
        </w:rPr>
        <w:t xml:space="preserve"> </w:t>
      </w:r>
    </w:p>
    <w:p w14:paraId="2BDC133D" w14:textId="76D1B0ED" w:rsidR="0020027F" w:rsidRPr="00C94A93" w:rsidRDefault="0020027F" w:rsidP="00755D45">
      <w:pPr>
        <w:rPr>
          <w:rFonts w:ascii="Times New Roman" w:hAnsi="Times New Roman" w:cs="Times New Roman"/>
        </w:rPr>
      </w:pPr>
    </w:p>
    <w:p w14:paraId="657D5B32" w14:textId="7996330B" w:rsidR="0020027F" w:rsidRPr="00C94A93" w:rsidRDefault="0020027F" w:rsidP="00755D45">
      <w:pPr>
        <w:rPr>
          <w:rFonts w:ascii="Times New Roman" w:hAnsi="Times New Roman" w:cs="Times New Roman"/>
          <w:sz w:val="24"/>
          <w:szCs w:val="24"/>
          <w:shd w:val="clear" w:color="auto" w:fill="FFFFFF"/>
        </w:rPr>
      </w:pPr>
      <w:r w:rsidRPr="00C94A93">
        <w:rPr>
          <w:rFonts w:ascii="Times New Roman" w:hAnsi="Times New Roman" w:cs="Times New Roman"/>
          <w:sz w:val="24"/>
          <w:szCs w:val="24"/>
          <w:shd w:val="clear" w:color="auto" w:fill="FFFFFF"/>
        </w:rPr>
        <w:t xml:space="preserve">Wadsworth, M., Butterworth, S., Marmot, M. G., &amp; Wilkinson, R. G. (2006). </w:t>
      </w:r>
      <w:r w:rsidRPr="00C94A93">
        <w:rPr>
          <w:rFonts w:ascii="Times New Roman" w:hAnsi="Times New Roman" w:cs="Times New Roman"/>
          <w:i/>
          <w:sz w:val="24"/>
          <w:szCs w:val="24"/>
          <w:shd w:val="clear" w:color="auto" w:fill="FFFFFF"/>
        </w:rPr>
        <w:t>Social</w:t>
      </w:r>
      <w:r w:rsidR="004769F3" w:rsidRPr="00C94A93">
        <w:rPr>
          <w:rFonts w:ascii="Times New Roman" w:hAnsi="Times New Roman" w:cs="Times New Roman"/>
          <w:i/>
          <w:sz w:val="24"/>
          <w:szCs w:val="24"/>
          <w:shd w:val="clear" w:color="auto" w:fill="FFFFFF"/>
        </w:rPr>
        <w:tab/>
      </w:r>
      <w:r w:rsidR="004769F3" w:rsidRPr="00C94A93">
        <w:rPr>
          <w:rFonts w:ascii="Times New Roman" w:hAnsi="Times New Roman" w:cs="Times New Roman"/>
          <w:i/>
          <w:sz w:val="24"/>
          <w:szCs w:val="24"/>
          <w:shd w:val="clear" w:color="auto" w:fill="FFFFFF"/>
        </w:rPr>
        <w:tab/>
      </w:r>
      <w:r w:rsidRPr="00C94A93">
        <w:rPr>
          <w:rFonts w:ascii="Times New Roman" w:hAnsi="Times New Roman" w:cs="Times New Roman"/>
          <w:i/>
          <w:sz w:val="24"/>
          <w:szCs w:val="24"/>
          <w:shd w:val="clear" w:color="auto" w:fill="FFFFFF"/>
        </w:rPr>
        <w:t xml:space="preserve"> determinants of health. </w:t>
      </w:r>
      <w:r w:rsidRPr="00C94A93">
        <w:rPr>
          <w:rFonts w:ascii="Times New Roman" w:hAnsi="Times New Roman" w:cs="Times New Roman"/>
          <w:sz w:val="24"/>
          <w:szCs w:val="24"/>
          <w:shd w:val="clear" w:color="auto" w:fill="FFFFFF"/>
        </w:rPr>
        <w:t xml:space="preserve">Oxford University Press. Oxford. </w:t>
      </w:r>
    </w:p>
    <w:p w14:paraId="18EE1458" w14:textId="77777777" w:rsidR="00E73C62" w:rsidRPr="00C94A93" w:rsidRDefault="00E73C62" w:rsidP="00E73C62">
      <w:pPr>
        <w:shd w:val="clear" w:color="auto" w:fill="FFFFFF"/>
        <w:spacing w:after="300" w:line="240" w:lineRule="atLeast"/>
        <w:outlineLvl w:val="1"/>
        <w:rPr>
          <w:rFonts w:ascii="Times New Roman" w:eastAsia="Times New Roman" w:hAnsi="Times New Roman" w:cs="Times New Roman"/>
          <w:bCs/>
          <w:spacing w:val="-12"/>
          <w:sz w:val="24"/>
          <w:szCs w:val="24"/>
          <w:lang w:eastAsia="en-GB"/>
        </w:rPr>
      </w:pPr>
    </w:p>
    <w:p w14:paraId="6081EC70" w14:textId="3EB64E9B" w:rsidR="00E73C62" w:rsidRPr="00C94A93" w:rsidRDefault="00E73C62" w:rsidP="00E73C62">
      <w:pPr>
        <w:shd w:val="clear" w:color="auto" w:fill="FFFFFF"/>
        <w:spacing w:after="300" w:line="240" w:lineRule="atLeast"/>
        <w:outlineLvl w:val="1"/>
        <w:rPr>
          <w:rFonts w:ascii="Times New Roman" w:eastAsia="Times New Roman" w:hAnsi="Times New Roman" w:cs="Times New Roman"/>
          <w:bCs/>
          <w:spacing w:val="-12"/>
          <w:sz w:val="24"/>
          <w:szCs w:val="24"/>
          <w:lang w:eastAsia="en-GB"/>
        </w:rPr>
      </w:pPr>
      <w:r w:rsidRPr="00C94A93">
        <w:rPr>
          <w:rFonts w:ascii="Times New Roman" w:eastAsia="Times New Roman" w:hAnsi="Times New Roman" w:cs="Times New Roman"/>
          <w:bCs/>
          <w:spacing w:val="-12"/>
          <w:sz w:val="24"/>
          <w:szCs w:val="24"/>
          <w:lang w:eastAsia="en-GB"/>
        </w:rPr>
        <w:t>Well-being of Future Generations (Wales) Act 2015 (electronic). (2016). Welsh Government. Available</w:t>
      </w:r>
      <w:r w:rsidRPr="00C94A93">
        <w:rPr>
          <w:rFonts w:ascii="Times New Roman" w:eastAsia="Times New Roman" w:hAnsi="Times New Roman" w:cs="Times New Roman"/>
          <w:bCs/>
          <w:spacing w:val="-12"/>
          <w:sz w:val="24"/>
          <w:szCs w:val="24"/>
          <w:lang w:eastAsia="en-GB"/>
        </w:rPr>
        <w:tab/>
        <w:t xml:space="preserve"> from</w:t>
      </w:r>
      <w:r w:rsidR="00E2295F" w:rsidRPr="00C94A93">
        <w:rPr>
          <w:rFonts w:ascii="Times New Roman" w:eastAsia="Times New Roman" w:hAnsi="Times New Roman" w:cs="Times New Roman"/>
          <w:bCs/>
          <w:spacing w:val="-12"/>
          <w:sz w:val="24"/>
          <w:szCs w:val="24"/>
          <w:lang w:eastAsia="en-GB"/>
        </w:rPr>
        <w:t>:</w:t>
      </w:r>
      <w:r w:rsidRPr="00C94A93">
        <w:rPr>
          <w:rFonts w:ascii="Times New Roman" w:eastAsia="Times New Roman" w:hAnsi="Times New Roman" w:cs="Times New Roman"/>
          <w:bCs/>
          <w:spacing w:val="-12"/>
          <w:sz w:val="24"/>
          <w:szCs w:val="24"/>
          <w:lang w:eastAsia="en-GB"/>
        </w:rPr>
        <w:t xml:space="preserve"> </w:t>
      </w:r>
      <w:hyperlink r:id="rId11" w:history="1">
        <w:r w:rsidRPr="00C94A93">
          <w:rPr>
            <w:rStyle w:val="Hyperlink"/>
            <w:rFonts w:ascii="Times New Roman" w:eastAsia="Times New Roman" w:hAnsi="Times New Roman" w:cs="Times New Roman"/>
            <w:spacing w:val="-12"/>
            <w:sz w:val="24"/>
            <w:szCs w:val="24"/>
            <w:u w:val="none"/>
            <w:lang w:eastAsia="en-GB"/>
          </w:rPr>
          <w:t>http://gov.wales/topics/people-and-communities/people/future-generations-act/?lang=en</w:t>
        </w:r>
      </w:hyperlink>
      <w:r w:rsidRPr="00C94A93">
        <w:rPr>
          <w:rFonts w:ascii="Times New Roman" w:eastAsia="Times New Roman" w:hAnsi="Times New Roman" w:cs="Times New Roman"/>
          <w:bCs/>
          <w:spacing w:val="-12"/>
          <w:sz w:val="24"/>
          <w:szCs w:val="24"/>
          <w:lang w:eastAsia="en-GB"/>
        </w:rPr>
        <w:t xml:space="preserve"> </w:t>
      </w:r>
      <w:r w:rsidR="00DE3BEC" w:rsidRPr="00C94A93">
        <w:rPr>
          <w:rFonts w:ascii="Times New Roman" w:eastAsia="Times New Roman" w:hAnsi="Times New Roman" w:cs="Times New Roman"/>
          <w:bCs/>
          <w:spacing w:val="-12"/>
          <w:sz w:val="24"/>
          <w:szCs w:val="24"/>
          <w:lang w:eastAsia="en-GB"/>
        </w:rPr>
        <w:tab/>
        <w:t xml:space="preserve">(Accessed 3 December 2017). </w:t>
      </w:r>
    </w:p>
    <w:p w14:paraId="5532DFF9" w14:textId="77777777" w:rsidR="0085720E" w:rsidRDefault="0085720E" w:rsidP="00755D45">
      <w:pPr>
        <w:rPr>
          <w:rFonts w:ascii="Times New Roman" w:hAnsi="Times New Roman" w:cs="Times New Roman"/>
          <w:sz w:val="24"/>
          <w:szCs w:val="24"/>
          <w:shd w:val="clear" w:color="auto" w:fill="FFFFFF"/>
        </w:rPr>
      </w:pPr>
    </w:p>
    <w:p w14:paraId="37CEED40" w14:textId="448FA17C" w:rsidR="005929FC" w:rsidRPr="00C94A93" w:rsidRDefault="005929FC" w:rsidP="00755D45">
      <w:pPr>
        <w:rPr>
          <w:rFonts w:ascii="Times New Roman" w:hAnsi="Times New Roman" w:cs="Times New Roman"/>
          <w:sz w:val="24"/>
          <w:szCs w:val="24"/>
          <w:shd w:val="clear" w:color="auto" w:fill="FFFFFF"/>
        </w:rPr>
      </w:pPr>
      <w:bookmarkStart w:id="1" w:name="_GoBack"/>
      <w:bookmarkEnd w:id="1"/>
      <w:r w:rsidRPr="00C94A93">
        <w:rPr>
          <w:rFonts w:ascii="Times New Roman" w:hAnsi="Times New Roman" w:cs="Times New Roman"/>
          <w:sz w:val="24"/>
          <w:szCs w:val="24"/>
          <w:shd w:val="clear" w:color="auto" w:fill="FFFFFF"/>
        </w:rPr>
        <w:t xml:space="preserve">Yeung, A. B. (2004). An intricate triangle—religiosity, volunteering, and social capital: The </w:t>
      </w:r>
      <w:r w:rsidR="00E2295F" w:rsidRPr="00C94A93">
        <w:rPr>
          <w:rFonts w:ascii="Times New Roman" w:hAnsi="Times New Roman" w:cs="Times New Roman"/>
          <w:sz w:val="24"/>
          <w:szCs w:val="24"/>
          <w:shd w:val="clear" w:color="auto" w:fill="FFFFFF"/>
        </w:rPr>
        <w:tab/>
      </w:r>
      <w:r w:rsidRPr="00C94A93">
        <w:rPr>
          <w:rFonts w:ascii="Times New Roman" w:hAnsi="Times New Roman" w:cs="Times New Roman"/>
          <w:sz w:val="24"/>
          <w:szCs w:val="24"/>
          <w:shd w:val="clear" w:color="auto" w:fill="FFFFFF"/>
        </w:rPr>
        <w:t>European perspective, the case of Finland. </w:t>
      </w:r>
      <w:r w:rsidRPr="00C94A93">
        <w:rPr>
          <w:rFonts w:ascii="Times New Roman" w:hAnsi="Times New Roman" w:cs="Times New Roman"/>
          <w:i/>
          <w:iCs/>
          <w:sz w:val="24"/>
          <w:szCs w:val="24"/>
          <w:shd w:val="clear" w:color="auto" w:fill="FFFFFF"/>
        </w:rPr>
        <w:t xml:space="preserve">Nonprofit and voluntary sector </w:t>
      </w:r>
      <w:r w:rsidR="00E2295F" w:rsidRPr="00C94A93">
        <w:rPr>
          <w:rFonts w:ascii="Times New Roman" w:hAnsi="Times New Roman" w:cs="Times New Roman"/>
          <w:i/>
          <w:iCs/>
          <w:sz w:val="24"/>
          <w:szCs w:val="24"/>
          <w:shd w:val="clear" w:color="auto" w:fill="FFFFFF"/>
        </w:rPr>
        <w:tab/>
      </w:r>
      <w:r w:rsidRPr="00C94A93">
        <w:rPr>
          <w:rFonts w:ascii="Times New Roman" w:hAnsi="Times New Roman" w:cs="Times New Roman"/>
          <w:i/>
          <w:iCs/>
          <w:sz w:val="24"/>
          <w:szCs w:val="24"/>
          <w:shd w:val="clear" w:color="auto" w:fill="FFFFFF"/>
        </w:rPr>
        <w:t>quarterly</w:t>
      </w:r>
      <w:r w:rsidRPr="00C94A93">
        <w:rPr>
          <w:rFonts w:ascii="Times New Roman" w:hAnsi="Times New Roman" w:cs="Times New Roman"/>
          <w:sz w:val="24"/>
          <w:szCs w:val="24"/>
          <w:shd w:val="clear" w:color="auto" w:fill="FFFFFF"/>
        </w:rPr>
        <w:t>, </w:t>
      </w:r>
      <w:r w:rsidRPr="00C94A93">
        <w:rPr>
          <w:rFonts w:ascii="Times New Roman" w:hAnsi="Times New Roman" w:cs="Times New Roman"/>
          <w:i/>
          <w:iCs/>
          <w:sz w:val="24"/>
          <w:szCs w:val="24"/>
          <w:shd w:val="clear" w:color="auto" w:fill="FFFFFF"/>
        </w:rPr>
        <w:t>33</w:t>
      </w:r>
      <w:r w:rsidRPr="00C94A93">
        <w:rPr>
          <w:rFonts w:ascii="Times New Roman" w:hAnsi="Times New Roman" w:cs="Times New Roman"/>
          <w:sz w:val="24"/>
          <w:szCs w:val="24"/>
          <w:shd w:val="clear" w:color="auto" w:fill="FFFFFF"/>
        </w:rPr>
        <w:t>(3), 401-422.</w:t>
      </w:r>
    </w:p>
    <w:p w14:paraId="063790B5" w14:textId="0E617290" w:rsidR="00E2295F" w:rsidRPr="00C94A93" w:rsidRDefault="00E2295F" w:rsidP="00755D45">
      <w:pPr>
        <w:rPr>
          <w:rFonts w:ascii="Times New Roman" w:hAnsi="Times New Roman" w:cs="Times New Roman"/>
          <w:b/>
          <w:sz w:val="24"/>
          <w:szCs w:val="24"/>
        </w:rPr>
      </w:pPr>
    </w:p>
    <w:p w14:paraId="00C17099" w14:textId="4A9A1E28" w:rsidR="00273F43" w:rsidRDefault="00273F43" w:rsidP="00755D45">
      <w:pPr>
        <w:rPr>
          <w:rFonts w:ascii="Times New Roman" w:hAnsi="Times New Roman" w:cs="Times New Roman"/>
          <w:sz w:val="24"/>
          <w:szCs w:val="24"/>
        </w:rPr>
      </w:pPr>
    </w:p>
    <w:p w14:paraId="7C7D83C3" w14:textId="17F55D1A" w:rsidR="00A713B7" w:rsidRDefault="00A713B7" w:rsidP="00755D45">
      <w:pPr>
        <w:rPr>
          <w:rFonts w:ascii="Times New Roman" w:hAnsi="Times New Roman" w:cs="Times New Roman"/>
          <w:sz w:val="24"/>
          <w:szCs w:val="24"/>
        </w:rPr>
      </w:pPr>
    </w:p>
    <w:p w14:paraId="3B017ACC" w14:textId="2153B922" w:rsidR="00A713B7" w:rsidRPr="00A713B7" w:rsidRDefault="00A713B7" w:rsidP="00755D45">
      <w:pPr>
        <w:rPr>
          <w:rFonts w:ascii="Times New Roman" w:hAnsi="Times New Roman" w:cs="Times New Roman"/>
          <w:sz w:val="24"/>
          <w:szCs w:val="24"/>
        </w:rPr>
      </w:pPr>
    </w:p>
    <w:sectPr w:rsidR="00A713B7" w:rsidRPr="00A713B7">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C39B9" w14:textId="77777777" w:rsidR="001C7596" w:rsidRDefault="001C7596" w:rsidP="00755D45">
      <w:pPr>
        <w:spacing w:after="0" w:line="240" w:lineRule="auto"/>
      </w:pPr>
      <w:r>
        <w:separator/>
      </w:r>
    </w:p>
  </w:endnote>
  <w:endnote w:type="continuationSeparator" w:id="0">
    <w:p w14:paraId="4B229FA3" w14:textId="77777777" w:rsidR="001C7596" w:rsidRDefault="001C7596" w:rsidP="00755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AB8A4" w14:textId="77777777" w:rsidR="001C7596" w:rsidRDefault="001C7596">
    <w:pPr>
      <w:pStyle w:val="Footer"/>
    </w:pPr>
    <w:r>
      <w:t>John Rees-1703876</w:t>
    </w:r>
  </w:p>
  <w:p w14:paraId="7ADA32D5" w14:textId="77777777" w:rsidR="001C7596" w:rsidRDefault="001C75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1D9FE" w14:textId="77777777" w:rsidR="001C7596" w:rsidRDefault="001C7596" w:rsidP="00755D45">
      <w:pPr>
        <w:spacing w:after="0" w:line="240" w:lineRule="auto"/>
      </w:pPr>
      <w:r>
        <w:separator/>
      </w:r>
    </w:p>
  </w:footnote>
  <w:footnote w:type="continuationSeparator" w:id="0">
    <w:p w14:paraId="1EA66E3F" w14:textId="77777777" w:rsidR="001C7596" w:rsidRDefault="001C7596" w:rsidP="00755D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0FBB0" w14:textId="178FC802" w:rsidR="001C7596" w:rsidRDefault="001C7596">
    <w:pPr>
      <w:pStyle w:val="Header"/>
    </w:pPr>
    <w:r>
      <w:t>Influences on health and well-being</w:t>
    </w:r>
    <w:r>
      <w:ptab w:relativeTo="margin" w:alignment="center" w:leader="none"/>
    </w:r>
    <w:r>
      <w:ptab w:relativeTo="margin" w:alignment="right" w:leader="none"/>
    </w:r>
    <w:r>
      <w:fldChar w:fldCharType="begin"/>
    </w:r>
    <w:r>
      <w:instrText xml:space="preserve"> PAGE   \* MERGEFORMAT </w:instrText>
    </w:r>
    <w:r>
      <w:fldChar w:fldCharType="separate"/>
    </w:r>
    <w:r w:rsidR="0013041C">
      <w:rPr>
        <w:noProof/>
      </w:rPr>
      <w:t>11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BBF"/>
    <w:rsid w:val="00015C6F"/>
    <w:rsid w:val="00062965"/>
    <w:rsid w:val="000968A4"/>
    <w:rsid w:val="000D56DB"/>
    <w:rsid w:val="000E513E"/>
    <w:rsid w:val="000F4095"/>
    <w:rsid w:val="00110FBB"/>
    <w:rsid w:val="0013041C"/>
    <w:rsid w:val="00132D8C"/>
    <w:rsid w:val="001440FC"/>
    <w:rsid w:val="00157F35"/>
    <w:rsid w:val="0018617B"/>
    <w:rsid w:val="001C7596"/>
    <w:rsid w:val="0020027F"/>
    <w:rsid w:val="002711AB"/>
    <w:rsid w:val="00273F43"/>
    <w:rsid w:val="002A0DB7"/>
    <w:rsid w:val="002C72B2"/>
    <w:rsid w:val="00320FBC"/>
    <w:rsid w:val="003932C8"/>
    <w:rsid w:val="003A142F"/>
    <w:rsid w:val="003D2111"/>
    <w:rsid w:val="004318E0"/>
    <w:rsid w:val="004769F3"/>
    <w:rsid w:val="004852A6"/>
    <w:rsid w:val="004A05CE"/>
    <w:rsid w:val="004F0E3A"/>
    <w:rsid w:val="005105DA"/>
    <w:rsid w:val="005929FC"/>
    <w:rsid w:val="005C5AEB"/>
    <w:rsid w:val="00614B65"/>
    <w:rsid w:val="0062034E"/>
    <w:rsid w:val="00634BCE"/>
    <w:rsid w:val="006B674D"/>
    <w:rsid w:val="00704964"/>
    <w:rsid w:val="0073086B"/>
    <w:rsid w:val="00755D45"/>
    <w:rsid w:val="007C1F1B"/>
    <w:rsid w:val="007E61AC"/>
    <w:rsid w:val="00802283"/>
    <w:rsid w:val="0085720E"/>
    <w:rsid w:val="008C75BA"/>
    <w:rsid w:val="009A14FC"/>
    <w:rsid w:val="009E04A5"/>
    <w:rsid w:val="00A713B7"/>
    <w:rsid w:val="00AD1571"/>
    <w:rsid w:val="00AE6F3E"/>
    <w:rsid w:val="00AF5BBF"/>
    <w:rsid w:val="00B23320"/>
    <w:rsid w:val="00B2738C"/>
    <w:rsid w:val="00B36CBA"/>
    <w:rsid w:val="00B63E96"/>
    <w:rsid w:val="00BB4AE2"/>
    <w:rsid w:val="00BC3CDC"/>
    <w:rsid w:val="00BF1F8D"/>
    <w:rsid w:val="00C05B2B"/>
    <w:rsid w:val="00C304EA"/>
    <w:rsid w:val="00C91BB0"/>
    <w:rsid w:val="00C9306B"/>
    <w:rsid w:val="00C94A93"/>
    <w:rsid w:val="00CE4E9F"/>
    <w:rsid w:val="00D94898"/>
    <w:rsid w:val="00DB0E66"/>
    <w:rsid w:val="00DB3251"/>
    <w:rsid w:val="00DC099B"/>
    <w:rsid w:val="00DE3BEC"/>
    <w:rsid w:val="00DF74D0"/>
    <w:rsid w:val="00E2295F"/>
    <w:rsid w:val="00E346A9"/>
    <w:rsid w:val="00E67092"/>
    <w:rsid w:val="00E73C62"/>
    <w:rsid w:val="00ED356D"/>
    <w:rsid w:val="00ED7319"/>
    <w:rsid w:val="00F86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14:docId w14:val="1A11387A"/>
  <w15:chartTrackingRefBased/>
  <w15:docId w15:val="{6AD57E71-4D5B-4350-A6A0-9D64EF5B7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4B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73C6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5D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D45"/>
  </w:style>
  <w:style w:type="paragraph" w:styleId="Footer">
    <w:name w:val="footer"/>
    <w:basedOn w:val="Normal"/>
    <w:link w:val="FooterChar"/>
    <w:uiPriority w:val="99"/>
    <w:unhideWhenUsed/>
    <w:rsid w:val="00755D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D45"/>
  </w:style>
  <w:style w:type="character" w:styleId="Hyperlink">
    <w:name w:val="Hyperlink"/>
    <w:basedOn w:val="DefaultParagraphFont"/>
    <w:uiPriority w:val="99"/>
    <w:unhideWhenUsed/>
    <w:rsid w:val="00704964"/>
    <w:rPr>
      <w:color w:val="0563C1" w:themeColor="hyperlink"/>
      <w:u w:val="single"/>
    </w:rPr>
  </w:style>
  <w:style w:type="character" w:customStyle="1" w:styleId="UnresolvedMention">
    <w:name w:val="Unresolved Mention"/>
    <w:basedOn w:val="DefaultParagraphFont"/>
    <w:uiPriority w:val="99"/>
    <w:semiHidden/>
    <w:unhideWhenUsed/>
    <w:rsid w:val="00704964"/>
    <w:rPr>
      <w:color w:val="808080"/>
      <w:shd w:val="clear" w:color="auto" w:fill="E6E6E6"/>
    </w:rPr>
  </w:style>
  <w:style w:type="character" w:styleId="FollowedHyperlink">
    <w:name w:val="FollowedHyperlink"/>
    <w:basedOn w:val="DefaultParagraphFont"/>
    <w:uiPriority w:val="99"/>
    <w:semiHidden/>
    <w:unhideWhenUsed/>
    <w:rsid w:val="00BC3CDC"/>
    <w:rPr>
      <w:color w:val="954F72" w:themeColor="followedHyperlink"/>
      <w:u w:val="single"/>
    </w:rPr>
  </w:style>
  <w:style w:type="character" w:customStyle="1" w:styleId="Heading2Char">
    <w:name w:val="Heading 2 Char"/>
    <w:basedOn w:val="DefaultParagraphFont"/>
    <w:link w:val="Heading2"/>
    <w:uiPriority w:val="9"/>
    <w:rsid w:val="00E73C62"/>
    <w:rPr>
      <w:rFonts w:ascii="Times New Roman" w:eastAsia="Times New Roman" w:hAnsi="Times New Roman" w:cs="Times New Roman"/>
      <w:b/>
      <w:bCs/>
      <w:sz w:val="36"/>
      <w:szCs w:val="36"/>
      <w:lang w:eastAsia="en-GB"/>
    </w:rPr>
  </w:style>
  <w:style w:type="character" w:customStyle="1" w:styleId="text">
    <w:name w:val="text"/>
    <w:basedOn w:val="DefaultParagraphFont"/>
    <w:rsid w:val="00ED356D"/>
  </w:style>
  <w:style w:type="character" w:customStyle="1" w:styleId="Heading1Char">
    <w:name w:val="Heading 1 Char"/>
    <w:basedOn w:val="DefaultParagraphFont"/>
    <w:link w:val="Heading1"/>
    <w:uiPriority w:val="9"/>
    <w:rsid w:val="00634BCE"/>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qFormat/>
    <w:rsid w:val="00634BCE"/>
    <w:pPr>
      <w:autoSpaceDE w:val="0"/>
      <w:autoSpaceDN w:val="0"/>
      <w:adjustRightInd w:val="0"/>
      <w:spacing w:after="0" w:line="240" w:lineRule="auto"/>
    </w:pPr>
    <w:rPr>
      <w:rFonts w:ascii="Calibri" w:hAnsi="Calibri" w:cs="Calibri"/>
      <w:b/>
      <w:bCs/>
      <w:sz w:val="24"/>
      <w:szCs w:val="24"/>
    </w:rPr>
  </w:style>
  <w:style w:type="character" w:customStyle="1" w:styleId="BodyTextChar">
    <w:name w:val="Body Text Char"/>
    <w:basedOn w:val="DefaultParagraphFont"/>
    <w:link w:val="BodyText"/>
    <w:uiPriority w:val="1"/>
    <w:rsid w:val="00634BCE"/>
    <w:rPr>
      <w:rFonts w:ascii="Calibri" w:hAnsi="Calibri" w:cs="Calibri"/>
      <w:b/>
      <w:bCs/>
      <w:sz w:val="24"/>
      <w:szCs w:val="24"/>
    </w:rPr>
  </w:style>
  <w:style w:type="paragraph" w:customStyle="1" w:styleId="TableParagraph">
    <w:name w:val="Table Paragraph"/>
    <w:basedOn w:val="Normal"/>
    <w:uiPriority w:val="1"/>
    <w:qFormat/>
    <w:rsid w:val="00634BCE"/>
    <w:pPr>
      <w:autoSpaceDE w:val="0"/>
      <w:autoSpaceDN w:val="0"/>
      <w:adjustRightInd w:val="0"/>
      <w:spacing w:after="0" w:line="240" w:lineRule="auto"/>
    </w:pPr>
    <w:rPr>
      <w:rFonts w:ascii="Calibri" w:hAnsi="Calibri" w:cs="Calibri"/>
      <w:sz w:val="24"/>
      <w:szCs w:val="24"/>
    </w:rPr>
  </w:style>
  <w:style w:type="table" w:styleId="TableGrid">
    <w:name w:val="Table Grid"/>
    <w:basedOn w:val="TableNormal"/>
    <w:uiPriority w:val="39"/>
    <w:rsid w:val="00DB0E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674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statistics-and-research/households-below-average-%09income/?lang=en"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gov.wales"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ov.wales" TargetMode="External"/><Relationship Id="rId11" Type="http://schemas.openxmlformats.org/officeDocument/2006/relationships/hyperlink" Target="http://gov.wales/topics/people-and-communities/people/future-generations-act/?lang=en"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moodle.uwtsd.ac.uk/pluginfile.php/116577/mod_resource/content/1/CCCS%20Essay%25%0920Guidance%202017.pdf" TargetMode="External"/><Relationship Id="rId4" Type="http://schemas.openxmlformats.org/officeDocument/2006/relationships/footnotes" Target="footnotes.xml"/><Relationship Id="rId9" Type="http://schemas.openxmlformats.org/officeDocument/2006/relationships/hyperlink" Target="http://www.euro.who.int/__data/assets/pdf_file/0003/152184/RD_Dastein%09speech_wellbeing_07Oc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2968</Words>
  <Characters>16922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 (1703876)</dc:creator>
  <cp:keywords/>
  <dc:description/>
  <cp:lastModifiedBy>John Rees (1703876)</cp:lastModifiedBy>
  <cp:revision>2</cp:revision>
  <dcterms:created xsi:type="dcterms:W3CDTF">2017-12-04T13:48:00Z</dcterms:created>
  <dcterms:modified xsi:type="dcterms:W3CDTF">2017-12-04T13:48:00Z</dcterms:modified>
</cp:coreProperties>
</file>