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left w:val="none"/>
              <w:bottom w:val="none"/>
              <w:right w:val="none"/>
            </w:tcBorders>
            <w:shd w:fill="004B55" w:val="clear"/>
            <w:tcMar>
              <w:top w:type="dxa" w:w="140"/>
              <w:left w:type="dxa" w:w="240"/>
              <w:bottom w:type="dxa" w:w="140"/>
              <w:right w:type="dxa" w:w="240"/>
            </w:tcMar>
          </w:tcPr>
          <w:p>
            <w:pPr>
              <w:spacing w:after="0" w:before="0"/>
            </w:pPr>
            <w:r>
              <w:rPr>
                <w:rFonts w:ascii="Cambria" w:cs="Cambria" w:eastAsia="Cambria" w:hAnsi="Cambria"/>
                <w:b/>
                <w:bCs/>
                <w:color w:val="FFFFFF"/>
                <w:sz w:val="28"/>
                <w:szCs w:val="28"/>
              </w:rPr>
              <w:t xml:space="preserve">LCDB7007  |  Quality in Qualitative Research  |  Activity 3 Handout</w:t>
            </w:r>
          </w:p>
        </w:tc>
      </w:tr>
    </w:tbl>
    <w:p>
      <w:pPr>
        <w:spacing w:after="120" w:before="0"/>
      </w:pPr>
      <w:r>
        <w:rPr>
          <w:rFonts w:ascii="Calibri" w:cs="Calibri" w:eastAsia="Calibri" w:hAnsi="Calibri"/>
          <w:color w:val="1A1A2E"/>
          <w:sz w:val="22"/>
          <w:szCs w:val="22"/>
        </w:rPr>
        <w:t xml:space="preserve"/>
      </w:r>
    </w:p>
    <w:p>
      <w:pPr>
        <w:pStyle w:val="Heading1"/>
        <w:spacing w:after="160" w:before="360"/>
      </w:pPr>
      <w:r>
        <w:rPr>
          <w:rFonts w:ascii="Cambria" w:cs="Cambria" w:eastAsia="Cambria" w:hAnsi="Cambria"/>
          <w:b/>
          <w:bCs/>
          <w:color w:val="004B55"/>
          <w:sz w:val="34"/>
          <w:szCs w:val="34"/>
        </w:rPr>
        <w:t xml:space="preserve">Handout B: Pilot Study Extract for Critical Audit</w:t>
      </w:r>
    </w:p>
    <w:p>
      <w:pPr>
        <w:spacing w:after="120" w:before="60"/>
      </w:pPr>
      <w:r>
        <w:rPr>
          <w:rFonts w:ascii="Calibri" w:cs="Calibri" w:eastAsia="Calibri" w:hAnsi="Calibri"/>
          <w:color w:val="607085"/>
          <w:sz w:val="22"/>
          <w:szCs w:val="22"/>
        </w:rPr>
        <w:t xml:space="preserve">Read the following extract from a doctoral pilot study proposal. This is a realistic but fictional account, designed to reflect common issues found at this stage of doctoral work. Apply Lincoln and Guba’s four trustworthiness criteria and complete the audit table.</w:t>
      </w:r>
    </w:p>
    <w:p>
      <w:pPr>
        <w:spacing w:after="120" w:before="0"/>
      </w:pPr>
      <w:r>
        <w:rPr>
          <w:rFonts w:ascii="Calibri" w:cs="Calibri" w:eastAsia="Calibri" w:hAnsi="Calibri"/>
          <w:color w:val="1A1A2E"/>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7C8A" w:sz="2"/>
              <w:left w:val="single" w:color="007C8A" w:sz="2"/>
              <w:bottom w:val="single" w:color="007C8A" w:sz="2"/>
              <w:right w:val="single" w:color="007C8A" w:sz="2"/>
            </w:tcBorders>
            <w:shd w:fill="F0F4F4" w:val="clear"/>
            <w:tcMar>
              <w:top w:type="dxa" w:w="160"/>
              <w:left w:type="dxa" w:w="240"/>
              <w:bottom w:type="dxa" w:w="160"/>
              <w:right w:type="dxa" w:w="240"/>
            </w:tcMar>
          </w:tcPr>
          <w:p>
            <w:pPr>
              <w:spacing w:after="80" w:before="0"/>
            </w:pPr>
            <w:r>
              <w:rPr>
                <w:rFonts w:ascii="Cambria" w:cs="Cambria" w:eastAsia="Cambria" w:hAnsi="Cambria"/>
                <w:b/>
                <w:bCs/>
                <w:color w:val="004B55"/>
                <w:sz w:val="24"/>
                <w:szCs w:val="24"/>
              </w:rPr>
              <w:t xml:space="preserve">Pilot Study: Exploring the wellbeing experiences of remote workers in the UK financial sector post-pandemic</w:t>
            </w:r>
          </w:p>
          <w:p>
            <w:pPr>
              <w:spacing w:after="60" w:before="0"/>
            </w:pPr>
            <w:r>
              <w:rPr>
                <w:rFonts w:ascii="Calibri" w:cs="Calibri" w:eastAsia="Calibri" w:hAnsi="Calibri"/>
                <w:b/>
                <w:bCs/>
                <w:color w:val="1A1A2E"/>
                <w:sz w:val="22"/>
                <w:szCs w:val="22"/>
              </w:rPr>
              <w:t xml:space="preserve">Researcher: </w:t>
            </w:r>
            <w:r>
              <w:rPr>
                <w:rFonts w:ascii="Calibri" w:cs="Calibri" w:eastAsia="Calibri" w:hAnsi="Calibri"/>
                <w:color w:val="1A1A2E"/>
                <w:sz w:val="22"/>
                <w:szCs w:val="22"/>
              </w:rPr>
              <w:t xml:space="preserve">Marcus, DBA Year 2. Previous career: 14 years as a HR manager in a large bank, including responsibility for employee wellbeing programmes during the pandemic.</w:t>
            </w:r>
          </w:p>
          <w:p>
            <w:pPr>
              <w:spacing w:after="60" w:before="0"/>
            </w:pPr>
            <w:r>
              <w:rPr>
                <w:rFonts w:ascii="Calibri" w:cs="Calibri" w:eastAsia="Calibri" w:hAnsi="Calibri"/>
                <w:b/>
                <w:bCs/>
                <w:color w:val="1A1A2E"/>
                <w:sz w:val="22"/>
                <w:szCs w:val="22"/>
              </w:rPr>
              <w:t xml:space="preserve">Methodology: </w:t>
            </w:r>
            <w:r>
              <w:rPr>
                <w:rFonts w:ascii="Calibri" w:cs="Calibri" w:eastAsia="Calibri" w:hAnsi="Calibri"/>
                <w:color w:val="1A1A2E"/>
                <w:sz w:val="22"/>
                <w:szCs w:val="22"/>
              </w:rPr>
              <w:t xml:space="preserve">Interpretive phenomenological analysis (IPA). Four semi-structured interviews conducted with remote workers in UK financial services firms.</w:t>
            </w:r>
          </w:p>
        </w:tc>
      </w:tr>
    </w:tbl>
    <w:p>
      <w:pPr>
        <w:spacing w:after="120" w:before="0"/>
      </w:pPr>
      <w:r>
        <w:rPr>
          <w:rFonts w:ascii="Calibri" w:cs="Calibri" w:eastAsia="Calibri" w:hAnsi="Calibri"/>
          <w:color w:val="1A1A2E"/>
          <w:sz w:val="22"/>
          <w:szCs w:val="22"/>
        </w:rPr>
        <w:t xml:space="preserve"/>
      </w:r>
    </w:p>
    <w:p>
      <w:pPr>
        <w:pStyle w:val="Heading2"/>
        <w:spacing w:after="120" w:before="240"/>
      </w:pPr>
      <w:r>
        <w:rPr>
          <w:rFonts w:ascii="Cambria" w:cs="Cambria" w:eastAsia="Cambria" w:hAnsi="Cambria"/>
          <w:b/>
          <w:bCs/>
          <w:color w:val="007C8A"/>
          <w:sz w:val="26"/>
          <w:szCs w:val="26"/>
        </w:rPr>
        <w:t xml:space="preserve">Extract from Pilot Study Proposal — Methodology Section</w:t>
      </w:r>
    </w:p>
    <w:p>
      <w:pPr>
        <w:pStyle w:val="Heading3"/>
        <w:spacing w:after="80" w:before="180"/>
      </w:pPr>
      <w:r>
        <w:rPr>
          <w:rFonts w:ascii="Calibri" w:cs="Calibri" w:eastAsia="Calibri" w:hAnsi="Calibri"/>
          <w:b/>
          <w:bCs/>
          <w:color w:val="1A1A2E"/>
          <w:sz w:val="22"/>
          <w:szCs w:val="22"/>
        </w:rPr>
        <w:t xml:space="preserve">Research design and approach</w:t>
      </w:r>
    </w:p>
    <w:p>
      <w:pPr>
        <w:spacing w:after="120" w:before="60"/>
      </w:pPr>
      <w:r>
        <w:rPr>
          <w:rFonts w:ascii="Calibri" w:cs="Calibri" w:eastAsia="Calibri" w:hAnsi="Calibri"/>
          <w:color w:val="1A1A2E"/>
          <w:sz w:val="22"/>
          <w:szCs w:val="22"/>
        </w:rPr>
        <w:t xml:space="preserve">This pilot study adopts an interpretive phenomenological analysis (IPA) approach to explore the lived experience of remote working for employees in the UK financial sector following the Covid-19 pandemic. IPA is appropriate here because it allows the researcher to explore how individuals make sense of significant personal and professional experiences (Smith et al., 2009). The study sits within an interpretivist paradigm and takes a broadly inductive approach to data generation and analysis.</w:t>
      </w:r>
    </w:p>
    <w:p>
      <w:pPr>
        <w:spacing w:after="120" w:before="0"/>
      </w:pPr>
      <w:r>
        <w:rPr>
          <w:rFonts w:ascii="Calibri" w:cs="Calibri" w:eastAsia="Calibri" w:hAnsi="Calibri"/>
          <w:color w:val="1A1A2E"/>
          <w:sz w:val="22"/>
          <w:szCs w:val="22"/>
        </w:rPr>
        <w:t xml:space="preserve"/>
      </w:r>
    </w:p>
    <w:p>
      <w:pPr>
        <w:pStyle w:val="Heading3"/>
        <w:spacing w:after="80" w:before="180"/>
      </w:pPr>
      <w:r>
        <w:rPr>
          <w:rFonts w:ascii="Calibri" w:cs="Calibri" w:eastAsia="Calibri" w:hAnsi="Calibri"/>
          <w:b/>
          <w:bCs/>
          <w:color w:val="1A1A2E"/>
          <w:sz w:val="22"/>
          <w:szCs w:val="22"/>
        </w:rPr>
        <w:t xml:space="preserve">Sample</w:t>
      </w:r>
    </w:p>
    <w:p>
      <w:pPr>
        <w:spacing w:after="120" w:before="60"/>
      </w:pPr>
      <w:r>
        <w:rPr>
          <w:rFonts w:ascii="Calibri" w:cs="Calibri" w:eastAsia="Calibri" w:hAnsi="Calibri"/>
          <w:color w:val="1A1A2E"/>
          <w:sz w:val="22"/>
          <w:szCs w:val="22"/>
        </w:rPr>
        <w:t xml:space="preserve">Four participants were recruited through the researcher’s existing professional network. All four are currently employed in remote or hybrid roles in UK-based financial services organisations. Participants were contacted via LinkedIn and agreed to take part after being informed that the study concerns wellbeing and remote working. The sample is intentionally small and homogeneous, consistent with IPA conventions (Smith et al., 2009).</w:t>
      </w:r>
    </w:p>
    <w:p>
      <w:pPr>
        <w:spacing w:after="120" w:before="0"/>
      </w:pPr>
      <w:r>
        <w:rPr>
          <w:rFonts w:ascii="Calibri" w:cs="Calibri" w:eastAsia="Calibri" w:hAnsi="Calibri"/>
          <w:color w:val="1A1A2E"/>
          <w:sz w:val="22"/>
          <w:szCs w:val="22"/>
        </w:rPr>
        <w:t xml:space="preserve"/>
      </w:r>
    </w:p>
    <w:p>
      <w:pPr>
        <w:pStyle w:val="Heading3"/>
        <w:spacing w:after="80" w:before="180"/>
      </w:pPr>
      <w:r>
        <w:rPr>
          <w:rFonts w:ascii="Calibri" w:cs="Calibri" w:eastAsia="Calibri" w:hAnsi="Calibri"/>
          <w:b/>
          <w:bCs/>
          <w:color w:val="1A1A2E"/>
          <w:sz w:val="22"/>
          <w:szCs w:val="22"/>
        </w:rPr>
        <w:t xml:space="preserve">Data collection</w:t>
      </w:r>
    </w:p>
    <w:p>
      <w:pPr>
        <w:spacing w:after="120" w:before="60"/>
      </w:pPr>
      <w:r>
        <w:rPr>
          <w:rFonts w:ascii="Calibri" w:cs="Calibri" w:eastAsia="Calibri" w:hAnsi="Calibri"/>
          <w:color w:val="1A1A2E"/>
          <w:sz w:val="22"/>
          <w:szCs w:val="22"/>
        </w:rPr>
        <w:t xml:space="preserve">Interviews were conducted online using Microsoft Teams over a two-week period. Each interview lasted approximately 45–60 minutes. An interview schedule was developed in advance, covering six broad topic areas: daily work routines, communication with colleagues, relationship with management, personal wellbeing, home environment, and work-life balance. The schedule was used flexibly, allowing participants to lead the discussion where relevant.</w:t>
      </w:r>
    </w:p>
    <w:p>
      <w:pPr>
        <w:spacing w:after="120" w:before="60"/>
      </w:pPr>
      <w:r>
        <w:rPr>
          <w:rFonts w:ascii="Calibri" w:cs="Calibri" w:eastAsia="Calibri" w:hAnsi="Calibri"/>
          <w:color w:val="1A1A2E"/>
          <w:sz w:val="22"/>
          <w:szCs w:val="22"/>
        </w:rPr>
        <w:t xml:space="preserve">All interviews were recorded with participant consent and transcribed verbatim by the researcher. Participants were sent a copy of their transcript and invited to check it for accuracy. Two participants responded with minor factual corrections, which were incorporated.</w:t>
      </w:r>
    </w:p>
    <w:p>
      <w:pPr>
        <w:spacing w:after="120" w:before="0"/>
      </w:pPr>
      <w:r>
        <w:rPr>
          <w:rFonts w:ascii="Calibri" w:cs="Calibri" w:eastAsia="Calibri" w:hAnsi="Calibri"/>
          <w:color w:val="1A1A2E"/>
          <w:sz w:val="22"/>
          <w:szCs w:val="22"/>
        </w:rPr>
        <w:t xml:space="preserve"/>
      </w:r>
    </w:p>
    <w:p>
      <w:pPr>
        <w:pStyle w:val="Heading3"/>
        <w:spacing w:after="80" w:before="180"/>
      </w:pPr>
      <w:r>
        <w:rPr>
          <w:rFonts w:ascii="Calibri" w:cs="Calibri" w:eastAsia="Calibri" w:hAnsi="Calibri"/>
          <w:b/>
          <w:bCs/>
          <w:color w:val="1A1A2E"/>
          <w:sz w:val="22"/>
          <w:szCs w:val="22"/>
        </w:rPr>
        <w:t xml:space="preserve">Analysis</w:t>
      </w:r>
    </w:p>
    <w:p>
      <w:pPr>
        <w:spacing w:after="120" w:before="60"/>
      </w:pPr>
      <w:r>
        <w:rPr>
          <w:rFonts w:ascii="Calibri" w:cs="Calibri" w:eastAsia="Calibri" w:hAnsi="Calibri"/>
          <w:color w:val="1A1A2E"/>
          <w:sz w:val="22"/>
          <w:szCs w:val="22"/>
        </w:rPr>
        <w:t xml:space="preserve">Analysis followed the IPA process described by Smith, Flowers and Larkin (2009): close reading of transcripts, making exploratory comments, identifying experiential themes, and clustering themes across cases. The researcher maintained an analytic journal throughout, noting emerging interpretations and flagging moments of uncertainty.</w:t>
      </w:r>
    </w:p>
    <w:p>
      <w:pPr>
        <w:spacing w:after="120" w:before="60"/>
      </w:pPr>
      <w:r>
        <w:rPr>
          <w:rFonts w:ascii="Calibri" w:cs="Calibri" w:eastAsia="Calibri" w:hAnsi="Calibri"/>
          <w:color w:val="1A1A2E"/>
          <w:sz w:val="22"/>
          <w:szCs w:val="22"/>
        </w:rPr>
        <w:t xml:space="preserve">The researcher acknowledges a significant potential source of bias: as a former HR manager responsible for wellbeing initiatives in a financial services context, Marcus holds views about what constitutes good and poor remote working practice. To address this, a bracketing exercise was completed before fieldwork, in which existing assumptions were documented. These notes were revisited after each interview to check for interpretive drift.</w:t>
      </w:r>
    </w:p>
    <w:p>
      <w:pPr>
        <w:spacing w:after="120" w:before="0"/>
      </w:pPr>
      <w:r>
        <w:rPr>
          <w:rFonts w:ascii="Calibri" w:cs="Calibri" w:eastAsia="Calibri" w:hAnsi="Calibri"/>
          <w:color w:val="1A1A2E"/>
          <w:sz w:val="22"/>
          <w:szCs w:val="22"/>
        </w:rPr>
        <w:t xml:space="preserve"/>
      </w:r>
    </w:p>
    <w:p>
      <w:pPr>
        <w:pStyle w:val="Heading3"/>
        <w:spacing w:after="80" w:before="180"/>
      </w:pPr>
      <w:r>
        <w:rPr>
          <w:rFonts w:ascii="Calibri" w:cs="Calibri" w:eastAsia="Calibri" w:hAnsi="Calibri"/>
          <w:b/>
          <w:bCs/>
          <w:color w:val="1A1A2E"/>
          <w:sz w:val="22"/>
          <w:szCs w:val="22"/>
        </w:rPr>
        <w:t xml:space="preserve">Quality and trustworthiness</w:t>
      </w:r>
    </w:p>
    <w:p>
      <w:pPr>
        <w:spacing w:after="120" w:before="60"/>
      </w:pPr>
      <w:r>
        <w:rPr>
          <w:rFonts w:ascii="Calibri" w:cs="Calibri" w:eastAsia="Calibri" w:hAnsi="Calibri"/>
          <w:color w:val="1A1A2E"/>
          <w:sz w:val="22"/>
          <w:szCs w:val="22"/>
        </w:rPr>
        <w:t xml:space="preserve">The researcher is aware of the need to demonstrate trustworthiness. Member checking was conducted at the transcript stage (see above). The analytic journal provides a partial record of methodological decisions. A peer debrief session is planned with a fellow DBA student before the pilot study is finalised.</w:t>
      </w:r>
    </w:p>
    <w:p>
      <w:pPr>
        <w:spacing w:after="120" w:before="60"/>
      </w:pPr>
      <w:r>
        <w:rPr>
          <w:rFonts w:ascii="Calibri" w:cs="Calibri" w:eastAsia="Calibri" w:hAnsi="Calibri"/>
          <w:color w:val="1A1A2E"/>
          <w:sz w:val="22"/>
          <w:szCs w:val="22"/>
        </w:rPr>
        <w:t xml:space="preserve">The researcher acknowledges that with only four participants, the findings cannot be considered representative of remote workers in financial services more broadly. The pilot is designed to test the interview schedule and analytical approach, not to generate transferable findings.</w:t>
      </w:r>
    </w:p>
    <w:p>
      <w:pPr>
        <w:spacing w:after="120" w:before="0"/>
      </w:pPr>
      <w:r>
        <w:rPr>
          <w:rFonts w:ascii="Calibri" w:cs="Calibri" w:eastAsia="Calibri" w:hAnsi="Calibri"/>
          <w:color w:val="1A1A2E"/>
          <w:sz w:val="22"/>
          <w:szCs w:val="22"/>
        </w:rPr>
        <w:t xml:space="preserve"/>
      </w:r>
    </w:p>
    <w:p>
      <w:pPr>
        <w:pStyle w:val="Heading3"/>
        <w:spacing w:after="80" w:before="180"/>
      </w:pPr>
      <w:r>
        <w:rPr>
          <w:rFonts w:ascii="Calibri" w:cs="Calibri" w:eastAsia="Calibri" w:hAnsi="Calibri"/>
          <w:b/>
          <w:bCs/>
          <w:color w:val="1A1A2E"/>
          <w:sz w:val="22"/>
          <w:szCs w:val="22"/>
        </w:rPr>
        <w:t xml:space="preserve">Ethical considerations</w:t>
      </w:r>
    </w:p>
    <w:p>
      <w:pPr>
        <w:spacing w:after="120" w:before="60"/>
      </w:pPr>
      <w:r>
        <w:rPr>
          <w:rFonts w:ascii="Calibri" w:cs="Calibri" w:eastAsia="Calibri" w:hAnsi="Calibri"/>
          <w:color w:val="1A1A2E"/>
          <w:sz w:val="22"/>
          <w:szCs w:val="22"/>
        </w:rPr>
        <w:t xml:space="preserve">Ethical approval was obtained from the university ethics committee. All participants provided written informed consent. Data are stored securely on a password-protected university system. Participants were advised of their right to withdraw at any time without consequence.</w:t>
      </w:r>
    </w:p>
    <w:p>
      <w:pPr>
        <w:spacing w:after="120" w:before="0"/>
      </w:pPr>
      <w:r>
        <w:rPr>
          <w:rFonts w:ascii="Calibri" w:cs="Calibri" w:eastAsia="Calibri" w:hAnsi="Calibri"/>
          <w:color w:val="1A1A2E"/>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D4820A" w:sz="2"/>
              <w:left w:val="single" w:color="D4820A" w:sz="2"/>
              <w:bottom w:val="single" w:color="D4820A" w:sz="2"/>
              <w:right w:val="single" w:color="D4820A" w:sz="2"/>
            </w:tcBorders>
            <w:shd w:fill="FFF8EC" w:val="clear"/>
            <w:tcMar>
              <w:top w:type="dxa" w:w="160"/>
              <w:left w:type="dxa" w:w="240"/>
              <w:bottom w:type="dxa" w:w="160"/>
              <w:right w:type="dxa" w:w="240"/>
            </w:tcMar>
          </w:tcPr>
          <w:p>
            <w:pPr>
              <w:spacing w:after="100" w:before="0"/>
            </w:pPr>
            <w:r>
              <w:rPr>
                <w:rFonts w:ascii="Cambria" w:cs="Cambria" w:eastAsia="Cambria" w:hAnsi="Cambria"/>
                <w:b/>
                <w:bCs/>
                <w:color w:val="D4820A"/>
                <w:sz w:val="24"/>
                <w:szCs w:val="24"/>
              </w:rPr>
              <w:t xml:space="preserve">Activity 3 – Your Task  |  25 minutes</w:t>
            </w:r>
          </w:p>
          <w:p>
            <w:pPr>
              <w:pStyle w:val="ListParagraph"/>
              <w:numPr>
                <w:ilvl w:val="0"/>
                <w:numId w:val="2"/>
              </w:numPr>
              <w:spacing w:after="80" w:before="60"/>
            </w:pPr>
            <w:r>
              <w:rPr>
                <w:rFonts w:ascii="Calibri" w:cs="Calibri" w:eastAsia="Calibri" w:hAnsi="Calibri"/>
                <w:color w:val="1A1A2E"/>
                <w:sz w:val="22"/>
                <w:szCs w:val="22"/>
              </w:rPr>
              <w:t xml:space="preserve">Read the extract above carefully.</w:t>
            </w:r>
          </w:p>
          <w:p>
            <w:pPr>
              <w:pStyle w:val="ListParagraph"/>
              <w:numPr>
                <w:ilvl w:val="0"/>
                <w:numId w:val="2"/>
              </w:numPr>
              <w:spacing w:after="80" w:before="60"/>
            </w:pPr>
            <w:r>
              <w:rPr>
                <w:rFonts w:ascii="Calibri" w:cs="Calibri" w:eastAsia="Calibri" w:hAnsi="Calibri"/>
                <w:color w:val="1A1A2E"/>
                <w:sz w:val="22"/>
                <w:szCs w:val="22"/>
              </w:rPr>
              <w:t xml:space="preserve">Apply Lincoln and Guba’s four trustworthiness criteria as an audit. Award RED (not addressed), AMBER (partially addressed, gaps remain), or GREEN (adequately addressed). Write one sentence of justification for each.</w:t>
            </w:r>
          </w:p>
          <w:p>
            <w:pPr>
              <w:pStyle w:val="ListParagraph"/>
              <w:numPr>
                <w:ilvl w:val="0"/>
                <w:numId w:val="2"/>
              </w:numPr>
              <w:spacing w:after="80" w:before="60"/>
            </w:pPr>
            <w:r>
              <w:rPr>
                <w:rFonts w:ascii="Calibri" w:cs="Calibri" w:eastAsia="Calibri" w:hAnsi="Calibri"/>
                <w:color w:val="1A1A2E"/>
                <w:sz w:val="22"/>
                <w:szCs w:val="22"/>
              </w:rPr>
              <w:t xml:space="preserve">Identify the single most important improvement Marcus must make before progressing to the full thesis.</w:t>
            </w:r>
          </w:p>
          <w:p>
            <w:pPr>
              <w:pStyle w:val="ListParagraph"/>
              <w:numPr>
                <w:ilvl w:val="0"/>
                <w:numId w:val="2"/>
              </w:numPr>
              <w:spacing w:after="80" w:before="60"/>
            </w:pPr>
            <w:r>
              <w:rPr>
                <w:rFonts w:ascii="Calibri" w:cs="Calibri" w:eastAsia="Calibri" w:hAnsi="Calibri"/>
                <w:color w:val="1A1A2E"/>
                <w:sz w:val="22"/>
                <w:szCs w:val="22"/>
              </w:rPr>
              <w:t xml:space="preserve">Write one paragraph of overall judgement: would this pilot study withstand doctoral scrutiny?</w:t>
            </w:r>
          </w:p>
          <w:p>
            <w:pPr>
              <w:pStyle w:val="ListParagraph"/>
              <w:numPr>
                <w:ilvl w:val="0"/>
                <w:numId w:val="2"/>
              </w:numPr>
              <w:spacing w:after="80" w:before="60"/>
            </w:pPr>
            <w:r>
              <w:rPr>
                <w:rFonts w:ascii="Calibri" w:cs="Calibri" w:eastAsia="Calibri" w:hAnsi="Calibri"/>
                <w:color w:val="1A1A2E"/>
                <w:sz w:val="22"/>
                <w:szCs w:val="22"/>
              </w:rPr>
              <w:t xml:space="preserve">Swap your completed audit with a peer. Discuss where you agree and where you differ. What does any disagreement tell you about the role of judgement in quality assessment?</w:t>
            </w:r>
          </w:p>
        </w:tc>
      </w:tr>
    </w:tbl>
    <w:p>
      <w:pPr>
        <w:spacing w:after="120" w:before="0"/>
      </w:pPr>
      <w:r>
        <w:rPr>
          <w:rFonts w:ascii="Calibri" w:cs="Calibri" w:eastAsia="Calibri" w:hAnsi="Calibri"/>
          <w:color w:val="1A1A2E"/>
          <w:sz w:val="22"/>
          <w:szCs w:val="22"/>
        </w:rPr>
        <w:t xml:space="preserve"/>
      </w:r>
    </w:p>
    <w:p>
      <w:pPr>
        <w:pStyle w:val="Heading2"/>
        <w:spacing w:after="120" w:before="240"/>
      </w:pPr>
      <w:r>
        <w:rPr>
          <w:rFonts w:ascii="Cambria" w:cs="Cambria" w:eastAsia="Cambria" w:hAnsi="Cambria"/>
          <w:b/>
          <w:bCs/>
          <w:color w:val="007C8A"/>
          <w:sz w:val="26"/>
          <w:szCs w:val="26"/>
        </w:rPr>
        <w:t xml:space="preserve">Your Quality Audit — Marcus’s Pilot Study</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00"/>
        <w:gridCol w:w="1400"/>
        <w:gridCol w:w="5426"/>
      </w:tblGrid>
      <w:tr>
        <w:tc>
          <w:tcPr>
            <w:tcW w:type="dxa" w:w="2200"/>
            <w:tcBorders>
              <w:top w:val="single" w:color="CCCCCC" w:sz="1"/>
              <w:left w:val="single" w:color="CCCCCC" w:sz="1"/>
              <w:bottom w:val="single" w:color="CCCCCC" w:sz="1"/>
              <w:right w:val="single" w:color="CCCCCC" w:sz="1"/>
            </w:tcBorders>
            <w:shd w:fill="004B55"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Criterion</w:t>
            </w:r>
          </w:p>
        </w:tc>
        <w:tc>
          <w:tcPr>
            <w:tcW w:type="dxa" w:w="1400"/>
            <w:tcBorders>
              <w:top w:val="single" w:color="CCCCCC" w:sz="1"/>
              <w:left w:val="single" w:color="CCCCCC" w:sz="1"/>
              <w:bottom w:val="single" w:color="CCCCCC" w:sz="1"/>
              <w:right w:val="single" w:color="CCCCCC" w:sz="1"/>
            </w:tcBorders>
            <w:shd w:fill="004B55"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RAG</w:t>
            </w:r>
          </w:p>
        </w:tc>
        <w:tc>
          <w:tcPr>
            <w:tcW w:type="dxa" w:w="5426"/>
            <w:tcBorders>
              <w:top w:val="single" w:color="CCCCCC" w:sz="1"/>
              <w:left w:val="single" w:color="CCCCCC" w:sz="1"/>
              <w:bottom w:val="single" w:color="CCCCCC" w:sz="1"/>
              <w:right w:val="single" w:color="CCCCCC" w:sz="1"/>
            </w:tcBorders>
            <w:shd w:fill="004B55"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Justification (one sentence)</w:t>
            </w:r>
          </w:p>
        </w:tc>
      </w:tr>
      <w:tr>
        <w:tc>
          <w:tcPr>
            <w:tcW w:type="dxa" w:w="2200"/>
            <w:tcBorders>
              <w:top w:val="single" w:color="CCCCCC" w:sz="1"/>
              <w:left w:val="single" w:color="CCCCCC" w:sz="1"/>
              <w:bottom w:val="single" w:color="CCCCCC" w:sz="1"/>
              <w:right w:val="single" w:color="CCCCCC" w:sz="1"/>
            </w:tcBorders>
            <w:shd w:fill="F0F4F4" w:val="clear"/>
            <w:tcMar>
              <w:top w:type="dxa" w:w="80"/>
              <w:left w:type="dxa" w:w="120"/>
              <w:bottom w:type="dxa" w:w="80"/>
              <w:right w:type="dxa" w:w="120"/>
            </w:tcMar>
          </w:tcPr>
          <w:p>
            <w:pPr>
              <w:spacing w:after="0" w:before="0"/>
            </w:pPr>
            <w:r>
              <w:rPr>
                <w:rFonts w:ascii="Calibri" w:cs="Calibri" w:eastAsia="Calibri" w:hAnsi="Calibri"/>
                <w:b/>
                <w:bCs/>
                <w:color w:val="1A1A2E"/>
                <w:sz w:val="22"/>
                <w:szCs w:val="22"/>
              </w:rPr>
              <w:t xml:space="preserve">Credibility</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40" w:before="0"/>
            </w:pPr>
            <w:r>
              <w:rPr>
                <w:rFonts w:ascii="Calibri" w:cs="Calibri" w:eastAsia="Calibri" w:hAnsi="Calibri"/>
                <w:color w:val="1A1A2E"/>
                <w:sz w:val="22"/>
                <w:szCs w:val="22"/>
              </w:rPr>
              <w:t xml:space="preserve"> </w:t>
            </w:r>
          </w:p>
          <w:p>
            <w:pPr>
              <w:spacing w:after="0" w:before="0"/>
            </w:pPr>
            <w:r>
              <w:rPr>
                <w:rFonts w:ascii="Calibri" w:cs="Calibri" w:eastAsia="Calibri" w:hAnsi="Calibri"/>
                <w:color w:val="1A1A2E"/>
                <w:sz w:val="22"/>
                <w:szCs w:val="22"/>
              </w:rPr>
              <w:t xml:space="preserve"> </w:t>
            </w:r>
          </w:p>
        </w:tc>
        <w:tc>
          <w:tcPr>
            <w:tcW w:type="dxa" w:w="54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tc>
      </w:tr>
      <w:tr>
        <w:tc>
          <w:tcPr>
            <w:tcW w:type="dxa" w:w="2200"/>
            <w:tcBorders>
              <w:top w:val="single" w:color="CCCCCC" w:sz="1"/>
              <w:left w:val="single" w:color="CCCCCC" w:sz="1"/>
              <w:bottom w:val="single" w:color="CCCCCC" w:sz="1"/>
              <w:right w:val="single" w:color="CCCCCC" w:sz="1"/>
            </w:tcBorders>
            <w:shd w:fill="F0F4F4" w:val="clear"/>
            <w:tcMar>
              <w:top w:type="dxa" w:w="80"/>
              <w:left w:type="dxa" w:w="120"/>
              <w:bottom w:type="dxa" w:w="80"/>
              <w:right w:type="dxa" w:w="120"/>
            </w:tcMar>
          </w:tcPr>
          <w:p>
            <w:pPr>
              <w:spacing w:after="0" w:before="0"/>
            </w:pPr>
            <w:r>
              <w:rPr>
                <w:rFonts w:ascii="Calibri" w:cs="Calibri" w:eastAsia="Calibri" w:hAnsi="Calibri"/>
                <w:b/>
                <w:bCs/>
                <w:color w:val="1A1A2E"/>
                <w:sz w:val="22"/>
                <w:szCs w:val="22"/>
              </w:rPr>
              <w:t xml:space="preserve">Transferability</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40" w:before="0"/>
            </w:pPr>
            <w:r>
              <w:rPr>
                <w:rFonts w:ascii="Calibri" w:cs="Calibri" w:eastAsia="Calibri" w:hAnsi="Calibri"/>
                <w:color w:val="1A1A2E"/>
                <w:sz w:val="22"/>
                <w:szCs w:val="22"/>
              </w:rPr>
              <w:t xml:space="preserve"> </w:t>
            </w:r>
          </w:p>
          <w:p>
            <w:pPr>
              <w:spacing w:after="0" w:before="0"/>
            </w:pPr>
            <w:r>
              <w:rPr>
                <w:rFonts w:ascii="Calibri" w:cs="Calibri" w:eastAsia="Calibri" w:hAnsi="Calibri"/>
                <w:color w:val="1A1A2E"/>
                <w:sz w:val="22"/>
                <w:szCs w:val="22"/>
              </w:rPr>
              <w:t xml:space="preserve"> </w:t>
            </w:r>
          </w:p>
        </w:tc>
        <w:tc>
          <w:tcPr>
            <w:tcW w:type="dxa" w:w="54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tc>
      </w:tr>
      <w:tr>
        <w:tc>
          <w:tcPr>
            <w:tcW w:type="dxa" w:w="2200"/>
            <w:tcBorders>
              <w:top w:val="single" w:color="CCCCCC" w:sz="1"/>
              <w:left w:val="single" w:color="CCCCCC" w:sz="1"/>
              <w:bottom w:val="single" w:color="CCCCCC" w:sz="1"/>
              <w:right w:val="single" w:color="CCCCCC" w:sz="1"/>
            </w:tcBorders>
            <w:shd w:fill="F0F4F4" w:val="clear"/>
            <w:tcMar>
              <w:top w:type="dxa" w:w="80"/>
              <w:left w:type="dxa" w:w="120"/>
              <w:bottom w:type="dxa" w:w="80"/>
              <w:right w:type="dxa" w:w="120"/>
            </w:tcMar>
          </w:tcPr>
          <w:p>
            <w:pPr>
              <w:spacing w:after="0" w:before="0"/>
            </w:pPr>
            <w:r>
              <w:rPr>
                <w:rFonts w:ascii="Calibri" w:cs="Calibri" w:eastAsia="Calibri" w:hAnsi="Calibri"/>
                <w:b/>
                <w:bCs/>
                <w:color w:val="1A1A2E"/>
                <w:sz w:val="22"/>
                <w:szCs w:val="22"/>
              </w:rPr>
              <w:t xml:space="preserve">Dependability</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40" w:before="0"/>
            </w:pPr>
            <w:r>
              <w:rPr>
                <w:rFonts w:ascii="Calibri" w:cs="Calibri" w:eastAsia="Calibri" w:hAnsi="Calibri"/>
                <w:color w:val="1A1A2E"/>
                <w:sz w:val="22"/>
                <w:szCs w:val="22"/>
              </w:rPr>
              <w:t xml:space="preserve"> </w:t>
            </w:r>
          </w:p>
          <w:p>
            <w:pPr>
              <w:spacing w:after="0" w:before="0"/>
            </w:pPr>
            <w:r>
              <w:rPr>
                <w:rFonts w:ascii="Calibri" w:cs="Calibri" w:eastAsia="Calibri" w:hAnsi="Calibri"/>
                <w:color w:val="1A1A2E"/>
                <w:sz w:val="22"/>
                <w:szCs w:val="22"/>
              </w:rPr>
              <w:t xml:space="preserve"> </w:t>
            </w:r>
          </w:p>
        </w:tc>
        <w:tc>
          <w:tcPr>
            <w:tcW w:type="dxa" w:w="54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tc>
      </w:tr>
      <w:tr>
        <w:tc>
          <w:tcPr>
            <w:tcW w:type="dxa" w:w="2200"/>
            <w:tcBorders>
              <w:top w:val="single" w:color="CCCCCC" w:sz="1"/>
              <w:left w:val="single" w:color="CCCCCC" w:sz="1"/>
              <w:bottom w:val="single" w:color="CCCCCC" w:sz="1"/>
              <w:right w:val="single" w:color="CCCCCC" w:sz="1"/>
            </w:tcBorders>
            <w:shd w:fill="F0F4F4" w:val="clear"/>
            <w:tcMar>
              <w:top w:type="dxa" w:w="80"/>
              <w:left w:type="dxa" w:w="120"/>
              <w:bottom w:type="dxa" w:w="80"/>
              <w:right w:type="dxa" w:w="120"/>
            </w:tcMar>
          </w:tcPr>
          <w:p>
            <w:pPr>
              <w:spacing w:after="0" w:before="0"/>
            </w:pPr>
            <w:r>
              <w:rPr>
                <w:rFonts w:ascii="Calibri" w:cs="Calibri" w:eastAsia="Calibri" w:hAnsi="Calibri"/>
                <w:b/>
                <w:bCs/>
                <w:color w:val="1A1A2E"/>
                <w:sz w:val="22"/>
                <w:szCs w:val="22"/>
              </w:rPr>
              <w:t xml:space="preserve">Confirmability</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40" w:before="0"/>
            </w:pPr>
            <w:r>
              <w:rPr>
                <w:rFonts w:ascii="Calibri" w:cs="Calibri" w:eastAsia="Calibri" w:hAnsi="Calibri"/>
                <w:color w:val="1A1A2E"/>
                <w:sz w:val="22"/>
                <w:szCs w:val="22"/>
              </w:rPr>
              <w:t xml:space="preserve"> </w:t>
            </w:r>
          </w:p>
          <w:p>
            <w:pPr>
              <w:spacing w:after="0" w:before="0"/>
            </w:pPr>
            <w:r>
              <w:rPr>
                <w:rFonts w:ascii="Calibri" w:cs="Calibri" w:eastAsia="Calibri" w:hAnsi="Calibri"/>
                <w:color w:val="1A1A2E"/>
                <w:sz w:val="22"/>
                <w:szCs w:val="22"/>
              </w:rPr>
              <w:t xml:space="preserve"> </w:t>
            </w:r>
          </w:p>
        </w:tc>
        <w:tc>
          <w:tcPr>
            <w:tcW w:type="dxa" w:w="54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p>
            <w:pPr>
              <w:pBdr>
                <w:bottom w:val="single" w:color="DDDDDD" w:sz="3"/>
              </w:pBdr>
              <w:spacing w:after="6" w:before="0"/>
            </w:pPr>
            <w:r>
              <w:rPr>
                <w:rFonts w:ascii="Calibri" w:cs="Calibri" w:eastAsia="Calibri" w:hAnsi="Calibri"/>
                <w:color w:val="1A1A2E"/>
                <w:sz w:val="22"/>
                <w:szCs w:val="22"/>
              </w:rPr>
              <w:t xml:space="preserve"> </w:t>
            </w:r>
          </w:p>
        </w:tc>
      </w:tr>
    </w:tbl>
    <w:p>
      <w:pPr>
        <w:spacing w:after="120" w:before="0"/>
      </w:pPr>
      <w:r>
        <w:rPr>
          <w:rFonts w:ascii="Calibri" w:cs="Calibri" w:eastAsia="Calibri" w:hAnsi="Calibri"/>
          <w:color w:val="1A1A2E"/>
          <w:sz w:val="22"/>
          <w:szCs w:val="22"/>
        </w:rPr>
        <w:t xml:space="preserve"/>
      </w:r>
    </w:p>
    <w:p>
      <w:pPr>
        <w:spacing w:after="120" w:before="60"/>
      </w:pPr>
      <w:r>
        <w:rPr>
          <w:rFonts w:ascii="Calibri" w:cs="Calibri" w:eastAsia="Calibri" w:hAnsi="Calibri"/>
          <w:b/>
          <w:bCs/>
          <w:color w:val="004B55"/>
          <w:sz w:val="22"/>
          <w:szCs w:val="22"/>
        </w:rPr>
        <w:t xml:space="preserve">Most important single improvement Marcus must make:</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spacing w:after="120" w:before="0"/>
      </w:pPr>
      <w:r>
        <w:rPr>
          <w:rFonts w:ascii="Calibri" w:cs="Calibri" w:eastAsia="Calibri" w:hAnsi="Calibri"/>
          <w:color w:val="1A1A2E"/>
          <w:sz w:val="22"/>
          <w:szCs w:val="22"/>
        </w:rPr>
        <w:t xml:space="preserve"/>
      </w:r>
    </w:p>
    <w:p>
      <w:pPr>
        <w:spacing w:after="120" w:before="60"/>
      </w:pPr>
      <w:r>
        <w:rPr>
          <w:rFonts w:ascii="Calibri" w:cs="Calibri" w:eastAsia="Calibri" w:hAnsi="Calibri"/>
          <w:b/>
          <w:bCs/>
          <w:color w:val="004B55"/>
          <w:sz w:val="22"/>
          <w:szCs w:val="22"/>
        </w:rPr>
        <w:t xml:space="preserve">Overall judgement (one paragraph — would this pilot study withstand doctoral scrutiny?):</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60"/>
      <w:outlineLvl w:val="0"/>
    </w:pPr>
    <w:rPr>
      <w:rFonts w:ascii="Cambria" w:cs="Cambria" w:eastAsia="Cambria" w:hAnsi="Cambria"/>
      <w:b/>
      <w:bCs/>
      <w:color w:val="004B55"/>
      <w:sz w:val="34"/>
      <w:szCs w:val="34"/>
    </w:rPr>
  </w:style>
  <w:style w:type="paragraph" w:styleId="Heading2">
    <w:name w:val="Heading 2"/>
    <w:basedOn w:val="Normal"/>
    <w:next w:val="Normal"/>
    <w:qFormat/>
    <w:pPr>
      <w:spacing w:after="120" w:before="240"/>
      <w:outlineLvl w:val="1"/>
    </w:pPr>
    <w:rPr>
      <w:rFonts w:ascii="Cambria" w:cs="Cambria" w:eastAsia="Cambria" w:hAnsi="Cambria"/>
      <w:b/>
      <w:bCs/>
      <w:color w:val="007C8A"/>
      <w:sz w:val="26"/>
      <w:szCs w:val="26"/>
    </w:rPr>
  </w:style>
  <w:style w:type="paragraph" w:styleId="Heading3">
    <w:name w:val="Heading 3"/>
    <w:basedOn w:val="Normal"/>
    <w:next w:val="Normal"/>
    <w:qFormat/>
    <w:pPr>
      <w:spacing w:after="80" w:before="180"/>
      <w:outlineLvl w:val="2"/>
    </w:pPr>
    <w:rPr>
      <w:rFonts w:ascii="Calibri" w:cs="Calibri" w:eastAsia="Calibri" w:hAnsi="Calibri"/>
      <w:b/>
      <w:bCs/>
      <w:color w:val="1A1A2E"/>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2026-03-18T16:48:31.884Z</dcterms:created>
  <dcterms:modified xsi:type="dcterms:W3CDTF">2026-03-18T16:48:31.884Z</dcterms:modified>
</cp:coreProperties>
</file>

<file path=docProps/custom.xml><?xml version="1.0" encoding="utf-8"?>
<Properties xmlns="http://schemas.openxmlformats.org/officeDocument/2006/custom-properties" xmlns:vt="http://schemas.openxmlformats.org/officeDocument/2006/docPropsVTypes"/>
</file>