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b/>
          <w:bCs/>
          <w:sz w:val="36"/>
          <w:szCs w:val="36"/>
          <w:u w:val="single"/>
          <w:lang w:val="en-GB"/>
        </w:rPr>
      </w:pPr>
      <w:r>
        <w:rPr>
          <w:b/>
          <w:bCs/>
          <w:sz w:val="36"/>
          <w:szCs w:val="36"/>
          <w:u w:val="single"/>
          <w:lang w:val="en-GB"/>
        </w:rPr>
        <w:t>Reading the Bones: Interpreting Skeletal Evidence for Women</w:t>
      </w:r>
      <w:r>
        <w:rPr>
          <w:rFonts w:hint="default"/>
          <w:b/>
          <w:bCs/>
          <w:sz w:val="36"/>
          <w:szCs w:val="36"/>
          <w:u w:val="single"/>
          <w:lang w:val="en-GB"/>
        </w:rPr>
        <w:t>’s Lives in Ancient Greece.</w:t>
      </w:r>
    </w:p>
    <w:p>
      <w:pPr>
        <w:rPr>
          <w:rFonts w:hint="default"/>
          <w:b/>
          <w:bCs/>
          <w:sz w:val="36"/>
          <w:szCs w:val="36"/>
          <w:u w:val="single"/>
          <w:lang w:val="en-GB"/>
        </w:rPr>
      </w:pPr>
    </w:p>
    <w:p>
      <w:pPr>
        <w:rPr>
          <w:rFonts w:hint="default"/>
          <w:b w:val="0"/>
          <w:bCs w:val="0"/>
          <w:sz w:val="36"/>
          <w:szCs w:val="36"/>
          <w:u w:val="none"/>
          <w:lang w:val="en-GB"/>
        </w:rPr>
      </w:pPr>
    </w:p>
    <w:p>
      <w:pPr>
        <w:rPr>
          <w:rFonts w:hint="default"/>
          <w:b w:val="0"/>
          <w:bCs w:val="0"/>
          <w:sz w:val="28"/>
          <w:szCs w:val="28"/>
          <w:u w:val="none"/>
          <w:lang w:val="en-GB"/>
        </w:rPr>
      </w:pPr>
      <w:r>
        <w:rPr>
          <w:rFonts w:hint="default"/>
          <w:b w:val="0"/>
          <w:bCs w:val="0"/>
          <w:sz w:val="28"/>
          <w:szCs w:val="28"/>
          <w:u w:val="none"/>
          <w:lang w:val="en-GB"/>
        </w:rPr>
        <w:t xml:space="preserve">I will be reviewing an article about Interpreting bones which will help us understand the lives of women in Ancient Greece. The article is written by Maria A. Liston. </w:t>
      </w:r>
      <w:r>
        <w:rPr>
          <w:rFonts w:hint="default"/>
          <w:b w:val="0"/>
          <w:bCs w:val="0"/>
          <w:sz w:val="28"/>
          <w:szCs w:val="28"/>
          <w:u w:val="none"/>
          <w:lang w:val="en-GB"/>
        </w:rPr>
        <w:t>Maria says “she assumes the readers of this article will not have any specialized knowledge”</w:t>
      </w:r>
      <w:r>
        <w:rPr>
          <w:rStyle w:val="4"/>
          <w:rFonts w:hint="default"/>
          <w:b w:val="0"/>
          <w:bCs w:val="0"/>
          <w:sz w:val="28"/>
          <w:szCs w:val="28"/>
          <w:u w:val="none"/>
          <w:lang w:val="en-GB"/>
        </w:rPr>
        <w:footnoteReference w:id="0"/>
      </w:r>
      <w:r>
        <w:rPr>
          <w:rFonts w:hint="default"/>
          <w:b w:val="0"/>
          <w:bCs w:val="0"/>
          <w:sz w:val="28"/>
          <w:szCs w:val="28"/>
          <w:u w:val="none"/>
          <w:lang w:val="en-GB"/>
        </w:rPr>
        <w:t xml:space="preserve"> of skeletal evidence however, she then goes on to use specialized words. For example she uses words like “osteological”, “ dimorphism” and “mortuary” which are terms that a person with limited knowledge of skeletal evidence will not understand and will have to search them up. In general most of the words she uses are easily followed and understandable.</w:t>
      </w:r>
      <w:r>
        <w:rPr>
          <w:rFonts w:hint="default"/>
          <w:b w:val="0"/>
          <w:bCs w:val="0"/>
          <w:sz w:val="28"/>
          <w:szCs w:val="28"/>
          <w:u w:val="none"/>
          <w:lang w:val="en-GB"/>
        </w:rPr>
        <w:t>Maria A.Liston says her “goal is to encourage archaeologists and historians to use biocultural data and for them to be able to critically evaluate the data.”</w:t>
      </w:r>
      <w:r>
        <w:rPr>
          <w:rStyle w:val="4"/>
          <w:rFonts w:hint="default"/>
          <w:b w:val="0"/>
          <w:bCs w:val="0"/>
          <w:sz w:val="28"/>
          <w:szCs w:val="28"/>
          <w:u w:val="none"/>
          <w:lang w:val="en-GB"/>
        </w:rPr>
        <w:footnoteReference w:id="1"/>
      </w:r>
      <w:r>
        <w:rPr>
          <w:rFonts w:hint="default"/>
          <w:b w:val="0"/>
          <w:bCs w:val="0"/>
          <w:sz w:val="28"/>
          <w:szCs w:val="28"/>
          <w:u w:val="none"/>
          <w:lang w:val="en-GB"/>
        </w:rPr>
        <w:t xml:space="preserve"> Archaeologist and historians who start using biocultural data will potentially help the understanding of the ancient world. We learn from Maria that skeletal studies help us “indirectly and directly”</w:t>
      </w:r>
      <w:r>
        <w:rPr>
          <w:rStyle w:val="4"/>
          <w:rFonts w:hint="default"/>
          <w:b w:val="0"/>
          <w:bCs w:val="0"/>
          <w:sz w:val="28"/>
          <w:szCs w:val="28"/>
          <w:u w:val="none"/>
          <w:lang w:val="en-GB"/>
        </w:rPr>
        <w:footnoteReference w:id="2"/>
      </w:r>
      <w:r>
        <w:rPr>
          <w:rFonts w:hint="default"/>
          <w:b w:val="0"/>
          <w:bCs w:val="0"/>
          <w:sz w:val="28"/>
          <w:szCs w:val="28"/>
          <w:u w:val="none"/>
          <w:lang w:val="en-GB"/>
        </w:rPr>
        <w:t>. She says that it help indirectly as it “identifies the recipient of the tome and grave goods”</w:t>
      </w:r>
      <w:r>
        <w:rPr>
          <w:rStyle w:val="4"/>
          <w:rFonts w:hint="default"/>
          <w:b w:val="0"/>
          <w:bCs w:val="0"/>
          <w:sz w:val="28"/>
          <w:szCs w:val="28"/>
          <w:u w:val="none"/>
          <w:lang w:val="en-GB"/>
        </w:rPr>
        <w:footnoteReference w:id="3"/>
      </w:r>
      <w:r>
        <w:rPr>
          <w:rFonts w:hint="default"/>
          <w:b w:val="0"/>
          <w:bCs w:val="0"/>
          <w:sz w:val="28"/>
          <w:szCs w:val="28"/>
          <w:u w:val="none"/>
          <w:lang w:val="en-GB"/>
        </w:rPr>
        <w:t xml:space="preserve"> and she tells us it helps directly because it “provides information about the growth, lifespan, health, disease, injury and the activities of the people at a site”</w:t>
      </w:r>
      <w:r>
        <w:rPr>
          <w:rStyle w:val="4"/>
          <w:rFonts w:hint="default"/>
          <w:b w:val="0"/>
          <w:bCs w:val="0"/>
          <w:sz w:val="28"/>
          <w:szCs w:val="28"/>
          <w:u w:val="none"/>
          <w:lang w:val="en-GB"/>
        </w:rPr>
        <w:footnoteReference w:id="4"/>
      </w:r>
      <w:r>
        <w:rPr>
          <w:rFonts w:hint="default"/>
          <w:b w:val="0"/>
          <w:bCs w:val="0"/>
          <w:sz w:val="28"/>
          <w:szCs w:val="28"/>
          <w:u w:val="none"/>
          <w:lang w:val="en-GB"/>
        </w:rPr>
        <w:t>. She tells us “Using artefact types and tomb size to assign age and sex to the deceased frequently results in misidentification”</w:t>
      </w:r>
      <w:r>
        <w:rPr>
          <w:rStyle w:val="4"/>
          <w:rFonts w:hint="default"/>
          <w:b w:val="0"/>
          <w:bCs w:val="0"/>
          <w:sz w:val="28"/>
          <w:szCs w:val="28"/>
          <w:u w:val="none"/>
          <w:lang w:val="en-GB"/>
        </w:rPr>
        <w:footnoteReference w:id="5"/>
      </w:r>
      <w:r>
        <w:rPr>
          <w:rFonts w:hint="default"/>
          <w:b w:val="0"/>
          <w:bCs w:val="0"/>
          <w:sz w:val="28"/>
          <w:szCs w:val="28"/>
          <w:u w:val="none"/>
          <w:lang w:val="en-GB"/>
        </w:rPr>
        <w:t>.Maria says “while there has been a number of recent attempts to develop methodologies for accurately determining sex of non-adult skeletons, only adults can be sexed with confidence.”</w:t>
      </w:r>
      <w:r>
        <w:rPr>
          <w:rStyle w:val="4"/>
          <w:rFonts w:hint="default"/>
          <w:b w:val="0"/>
          <w:bCs w:val="0"/>
          <w:sz w:val="28"/>
          <w:szCs w:val="28"/>
          <w:u w:val="none"/>
          <w:lang w:val="en-GB"/>
        </w:rPr>
        <w:footnoteReference w:id="6"/>
      </w:r>
      <w:r>
        <w:rPr>
          <w:rFonts w:hint="default"/>
          <w:b w:val="0"/>
          <w:bCs w:val="0"/>
          <w:sz w:val="28"/>
          <w:szCs w:val="28"/>
          <w:u w:val="none"/>
          <w:lang w:val="en-GB"/>
        </w:rPr>
        <w:t xml:space="preserve"> She says “two areas of the skeleton, the skulls and the pelvis, preserve evidence for reliably distinct sex differences.”</w:t>
      </w:r>
      <w:r>
        <w:rPr>
          <w:rStyle w:val="4"/>
          <w:rFonts w:hint="default"/>
          <w:b w:val="0"/>
          <w:bCs w:val="0"/>
          <w:sz w:val="28"/>
          <w:szCs w:val="28"/>
          <w:u w:val="none"/>
          <w:lang w:val="en-GB"/>
        </w:rPr>
        <w:footnoteReference w:id="7"/>
      </w:r>
      <w:r>
        <w:rPr>
          <w:rFonts w:hint="default"/>
          <w:b w:val="0"/>
          <w:bCs w:val="0"/>
          <w:sz w:val="28"/>
          <w:szCs w:val="28"/>
          <w:u w:val="none"/>
          <w:lang w:val="en-GB"/>
        </w:rPr>
        <w:t>. Maria backs up this point well by saying “the biological necessity of giving birth to infants with large human brains has produced strong natural selection in favour of wide pelvises in women.</w:t>
      </w:r>
      <w:r>
        <w:rPr>
          <w:rStyle w:val="4"/>
          <w:rFonts w:hint="default"/>
          <w:b w:val="0"/>
          <w:bCs w:val="0"/>
          <w:sz w:val="28"/>
          <w:szCs w:val="28"/>
          <w:u w:val="none"/>
          <w:lang w:val="en-GB"/>
        </w:rPr>
        <w:footnoteReference w:id="8"/>
      </w:r>
      <w:r>
        <w:rPr>
          <w:rFonts w:hint="default"/>
          <w:b w:val="0"/>
          <w:bCs w:val="0"/>
          <w:sz w:val="28"/>
          <w:szCs w:val="28"/>
          <w:u w:val="none"/>
          <w:lang w:val="en-GB"/>
        </w:rPr>
        <w:t>”This shows that her arguments are well supported. With all the points I wrote down Maria always uses other authors to help back up her points which makes her argument more valid. Maria also provides labelled picture of bones in her article which helps the readers understand her points better as it gives a visual outlook on her points. For example Maria says the “age in adults is primarily evaluated by examining the surfaces of two major joints in the pelvis; the pubic symphysis and the auricular surface.”</w:t>
      </w:r>
      <w:r>
        <w:rPr>
          <w:rStyle w:val="4"/>
          <w:rFonts w:hint="default"/>
          <w:b w:val="0"/>
          <w:bCs w:val="0"/>
          <w:sz w:val="28"/>
          <w:szCs w:val="28"/>
          <w:u w:val="none"/>
          <w:lang w:val="en-GB"/>
        </w:rPr>
        <w:footnoteReference w:id="9"/>
      </w:r>
      <w:r>
        <w:rPr>
          <w:rFonts w:hint="default"/>
          <w:b w:val="0"/>
          <w:bCs w:val="0"/>
          <w:sz w:val="28"/>
          <w:szCs w:val="28"/>
          <w:u w:val="none"/>
          <w:lang w:val="en-GB"/>
        </w:rPr>
        <w:t xml:space="preserve"> which she then adds a picture of a female pelvis which has the two joints that you need to look at labelled on it. Maria’s article is clearly set out which heading for every topic she is talking about which means it is really easy to follow and understand when she is on about the next topic. This also allows you to easily go back and find a specific topic she wrote about if you wanted to use her work in an assignment or paper of your own. Maria also added a further reading section in her article which is good as if someone wanted to find out more information on the topic of interpreting skeletal evidence then there is more books they could go and get at the end of her article.</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 xml:space="preserve">Overall the article is generally easy to follow with some specialised words that a beginner may not understand. She also portrays her point well and uses other authors to help back her points. </w:t>
      </w: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Bibliography:</w:t>
      </w:r>
    </w:p>
    <w:p>
      <w:pPr>
        <w:rPr>
          <w:rFonts w:hint="default"/>
          <w:b w:val="0"/>
          <w:bCs w:val="0"/>
          <w:sz w:val="28"/>
          <w:szCs w:val="28"/>
          <w:u w:val="none"/>
          <w:lang w:val="en-GB"/>
        </w:rPr>
      </w:pPr>
    </w:p>
    <w:p>
      <w:pPr>
        <w:rPr>
          <w:rFonts w:hint="default"/>
          <w:b w:val="0"/>
          <w:bCs w:val="0"/>
          <w:sz w:val="28"/>
          <w:szCs w:val="28"/>
          <w:u w:val="none"/>
          <w:lang w:val="en-GB"/>
        </w:rPr>
      </w:pPr>
      <w:r>
        <w:rPr>
          <w:rFonts w:hint="default"/>
          <w:b w:val="0"/>
          <w:bCs w:val="0"/>
          <w:sz w:val="28"/>
          <w:szCs w:val="28"/>
          <w:u w:val="none"/>
          <w:lang w:val="en-GB"/>
        </w:rPr>
        <w:t>1. Liston. M. A 2015. Reading the bones: interpreting the skeletal evidence for woman’s lives in Ancient Greece, S. L James and S Dillon. A companion to women in the ancient world. John Wiley &amp;Sons, LTD, 125-140.</w:t>
      </w:r>
      <w:bookmarkStart w:id="0" w:name="_GoBack"/>
      <w:bookmarkEnd w:id="0"/>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id="0">
    <w:p>
      <w:pPr>
        <w:pStyle w:val="2"/>
        <w:snapToGrid w:val="0"/>
      </w:pPr>
      <w:r>
        <w:rPr>
          <w:rStyle w:val="4"/>
        </w:rPr>
        <w:footnoteRef/>
      </w:r>
      <w:r>
        <w:t xml:space="preserve"> </w:t>
      </w:r>
      <w:r>
        <w:rPr>
          <w:lang w:val="en-GB"/>
        </w:rPr>
        <w:t>Liston 2015: 125</w:t>
      </w:r>
    </w:p>
  </w:footnote>
  <w:footnote w:id="1">
    <w:p>
      <w:pPr>
        <w:pStyle w:val="2"/>
        <w:snapToGrid w:val="0"/>
      </w:pPr>
      <w:r>
        <w:rPr>
          <w:rStyle w:val="4"/>
        </w:rPr>
        <w:footnoteRef/>
      </w:r>
      <w:r>
        <w:t xml:space="preserve"> </w:t>
      </w:r>
      <w:r>
        <w:rPr>
          <w:lang w:val="en-GB"/>
        </w:rPr>
        <w:t>Liston 2015:125</w:t>
      </w:r>
    </w:p>
  </w:footnote>
  <w:footnote w:id="2">
    <w:p>
      <w:pPr>
        <w:pStyle w:val="2"/>
        <w:snapToGrid w:val="0"/>
      </w:pPr>
      <w:r>
        <w:rPr>
          <w:rStyle w:val="4"/>
        </w:rPr>
        <w:footnoteRef/>
      </w:r>
      <w:r>
        <w:t xml:space="preserve"> </w:t>
      </w:r>
      <w:r>
        <w:rPr>
          <w:lang w:val="en-GB"/>
        </w:rPr>
        <w:t>Liston 2015:126</w:t>
      </w:r>
    </w:p>
  </w:footnote>
  <w:footnote w:id="3">
    <w:p>
      <w:pPr>
        <w:pStyle w:val="2"/>
        <w:snapToGrid w:val="0"/>
      </w:pPr>
      <w:r>
        <w:rPr>
          <w:rStyle w:val="4"/>
        </w:rPr>
        <w:footnoteRef/>
      </w:r>
      <w:r>
        <w:t xml:space="preserve"> </w:t>
      </w:r>
      <w:r>
        <w:rPr>
          <w:lang w:val="en-GB"/>
        </w:rPr>
        <w:t>Liston 2015:126</w:t>
      </w:r>
    </w:p>
  </w:footnote>
  <w:footnote w:id="4">
    <w:p>
      <w:pPr>
        <w:pStyle w:val="2"/>
        <w:snapToGrid w:val="0"/>
      </w:pPr>
      <w:r>
        <w:rPr>
          <w:rStyle w:val="4"/>
        </w:rPr>
        <w:footnoteRef/>
      </w:r>
      <w:r>
        <w:t xml:space="preserve"> </w:t>
      </w:r>
      <w:r>
        <w:rPr>
          <w:lang w:val="en-GB"/>
        </w:rPr>
        <w:t>Liston 2015:126</w:t>
      </w:r>
    </w:p>
  </w:footnote>
  <w:footnote w:id="5">
    <w:p>
      <w:pPr>
        <w:pStyle w:val="2"/>
        <w:snapToGrid w:val="0"/>
      </w:pPr>
      <w:r>
        <w:rPr>
          <w:rStyle w:val="4"/>
        </w:rPr>
        <w:footnoteRef/>
      </w:r>
      <w:r>
        <w:t xml:space="preserve"> </w:t>
      </w:r>
      <w:r>
        <w:rPr>
          <w:lang w:val="en-GB"/>
        </w:rPr>
        <w:t>Liston 2015:126</w:t>
      </w:r>
    </w:p>
  </w:footnote>
  <w:footnote w:id="6">
    <w:p>
      <w:pPr>
        <w:pStyle w:val="2"/>
        <w:snapToGrid w:val="0"/>
      </w:pPr>
      <w:r>
        <w:rPr>
          <w:rStyle w:val="4"/>
        </w:rPr>
        <w:footnoteRef/>
      </w:r>
      <w:r>
        <w:t xml:space="preserve"> </w:t>
      </w:r>
      <w:r>
        <w:rPr>
          <w:lang w:val="en-GB"/>
        </w:rPr>
        <w:t>Liston 2015:128</w:t>
      </w:r>
    </w:p>
  </w:footnote>
  <w:footnote w:id="7">
    <w:p>
      <w:pPr>
        <w:pStyle w:val="2"/>
        <w:snapToGrid w:val="0"/>
      </w:pPr>
      <w:r>
        <w:rPr>
          <w:rStyle w:val="4"/>
        </w:rPr>
        <w:footnoteRef/>
      </w:r>
      <w:r>
        <w:t xml:space="preserve"> </w:t>
      </w:r>
      <w:r>
        <w:rPr>
          <w:lang w:val="en-GB"/>
        </w:rPr>
        <w:t>Liston 2015:128</w:t>
      </w:r>
    </w:p>
  </w:footnote>
  <w:footnote w:id="8">
    <w:p>
      <w:pPr>
        <w:pStyle w:val="2"/>
        <w:snapToGrid w:val="0"/>
      </w:pPr>
      <w:r>
        <w:rPr>
          <w:rStyle w:val="4"/>
        </w:rPr>
        <w:footnoteRef/>
      </w:r>
      <w:r>
        <w:t xml:space="preserve"> </w:t>
      </w:r>
      <w:r>
        <w:rPr>
          <w:lang w:val="en-GB"/>
        </w:rPr>
        <w:t>Liston 2015:128</w:t>
      </w:r>
    </w:p>
  </w:footnote>
  <w:footnote w:id="9">
    <w:p>
      <w:pPr>
        <w:pStyle w:val="2"/>
        <w:snapToGrid w:val="0"/>
      </w:pPr>
      <w:r>
        <w:rPr>
          <w:rStyle w:val="4"/>
        </w:rPr>
        <w:footnoteRef/>
      </w:r>
      <w:r>
        <w:t xml:space="preserve"> </w:t>
      </w:r>
      <w:r>
        <w:rPr>
          <w:lang w:val="en-GB"/>
        </w:rPr>
        <w:t>Liston 2015:129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2915E15"/>
    <w:rsid w:val="0BEE30B9"/>
    <w:rsid w:val="110044B1"/>
    <w:rsid w:val="1D012917"/>
    <w:rsid w:val="22915E15"/>
    <w:rsid w:val="27B12D8F"/>
    <w:rsid w:val="2B3F20C1"/>
    <w:rsid w:val="322C4251"/>
    <w:rsid w:val="6FA53A2B"/>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3">
    <w:name w:val="Default Paragraph Font"/>
    <w:semiHidden/>
    <w:uiPriority w:val="0"/>
  </w:style>
  <w:style w:type="table" w:default="1" w:styleId="5">
    <w:name w:val="Normal Table"/>
    <w:semiHidden/>
    <w:qFormat/>
    <w:uiPriority w:val="0"/>
    <w:tblPr>
      <w:tblLayout w:type="fixed"/>
      <w:tblCellMar>
        <w:top w:w="0" w:type="dxa"/>
        <w:left w:w="108" w:type="dxa"/>
        <w:bottom w:w="0" w:type="dxa"/>
        <w:right w:w="108" w:type="dxa"/>
      </w:tblCellMar>
    </w:tblPr>
  </w:style>
  <w:style w:type="paragraph" w:styleId="2">
    <w:name w:val="footnote text"/>
    <w:basedOn w:val="1"/>
    <w:uiPriority w:val="0"/>
    <w:pPr>
      <w:snapToGrid w:val="0"/>
      <w:jc w:val="left"/>
    </w:pPr>
    <w:rPr>
      <w:sz w:val="18"/>
      <w:szCs w:val="18"/>
    </w:rPr>
  </w:style>
  <w:style w:type="character" w:styleId="4">
    <w:name w:val="footnote reference"/>
    <w:basedOn w:val="3"/>
    <w:uiPriority w:val="0"/>
    <w:rPr>
      <w:vertAlign w:val="superscript"/>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2017-11-28T12:43:00Z</dcterms:created>
  <dc:creator>nweir</dc:creator>
  <cp:lastModifiedBy>nweir</cp:lastModifiedBy>
  <dcterms:modified xsi:type="dcterms:W3CDTF">2017-11-28T20:12:30Z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