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jpeg"/><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06F6CF3" w14:textId="77777777" w:rsidR="004D5558" w:rsidRDefault="007A37FD">
      <w:r>
        <w:rPr>
          <w:rFonts w:eastAsia="Arial"/>
          <w:sz w:val="24"/>
        </w:rPr>
        <w:t>Student Name: Sofia Hameed Rafaqat</w:t>
      </w:r>
    </w:p>
    <w:p w14:paraId="6DB36DE8" w14:textId="77777777" w:rsidR="004D5558" w:rsidRDefault="007A37FD">
      <w:r>
        <w:rPr>
          <w:rFonts w:eastAsia="Arial"/>
          <w:sz w:val="24"/>
        </w:rPr>
        <w:t>Student Number: 2131225</w:t>
      </w:r>
    </w:p>
    <w:p w14:paraId="178C5000" w14:textId="77777777" w:rsidR="004D5558" w:rsidRDefault="004D5558"/>
    <w:p w14:paraId="7CE5C712" w14:textId="77777777" w:rsidR="004D5558" w:rsidRDefault="007A37FD">
      <w:r>
        <w:rPr>
          <w:rFonts w:eastAsia="Arial"/>
          <w:sz w:val="24"/>
        </w:rPr>
        <w:t>Module code: Introduction to Physiology</w:t>
      </w:r>
    </w:p>
    <w:p w14:paraId="1612EACA" w14:textId="77777777" w:rsidR="004D5558" w:rsidRDefault="007A37FD">
      <w:r>
        <w:rPr>
          <w:rFonts w:eastAsia="Arial"/>
          <w:sz w:val="24"/>
        </w:rPr>
        <w:t>BMHP5023 Case Study Report: Diabetes Management (Practice Nurse Perspective)</w:t>
      </w:r>
    </w:p>
    <w:p w14:paraId="6EC5F46A" w14:textId="77777777" w:rsidR="004D5558" w:rsidRDefault="007A37FD">
      <w:r>
        <w:rPr>
          <w:rFonts w:eastAsia="Arial"/>
          <w:sz w:val="24"/>
        </w:rPr>
        <w:t>Date: 10th November</w:t>
      </w:r>
    </w:p>
    <w:p w14:paraId="3B3E66B7" w14:textId="77777777" w:rsidR="004D5558" w:rsidRDefault="007A37FD">
      <w:r>
        <w:rPr>
          <w:rFonts w:eastAsia="Arial"/>
          <w:sz w:val="24"/>
        </w:rPr>
        <w:t>Word count: 2011</w:t>
      </w:r>
    </w:p>
    <w:p w14:paraId="63F75D02" w14:textId="77777777" w:rsidR="004D5558" w:rsidRDefault="007A37FD">
      <w:r>
        <w:rPr>
          <w:rFonts w:eastAsia="Arial"/>
          <w:sz w:val="24"/>
        </w:rPr>
        <w:br w:type="page"/>
      </w:r>
    </w:p>
    <w:p w14:paraId="23B81076" w14:textId="77777777" w:rsidR="004D5558" w:rsidRDefault="007A37FD">
      <w:r>
        <w:rPr>
          <w:rFonts w:eastAsia="Arial"/>
          <w:b/>
          <w:sz w:val="24"/>
          <w:u w:val="single"/>
        </w:rPr>
        <w:lastRenderedPageBreak/>
        <w:t>Contents Page</w:t>
      </w:r>
    </w:p>
    <w:p w14:paraId="675C4692" w14:textId="77777777" w:rsidR="004D5558" w:rsidRDefault="007A37FD">
      <w:r>
        <w:rPr>
          <w:rFonts w:eastAsia="Arial"/>
          <w:sz w:val="24"/>
        </w:rPr>
        <w:t>A) Introduction ............................................................... 1</w:t>
      </w:r>
    </w:p>
    <w:p w14:paraId="5A0C48B9" w14:textId="77777777" w:rsidR="004D5558" w:rsidRDefault="007A37FD">
      <w:r>
        <w:rPr>
          <w:rFonts w:eastAsia="Arial"/>
          <w:sz w:val="24"/>
        </w:rPr>
        <w:t>B) Regulation of Blood Sugar Levels ................................... 2</w:t>
      </w:r>
    </w:p>
    <w:p w14:paraId="244EBA73" w14:textId="77777777" w:rsidR="004D5558" w:rsidRDefault="007A37FD">
      <w:r>
        <w:rPr>
          <w:rFonts w:eastAsia="Arial"/>
          <w:sz w:val="24"/>
        </w:rPr>
        <w:t>C) Oxygen and Glucose in Energy Production ...................... 3</w:t>
      </w:r>
    </w:p>
    <w:p w14:paraId="7B538E10" w14:textId="77777777" w:rsidR="004D5558" w:rsidRDefault="007A37FD">
      <w:r>
        <w:rPr>
          <w:rFonts w:eastAsia="Arial"/>
          <w:sz w:val="24"/>
        </w:rPr>
        <w:t>D) Monitoring Blood Sugar Levels ..................................... 4</w:t>
      </w:r>
    </w:p>
    <w:p w14:paraId="4F7DF62B" w14:textId="77777777" w:rsidR="004D5558" w:rsidRDefault="007A37FD">
      <w:r>
        <w:rPr>
          <w:rFonts w:eastAsia="Arial"/>
          <w:sz w:val="24"/>
        </w:rPr>
        <w:t>E) Evidence-Based Recommendations ................................ 5</w:t>
      </w:r>
    </w:p>
    <w:p w14:paraId="2E59C14A" w14:textId="77777777" w:rsidR="004D5558" w:rsidRDefault="007A37FD">
      <w:r>
        <w:rPr>
          <w:rFonts w:eastAsia="Arial"/>
          <w:sz w:val="24"/>
        </w:rPr>
        <w:t>F) Conclusion ................................................................. 6</w:t>
      </w:r>
    </w:p>
    <w:p w14:paraId="4458FC6A" w14:textId="77777777" w:rsidR="004D5558" w:rsidRDefault="007A37FD">
      <w:r>
        <w:rPr>
          <w:rFonts w:eastAsia="Arial"/>
          <w:sz w:val="24"/>
        </w:rPr>
        <w:t>G) Reference List .......................................................... 7</w:t>
      </w:r>
    </w:p>
    <w:p w14:paraId="24D841C1" w14:textId="77777777" w:rsidR="004D5558" w:rsidRDefault="007A37FD">
      <w:r>
        <w:rPr>
          <w:rFonts w:eastAsia="Arial"/>
          <w:sz w:val="24"/>
        </w:rPr>
        <w:br w:type="page"/>
      </w:r>
    </w:p>
    <w:p w14:paraId="175F5B63" w14:textId="77777777" w:rsidR="004D5558" w:rsidRDefault="007A37FD">
      <w:r>
        <w:rPr>
          <w:rFonts w:eastAsia="Arial"/>
          <w:b/>
          <w:sz w:val="24"/>
          <w:u w:val="single"/>
        </w:rPr>
        <w:lastRenderedPageBreak/>
        <w:t>A) Introduction</w:t>
      </w:r>
    </w:p>
    <w:p w14:paraId="4041A960" w14:textId="77777777" w:rsidR="004D5558" w:rsidRDefault="007A37FD">
      <w:r>
        <w:rPr>
          <w:rFonts w:eastAsia="Arial"/>
          <w:sz w:val="24"/>
        </w:rPr>
        <w:t>This case study evaluates the role of a practice nurse in supporting Mr Ahmed, a recently diagnosed Type 2 diabetes patient, in accordance with current NICE (2023) guidelines. The report highlights the importance of a holistic approach that incorporates lifestyle modifications, medication, structured education, and psychosocial support to promote self-management and prevent long-term complications.</w:t>
      </w:r>
      <w:r>
        <w:rPr>
          <w:rFonts w:eastAsia="Arial"/>
          <w:sz w:val="24"/>
        </w:rPr>
        <w:br/>
      </w:r>
      <w:r>
        <w:rPr>
          <w:rFonts w:eastAsia="Arial"/>
          <w:sz w:val="24"/>
        </w:rPr>
        <w:br/>
        <w:t>Diabetes is a chronic metabolic disorder where the body is unable to regulate blood glucose effectively, resulting in persistent hyperglycaemia (NHS, 2023). Globally, over 537 million adults are living with diabetes (WHO, 2023). In the UK, approximately 4.3 million people are diagnosed, with an additional 850,000 estimated to be undiagnosed (Diabetes UK, 2024). Contributing factors include obesity, dietary behaviours, and reduced physical activity.</w:t>
      </w:r>
    </w:p>
    <w:p w14:paraId="320B9B7F" w14:textId="77777777" w:rsidR="004D5558" w:rsidRDefault="007A37FD">
      <w:r>
        <w:rPr>
          <w:rFonts w:eastAsia="Arial"/>
          <w:b/>
          <w:sz w:val="24"/>
          <w:u w:val="single"/>
        </w:rPr>
        <w:t>Risk Factors</w:t>
      </w:r>
    </w:p>
    <w:p w14:paraId="025925E4" w14:textId="77777777" w:rsidR="004D5558" w:rsidRDefault="007A37FD">
      <w:r>
        <w:rPr>
          <w:rFonts w:eastAsia="Arial"/>
          <w:sz w:val="24"/>
        </w:rPr>
        <w:t>Type 2 diabetes is strongly associated with several key risk factors relevant to Mr Ahmed, including:</w:t>
      </w:r>
      <w:r>
        <w:rPr>
          <w:rFonts w:eastAsia="Arial"/>
          <w:sz w:val="24"/>
        </w:rPr>
        <w:br/>
        <w:t>• Ethnicity – South Asian individuals have a significantly increased risk due to a higher prevalence of insulin resistance (NICE, 2022).</w:t>
      </w:r>
      <w:r>
        <w:rPr>
          <w:rFonts w:eastAsia="Arial"/>
          <w:sz w:val="24"/>
        </w:rPr>
        <w:br/>
        <w:t>• Age – Increased risk after age 40 (NHS, 2023).</w:t>
      </w:r>
      <w:r>
        <w:rPr>
          <w:rFonts w:eastAsia="Arial"/>
          <w:sz w:val="24"/>
        </w:rPr>
        <w:br/>
        <w:t>• Overweight/obesity – Excess visceral fat disrupts insulin regulation.</w:t>
      </w:r>
      <w:r>
        <w:rPr>
          <w:rFonts w:eastAsia="Arial"/>
          <w:sz w:val="24"/>
        </w:rPr>
        <w:br/>
        <w:t>• Sedentary lifestyle – Reduces insulin sensitivity.</w:t>
      </w:r>
      <w:r>
        <w:rPr>
          <w:rFonts w:eastAsia="Arial"/>
          <w:sz w:val="24"/>
        </w:rPr>
        <w:br/>
        <w:t>• Hypertension and stress – Increase metabolic and cardiovascular risk.</w:t>
      </w:r>
      <w:r>
        <w:rPr>
          <w:rFonts w:eastAsia="Arial"/>
          <w:sz w:val="24"/>
        </w:rPr>
        <w:br/>
      </w:r>
      <w:r>
        <w:rPr>
          <w:rFonts w:eastAsia="Arial"/>
          <w:sz w:val="24"/>
        </w:rPr>
        <w:br/>
        <w:t>Educating Mr Ahmed on the impact of these modifiable risks supports shared decision-making and health literacy in line with the</w:t>
      </w:r>
      <w:r>
        <w:rPr>
          <w:rFonts w:eastAsia="Arial"/>
          <w:sz w:val="24"/>
        </w:rPr>
        <w:t xml:space="preserve"> NMC Code (2018).</w:t>
      </w:r>
    </w:p>
    <w:p w14:paraId="310F4BA2" w14:textId="77777777" w:rsidR="004D5558" w:rsidRDefault="007A37FD">
      <w:r>
        <w:rPr>
          <w:rFonts w:eastAsia="Arial"/>
          <w:b/>
          <w:sz w:val="24"/>
          <w:u w:val="single"/>
        </w:rPr>
        <w:t>Lifestyle Changes</w:t>
      </w:r>
    </w:p>
    <w:p w14:paraId="32D55B59" w14:textId="77777777" w:rsidR="004D5558" w:rsidRDefault="007A37FD">
      <w:r>
        <w:rPr>
          <w:rFonts w:eastAsia="Arial"/>
          <w:sz w:val="24"/>
        </w:rPr>
        <w:t>Lifestyle interventions are first-line strategies to improve glycaemic control and reduce complications (NICE, 2023). Effective support from the practice nurse empowers Mr Ahmed to develop healthy routines and adhere to self-management behaviours.</w:t>
      </w:r>
    </w:p>
    <w:p w14:paraId="3E1E397A" w14:textId="77777777" w:rsidR="004D5558" w:rsidRDefault="007A37FD">
      <w:r>
        <w:rPr>
          <w:rFonts w:eastAsia="Arial"/>
          <w:b/>
          <w:sz w:val="24"/>
          <w:u w:val="single"/>
        </w:rPr>
        <w:t>Dietary Management</w:t>
      </w:r>
    </w:p>
    <w:p w14:paraId="288FD67D" w14:textId="77777777" w:rsidR="004D5558" w:rsidRDefault="007A37FD">
      <w:r>
        <w:rPr>
          <w:rFonts w:eastAsia="Arial"/>
          <w:sz w:val="24"/>
        </w:rPr>
        <w:t>A personalised plan developed with a diabetes dietitian is recommended. Evidence supports a Mediterranean-style diet high in vegetables, whole grains, lean protein, and healthy fats to improve insulin sensitivity and cardiovascular health (Diabetes UK, 2024).</w:t>
      </w:r>
      <w:r>
        <w:rPr>
          <w:rFonts w:eastAsia="Arial"/>
          <w:sz w:val="24"/>
        </w:rPr>
        <w:br/>
      </w:r>
      <w:r>
        <w:rPr>
          <w:rFonts w:eastAsia="Arial"/>
          <w:sz w:val="24"/>
        </w:rPr>
        <w:lastRenderedPageBreak/>
        <w:br/>
        <w:t>Cultural adaptation is essential. Traditional South Asian meals such as rice-based dishes and chapatis can be modified through wholegrain alternatives, portion control, reduced saturated fats, and healthier cooking methods such as grilling (NHS England, 2025). Involving family enhances understanding and helps sustain changes.</w:t>
      </w:r>
    </w:p>
    <w:p w14:paraId="312432BB" w14:textId="77777777" w:rsidR="004D5558" w:rsidRDefault="007A37FD">
      <w:r>
        <w:rPr>
          <w:rFonts w:eastAsia="Arial"/>
          <w:b/>
          <w:sz w:val="24"/>
          <w:u w:val="single"/>
        </w:rPr>
        <w:t>Physical Activity</w:t>
      </w:r>
    </w:p>
    <w:p w14:paraId="54BB080C" w14:textId="77777777" w:rsidR="004D5558" w:rsidRDefault="007A37FD">
      <w:r>
        <w:rPr>
          <w:rFonts w:eastAsia="Arial"/>
          <w:sz w:val="24"/>
        </w:rPr>
        <w:t>NICE (2023) recommends a minimum of 150 minutes of moderate-intensity exercise per week, such as brisk walking or cycling. Mr Ahmed could begin by integrating activity into his routine, including walking to the mosque or using stairs. Regular exercise enhances insulin sensitivity, aids weight management, and reduces cardiovascular risk.</w:t>
      </w:r>
    </w:p>
    <w:p w14:paraId="2630A594" w14:textId="77777777" w:rsidR="004D5558" w:rsidRDefault="007A37FD">
      <w:r>
        <w:rPr>
          <w:rFonts w:eastAsia="Arial"/>
          <w:b/>
          <w:sz w:val="24"/>
          <w:u w:val="single"/>
        </w:rPr>
        <w:t>Smoking and Alcohol</w:t>
      </w:r>
    </w:p>
    <w:p w14:paraId="334CE3DA" w14:textId="77777777" w:rsidR="004D5558" w:rsidRDefault="007A37FD">
      <w:r>
        <w:rPr>
          <w:rFonts w:eastAsia="Arial"/>
          <w:sz w:val="24"/>
        </w:rPr>
        <w:t>If Mr Ahmed smokes, referral to smoking cessation services is essential due to elevated cardiovascular risk. Alcohol use should remain within national limits and monitored carefully if certain medications are prescribed, as alcohol can trigger hypoglycaemia (NHS, 2023).</w:t>
      </w:r>
    </w:p>
    <w:p w14:paraId="27CDE7CE" w14:textId="77777777" w:rsidR="004D5558" w:rsidRDefault="007A37FD">
      <w:r>
        <w:rPr>
          <w:rFonts w:eastAsia="Arial"/>
          <w:b/>
          <w:sz w:val="24"/>
          <w:u w:val="single"/>
        </w:rPr>
        <w:t>Psychological and Social Support</w:t>
      </w:r>
    </w:p>
    <w:p w14:paraId="214299DD" w14:textId="77777777" w:rsidR="004D5558" w:rsidRDefault="007A37FD">
      <w:r>
        <w:rPr>
          <w:rFonts w:eastAsia="Arial"/>
          <w:sz w:val="24"/>
        </w:rPr>
        <w:t>Newly diagnosed patients may experience distress, anxiety, or denial. The practice nurse should use motivational interviewing to support emotional adjustment and refer to counselling or peer support when required. This aligns with the NMC Code (2018) to provide compassionate, person-centred care.</w:t>
      </w:r>
    </w:p>
    <w:p w14:paraId="13156677" w14:textId="77777777" w:rsidR="004D5558" w:rsidRDefault="007A37FD">
      <w:r>
        <w:rPr>
          <w:rFonts w:eastAsia="Arial"/>
          <w:b/>
          <w:sz w:val="24"/>
          <w:u w:val="single"/>
        </w:rPr>
        <w:t>Health Promotion and Education</w:t>
      </w:r>
    </w:p>
    <w:p w14:paraId="37089908" w14:textId="77777777" w:rsidR="004D5558" w:rsidRDefault="007A37FD">
      <w:r>
        <w:rPr>
          <w:rFonts w:eastAsia="Arial"/>
          <w:sz w:val="24"/>
        </w:rPr>
        <w:t>Structured education programmes like DESMOND improve knowledge about diet, exercise, medication, and preventing complications (NHS England, 2023). Teach-back techniques can help confirm understanding, while regular follow-ups enable the nurse to review progress and adjust goals.</w:t>
      </w:r>
      <w:r>
        <w:rPr>
          <w:rFonts w:eastAsia="Arial"/>
          <w:sz w:val="24"/>
        </w:rPr>
        <w:br/>
      </w:r>
      <w:r>
        <w:rPr>
          <w:rFonts w:eastAsia="Arial"/>
          <w:sz w:val="24"/>
        </w:rPr>
        <w:br/>
        <w:t>Multidisciplinary collaboration with dietitians, GPs, podiatrists, and ophthalmology services helps prevent long-term complications including neuropathy and retinopathy (Diabetes UK, 2021).</w:t>
      </w:r>
    </w:p>
    <w:p w14:paraId="5FE38B6A" w14:textId="77777777" w:rsidR="004D5558" w:rsidRDefault="007A37FD">
      <w:r>
        <w:rPr>
          <w:rFonts w:eastAsia="Arial"/>
          <w:b/>
          <w:sz w:val="24"/>
          <w:u w:val="single"/>
        </w:rPr>
        <w:t>B) Regulation of Blood Sugar Levels</w:t>
      </w:r>
    </w:p>
    <w:p w14:paraId="37685499" w14:textId="77777777" w:rsidR="004D5558" w:rsidRDefault="007A37FD">
      <w:r>
        <w:rPr>
          <w:rFonts w:eastAsia="Arial"/>
          <w:sz w:val="24"/>
        </w:rPr>
        <w:t xml:space="preserve">Blood glucose balance is regulated by insulin and glucagon, hormones produced by the pancreas. After eating, insulin enables glucose to enter cells for ATP </w:t>
      </w:r>
      <w:r>
        <w:rPr>
          <w:rFonts w:eastAsia="Arial"/>
          <w:sz w:val="24"/>
        </w:rPr>
        <w:lastRenderedPageBreak/>
        <w:t>production or to be stored as glycogen. When glucose drops, glucagon stimulates glycogen breakdown to restore levels (NHS, 2023).</w:t>
      </w:r>
      <w:r>
        <w:rPr>
          <w:rFonts w:eastAsia="Arial"/>
          <w:sz w:val="24"/>
        </w:rPr>
        <w:br/>
      </w:r>
      <w:r>
        <w:rPr>
          <w:rFonts w:eastAsia="Arial"/>
          <w:sz w:val="24"/>
        </w:rPr>
        <w:br/>
        <w:t>In Type 2 diabetes, insulin resistance prevents effective glucose uptake, causing hyperglycaemia. This increases risks of complications such as neuropathy, kidney disease, and cardiovascular events (WHO, 2023). Educating Mr Ahmed on these mechanisms supports adherence to treatment.</w:t>
      </w:r>
    </w:p>
    <w:p w14:paraId="38824B6C" w14:textId="77777777" w:rsidR="004D5558" w:rsidRDefault="007A37FD">
      <w:r>
        <w:rPr>
          <w:rFonts w:eastAsia="Arial"/>
          <w:b/>
          <w:sz w:val="24"/>
          <w:u w:val="single"/>
        </w:rPr>
        <w:t>C) Oxygen and Glucose in Energy Production</w:t>
      </w:r>
    </w:p>
    <w:p w14:paraId="79943FE7" w14:textId="77777777" w:rsidR="004D5558" w:rsidRDefault="007A37FD">
      <w:r>
        <w:rPr>
          <w:rFonts w:eastAsia="Arial"/>
          <w:sz w:val="24"/>
        </w:rPr>
        <w:t>Cellular respiration, occurring mainly in the mitochondria, uses oxygen and glucose to produce adenosine triphosphate (ATP), the body’s energy source (Marieb &amp; Hoehn, 2019). Poor glucose uptake reduces ATP, resulting in fatigue, reduced immunity, and impaired wound healing. Nurses must reinforce the importance of glycaemic control to prevent diabetic foot complications.</w:t>
      </w:r>
    </w:p>
    <w:p w14:paraId="476480AC" w14:textId="77777777" w:rsidR="004D5558" w:rsidRDefault="007A37FD">
      <w:r>
        <w:rPr>
          <w:rFonts w:eastAsia="Arial"/>
          <w:b/>
          <w:sz w:val="24"/>
          <w:u w:val="single"/>
        </w:rPr>
        <w:t>D) Monitoring Blood Sugar Levels</w:t>
      </w:r>
    </w:p>
    <w:p w14:paraId="75A914C8" w14:textId="77777777" w:rsidR="004D5558" w:rsidRDefault="007A37FD">
      <w:r>
        <w:rPr>
          <w:rFonts w:eastAsia="Arial"/>
          <w:sz w:val="24"/>
        </w:rPr>
        <w:t>Self-monitoring using blood glucose meters or Continuous Glucose Monitoring (CGM) systems enables timely adjustments to diet, activity, and medication (NHS England, 2023). The nurse’s role includes:</w:t>
      </w:r>
      <w:r>
        <w:rPr>
          <w:rFonts w:eastAsia="Arial"/>
          <w:sz w:val="24"/>
        </w:rPr>
        <w:br/>
        <w:t>• Teaching correct monitoring technique and hand hygiene</w:t>
      </w:r>
      <w:r>
        <w:rPr>
          <w:rFonts w:eastAsia="Arial"/>
          <w:sz w:val="24"/>
        </w:rPr>
        <w:br/>
        <w:t>• Reviewing logbooks and identifying trends</w:t>
      </w:r>
      <w:r>
        <w:rPr>
          <w:rFonts w:eastAsia="Arial"/>
          <w:sz w:val="24"/>
        </w:rPr>
        <w:br/>
        <w:t>• Adjusting care based on results</w:t>
      </w:r>
      <w:r>
        <w:rPr>
          <w:rFonts w:eastAsia="Arial"/>
          <w:sz w:val="24"/>
        </w:rPr>
        <w:br/>
        <w:t>• Providing emotional reassurance to reduce monitoring fatigue (RCN, 2023)</w:t>
      </w:r>
      <w:r>
        <w:rPr>
          <w:rFonts w:eastAsia="Arial"/>
          <w:sz w:val="24"/>
        </w:rPr>
        <w:br/>
      </w:r>
      <w:r>
        <w:rPr>
          <w:rFonts w:eastAsia="Arial"/>
          <w:sz w:val="24"/>
        </w:rPr>
        <w:br/>
        <w:t>Early detection of hypo- or hyperglycaemia reduces hospital admissions.</w:t>
      </w:r>
    </w:p>
    <w:p w14:paraId="728F35BD" w14:textId="77777777" w:rsidR="004D5558" w:rsidRDefault="007A37FD">
      <w:r>
        <w:rPr>
          <w:rFonts w:eastAsia="Arial"/>
          <w:b/>
          <w:sz w:val="24"/>
          <w:u w:val="single"/>
        </w:rPr>
        <w:t>E) Evidence-Based Recommendations</w:t>
      </w:r>
    </w:p>
    <w:p w14:paraId="7B0D81E0" w14:textId="77777777" w:rsidR="004D5558" w:rsidRDefault="007A37FD">
      <w:r>
        <w:rPr>
          <w:rFonts w:eastAsia="Arial"/>
          <w:sz w:val="24"/>
        </w:rPr>
        <w:t>Current guidance emphasises:</w:t>
      </w:r>
      <w:r>
        <w:rPr>
          <w:rFonts w:eastAsia="Arial"/>
          <w:sz w:val="24"/>
        </w:rPr>
        <w:br/>
        <w:t>• Structured lifestyle programme participation</w:t>
      </w:r>
      <w:r>
        <w:rPr>
          <w:rFonts w:eastAsia="Arial"/>
          <w:sz w:val="24"/>
        </w:rPr>
        <w:br/>
      </w:r>
      <w:r>
        <w:rPr>
          <w:rFonts w:eastAsia="Arial"/>
          <w:sz w:val="24"/>
        </w:rPr>
        <w:t>• Weight loss to improve glycaemic control and insulin resistance (WHO, 2023)</w:t>
      </w:r>
      <w:r>
        <w:rPr>
          <w:rFonts w:eastAsia="Arial"/>
          <w:sz w:val="24"/>
        </w:rPr>
        <w:br/>
        <w:t>• Balanced diet low in refined sugars and high in fibre</w:t>
      </w:r>
      <w:r>
        <w:rPr>
          <w:rFonts w:eastAsia="Arial"/>
          <w:sz w:val="24"/>
        </w:rPr>
        <w:br/>
        <w:t>• 150 minutes/week physical activity</w:t>
      </w:r>
      <w:r>
        <w:rPr>
          <w:rFonts w:eastAsia="Arial"/>
          <w:sz w:val="24"/>
        </w:rPr>
        <w:br/>
        <w:t>• Smoking cessation and moderated alcohol intake</w:t>
      </w:r>
      <w:r>
        <w:rPr>
          <w:rFonts w:eastAsia="Arial"/>
          <w:sz w:val="24"/>
        </w:rPr>
        <w:br/>
        <w:t>• Foot care education to prevent ulceration</w:t>
      </w:r>
      <w:r>
        <w:rPr>
          <w:rFonts w:eastAsia="Arial"/>
          <w:sz w:val="24"/>
        </w:rPr>
        <w:br/>
      </w:r>
      <w:r>
        <w:rPr>
          <w:rFonts w:eastAsia="Arial"/>
          <w:sz w:val="24"/>
        </w:rPr>
        <w:br/>
        <w:t>These interventions should be delivered through shared, realistic goal-setting to support long-term engagement (NICE, 2022).</w:t>
      </w:r>
    </w:p>
    <w:p w14:paraId="503C7612" w14:textId="77777777" w:rsidR="004D5558" w:rsidRDefault="007A37FD">
      <w:r>
        <w:rPr>
          <w:rFonts w:eastAsia="Arial"/>
          <w:b/>
          <w:sz w:val="24"/>
          <w:u w:val="single"/>
        </w:rPr>
        <w:t>F) Conclusion</w:t>
      </w:r>
    </w:p>
    <w:p w14:paraId="3A8A6895" w14:textId="77777777" w:rsidR="004D5558" w:rsidRDefault="007A37FD">
      <w:r>
        <w:rPr>
          <w:rFonts w:eastAsia="Arial"/>
          <w:sz w:val="24"/>
        </w:rPr>
        <w:lastRenderedPageBreak/>
        <w:t>Effective Type 2 diabetes management requires a comprehensive and tailored approach integrating lifestyle changes, education, psychological support, and ongoing monitoring. Practice nurses are central to promoting behaviour change, providing continuous encouragement, and empowering patients like Mr Ahmed to confidently self-manage their condition.</w:t>
      </w:r>
      <w:r>
        <w:rPr>
          <w:rFonts w:eastAsia="Arial"/>
          <w:sz w:val="24"/>
        </w:rPr>
        <w:br/>
      </w:r>
      <w:r>
        <w:rPr>
          <w:rFonts w:eastAsia="Arial"/>
          <w:sz w:val="24"/>
        </w:rPr>
        <w:br/>
        <w:t>By following evidence-based guidance from NICE, WHO, and the NHS, long-term outcomes can be improved and serious complications reduced, ensuring care remains safe, professional, and person-centred in alignment with the NMC Code (2018).</w:t>
      </w:r>
    </w:p>
    <w:p w14:paraId="6ADAE003" w14:textId="77777777" w:rsidR="004D5558" w:rsidRDefault="007A37FD">
      <w:r>
        <w:rPr>
          <w:rFonts w:eastAsia="Arial"/>
          <w:b/>
          <w:sz w:val="24"/>
          <w:u w:val="single"/>
        </w:rPr>
        <w:t>G) Reference List</w:t>
      </w:r>
    </w:p>
    <w:p w14:paraId="69D0C2A8" w14:textId="77777777" w:rsidR="004D5558" w:rsidRDefault="007A37FD">
      <w:r>
        <w:rPr>
          <w:rFonts w:eastAsia="Arial"/>
          <w:sz w:val="24"/>
        </w:rPr>
        <w:t>Diabetes UK. (2021) Complications and Prevention. Available at: https://www.diabetes.org.uk (Accessed: 23 October 2025).</w:t>
      </w:r>
    </w:p>
    <w:p w14:paraId="08C892B5" w14:textId="77777777" w:rsidR="004D5558" w:rsidRDefault="007A37FD">
      <w:r>
        <w:rPr>
          <w:rFonts w:eastAsia="Arial"/>
          <w:sz w:val="24"/>
        </w:rPr>
        <w:t>Diabetes UK. (2024) Diabetes Statistics. Available at: https://www.diabetes.org.uk (Accessed: 23 October 2025).</w:t>
      </w:r>
    </w:p>
    <w:p w14:paraId="11B0DDE8" w14:textId="77777777" w:rsidR="004D5558" w:rsidRDefault="007A37FD">
      <w:r>
        <w:rPr>
          <w:rFonts w:eastAsia="Arial"/>
          <w:sz w:val="24"/>
        </w:rPr>
        <w:t>Marieb, E. and Hoehn, K. (2019) Human Anatomy &amp; Physiology. 11th ed. Harlow: Pearson.</w:t>
      </w:r>
    </w:p>
    <w:p w14:paraId="493DD0F1" w14:textId="77777777" w:rsidR="004D5558" w:rsidRDefault="007A37FD">
      <w:r>
        <w:rPr>
          <w:rFonts w:eastAsia="Arial"/>
          <w:sz w:val="24"/>
        </w:rPr>
        <w:t>National Institute for Health and Care Excellence (NICE). (2022) Type 2 Diabetes in Adults: Management. NG28.</w:t>
      </w:r>
    </w:p>
    <w:p w14:paraId="63858836" w14:textId="77777777" w:rsidR="004D5558" w:rsidRDefault="007A37FD">
      <w:r>
        <w:rPr>
          <w:rFonts w:eastAsia="Arial"/>
          <w:sz w:val="24"/>
        </w:rPr>
        <w:t>National Institute for Health and Care Excellence (NICE). (2023) Diabetes Prevention and Lifestyle Management Guidelines. NG215.</w:t>
      </w:r>
    </w:p>
    <w:p w14:paraId="14C77795" w14:textId="77777777" w:rsidR="004D5558" w:rsidRDefault="007A37FD">
      <w:r>
        <w:rPr>
          <w:rFonts w:eastAsia="Arial"/>
          <w:sz w:val="24"/>
        </w:rPr>
        <w:t>NHS. (2023) Diabetes Overview. Available at: https://www.nhs.uk (Accessed: 23 October 2025).</w:t>
      </w:r>
    </w:p>
    <w:p w14:paraId="43433B30" w14:textId="77777777" w:rsidR="004D5558" w:rsidRDefault="007A37FD">
      <w:r>
        <w:rPr>
          <w:rFonts w:eastAsia="Arial"/>
          <w:sz w:val="24"/>
        </w:rPr>
        <w:t>NHS England. (2023) Access to CGM and Diabetes Education. Available at: https://www.england.nhs.uk (Accessed: 23 October 2025).</w:t>
      </w:r>
    </w:p>
    <w:p w14:paraId="054272CA" w14:textId="77777777" w:rsidR="004D5558" w:rsidRDefault="007A37FD">
      <w:r>
        <w:rPr>
          <w:rFonts w:eastAsia="Arial"/>
          <w:sz w:val="24"/>
        </w:rPr>
        <w:t>NHS England. (2025) Culturally Appropriate Diet Advice for South Asian Communities. Available at: https://www.england.nhs.uk (Accessed: 23 October 2025).</w:t>
      </w:r>
    </w:p>
    <w:p w14:paraId="613A5465" w14:textId="77777777" w:rsidR="004D5558" w:rsidRDefault="007A37FD">
      <w:r>
        <w:rPr>
          <w:rFonts w:eastAsia="Arial"/>
          <w:sz w:val="24"/>
        </w:rPr>
        <w:t>Royal College of Nursing (RCN). (2023) Supporting Patients with Diabetes Self-Management. London: RCN.</w:t>
      </w:r>
    </w:p>
    <w:p w14:paraId="15C49C8E" w14:textId="77777777" w:rsidR="004D5558" w:rsidRDefault="007A37FD">
      <w:r>
        <w:rPr>
          <w:rFonts w:eastAsia="Arial"/>
          <w:sz w:val="24"/>
        </w:rPr>
        <w:t>World Health Organisation (WHO). (2023) Global Diabetes Report 2023. Geneva: WHO.</w:t>
      </w:r>
    </w:p>
    <w:p w14:paraId="32B6C2B6" w14:textId="77777777" w:rsidR="004D5558" w:rsidRDefault="007A37FD">
      <w:r>
        <w:rPr>
          <w:rFonts w:eastAsia="Arial"/>
          <w:sz w:val="24"/>
        </w:rPr>
        <w:t>The Nursing and Midwifery Council (NMC). (2018) The Code: Professional standards of practice and behaviour for nurses, midwives and nursing associates. London: NMC.</w:t>
      </w:r>
    </w:p>
    <w:sectPr w:rsidR="004D5558" w:rsidSect="00034616">
      <w:footerReference w:type="default" r:id="rId8"/>
      <w:pgSz w:w="12240" w:h="15840"/>
      <w:pgMar w:top="1440" w:right="1800" w:bottom="1440" w:left="180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A14F24A" w14:textId="77777777" w:rsidR="007A37FD" w:rsidRDefault="007A37FD">
      <w:pPr>
        <w:spacing w:after="0" w:line="240" w:lineRule="auto"/>
      </w:pPr>
      <w:r>
        <w:separator/>
      </w:r>
    </w:p>
  </w:endnote>
  <w:endnote w:type="continuationSeparator" w:id="0">
    <w:p w14:paraId="0F96BCE2" w14:textId="77777777" w:rsidR="007A37FD" w:rsidRDefault="007A37F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MS Mincho">
    <w:altName w:val="ＭＳ 明朝"/>
    <w:panose1 w:val="02020609040205080304"/>
    <w:charset w:val="80"/>
    <w:family w:val="modern"/>
    <w:notTrueType/>
    <w:pitch w:val="fixed"/>
    <w:sig w:usb0="E00002FF" w:usb1="6AC7FDFB" w:usb2="08000012" w:usb3="00000000" w:csb0="0002009F"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MS Gothic">
    <w:altName w:val="ＭＳ ゴシック"/>
    <w:panose1 w:val="020B0609070205080204"/>
    <w:charset w:val="80"/>
    <w:family w:val="modern"/>
    <w:notTrueType/>
    <w:pitch w:val="fixed"/>
    <w:sig w:usb0="E00002FF" w:usb1="6AC7FDFB" w:usb2="08000012" w:usb3="00000000" w:csb0="0002009F" w:csb1="00000000"/>
  </w:font>
  <w:font w:name="Courier">
    <w:panose1 w:val="020B0604020202020204"/>
    <w:charset w:val="00"/>
    <w:family w:val="auto"/>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EA814B7" w14:textId="77777777" w:rsidR="004D5558" w:rsidRDefault="007A37FD">
    <w:pPr>
      <w:pStyle w:val="Footer"/>
      <w:jc w:val="center"/>
    </w:pPr>
    <w:r>
      <w:t xml:space="preserve">Page </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97299BC" w14:textId="77777777" w:rsidR="007A37FD" w:rsidRDefault="007A37FD">
      <w:pPr>
        <w:spacing w:after="0" w:line="240" w:lineRule="auto"/>
      </w:pPr>
      <w:r>
        <w:separator/>
      </w:r>
    </w:p>
  </w:footnote>
  <w:footnote w:type="continuationSeparator" w:id="0">
    <w:p w14:paraId="6B6ACF4B" w14:textId="77777777" w:rsidR="007A37FD" w:rsidRDefault="007A37F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15:restartNumberingAfterBreak="0">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num w:numId="1" w16cid:durableId="1285115739">
    <w:abstractNumId w:val="8"/>
  </w:num>
  <w:num w:numId="2" w16cid:durableId="693189504">
    <w:abstractNumId w:val="6"/>
  </w:num>
  <w:num w:numId="3" w16cid:durableId="917833542">
    <w:abstractNumId w:val="5"/>
  </w:num>
  <w:num w:numId="4" w16cid:durableId="819931150">
    <w:abstractNumId w:val="4"/>
  </w:num>
  <w:num w:numId="5" w16cid:durableId="733968411">
    <w:abstractNumId w:val="7"/>
  </w:num>
  <w:num w:numId="6" w16cid:durableId="1189486600">
    <w:abstractNumId w:val="3"/>
  </w:num>
  <w:num w:numId="7" w16cid:durableId="1243565043">
    <w:abstractNumId w:val="2"/>
  </w:num>
  <w:num w:numId="8" w16cid:durableId="1034038957">
    <w:abstractNumId w:val="1"/>
  </w:num>
  <w:num w:numId="9" w16cid:durableId="149883887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196"/>
  <w:revisionView w:inkAnnotations="0"/>
  <w:defaultTabStop w:val="720"/>
  <w:characterSpacingControl w:val="doNotCompress"/>
  <w:savePreviewPicture/>
  <w:footnotePr>
    <w:footnote w:id="-1"/>
    <w:footnote w:id="0"/>
  </w:footnotePr>
  <w:endnotePr>
    <w:endnote w:id="-1"/>
    <w:endnote w:id="0"/>
  </w:endnotePr>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B47730"/>
    <w:rsid w:val="00034616"/>
    <w:rsid w:val="0006063C"/>
    <w:rsid w:val="0015074B"/>
    <w:rsid w:val="0029639D"/>
    <w:rsid w:val="00326F90"/>
    <w:rsid w:val="004D5558"/>
    <w:rsid w:val="007A37FD"/>
    <w:rsid w:val="00AA1D8D"/>
    <w:rsid w:val="00B47730"/>
    <w:rsid w:val="00C67729"/>
    <w:rsid w:val="00CB0664"/>
    <w:rsid w:val="00FC693F"/>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73E6AEEE"/>
  <w14:defaultImageDpi w14:val="300"/>
  <w15:docId w15:val="{1F3C6E70-AA30-4746-9C03-77E421E71D9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C693F"/>
    <w:rPr>
      <w:rFonts w:ascii="Arial" w:hAnsi="Arial"/>
    </w:rPr>
  </w:style>
  <w:style w:type="paragraph" w:styleId="Heading1">
    <w:name w:val="heading 1"/>
    <w:basedOn w:val="Normal"/>
    <w:next w:val="Normal"/>
    <w:link w:val="Heading1Char"/>
    <w:uiPriority w:val="9"/>
    <w:qFormat/>
    <w:rsid w:val="00FC693F"/>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FC693F"/>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pPr>
      <w:spacing w:after="120"/>
    </w:pPr>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after="120"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pPr>
      <w:spacing w:after="120"/>
    </w:pPr>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spacing w:after="120"/>
      <w:ind w:left="360"/>
      <w:contextualSpacing/>
    </w:pPr>
  </w:style>
  <w:style w:type="paragraph" w:styleId="ListContinue2">
    <w:name w:val="List Continue 2"/>
    <w:basedOn w:val="Normal"/>
    <w:uiPriority w:val="99"/>
    <w:unhideWhenUsed/>
    <w:rsid w:val="0029639D"/>
    <w:pPr>
      <w:spacing w:after="120"/>
      <w:ind w:left="720"/>
      <w:contextualSpacing/>
    </w:pPr>
  </w:style>
  <w:style w:type="paragraph" w:styleId="ListContinue3">
    <w:name w:val="List Continue 3"/>
    <w:basedOn w:val="Normal"/>
    <w:uiPriority w:val="99"/>
    <w:unhideWhenUsed/>
    <w:rsid w:val="0029639D"/>
    <w:pPr>
      <w:spacing w:after="120"/>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semiHidden/>
    <w:unhideWhenUsed/>
    <w:qFormat/>
    <w:rsid w:val="00FC693F"/>
    <w:pPr>
      <w:outlineLvl w:val="9"/>
    </w:pPr>
  </w:style>
  <w:style w:type="table" w:styleId="TableGrid">
    <w:name w:val="Table Grid"/>
    <w:basedOn w:val="TableNormal"/>
    <w:uiPriority w:val="59"/>
    <w:rsid w:val="00FC69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Borders>
        <w:top w:val="single" w:sz="8" w:space="0" w:color="F79646" w:themeColor="accent6"/>
        <w:bottom w:val="single" w:sz="8" w:space="0" w:color="F79646" w:themeColor="accent6"/>
      </w:tblBorders>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Borders>
        <w:top w:val="single" w:sz="8" w:space="0" w:color="4F81BD" w:themeColor="accent1"/>
        <w:bottom w:val="single" w:sz="8" w:space="0" w:color="4F81BD" w:themeColor="accent1"/>
      </w:tblBorders>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Borders>
        <w:top w:val="single" w:sz="8" w:space="0" w:color="C0504D" w:themeColor="accent2"/>
        <w:bottom w:val="single" w:sz="8" w:space="0" w:color="C0504D" w:themeColor="accent2"/>
      </w:tblBorders>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Borders>
        <w:top w:val="single" w:sz="8" w:space="0" w:color="9BBB59" w:themeColor="accent3"/>
        <w:bottom w:val="single" w:sz="8" w:space="0" w:color="9BBB59" w:themeColor="accent3"/>
      </w:tblBorders>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Borders>
        <w:top w:val="single" w:sz="8" w:space="0" w:color="8064A2" w:themeColor="accent4"/>
        <w:bottom w:val="single" w:sz="8" w:space="0" w:color="8064A2" w:themeColor="accent4"/>
      </w:tblBorders>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Borders>
        <w:top w:val="single" w:sz="8" w:space="0" w:color="F79646" w:themeColor="accent6"/>
        <w:bottom w:val="single" w:sz="8" w:space="0" w:color="F79646" w:themeColor="accent6"/>
      </w:tblBorders>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urfulShading">
    <w:name w:val="Colorful Shading"/>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urfulShadingAccent1">
    <w:name w:val="Colorful Shading Accent 1"/>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urfulShadingAccent2">
    <w:name w:val="Colorful Shading Accent 2"/>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urfulShadingAccent3">
    <w:name w:val="Colorful Shading Accent 3"/>
    <w:basedOn w:val="TableNormal"/>
    <w:uiPriority w:val="71"/>
    <w:rsid w:val="00CB0664"/>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urfulShadingAccent4">
    <w:name w:val="Colorful Shading Accent 4"/>
    <w:basedOn w:val="TableNormal"/>
    <w:uiPriority w:val="71"/>
    <w:rsid w:val="00CB0664"/>
    <w:pPr>
      <w:spacing w:after="0" w:line="240" w:lineRule="auto"/>
    </w:pPr>
    <w:rPr>
      <w:color w:val="000000" w:themeColor="text1"/>
    </w:rPr>
    <w:tblPr>
      <w:tblStyleRowBandSize w:val="1"/>
      <w:tblStyleColBandSize w:val="1"/>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urfulShadingAccent5">
    <w:name w:val="Colorful Shading Accent 5"/>
    <w:basedOn w:val="TableNormal"/>
    <w:uiPriority w:val="71"/>
    <w:rsid w:val="00CB0664"/>
    <w:pPr>
      <w:spacing w:after="0" w:line="240" w:lineRule="auto"/>
    </w:pPr>
    <w:rPr>
      <w:color w:val="000000" w:themeColor="text1"/>
    </w:rPr>
    <w:tblPr>
      <w:tblStyleRowBandSize w:val="1"/>
      <w:tblStyleColBandSize w:val="1"/>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urfulShadingAccent6">
    <w:name w:val="Colorful Shading Accent 6"/>
    <w:basedOn w:val="TableNormal"/>
    <w:uiPriority w:val="71"/>
    <w:rsid w:val="00CB0664"/>
    <w:pPr>
      <w:spacing w:after="0" w:line="240" w:lineRule="auto"/>
    </w:pPr>
    <w:rPr>
      <w:color w:val="000000" w:themeColor="text1"/>
    </w:rPr>
    <w:tblPr>
      <w:tblStyleRowBandSize w:val="1"/>
      <w:tblStyleColBandSize w:val="1"/>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urfulList">
    <w:name w:val="Colorful List"/>
    <w:basedOn w:val="TableNormal"/>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urfulListAccent1">
    <w:name w:val="Colorful List Accent 1"/>
    <w:basedOn w:val="TableNormal"/>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urfulListAccent2">
    <w:name w:val="Colorful List Accent 2"/>
    <w:basedOn w:val="TableNormal"/>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urfulListAccent3">
    <w:name w:val="Colorful List Accent 3"/>
    <w:basedOn w:val="TableNormal"/>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urfulListAccent4">
    <w:name w:val="Colorful List Accent 4"/>
    <w:basedOn w:val="TableNormal"/>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urfulListAccent5">
    <w:name w:val="Colorful List Accent 5"/>
    <w:basedOn w:val="TableNormal"/>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urfulListAccent6">
    <w:name w:val="Colorful List Accent 6"/>
    <w:basedOn w:val="TableNormal"/>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urfulGrid">
    <w:name w:val="Colorful Grid"/>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urfulGridAccent1">
    <w:name w:val="Colorful Grid Accent 1"/>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urfulGridAccent2">
    <w:name w:val="Colorful Grid Accent 2"/>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urfulGridAccent3">
    <w:name w:val="Colorful Grid Accent 3"/>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urfulGridAccent4">
    <w:name w:val="Colorful Grid Accent 4"/>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urfulGridAccent5">
    <w:name w:val="Colorful Grid Accent 5"/>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urfulGridAccent6">
    <w:name w:val="Colorful Grid Accent 6"/>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F278816-EC6F-A645-907D-7F25AECB1D4A}">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Pages>
  <Words>1278</Words>
  <Characters>7291</Characters>
  <Application>Microsoft Office Word</Application>
  <DocSecurity>0</DocSecurity>
  <Lines>60</Lines>
  <Paragraphs>17</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8552</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python-docx</dc:creator>
  <cp:keywords/>
  <dc:description>generated by python-docx</dc:description>
  <cp:lastModifiedBy>Sofia Hameed Rafaqat (2131225)</cp:lastModifiedBy>
  <cp:revision>2</cp:revision>
  <dcterms:created xsi:type="dcterms:W3CDTF">2025-10-25T20:42:00Z</dcterms:created>
  <dcterms:modified xsi:type="dcterms:W3CDTF">2025-10-25T20:42:00Z</dcterms:modified>
  <cp:category/>
</cp:coreProperties>
</file>