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EF2EC" w14:textId="5B6BE88A" w:rsidR="00C20D09" w:rsidRPr="00E63A3C" w:rsidRDefault="00D611AB" w:rsidP="00D611AB">
      <w:pPr>
        <w:spacing w:line="259" w:lineRule="auto"/>
        <w:rPr>
          <w:rFonts w:asciiTheme="minorHAnsi" w:eastAsiaTheme="minorEastAsia" w:hAnsiTheme="minorHAnsi"/>
          <w:b/>
          <w:bCs/>
          <w:sz w:val="40"/>
          <w:szCs w:val="40"/>
        </w:rPr>
      </w:pPr>
      <w:r>
        <w:rPr>
          <w:rFonts w:asciiTheme="minorHAnsi" w:eastAsiaTheme="minorEastAsia" w:hAnsiTheme="minorHAnsi"/>
          <w:b/>
          <w:bCs/>
          <w:sz w:val="40"/>
          <w:szCs w:val="40"/>
        </w:rPr>
        <w:t xml:space="preserve">        </w:t>
      </w:r>
      <w:r w:rsidR="00DD12F7">
        <w:rPr>
          <w:rFonts w:asciiTheme="minorHAnsi" w:eastAsiaTheme="minorEastAsia" w:hAnsiTheme="minorHAnsi"/>
          <w:b/>
          <w:bCs/>
          <w:sz w:val="40"/>
          <w:szCs w:val="40"/>
        </w:rPr>
        <w:t xml:space="preserve">                                                                              </w:t>
      </w:r>
      <w:r w:rsidR="00C20D09" w:rsidRPr="00E63A3C">
        <w:rPr>
          <w:rFonts w:asciiTheme="minorHAnsi" w:eastAsiaTheme="minorEastAsia" w:hAnsiTheme="minorHAnsi"/>
          <w:b/>
          <w:bCs/>
          <w:sz w:val="40"/>
          <w:szCs w:val="40"/>
        </w:rPr>
        <w:t>University of Wales Trinity Saint David</w:t>
      </w:r>
    </w:p>
    <w:p w14:paraId="32FA2146" w14:textId="77777777" w:rsidR="00C20D09" w:rsidRPr="00E63A3C" w:rsidRDefault="00C20D09" w:rsidP="00C20D09">
      <w:pPr>
        <w:spacing w:line="259" w:lineRule="auto"/>
        <w:jc w:val="center"/>
        <w:rPr>
          <w:rFonts w:asciiTheme="minorHAnsi" w:eastAsiaTheme="minorEastAsia" w:hAnsiTheme="minorHAnsi"/>
          <w:b/>
          <w:bCs/>
          <w:sz w:val="40"/>
          <w:szCs w:val="40"/>
        </w:rPr>
      </w:pPr>
      <w:r w:rsidRPr="00E63A3C">
        <w:rPr>
          <w:rFonts w:asciiTheme="minorHAnsi" w:eastAsiaTheme="minorEastAsia" w:hAnsiTheme="minorHAnsi"/>
          <w:b/>
          <w:bCs/>
          <w:sz w:val="40"/>
          <w:szCs w:val="40"/>
        </w:rPr>
        <w:t>School of Engineering</w:t>
      </w:r>
    </w:p>
    <w:p w14:paraId="40DB5697" w14:textId="77777777" w:rsidR="00C20D09" w:rsidRDefault="00C20D09" w:rsidP="00C20D09">
      <w:pPr>
        <w:spacing w:line="259" w:lineRule="auto"/>
        <w:jc w:val="center"/>
        <w:rPr>
          <w:rFonts w:asciiTheme="minorHAnsi" w:eastAsiaTheme="minorEastAsia" w:hAnsiTheme="minorHAnsi"/>
          <w:b/>
          <w:bCs/>
          <w:sz w:val="40"/>
          <w:szCs w:val="40"/>
        </w:rPr>
      </w:pPr>
    </w:p>
    <w:p w14:paraId="0812E914" w14:textId="77777777" w:rsidR="00C6622D" w:rsidRPr="00E63A3C" w:rsidRDefault="00C6622D" w:rsidP="00C20D09">
      <w:pPr>
        <w:spacing w:line="259" w:lineRule="auto"/>
        <w:jc w:val="center"/>
        <w:rPr>
          <w:rFonts w:asciiTheme="minorHAnsi" w:eastAsiaTheme="minorEastAsia" w:hAnsiTheme="minorHAnsi"/>
          <w:b/>
          <w:bCs/>
          <w:sz w:val="40"/>
          <w:szCs w:val="40"/>
        </w:rPr>
      </w:pPr>
    </w:p>
    <w:p w14:paraId="63BD958A" w14:textId="77777777" w:rsidR="00CB5CD6" w:rsidRPr="00E63A3C" w:rsidRDefault="00CB5CD6" w:rsidP="00CB5CD6">
      <w:pPr>
        <w:spacing w:line="259" w:lineRule="auto"/>
        <w:jc w:val="center"/>
        <w:rPr>
          <w:rFonts w:asciiTheme="minorHAnsi" w:eastAsiaTheme="minorEastAsia" w:hAnsiTheme="minorHAnsi"/>
          <w:b/>
          <w:bCs/>
          <w:sz w:val="40"/>
          <w:szCs w:val="40"/>
        </w:rPr>
      </w:pPr>
      <w:r w:rsidRPr="00E63A3C">
        <w:rPr>
          <w:rFonts w:asciiTheme="minorHAnsi" w:eastAsiaTheme="minorEastAsia" w:hAnsiTheme="minorHAnsi"/>
          <w:noProof/>
        </w:rPr>
        <w:drawing>
          <wp:inline distT="0" distB="0" distL="0" distR="0" wp14:anchorId="5041BAC6" wp14:editId="17CA9AC7">
            <wp:extent cx="2698750" cy="891966"/>
            <wp:effectExtent l="0" t="0" r="6350" b="3810"/>
            <wp:docPr id="3"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650" cy="906806"/>
                    </a:xfrm>
                    <a:prstGeom prst="rect">
                      <a:avLst/>
                    </a:prstGeom>
                    <a:noFill/>
                    <a:ln>
                      <a:noFill/>
                    </a:ln>
                  </pic:spPr>
                </pic:pic>
              </a:graphicData>
            </a:graphic>
          </wp:inline>
        </w:drawing>
      </w:r>
    </w:p>
    <w:p w14:paraId="7B1EB448" w14:textId="77777777" w:rsidR="00CB5CD6" w:rsidRDefault="00CB5CD6" w:rsidP="00CB5CD6">
      <w:pPr>
        <w:spacing w:line="259" w:lineRule="auto"/>
        <w:rPr>
          <w:rFonts w:asciiTheme="minorHAnsi" w:eastAsiaTheme="minorEastAsia" w:hAnsiTheme="minorHAnsi"/>
          <w:b/>
          <w:bCs/>
          <w:sz w:val="40"/>
          <w:szCs w:val="40"/>
        </w:rPr>
      </w:pPr>
    </w:p>
    <w:p w14:paraId="6A93C9C2" w14:textId="77777777" w:rsidR="00C6622D" w:rsidRPr="00E63A3C" w:rsidRDefault="00C6622D" w:rsidP="00CB5CD6">
      <w:pPr>
        <w:spacing w:line="259" w:lineRule="auto"/>
        <w:rPr>
          <w:rFonts w:asciiTheme="minorHAnsi" w:eastAsiaTheme="minorEastAsia" w:hAnsiTheme="minorHAnsi"/>
          <w:b/>
          <w:bCs/>
          <w:sz w:val="40"/>
          <w:szCs w:val="40"/>
        </w:rPr>
      </w:pPr>
    </w:p>
    <w:p w14:paraId="451DE398" w14:textId="13FDF167" w:rsidR="00CB5CD6" w:rsidRPr="00E63A3C" w:rsidRDefault="0042222A" w:rsidP="00CB5CD6">
      <w:pPr>
        <w:spacing w:line="259" w:lineRule="auto"/>
        <w:jc w:val="center"/>
        <w:rPr>
          <w:rFonts w:asciiTheme="minorHAnsi" w:eastAsiaTheme="minorEastAsia" w:hAnsiTheme="minorHAnsi"/>
          <w:b/>
          <w:bCs/>
          <w:i/>
          <w:iCs/>
          <w:sz w:val="40"/>
          <w:szCs w:val="40"/>
        </w:rPr>
      </w:pPr>
      <w:r>
        <w:rPr>
          <w:rFonts w:asciiTheme="minorHAnsi" w:eastAsiaTheme="minorEastAsia" w:hAnsiTheme="minorHAnsi"/>
          <w:b/>
          <w:bCs/>
          <w:i/>
          <w:iCs/>
          <w:sz w:val="40"/>
          <w:szCs w:val="40"/>
        </w:rPr>
        <w:t>Applicatio</w:t>
      </w:r>
      <w:r w:rsidR="00087537" w:rsidRPr="00087537">
        <w:rPr>
          <w:rFonts w:asciiTheme="minorHAnsi" w:eastAsiaTheme="minorEastAsia" w:hAnsiTheme="minorHAnsi"/>
          <w:b/>
          <w:bCs/>
          <w:i/>
          <w:iCs/>
          <w:sz w:val="40"/>
          <w:szCs w:val="40"/>
        </w:rPr>
        <w:t xml:space="preserve">n </w:t>
      </w:r>
      <w:r>
        <w:rPr>
          <w:rFonts w:asciiTheme="minorHAnsi" w:eastAsiaTheme="minorEastAsia" w:hAnsiTheme="minorHAnsi"/>
          <w:b/>
          <w:bCs/>
          <w:i/>
          <w:iCs/>
          <w:sz w:val="40"/>
          <w:szCs w:val="40"/>
        </w:rPr>
        <w:t>o</w:t>
      </w:r>
      <w:r w:rsidR="00087537" w:rsidRPr="00087537">
        <w:rPr>
          <w:rFonts w:asciiTheme="minorHAnsi" w:eastAsiaTheme="minorEastAsia" w:hAnsiTheme="minorHAnsi"/>
          <w:b/>
          <w:bCs/>
          <w:i/>
          <w:iCs/>
          <w:sz w:val="40"/>
          <w:szCs w:val="40"/>
        </w:rPr>
        <w:t xml:space="preserve">f </w:t>
      </w:r>
      <w:r>
        <w:rPr>
          <w:rFonts w:asciiTheme="minorHAnsi" w:eastAsiaTheme="minorEastAsia" w:hAnsiTheme="minorHAnsi"/>
          <w:b/>
          <w:bCs/>
          <w:i/>
          <w:iCs/>
          <w:sz w:val="40"/>
          <w:szCs w:val="40"/>
        </w:rPr>
        <w:t>Automation in Wastewater Treatment</w:t>
      </w:r>
    </w:p>
    <w:p w14:paraId="774D0E1B" w14:textId="77777777" w:rsidR="00C6622D" w:rsidRDefault="00C6622D" w:rsidP="00CB5CD6">
      <w:pPr>
        <w:spacing w:line="259" w:lineRule="auto"/>
        <w:jc w:val="center"/>
        <w:rPr>
          <w:rFonts w:asciiTheme="minorHAnsi" w:eastAsiaTheme="minorEastAsia" w:hAnsiTheme="minorHAnsi"/>
          <w:b/>
          <w:bCs/>
          <w:sz w:val="40"/>
          <w:szCs w:val="40"/>
        </w:rPr>
      </w:pPr>
    </w:p>
    <w:p w14:paraId="3D220EA1" w14:textId="44DD62C2" w:rsidR="00D22E75" w:rsidRPr="00E63A3C" w:rsidRDefault="008310E3" w:rsidP="00CB5CD6">
      <w:pPr>
        <w:spacing w:line="259" w:lineRule="auto"/>
        <w:jc w:val="center"/>
        <w:rPr>
          <w:rFonts w:asciiTheme="minorHAnsi" w:eastAsiaTheme="minorEastAsia" w:hAnsiTheme="minorHAnsi"/>
          <w:b/>
          <w:bCs/>
          <w:sz w:val="40"/>
          <w:szCs w:val="40"/>
        </w:rPr>
      </w:pPr>
      <w:r>
        <w:rPr>
          <w:rFonts w:asciiTheme="minorHAnsi" w:eastAsiaTheme="minorEastAsia" w:hAnsiTheme="minorHAnsi"/>
          <w:b/>
          <w:bCs/>
          <w:sz w:val="40"/>
          <w:szCs w:val="40"/>
        </w:rPr>
        <w:t>C</w:t>
      </w:r>
      <w:r w:rsidRPr="008310E3">
        <w:rPr>
          <w:rFonts w:asciiTheme="minorHAnsi" w:eastAsiaTheme="minorEastAsia" w:hAnsiTheme="minorHAnsi"/>
          <w:b/>
          <w:bCs/>
          <w:sz w:val="40"/>
          <w:szCs w:val="40"/>
        </w:rPr>
        <w:t>ontrol &amp; Automation</w:t>
      </w:r>
      <w:r w:rsidR="00D22E75">
        <w:rPr>
          <w:rFonts w:asciiTheme="minorHAnsi" w:eastAsiaTheme="minorEastAsia" w:hAnsiTheme="minorHAnsi"/>
          <w:b/>
          <w:bCs/>
          <w:sz w:val="40"/>
          <w:szCs w:val="40"/>
        </w:rPr>
        <w:t xml:space="preserve"> ACMA</w:t>
      </w:r>
      <w:r w:rsidR="00413E55">
        <w:rPr>
          <w:rFonts w:asciiTheme="minorHAnsi" w:eastAsiaTheme="minorEastAsia" w:hAnsiTheme="minorHAnsi"/>
          <w:b/>
          <w:bCs/>
          <w:sz w:val="40"/>
          <w:szCs w:val="40"/>
        </w:rPr>
        <w:t>5</w:t>
      </w:r>
      <w:r w:rsidR="00532EE7">
        <w:rPr>
          <w:rFonts w:asciiTheme="minorHAnsi" w:eastAsiaTheme="minorEastAsia" w:hAnsiTheme="minorHAnsi"/>
          <w:b/>
          <w:bCs/>
          <w:sz w:val="40"/>
          <w:szCs w:val="40"/>
        </w:rPr>
        <w:t>0</w:t>
      </w:r>
      <w:r w:rsidR="000B0741">
        <w:rPr>
          <w:rFonts w:asciiTheme="minorHAnsi" w:eastAsiaTheme="minorEastAsia" w:hAnsiTheme="minorHAnsi"/>
          <w:b/>
          <w:bCs/>
          <w:sz w:val="40"/>
          <w:szCs w:val="40"/>
        </w:rPr>
        <w:t>0</w:t>
      </w:r>
      <w:r>
        <w:rPr>
          <w:rFonts w:asciiTheme="minorHAnsi" w:eastAsiaTheme="minorEastAsia" w:hAnsiTheme="minorHAnsi"/>
          <w:b/>
          <w:bCs/>
          <w:sz w:val="40"/>
          <w:szCs w:val="40"/>
        </w:rPr>
        <w:t>1</w:t>
      </w:r>
    </w:p>
    <w:p w14:paraId="3253FA4F" w14:textId="77777777" w:rsidR="00532EE7" w:rsidRDefault="00532EE7" w:rsidP="00CB5CD6">
      <w:pPr>
        <w:spacing w:line="259" w:lineRule="auto"/>
        <w:jc w:val="center"/>
        <w:rPr>
          <w:rFonts w:asciiTheme="minorHAnsi" w:eastAsiaTheme="minorEastAsia" w:hAnsiTheme="minorHAnsi"/>
          <w:sz w:val="28"/>
          <w:szCs w:val="28"/>
        </w:rPr>
      </w:pPr>
    </w:p>
    <w:p w14:paraId="27B1EEAF" w14:textId="77777777" w:rsidR="00532EE7" w:rsidRDefault="00532EE7" w:rsidP="00D06541">
      <w:pPr>
        <w:spacing w:line="259" w:lineRule="auto"/>
        <w:rPr>
          <w:rFonts w:asciiTheme="minorHAnsi" w:eastAsiaTheme="minorEastAsia" w:hAnsiTheme="minorHAnsi"/>
          <w:sz w:val="28"/>
          <w:szCs w:val="28"/>
        </w:rPr>
      </w:pPr>
    </w:p>
    <w:p w14:paraId="2A4171C6" w14:textId="477B1140" w:rsidR="00A0154A" w:rsidRPr="008665BA" w:rsidRDefault="00BC40E4" w:rsidP="00CB5CD6">
      <w:pPr>
        <w:spacing w:line="259" w:lineRule="auto"/>
        <w:jc w:val="center"/>
        <w:rPr>
          <w:rFonts w:asciiTheme="minorHAnsi" w:eastAsiaTheme="minorEastAsia" w:hAnsiTheme="minorHAnsi"/>
          <w:sz w:val="36"/>
          <w:szCs w:val="36"/>
        </w:rPr>
      </w:pPr>
      <w:r>
        <w:rPr>
          <w:rFonts w:asciiTheme="minorHAnsi" w:eastAsiaTheme="minorEastAsia" w:hAnsiTheme="minorHAnsi"/>
          <w:sz w:val="36"/>
          <w:szCs w:val="36"/>
        </w:rPr>
        <w:t xml:space="preserve">Ifeoluwa </w:t>
      </w:r>
      <w:r w:rsidR="001136E2">
        <w:rPr>
          <w:rFonts w:asciiTheme="minorHAnsi" w:eastAsiaTheme="minorEastAsia" w:hAnsiTheme="minorHAnsi"/>
          <w:sz w:val="36"/>
          <w:szCs w:val="36"/>
        </w:rPr>
        <w:t>Grace</w:t>
      </w:r>
      <w:r w:rsidR="00CB5CD6" w:rsidRPr="008665BA">
        <w:rPr>
          <w:rFonts w:asciiTheme="minorHAnsi" w:eastAsiaTheme="minorEastAsia" w:hAnsiTheme="minorHAnsi"/>
          <w:sz w:val="36"/>
          <w:szCs w:val="36"/>
        </w:rPr>
        <w:t xml:space="preserve"> </w:t>
      </w:r>
      <w:r w:rsidR="001136E2">
        <w:rPr>
          <w:rFonts w:asciiTheme="minorHAnsi" w:eastAsiaTheme="minorEastAsia" w:hAnsiTheme="minorHAnsi"/>
          <w:sz w:val="36"/>
          <w:szCs w:val="36"/>
        </w:rPr>
        <w:t>Ekhator</w:t>
      </w:r>
      <w:r w:rsidR="00CB5CD6" w:rsidRPr="008665BA">
        <w:rPr>
          <w:rFonts w:asciiTheme="minorHAnsi" w:eastAsiaTheme="minorEastAsia" w:hAnsiTheme="minorHAnsi"/>
          <w:sz w:val="36"/>
          <w:szCs w:val="36"/>
        </w:rPr>
        <w:t xml:space="preserve"> </w:t>
      </w:r>
    </w:p>
    <w:p w14:paraId="6092F6F7" w14:textId="0F8A645E" w:rsidR="00CB5CD6" w:rsidRPr="008665BA" w:rsidRDefault="00CB5CD6" w:rsidP="00C6622D">
      <w:pPr>
        <w:spacing w:line="259" w:lineRule="auto"/>
        <w:jc w:val="center"/>
        <w:rPr>
          <w:rFonts w:asciiTheme="minorHAnsi" w:eastAsiaTheme="minorEastAsia" w:hAnsiTheme="minorHAnsi"/>
          <w:sz w:val="36"/>
          <w:szCs w:val="36"/>
        </w:rPr>
      </w:pPr>
      <w:r w:rsidRPr="008665BA">
        <w:rPr>
          <w:rFonts w:asciiTheme="minorHAnsi" w:eastAsiaTheme="minorEastAsia" w:hAnsiTheme="minorHAnsi"/>
          <w:sz w:val="36"/>
          <w:szCs w:val="36"/>
        </w:rPr>
        <w:t>2</w:t>
      </w:r>
      <w:r w:rsidR="001136E2">
        <w:rPr>
          <w:rFonts w:asciiTheme="minorHAnsi" w:eastAsiaTheme="minorEastAsia" w:hAnsiTheme="minorHAnsi"/>
          <w:sz w:val="36"/>
          <w:szCs w:val="36"/>
        </w:rPr>
        <w:t>418900</w:t>
      </w:r>
    </w:p>
    <w:p w14:paraId="011959D8" w14:textId="2268D0E1" w:rsidR="00CB5CD6" w:rsidRPr="008665BA" w:rsidRDefault="00D46CF1" w:rsidP="00CB5CD6">
      <w:pPr>
        <w:spacing w:line="259" w:lineRule="auto"/>
        <w:jc w:val="center"/>
        <w:rPr>
          <w:rFonts w:asciiTheme="minorHAnsi" w:eastAsiaTheme="minorEastAsia" w:hAnsiTheme="minorHAnsi"/>
          <w:i/>
          <w:iCs/>
          <w:sz w:val="36"/>
          <w:szCs w:val="36"/>
        </w:rPr>
      </w:pPr>
      <w:r>
        <w:rPr>
          <w:rFonts w:asciiTheme="minorHAnsi" w:eastAsiaTheme="minorEastAsia" w:hAnsiTheme="minorHAnsi"/>
          <w:i/>
          <w:iCs/>
          <w:sz w:val="36"/>
          <w:szCs w:val="36"/>
        </w:rPr>
        <w:t>Ap</w:t>
      </w:r>
      <w:r w:rsidR="001136E2">
        <w:rPr>
          <w:rFonts w:asciiTheme="minorHAnsi" w:eastAsiaTheme="minorEastAsia" w:hAnsiTheme="minorHAnsi"/>
          <w:i/>
          <w:iCs/>
          <w:sz w:val="36"/>
          <w:szCs w:val="36"/>
        </w:rPr>
        <w:t>r</w:t>
      </w:r>
      <w:r>
        <w:rPr>
          <w:rFonts w:asciiTheme="minorHAnsi" w:eastAsiaTheme="minorEastAsia" w:hAnsiTheme="minorHAnsi"/>
          <w:i/>
          <w:iCs/>
          <w:sz w:val="36"/>
          <w:szCs w:val="36"/>
        </w:rPr>
        <w:t>il</w:t>
      </w:r>
      <w:r w:rsidR="00CB5CD6" w:rsidRPr="008665BA">
        <w:rPr>
          <w:rFonts w:asciiTheme="minorHAnsi" w:eastAsiaTheme="minorEastAsia" w:hAnsiTheme="minorHAnsi"/>
          <w:i/>
          <w:iCs/>
          <w:sz w:val="36"/>
          <w:szCs w:val="36"/>
        </w:rPr>
        <w:t xml:space="preserve"> 202</w:t>
      </w:r>
      <w:r w:rsidR="00703C80">
        <w:rPr>
          <w:rFonts w:asciiTheme="minorHAnsi" w:eastAsiaTheme="minorEastAsia" w:hAnsiTheme="minorHAnsi"/>
          <w:i/>
          <w:iCs/>
          <w:sz w:val="36"/>
          <w:szCs w:val="36"/>
        </w:rPr>
        <w:t>6</w:t>
      </w:r>
    </w:p>
    <w:p w14:paraId="44986D77" w14:textId="77777777" w:rsidR="00CB5CD6" w:rsidRPr="00E63A3C" w:rsidRDefault="00CB5CD6" w:rsidP="00CB5CD6">
      <w:pPr>
        <w:spacing w:line="259" w:lineRule="auto"/>
        <w:jc w:val="center"/>
        <w:rPr>
          <w:rFonts w:asciiTheme="minorHAnsi" w:eastAsiaTheme="minorEastAsia" w:hAnsiTheme="minorHAnsi"/>
          <w:sz w:val="28"/>
          <w:szCs w:val="28"/>
        </w:rPr>
      </w:pPr>
    </w:p>
    <w:p w14:paraId="37FA12D6" w14:textId="77777777" w:rsidR="00CB5CD6" w:rsidRPr="00E63A3C" w:rsidRDefault="00CB5CD6" w:rsidP="00CB5CD6">
      <w:pPr>
        <w:spacing w:line="259" w:lineRule="auto"/>
        <w:jc w:val="center"/>
        <w:rPr>
          <w:rFonts w:asciiTheme="minorHAnsi" w:eastAsiaTheme="minorEastAsia" w:hAnsiTheme="minorHAnsi"/>
          <w:sz w:val="28"/>
          <w:szCs w:val="28"/>
        </w:rPr>
      </w:pPr>
    </w:p>
    <w:p w14:paraId="17FA8C1B" w14:textId="77777777" w:rsidR="00233C32" w:rsidRDefault="00233C32">
      <w:pPr>
        <w:spacing w:line="259" w:lineRule="auto"/>
      </w:pPr>
      <w:r>
        <w:br w:type="page"/>
      </w:r>
    </w:p>
    <w:p w14:paraId="7B63B5DE" w14:textId="0FCD241A" w:rsidR="00074D86" w:rsidRPr="00B74F33" w:rsidRDefault="00BA45CF" w:rsidP="001521CA">
      <w:pPr>
        <w:pStyle w:val="Heading1"/>
        <w:numPr>
          <w:ilvl w:val="0"/>
          <w:numId w:val="0"/>
        </w:numPr>
        <w:ind w:left="432" w:hanging="432"/>
        <w:rPr>
          <w:rFonts w:cs="Arial"/>
        </w:rPr>
      </w:pPr>
      <w:bookmarkStart w:id="0" w:name="_Toc228171165"/>
      <w:r w:rsidRPr="00B74F33">
        <w:rPr>
          <w:rFonts w:cs="Arial"/>
        </w:rPr>
        <w:t>Abstract</w:t>
      </w:r>
      <w:bookmarkEnd w:id="0"/>
    </w:p>
    <w:p w14:paraId="311FBA7D" w14:textId="7A0D1654" w:rsidR="00501CB0" w:rsidRPr="00565810" w:rsidRDefault="008310E3" w:rsidP="008310E3">
      <w:r w:rsidRPr="008310E3">
        <w:t>Automation has become integral to contemporary municipal wastewater treatment plants (WWTPs), enabling tighter process control, improved energy efficiency and consistent regulatory compliance. This report critically evaluates the deployment of sensors, programmable logic controllers (PLCs), supervisory control and data acquisition (SCADA) platforms and advanced process control (APC) across primary, secondary and tertiary treatment. Evidence from the literature is synthesised with engineering analysis to assess performance gains—particularly in aeration, the dominant energy consumer. Diagrammatic figures illustrate typical control architectures. While automation delivers measurable benefits in stability and cost efficiency, it introduces dependencies on instrumentation integrity, cyber resilience and operator competence. Overall, automation is shown to be essential for high-performing, sustainable WWTPs, provided that design, maintenance and governance are robust.</w:t>
      </w:r>
      <w:r w:rsidR="00565810">
        <w:tab/>
      </w:r>
      <w:r w:rsidR="007B5278">
        <w:tab/>
      </w:r>
      <w:r w:rsidR="007B5278">
        <w:tab/>
      </w:r>
      <w:r w:rsidR="007B5278">
        <w:tab/>
      </w:r>
      <w:r w:rsidR="00074D86" w:rsidRPr="00B74F33">
        <w:rPr>
          <w:rFonts w:cs="Arial"/>
        </w:rPr>
        <w:br w:type="page"/>
      </w:r>
    </w:p>
    <w:sdt>
      <w:sdtPr>
        <w:rPr>
          <w:rFonts w:ascii="Arial" w:eastAsiaTheme="minorHAnsi" w:hAnsi="Arial"/>
          <w:color w:val="000000" w:themeColor="text1"/>
          <w:sz w:val="24"/>
          <w:szCs w:val="24"/>
          <w:lang w:val="en-GB"/>
        </w:rPr>
        <w:id w:val="1727458286"/>
        <w:docPartObj>
          <w:docPartGallery w:val="Table of Contents"/>
          <w:docPartUnique/>
        </w:docPartObj>
      </w:sdtPr>
      <w:sdtEndPr/>
      <w:sdtContent>
        <w:p w14:paraId="5D3E7286" w14:textId="5A56557C" w:rsidR="00032D31" w:rsidRPr="00B74F33" w:rsidRDefault="00032D31" w:rsidP="004C25F0">
          <w:pPr>
            <w:pStyle w:val="TOCHeading"/>
            <w:ind w:left="432"/>
            <w:rPr>
              <w:rFonts w:ascii="Arial" w:eastAsia="Arial" w:hAnsi="Arial" w:cs="Arial"/>
            </w:rPr>
          </w:pPr>
          <w:r w:rsidRPr="00B74F33">
            <w:rPr>
              <w:rFonts w:ascii="Arial" w:hAnsi="Arial" w:cs="Arial"/>
            </w:rPr>
            <w:t>Contents</w:t>
          </w:r>
        </w:p>
        <w:p w14:paraId="4BB7CED1" w14:textId="0839F4C5" w:rsidR="000A333B" w:rsidRDefault="6CB4D2C2">
          <w:pPr>
            <w:pStyle w:val="TOC1"/>
            <w:tabs>
              <w:tab w:val="right" w:leader="dot" w:pos="9016"/>
            </w:tabs>
            <w:rPr>
              <w:rFonts w:asciiTheme="minorHAnsi" w:eastAsiaTheme="minorEastAsia" w:hAnsiTheme="minorHAnsi" w:cstheme="minorBidi"/>
              <w:noProof/>
              <w:color w:val="auto"/>
              <w:kern w:val="2"/>
              <w:lang w:eastAsia="en-GB"/>
              <w14:ligatures w14:val="standardContextual"/>
            </w:rPr>
          </w:pPr>
          <w:r>
            <w:fldChar w:fldCharType="begin"/>
          </w:r>
          <w:r w:rsidR="00032D31">
            <w:instrText>TOC \o "1-3" \z \u \h</w:instrText>
          </w:r>
          <w:r>
            <w:fldChar w:fldCharType="separate"/>
          </w:r>
          <w:hyperlink w:anchor="_Toc228171165" w:history="1">
            <w:r w:rsidR="000A333B" w:rsidRPr="00B93167">
              <w:rPr>
                <w:rStyle w:val="Hyperlink"/>
                <w:rFonts w:cs="Arial"/>
                <w:noProof/>
              </w:rPr>
              <w:t>Abstract</w:t>
            </w:r>
            <w:r w:rsidR="000A333B">
              <w:rPr>
                <w:noProof/>
                <w:webHidden/>
              </w:rPr>
              <w:tab/>
            </w:r>
            <w:r w:rsidR="000A333B">
              <w:rPr>
                <w:noProof/>
                <w:webHidden/>
              </w:rPr>
              <w:fldChar w:fldCharType="begin"/>
            </w:r>
            <w:r w:rsidR="000A333B">
              <w:rPr>
                <w:noProof/>
                <w:webHidden/>
              </w:rPr>
              <w:instrText xml:space="preserve"> PAGEREF _Toc228171165 \h </w:instrText>
            </w:r>
            <w:r w:rsidR="000A333B">
              <w:rPr>
                <w:noProof/>
                <w:webHidden/>
              </w:rPr>
            </w:r>
            <w:r w:rsidR="000A333B">
              <w:rPr>
                <w:noProof/>
                <w:webHidden/>
              </w:rPr>
              <w:fldChar w:fldCharType="separate"/>
            </w:r>
            <w:r w:rsidR="000A333B">
              <w:rPr>
                <w:noProof/>
                <w:webHidden/>
              </w:rPr>
              <w:t>1</w:t>
            </w:r>
            <w:r w:rsidR="000A333B">
              <w:rPr>
                <w:noProof/>
                <w:webHidden/>
              </w:rPr>
              <w:fldChar w:fldCharType="end"/>
            </w:r>
          </w:hyperlink>
        </w:p>
        <w:p w14:paraId="6586189E" w14:textId="0AB04774"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66" w:history="1">
            <w:r w:rsidRPr="00B93167">
              <w:rPr>
                <w:rStyle w:val="Hyperlink"/>
                <w:rFonts w:eastAsia="Arial" w:cs="Arial"/>
                <w:noProof/>
              </w:rPr>
              <w:t>1</w:t>
            </w:r>
            <w:r>
              <w:rPr>
                <w:rFonts w:asciiTheme="minorHAnsi" w:eastAsiaTheme="minorEastAsia" w:hAnsiTheme="minorHAnsi" w:cstheme="minorBidi"/>
                <w:noProof/>
                <w:color w:val="auto"/>
                <w:kern w:val="2"/>
                <w:lang w:eastAsia="en-GB"/>
                <w14:ligatures w14:val="standardContextual"/>
              </w:rPr>
              <w:tab/>
            </w:r>
            <w:r w:rsidRPr="00B93167">
              <w:rPr>
                <w:rStyle w:val="Hyperlink"/>
                <w:rFonts w:eastAsia="Arial" w:cs="Arial"/>
                <w:noProof/>
              </w:rPr>
              <w:t>Introduction</w:t>
            </w:r>
            <w:r>
              <w:rPr>
                <w:noProof/>
                <w:webHidden/>
              </w:rPr>
              <w:tab/>
            </w:r>
            <w:r>
              <w:rPr>
                <w:noProof/>
                <w:webHidden/>
              </w:rPr>
              <w:fldChar w:fldCharType="begin"/>
            </w:r>
            <w:r>
              <w:rPr>
                <w:noProof/>
                <w:webHidden/>
              </w:rPr>
              <w:instrText xml:space="preserve"> PAGEREF _Toc228171166 \h </w:instrText>
            </w:r>
            <w:r>
              <w:rPr>
                <w:noProof/>
                <w:webHidden/>
              </w:rPr>
            </w:r>
            <w:r>
              <w:rPr>
                <w:noProof/>
                <w:webHidden/>
              </w:rPr>
              <w:fldChar w:fldCharType="separate"/>
            </w:r>
            <w:r>
              <w:rPr>
                <w:noProof/>
                <w:webHidden/>
              </w:rPr>
              <w:t>1</w:t>
            </w:r>
            <w:r>
              <w:rPr>
                <w:noProof/>
                <w:webHidden/>
              </w:rPr>
              <w:fldChar w:fldCharType="end"/>
            </w:r>
          </w:hyperlink>
        </w:p>
        <w:p w14:paraId="646B466E" w14:textId="6E3F3C5A"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67" w:history="1">
            <w:r w:rsidRPr="00B93167">
              <w:rPr>
                <w:rStyle w:val="Hyperlink"/>
                <w:noProof/>
              </w:rPr>
              <w:t>2</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Literature Review</w:t>
            </w:r>
            <w:r>
              <w:rPr>
                <w:noProof/>
                <w:webHidden/>
              </w:rPr>
              <w:tab/>
            </w:r>
            <w:r>
              <w:rPr>
                <w:noProof/>
                <w:webHidden/>
              </w:rPr>
              <w:fldChar w:fldCharType="begin"/>
            </w:r>
            <w:r>
              <w:rPr>
                <w:noProof/>
                <w:webHidden/>
              </w:rPr>
              <w:instrText xml:space="preserve"> PAGEREF _Toc228171167 \h </w:instrText>
            </w:r>
            <w:r>
              <w:rPr>
                <w:noProof/>
                <w:webHidden/>
              </w:rPr>
            </w:r>
            <w:r>
              <w:rPr>
                <w:noProof/>
                <w:webHidden/>
              </w:rPr>
              <w:fldChar w:fldCharType="separate"/>
            </w:r>
            <w:r>
              <w:rPr>
                <w:noProof/>
                <w:webHidden/>
              </w:rPr>
              <w:t>1</w:t>
            </w:r>
            <w:r>
              <w:rPr>
                <w:noProof/>
                <w:webHidden/>
              </w:rPr>
              <w:fldChar w:fldCharType="end"/>
            </w:r>
          </w:hyperlink>
        </w:p>
        <w:p w14:paraId="0279CC6C" w14:textId="639EA318"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68" w:history="1">
            <w:r w:rsidRPr="00B93167">
              <w:rPr>
                <w:rStyle w:val="Hyperlink"/>
                <w:noProof/>
              </w:rPr>
              <w:t>3</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Historical Development of ICA in Wastewater Treatment</w:t>
            </w:r>
            <w:r>
              <w:rPr>
                <w:noProof/>
                <w:webHidden/>
              </w:rPr>
              <w:tab/>
            </w:r>
            <w:r>
              <w:rPr>
                <w:noProof/>
                <w:webHidden/>
              </w:rPr>
              <w:fldChar w:fldCharType="begin"/>
            </w:r>
            <w:r>
              <w:rPr>
                <w:noProof/>
                <w:webHidden/>
              </w:rPr>
              <w:instrText xml:space="preserve"> PAGEREF _Toc228171168 \h </w:instrText>
            </w:r>
            <w:r>
              <w:rPr>
                <w:noProof/>
                <w:webHidden/>
              </w:rPr>
            </w:r>
            <w:r>
              <w:rPr>
                <w:noProof/>
                <w:webHidden/>
              </w:rPr>
              <w:fldChar w:fldCharType="separate"/>
            </w:r>
            <w:r>
              <w:rPr>
                <w:noProof/>
                <w:webHidden/>
              </w:rPr>
              <w:t>1</w:t>
            </w:r>
            <w:r>
              <w:rPr>
                <w:noProof/>
                <w:webHidden/>
              </w:rPr>
              <w:fldChar w:fldCharType="end"/>
            </w:r>
          </w:hyperlink>
        </w:p>
        <w:p w14:paraId="15A3F246" w14:textId="54514018"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69" w:history="1">
            <w:r w:rsidRPr="00B93167">
              <w:rPr>
                <w:rStyle w:val="Hyperlink"/>
                <w:noProof/>
              </w:rPr>
              <w:t>4</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Wastewater Treatment Process and ICA Demands</w:t>
            </w:r>
            <w:r>
              <w:rPr>
                <w:noProof/>
                <w:webHidden/>
              </w:rPr>
              <w:tab/>
            </w:r>
            <w:r>
              <w:rPr>
                <w:noProof/>
                <w:webHidden/>
              </w:rPr>
              <w:fldChar w:fldCharType="begin"/>
            </w:r>
            <w:r>
              <w:rPr>
                <w:noProof/>
                <w:webHidden/>
              </w:rPr>
              <w:instrText xml:space="preserve"> PAGEREF _Toc228171169 \h </w:instrText>
            </w:r>
            <w:r>
              <w:rPr>
                <w:noProof/>
                <w:webHidden/>
              </w:rPr>
            </w:r>
            <w:r>
              <w:rPr>
                <w:noProof/>
                <w:webHidden/>
              </w:rPr>
              <w:fldChar w:fldCharType="separate"/>
            </w:r>
            <w:r>
              <w:rPr>
                <w:noProof/>
                <w:webHidden/>
              </w:rPr>
              <w:t>1</w:t>
            </w:r>
            <w:r>
              <w:rPr>
                <w:noProof/>
                <w:webHidden/>
              </w:rPr>
              <w:fldChar w:fldCharType="end"/>
            </w:r>
          </w:hyperlink>
        </w:p>
        <w:p w14:paraId="4D923342" w14:textId="52633A7D"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0" w:history="1">
            <w:r w:rsidRPr="00B93167">
              <w:rPr>
                <w:rStyle w:val="Hyperlink"/>
                <w:noProof/>
              </w:rPr>
              <w:t>5</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Field Instrumentation and Sensors</w:t>
            </w:r>
            <w:r>
              <w:rPr>
                <w:noProof/>
                <w:webHidden/>
              </w:rPr>
              <w:tab/>
            </w:r>
            <w:r>
              <w:rPr>
                <w:noProof/>
                <w:webHidden/>
              </w:rPr>
              <w:fldChar w:fldCharType="begin"/>
            </w:r>
            <w:r>
              <w:rPr>
                <w:noProof/>
                <w:webHidden/>
              </w:rPr>
              <w:instrText xml:space="preserve"> PAGEREF _Toc228171170 \h </w:instrText>
            </w:r>
            <w:r>
              <w:rPr>
                <w:noProof/>
                <w:webHidden/>
              </w:rPr>
            </w:r>
            <w:r>
              <w:rPr>
                <w:noProof/>
                <w:webHidden/>
              </w:rPr>
              <w:fldChar w:fldCharType="separate"/>
            </w:r>
            <w:r>
              <w:rPr>
                <w:noProof/>
                <w:webHidden/>
              </w:rPr>
              <w:t>1</w:t>
            </w:r>
            <w:r>
              <w:rPr>
                <w:noProof/>
                <w:webHidden/>
              </w:rPr>
              <w:fldChar w:fldCharType="end"/>
            </w:r>
          </w:hyperlink>
        </w:p>
        <w:p w14:paraId="7CC554EC" w14:textId="5FD2181D"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1" w:history="1">
            <w:r w:rsidRPr="00B93167">
              <w:rPr>
                <w:rStyle w:val="Hyperlink"/>
                <w:noProof/>
              </w:rPr>
              <w:t>6</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Process Controllers</w:t>
            </w:r>
            <w:r>
              <w:rPr>
                <w:noProof/>
                <w:webHidden/>
              </w:rPr>
              <w:tab/>
            </w:r>
            <w:r>
              <w:rPr>
                <w:noProof/>
                <w:webHidden/>
              </w:rPr>
              <w:fldChar w:fldCharType="begin"/>
            </w:r>
            <w:r>
              <w:rPr>
                <w:noProof/>
                <w:webHidden/>
              </w:rPr>
              <w:instrText xml:space="preserve"> PAGEREF _Toc228171171 \h </w:instrText>
            </w:r>
            <w:r>
              <w:rPr>
                <w:noProof/>
                <w:webHidden/>
              </w:rPr>
            </w:r>
            <w:r>
              <w:rPr>
                <w:noProof/>
                <w:webHidden/>
              </w:rPr>
              <w:fldChar w:fldCharType="separate"/>
            </w:r>
            <w:r>
              <w:rPr>
                <w:noProof/>
                <w:webHidden/>
              </w:rPr>
              <w:t>1</w:t>
            </w:r>
            <w:r>
              <w:rPr>
                <w:noProof/>
                <w:webHidden/>
              </w:rPr>
              <w:fldChar w:fldCharType="end"/>
            </w:r>
          </w:hyperlink>
        </w:p>
        <w:p w14:paraId="3957DBCB" w14:textId="4294DB72" w:rsidR="000A333B" w:rsidRDefault="000A333B">
          <w:pPr>
            <w:pStyle w:val="TOC2"/>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2" w:history="1">
            <w:r w:rsidRPr="00B93167">
              <w:rPr>
                <w:rStyle w:val="Hyperlink"/>
                <w:rFonts w:cs="Arial"/>
                <w:noProof/>
              </w:rPr>
              <w:t>6.1</w:t>
            </w:r>
            <w:r>
              <w:rPr>
                <w:rFonts w:asciiTheme="minorHAnsi" w:eastAsiaTheme="minorEastAsia" w:hAnsiTheme="minorHAnsi" w:cstheme="minorBidi"/>
                <w:noProof/>
                <w:color w:val="auto"/>
                <w:kern w:val="2"/>
                <w:lang w:eastAsia="en-GB"/>
                <w14:ligatures w14:val="standardContextual"/>
              </w:rPr>
              <w:tab/>
            </w:r>
            <w:r w:rsidRPr="00B93167">
              <w:rPr>
                <w:rStyle w:val="Hyperlink"/>
                <w:rFonts w:cs="Arial"/>
                <w:noProof/>
              </w:rPr>
              <w:t>Programmable Logic Controllers</w:t>
            </w:r>
            <w:r>
              <w:rPr>
                <w:noProof/>
                <w:webHidden/>
              </w:rPr>
              <w:tab/>
            </w:r>
            <w:r>
              <w:rPr>
                <w:noProof/>
                <w:webHidden/>
              </w:rPr>
              <w:fldChar w:fldCharType="begin"/>
            </w:r>
            <w:r>
              <w:rPr>
                <w:noProof/>
                <w:webHidden/>
              </w:rPr>
              <w:instrText xml:space="preserve"> PAGEREF _Toc228171172 \h </w:instrText>
            </w:r>
            <w:r>
              <w:rPr>
                <w:noProof/>
                <w:webHidden/>
              </w:rPr>
            </w:r>
            <w:r>
              <w:rPr>
                <w:noProof/>
                <w:webHidden/>
              </w:rPr>
              <w:fldChar w:fldCharType="separate"/>
            </w:r>
            <w:r>
              <w:rPr>
                <w:noProof/>
                <w:webHidden/>
              </w:rPr>
              <w:t>1</w:t>
            </w:r>
            <w:r>
              <w:rPr>
                <w:noProof/>
                <w:webHidden/>
              </w:rPr>
              <w:fldChar w:fldCharType="end"/>
            </w:r>
          </w:hyperlink>
        </w:p>
        <w:p w14:paraId="7A97D089" w14:textId="7766FC23" w:rsidR="000A333B" w:rsidRDefault="000A333B">
          <w:pPr>
            <w:pStyle w:val="TOC2"/>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3" w:history="1">
            <w:r w:rsidRPr="00B93167">
              <w:rPr>
                <w:rStyle w:val="Hyperlink"/>
                <w:rFonts w:cs="Arial"/>
                <w:noProof/>
              </w:rPr>
              <w:t>6.2</w:t>
            </w:r>
            <w:r>
              <w:rPr>
                <w:rFonts w:asciiTheme="minorHAnsi" w:eastAsiaTheme="minorEastAsia" w:hAnsiTheme="minorHAnsi" w:cstheme="minorBidi"/>
                <w:noProof/>
                <w:color w:val="auto"/>
                <w:kern w:val="2"/>
                <w:lang w:eastAsia="en-GB"/>
                <w14:ligatures w14:val="standardContextual"/>
              </w:rPr>
              <w:tab/>
            </w:r>
            <w:r w:rsidRPr="00B93167">
              <w:rPr>
                <w:rStyle w:val="Hyperlink"/>
                <w:rFonts w:cs="Arial"/>
                <w:noProof/>
              </w:rPr>
              <w:t>PID Control and Its Practical Limitations</w:t>
            </w:r>
            <w:r>
              <w:rPr>
                <w:noProof/>
                <w:webHidden/>
              </w:rPr>
              <w:tab/>
            </w:r>
            <w:r>
              <w:rPr>
                <w:noProof/>
                <w:webHidden/>
              </w:rPr>
              <w:fldChar w:fldCharType="begin"/>
            </w:r>
            <w:r>
              <w:rPr>
                <w:noProof/>
                <w:webHidden/>
              </w:rPr>
              <w:instrText xml:space="preserve"> PAGEREF _Toc228171173 \h </w:instrText>
            </w:r>
            <w:r>
              <w:rPr>
                <w:noProof/>
                <w:webHidden/>
              </w:rPr>
            </w:r>
            <w:r>
              <w:rPr>
                <w:noProof/>
                <w:webHidden/>
              </w:rPr>
              <w:fldChar w:fldCharType="separate"/>
            </w:r>
            <w:r>
              <w:rPr>
                <w:noProof/>
                <w:webHidden/>
              </w:rPr>
              <w:t>1</w:t>
            </w:r>
            <w:r>
              <w:rPr>
                <w:noProof/>
                <w:webHidden/>
              </w:rPr>
              <w:fldChar w:fldCharType="end"/>
            </w:r>
          </w:hyperlink>
        </w:p>
        <w:p w14:paraId="2D281726" w14:textId="7017E01F" w:rsidR="000A333B" w:rsidRDefault="000A333B">
          <w:pPr>
            <w:pStyle w:val="TOC2"/>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4" w:history="1">
            <w:r w:rsidRPr="00B93167">
              <w:rPr>
                <w:rStyle w:val="Hyperlink"/>
                <w:rFonts w:cs="Arial"/>
                <w:noProof/>
              </w:rPr>
              <w:t>6.3</w:t>
            </w:r>
            <w:r>
              <w:rPr>
                <w:rFonts w:asciiTheme="minorHAnsi" w:eastAsiaTheme="minorEastAsia" w:hAnsiTheme="minorHAnsi" w:cstheme="minorBidi"/>
                <w:noProof/>
                <w:color w:val="auto"/>
                <w:kern w:val="2"/>
                <w:lang w:eastAsia="en-GB"/>
                <w14:ligatures w14:val="standardContextual"/>
              </w:rPr>
              <w:tab/>
            </w:r>
            <w:r w:rsidRPr="00B93167">
              <w:rPr>
                <w:rStyle w:val="Hyperlink"/>
                <w:rFonts w:cs="Arial"/>
                <w:noProof/>
              </w:rPr>
              <w:t>Distributed Control Systems</w:t>
            </w:r>
            <w:r>
              <w:rPr>
                <w:noProof/>
                <w:webHidden/>
              </w:rPr>
              <w:tab/>
            </w:r>
            <w:r>
              <w:rPr>
                <w:noProof/>
                <w:webHidden/>
              </w:rPr>
              <w:fldChar w:fldCharType="begin"/>
            </w:r>
            <w:r>
              <w:rPr>
                <w:noProof/>
                <w:webHidden/>
              </w:rPr>
              <w:instrText xml:space="preserve"> PAGEREF _Toc228171174 \h </w:instrText>
            </w:r>
            <w:r>
              <w:rPr>
                <w:noProof/>
                <w:webHidden/>
              </w:rPr>
            </w:r>
            <w:r>
              <w:rPr>
                <w:noProof/>
                <w:webHidden/>
              </w:rPr>
              <w:fldChar w:fldCharType="separate"/>
            </w:r>
            <w:r>
              <w:rPr>
                <w:noProof/>
                <w:webHidden/>
              </w:rPr>
              <w:t>1</w:t>
            </w:r>
            <w:r>
              <w:rPr>
                <w:noProof/>
                <w:webHidden/>
              </w:rPr>
              <w:fldChar w:fldCharType="end"/>
            </w:r>
          </w:hyperlink>
        </w:p>
        <w:p w14:paraId="760CDE8C" w14:textId="4F41B94A"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5" w:history="1">
            <w:r w:rsidRPr="00B93167">
              <w:rPr>
                <w:rStyle w:val="Hyperlink"/>
                <w:rFonts w:eastAsia="Arial" w:cs="Arial"/>
                <w:noProof/>
              </w:rPr>
              <w:t>7</w:t>
            </w:r>
            <w:r>
              <w:rPr>
                <w:rFonts w:asciiTheme="minorHAnsi" w:eastAsiaTheme="minorEastAsia" w:hAnsiTheme="minorHAnsi" w:cstheme="minorBidi"/>
                <w:noProof/>
                <w:color w:val="auto"/>
                <w:kern w:val="2"/>
                <w:lang w:eastAsia="en-GB"/>
                <w14:ligatures w14:val="standardContextual"/>
              </w:rPr>
              <w:tab/>
            </w:r>
            <w:r w:rsidRPr="00B93167">
              <w:rPr>
                <w:rStyle w:val="Hyperlink"/>
                <w:rFonts w:eastAsia="Arial" w:cs="Arial"/>
                <w:noProof/>
              </w:rPr>
              <w:t>Supervisory Control and Data Acquisition</w:t>
            </w:r>
            <w:r>
              <w:rPr>
                <w:noProof/>
                <w:webHidden/>
              </w:rPr>
              <w:tab/>
            </w:r>
            <w:r>
              <w:rPr>
                <w:noProof/>
                <w:webHidden/>
              </w:rPr>
              <w:fldChar w:fldCharType="begin"/>
            </w:r>
            <w:r>
              <w:rPr>
                <w:noProof/>
                <w:webHidden/>
              </w:rPr>
              <w:instrText xml:space="preserve"> PAGEREF _Toc228171175 \h </w:instrText>
            </w:r>
            <w:r>
              <w:rPr>
                <w:noProof/>
                <w:webHidden/>
              </w:rPr>
            </w:r>
            <w:r>
              <w:rPr>
                <w:noProof/>
                <w:webHidden/>
              </w:rPr>
              <w:fldChar w:fldCharType="separate"/>
            </w:r>
            <w:r>
              <w:rPr>
                <w:noProof/>
                <w:webHidden/>
              </w:rPr>
              <w:t>1</w:t>
            </w:r>
            <w:r>
              <w:rPr>
                <w:noProof/>
                <w:webHidden/>
              </w:rPr>
              <w:fldChar w:fldCharType="end"/>
            </w:r>
          </w:hyperlink>
        </w:p>
        <w:p w14:paraId="66C2A794" w14:textId="476D9E98"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6" w:history="1">
            <w:r w:rsidRPr="00B93167">
              <w:rPr>
                <w:rStyle w:val="Hyperlink"/>
                <w:noProof/>
              </w:rPr>
              <w:t>8</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Regulatory and Standards Framework</w:t>
            </w:r>
            <w:r>
              <w:rPr>
                <w:noProof/>
                <w:webHidden/>
              </w:rPr>
              <w:tab/>
            </w:r>
            <w:r>
              <w:rPr>
                <w:noProof/>
                <w:webHidden/>
              </w:rPr>
              <w:fldChar w:fldCharType="begin"/>
            </w:r>
            <w:r>
              <w:rPr>
                <w:noProof/>
                <w:webHidden/>
              </w:rPr>
              <w:instrText xml:space="preserve"> PAGEREF _Toc228171176 \h </w:instrText>
            </w:r>
            <w:r>
              <w:rPr>
                <w:noProof/>
                <w:webHidden/>
              </w:rPr>
            </w:r>
            <w:r>
              <w:rPr>
                <w:noProof/>
                <w:webHidden/>
              </w:rPr>
              <w:fldChar w:fldCharType="separate"/>
            </w:r>
            <w:r>
              <w:rPr>
                <w:noProof/>
                <w:webHidden/>
              </w:rPr>
              <w:t>1</w:t>
            </w:r>
            <w:r>
              <w:rPr>
                <w:noProof/>
                <w:webHidden/>
              </w:rPr>
              <w:fldChar w:fldCharType="end"/>
            </w:r>
          </w:hyperlink>
        </w:p>
        <w:p w14:paraId="54A3C962" w14:textId="2704EBF5" w:rsidR="000A333B" w:rsidRDefault="000A333B">
          <w:pPr>
            <w:pStyle w:val="TOC1"/>
            <w:tabs>
              <w:tab w:val="left" w:pos="44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7" w:history="1">
            <w:r w:rsidRPr="00B93167">
              <w:rPr>
                <w:rStyle w:val="Hyperlink"/>
                <w:noProof/>
              </w:rPr>
              <w:t>9</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Advanced Technologies and Energy Performance</w:t>
            </w:r>
            <w:r>
              <w:rPr>
                <w:noProof/>
                <w:webHidden/>
              </w:rPr>
              <w:tab/>
            </w:r>
            <w:r>
              <w:rPr>
                <w:noProof/>
                <w:webHidden/>
              </w:rPr>
              <w:fldChar w:fldCharType="begin"/>
            </w:r>
            <w:r>
              <w:rPr>
                <w:noProof/>
                <w:webHidden/>
              </w:rPr>
              <w:instrText xml:space="preserve"> PAGEREF _Toc228171177 \h </w:instrText>
            </w:r>
            <w:r>
              <w:rPr>
                <w:noProof/>
                <w:webHidden/>
              </w:rPr>
            </w:r>
            <w:r>
              <w:rPr>
                <w:noProof/>
                <w:webHidden/>
              </w:rPr>
              <w:fldChar w:fldCharType="separate"/>
            </w:r>
            <w:r>
              <w:rPr>
                <w:noProof/>
                <w:webHidden/>
              </w:rPr>
              <w:t>1</w:t>
            </w:r>
            <w:r>
              <w:rPr>
                <w:noProof/>
                <w:webHidden/>
              </w:rPr>
              <w:fldChar w:fldCharType="end"/>
            </w:r>
          </w:hyperlink>
        </w:p>
        <w:p w14:paraId="2A718EAB" w14:textId="6E63403D" w:rsidR="000A333B" w:rsidRDefault="000A333B">
          <w:pPr>
            <w:pStyle w:val="TOC2"/>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8" w:history="1">
            <w:r w:rsidRPr="00B93167">
              <w:rPr>
                <w:rStyle w:val="Hyperlink"/>
                <w:rFonts w:cs="Arial"/>
                <w:noProof/>
              </w:rPr>
              <w:t>9.1</w:t>
            </w:r>
            <w:r>
              <w:rPr>
                <w:rFonts w:asciiTheme="minorHAnsi" w:eastAsiaTheme="minorEastAsia" w:hAnsiTheme="minorHAnsi" w:cstheme="minorBidi"/>
                <w:noProof/>
                <w:color w:val="auto"/>
                <w:kern w:val="2"/>
                <w:lang w:eastAsia="en-GB"/>
                <w14:ligatures w14:val="standardContextual"/>
              </w:rPr>
              <w:tab/>
            </w:r>
            <w:r w:rsidRPr="00B93167">
              <w:rPr>
                <w:rStyle w:val="Hyperlink"/>
                <w:rFonts w:cs="Arial"/>
                <w:noProof/>
              </w:rPr>
              <w:t>Control Strategy and Energy Savings</w:t>
            </w:r>
            <w:r>
              <w:rPr>
                <w:noProof/>
                <w:webHidden/>
              </w:rPr>
              <w:tab/>
            </w:r>
            <w:r>
              <w:rPr>
                <w:noProof/>
                <w:webHidden/>
              </w:rPr>
              <w:fldChar w:fldCharType="begin"/>
            </w:r>
            <w:r>
              <w:rPr>
                <w:noProof/>
                <w:webHidden/>
              </w:rPr>
              <w:instrText xml:space="preserve"> PAGEREF _Toc228171178 \h </w:instrText>
            </w:r>
            <w:r>
              <w:rPr>
                <w:noProof/>
                <w:webHidden/>
              </w:rPr>
            </w:r>
            <w:r>
              <w:rPr>
                <w:noProof/>
                <w:webHidden/>
              </w:rPr>
              <w:fldChar w:fldCharType="separate"/>
            </w:r>
            <w:r>
              <w:rPr>
                <w:noProof/>
                <w:webHidden/>
              </w:rPr>
              <w:t>1</w:t>
            </w:r>
            <w:r>
              <w:rPr>
                <w:noProof/>
                <w:webHidden/>
              </w:rPr>
              <w:fldChar w:fldCharType="end"/>
            </w:r>
          </w:hyperlink>
        </w:p>
        <w:p w14:paraId="617AF655" w14:textId="68D44446" w:rsidR="000A333B" w:rsidRDefault="000A333B">
          <w:pPr>
            <w:pStyle w:val="TOC2"/>
            <w:tabs>
              <w:tab w:val="left" w:pos="96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79" w:history="1">
            <w:r w:rsidRPr="00B93167">
              <w:rPr>
                <w:rStyle w:val="Hyperlink"/>
                <w:rFonts w:cs="Arial"/>
                <w:noProof/>
              </w:rPr>
              <w:t>9.2</w:t>
            </w:r>
            <w:r>
              <w:rPr>
                <w:rFonts w:asciiTheme="minorHAnsi" w:eastAsiaTheme="minorEastAsia" w:hAnsiTheme="minorHAnsi" w:cstheme="minorBidi"/>
                <w:noProof/>
                <w:color w:val="auto"/>
                <w:kern w:val="2"/>
                <w:lang w:eastAsia="en-GB"/>
                <w14:ligatures w14:val="standardContextual"/>
              </w:rPr>
              <w:tab/>
            </w:r>
            <w:r w:rsidRPr="00B93167">
              <w:rPr>
                <w:rStyle w:val="Hyperlink"/>
                <w:rFonts w:cs="Arial"/>
                <w:noProof/>
              </w:rPr>
              <w:t>Artificial Intelligence, IoT and Digital Twins</w:t>
            </w:r>
            <w:r>
              <w:rPr>
                <w:noProof/>
                <w:webHidden/>
              </w:rPr>
              <w:tab/>
            </w:r>
            <w:r>
              <w:rPr>
                <w:noProof/>
                <w:webHidden/>
              </w:rPr>
              <w:fldChar w:fldCharType="begin"/>
            </w:r>
            <w:r>
              <w:rPr>
                <w:noProof/>
                <w:webHidden/>
              </w:rPr>
              <w:instrText xml:space="preserve"> PAGEREF _Toc228171179 \h </w:instrText>
            </w:r>
            <w:r>
              <w:rPr>
                <w:noProof/>
                <w:webHidden/>
              </w:rPr>
            </w:r>
            <w:r>
              <w:rPr>
                <w:noProof/>
                <w:webHidden/>
              </w:rPr>
              <w:fldChar w:fldCharType="separate"/>
            </w:r>
            <w:r>
              <w:rPr>
                <w:noProof/>
                <w:webHidden/>
              </w:rPr>
              <w:t>1</w:t>
            </w:r>
            <w:r>
              <w:rPr>
                <w:noProof/>
                <w:webHidden/>
              </w:rPr>
              <w:fldChar w:fldCharType="end"/>
            </w:r>
          </w:hyperlink>
        </w:p>
        <w:p w14:paraId="45490E45" w14:textId="2BB21839" w:rsidR="000A333B" w:rsidRDefault="000A333B">
          <w:pPr>
            <w:pStyle w:val="TOC1"/>
            <w:tabs>
              <w:tab w:val="left" w:pos="72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80" w:history="1">
            <w:r w:rsidRPr="00B93167">
              <w:rPr>
                <w:rStyle w:val="Hyperlink"/>
                <w:noProof/>
              </w:rPr>
              <w:t>10</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Conclusion</w:t>
            </w:r>
            <w:r>
              <w:rPr>
                <w:noProof/>
                <w:webHidden/>
              </w:rPr>
              <w:tab/>
            </w:r>
            <w:r>
              <w:rPr>
                <w:noProof/>
                <w:webHidden/>
              </w:rPr>
              <w:fldChar w:fldCharType="begin"/>
            </w:r>
            <w:r>
              <w:rPr>
                <w:noProof/>
                <w:webHidden/>
              </w:rPr>
              <w:instrText xml:space="preserve"> PAGEREF _Toc228171180 \h </w:instrText>
            </w:r>
            <w:r>
              <w:rPr>
                <w:noProof/>
                <w:webHidden/>
              </w:rPr>
            </w:r>
            <w:r>
              <w:rPr>
                <w:noProof/>
                <w:webHidden/>
              </w:rPr>
              <w:fldChar w:fldCharType="separate"/>
            </w:r>
            <w:r>
              <w:rPr>
                <w:noProof/>
                <w:webHidden/>
              </w:rPr>
              <w:t>1</w:t>
            </w:r>
            <w:r>
              <w:rPr>
                <w:noProof/>
                <w:webHidden/>
              </w:rPr>
              <w:fldChar w:fldCharType="end"/>
            </w:r>
          </w:hyperlink>
        </w:p>
        <w:p w14:paraId="1EB53C6B" w14:textId="4C1BF448" w:rsidR="000A333B" w:rsidRDefault="000A333B">
          <w:pPr>
            <w:pStyle w:val="TOC1"/>
            <w:tabs>
              <w:tab w:val="left" w:pos="720"/>
              <w:tab w:val="right" w:leader="dot" w:pos="9016"/>
            </w:tabs>
            <w:rPr>
              <w:rFonts w:asciiTheme="minorHAnsi" w:eastAsiaTheme="minorEastAsia" w:hAnsiTheme="minorHAnsi" w:cstheme="minorBidi"/>
              <w:noProof/>
              <w:color w:val="auto"/>
              <w:kern w:val="2"/>
              <w:lang w:eastAsia="en-GB"/>
              <w14:ligatures w14:val="standardContextual"/>
            </w:rPr>
          </w:pPr>
          <w:hyperlink w:anchor="_Toc228171181" w:history="1">
            <w:r w:rsidRPr="00B93167">
              <w:rPr>
                <w:rStyle w:val="Hyperlink"/>
                <w:noProof/>
              </w:rPr>
              <w:t>11</w:t>
            </w:r>
            <w:r>
              <w:rPr>
                <w:rFonts w:asciiTheme="minorHAnsi" w:eastAsiaTheme="minorEastAsia" w:hAnsiTheme="minorHAnsi" w:cstheme="minorBidi"/>
                <w:noProof/>
                <w:color w:val="auto"/>
                <w:kern w:val="2"/>
                <w:lang w:eastAsia="en-GB"/>
                <w14:ligatures w14:val="standardContextual"/>
              </w:rPr>
              <w:tab/>
            </w:r>
            <w:r w:rsidRPr="00B93167">
              <w:rPr>
                <w:rStyle w:val="Hyperlink"/>
                <w:noProof/>
              </w:rPr>
              <w:t>References</w:t>
            </w:r>
            <w:r>
              <w:rPr>
                <w:noProof/>
                <w:webHidden/>
              </w:rPr>
              <w:tab/>
            </w:r>
            <w:r>
              <w:rPr>
                <w:noProof/>
                <w:webHidden/>
              </w:rPr>
              <w:fldChar w:fldCharType="begin"/>
            </w:r>
            <w:r>
              <w:rPr>
                <w:noProof/>
                <w:webHidden/>
              </w:rPr>
              <w:instrText xml:space="preserve"> PAGEREF _Toc228171181 \h </w:instrText>
            </w:r>
            <w:r>
              <w:rPr>
                <w:noProof/>
                <w:webHidden/>
              </w:rPr>
            </w:r>
            <w:r>
              <w:rPr>
                <w:noProof/>
                <w:webHidden/>
              </w:rPr>
              <w:fldChar w:fldCharType="separate"/>
            </w:r>
            <w:r>
              <w:rPr>
                <w:noProof/>
                <w:webHidden/>
              </w:rPr>
              <w:t>1</w:t>
            </w:r>
            <w:r>
              <w:rPr>
                <w:noProof/>
                <w:webHidden/>
              </w:rPr>
              <w:fldChar w:fldCharType="end"/>
            </w:r>
          </w:hyperlink>
        </w:p>
        <w:p w14:paraId="7AEC6957" w14:textId="29DB960F" w:rsidR="001713EB" w:rsidRDefault="6CB4D2C2" w:rsidP="6CB4D2C2">
          <w:pPr>
            <w:pStyle w:val="TOC1"/>
            <w:tabs>
              <w:tab w:val="left" w:pos="480"/>
              <w:tab w:val="right" w:leader="dot" w:pos="9015"/>
            </w:tabs>
            <w:rPr>
              <w:noProof/>
            </w:rPr>
          </w:pPr>
          <w:r>
            <w:fldChar w:fldCharType="end"/>
          </w:r>
          <w:r w:rsidR="001713EB">
            <w:fldChar w:fldCharType="begin"/>
          </w:r>
          <w:r w:rsidR="001713EB">
            <w:instrText xml:space="preserve"> TOC \h \z \c "Table" </w:instrText>
          </w:r>
          <w:r w:rsidR="001713EB">
            <w:fldChar w:fldCharType="separate"/>
          </w:r>
        </w:p>
        <w:p w14:paraId="790BB0AF" w14:textId="77777777" w:rsidR="000A333B" w:rsidRDefault="001713EB" w:rsidP="6CB4D2C2">
          <w:pPr>
            <w:pStyle w:val="TOC1"/>
            <w:tabs>
              <w:tab w:val="left" w:pos="480"/>
              <w:tab w:val="right" w:leader="dot" w:pos="9015"/>
            </w:tabs>
            <w:rPr>
              <w:noProof/>
            </w:rPr>
          </w:pPr>
          <w:r>
            <w:fldChar w:fldCharType="end"/>
          </w:r>
          <w:r w:rsidR="003355DC">
            <w:fldChar w:fldCharType="begin"/>
          </w:r>
          <w:r w:rsidR="003355DC">
            <w:instrText xml:space="preserve"> TOC \h \z \c "Figure" </w:instrText>
          </w:r>
          <w:r w:rsidR="003355DC">
            <w:fldChar w:fldCharType="separate"/>
          </w:r>
        </w:p>
        <w:p w14:paraId="664D2B6C" w14:textId="4362A70B" w:rsidR="6CB4D2C2" w:rsidRDefault="000A333B" w:rsidP="6CB4D2C2">
          <w:pPr>
            <w:pStyle w:val="TOC1"/>
            <w:tabs>
              <w:tab w:val="left" w:pos="480"/>
              <w:tab w:val="right" w:leader="dot" w:pos="9015"/>
            </w:tabs>
            <w:rPr>
              <w:rStyle w:val="Hyperlink"/>
            </w:rPr>
          </w:pPr>
          <w:r>
            <w:rPr>
              <w:b/>
              <w:bCs/>
              <w:noProof/>
              <w:lang w:val="en-US"/>
            </w:rPr>
            <w:t>No table of figures entries found.</w:t>
          </w:r>
          <w:r w:rsidR="003355DC">
            <w:fldChar w:fldCharType="end"/>
          </w:r>
        </w:p>
      </w:sdtContent>
    </w:sdt>
    <w:p w14:paraId="608BB161" w14:textId="23DC530F" w:rsidR="6CB4D2C2" w:rsidRDefault="6CB4D2C2" w:rsidP="6CB4D2C2"/>
    <w:p w14:paraId="11B709B3" w14:textId="77777777" w:rsidR="000F4F46" w:rsidRDefault="000F4F46" w:rsidP="6CB4D2C2"/>
    <w:p w14:paraId="5818D427" w14:textId="77777777" w:rsidR="000F4F46" w:rsidRDefault="000F4F46" w:rsidP="6CB4D2C2"/>
    <w:p w14:paraId="0AB43744" w14:textId="77777777" w:rsidR="000F4F46" w:rsidRDefault="000F4F46" w:rsidP="6CB4D2C2"/>
    <w:p w14:paraId="03812EE0" w14:textId="77777777" w:rsidR="000F4F46" w:rsidRDefault="000F4F46" w:rsidP="6CB4D2C2"/>
    <w:p w14:paraId="72E21976" w14:textId="77777777" w:rsidR="000F4F46" w:rsidRDefault="000F4F46" w:rsidP="6CB4D2C2"/>
    <w:p w14:paraId="52D55E56" w14:textId="77777777" w:rsidR="000F4F46" w:rsidRDefault="000F4F46" w:rsidP="6CB4D2C2"/>
    <w:p w14:paraId="797E6F6E" w14:textId="77777777" w:rsidR="000F4F46" w:rsidRDefault="000F4F46" w:rsidP="6CB4D2C2"/>
    <w:p w14:paraId="7DA4BB39" w14:textId="77777777" w:rsidR="000F4F46" w:rsidRDefault="000F4F46" w:rsidP="6CB4D2C2"/>
    <w:p w14:paraId="7A773BBD" w14:textId="77777777" w:rsidR="000F4F46" w:rsidRDefault="000F4F46" w:rsidP="6CB4D2C2"/>
    <w:p w14:paraId="45102403" w14:textId="77777777" w:rsidR="000F4F46" w:rsidRDefault="000F4F46" w:rsidP="6CB4D2C2"/>
    <w:p w14:paraId="023E780E" w14:textId="77777777" w:rsidR="000F4F46" w:rsidRDefault="000F4F46" w:rsidP="6CB4D2C2"/>
    <w:p w14:paraId="6D6191AA" w14:textId="77777777" w:rsidR="000F4F46" w:rsidRDefault="000F4F46" w:rsidP="6CB4D2C2"/>
    <w:p w14:paraId="676118FC" w14:textId="77777777" w:rsidR="000F4F46" w:rsidRDefault="000F4F46" w:rsidP="6CB4D2C2"/>
    <w:p w14:paraId="0F1BDA57" w14:textId="77777777" w:rsidR="000F4F46" w:rsidRDefault="000F4F46" w:rsidP="6CB4D2C2"/>
    <w:p w14:paraId="6E1006D9" w14:textId="77777777" w:rsidR="000F4F46" w:rsidRDefault="000F4F46" w:rsidP="6CB4D2C2"/>
    <w:p w14:paraId="15717D3D" w14:textId="77777777" w:rsidR="000F4F46" w:rsidRDefault="000F4F46" w:rsidP="6CB4D2C2"/>
    <w:p w14:paraId="6281A604" w14:textId="77777777" w:rsidR="000F4F46" w:rsidRDefault="000F4F46" w:rsidP="6CB4D2C2"/>
    <w:p w14:paraId="7855E29E" w14:textId="29A84652" w:rsidR="00C52C35" w:rsidRPr="00E35B1F" w:rsidRDefault="00F021EB" w:rsidP="00C52C35">
      <w:pPr>
        <w:pStyle w:val="Heading1"/>
        <w:rPr>
          <w:rFonts w:eastAsia="Arial" w:cs="Arial"/>
        </w:rPr>
      </w:pPr>
      <w:bookmarkStart w:id="1" w:name="_Toc228171166"/>
      <w:r w:rsidRPr="00B74F33">
        <w:rPr>
          <w:rFonts w:eastAsia="Arial" w:cs="Arial"/>
        </w:rPr>
        <w:t>Introduction</w:t>
      </w:r>
      <w:bookmarkEnd w:id="1"/>
    </w:p>
    <w:p w14:paraId="783B44AF" w14:textId="2499F1C9" w:rsidR="005A31C7" w:rsidRDefault="005A31C7" w:rsidP="005A31C7">
      <w:pPr>
        <w:spacing w:after="140" w:line="276" w:lineRule="auto"/>
        <w:jc w:val="both"/>
      </w:pPr>
      <w:r>
        <w:t>Municipal WWTPs protect receiving waters by removing solids, organic matter and nutrients from sewage prior to discharge. Rising urban populations and increasingly stringent discharge consents in the UK have elevated expectations for reliability and effluent quality. Historically, plants depended on periodic sampling and operator judgement; such approaches are inherently reactive and susceptible to variability.</w:t>
      </w:r>
    </w:p>
    <w:p w14:paraId="14C6DA39" w14:textId="77777777" w:rsidR="005A31C7" w:rsidRDefault="005A31C7" w:rsidP="005A31C7">
      <w:pPr>
        <w:spacing w:after="140" w:line="276" w:lineRule="auto"/>
        <w:jc w:val="both"/>
      </w:pPr>
    </w:p>
    <w:p w14:paraId="2BAE7EDF" w14:textId="77777777" w:rsidR="005A31C7" w:rsidRDefault="005A31C7" w:rsidP="005A31C7">
      <w:pPr>
        <w:spacing w:after="140" w:line="276" w:lineRule="auto"/>
        <w:jc w:val="both"/>
      </w:pPr>
      <w:r>
        <w:t>Automation addresses these limitations by enabling continuous measurement, closed-loop control and data-driven optimisation. Sensors quantify key process variables; PLCs execute deterministic control logic; SCADA systems provide visibility, alarms and historical analytics; and APC layers optimise setpoints using models or heuristics. Collectively, these systems shift operations from reactive to proactive control, reducing excursions and improving compliance margins.</w:t>
      </w:r>
    </w:p>
    <w:p w14:paraId="6045F366" w14:textId="77777777" w:rsidR="005A31C7" w:rsidRDefault="005A31C7" w:rsidP="005A31C7">
      <w:pPr>
        <w:spacing w:after="140" w:line="276" w:lineRule="auto"/>
        <w:jc w:val="both"/>
      </w:pPr>
    </w:p>
    <w:p w14:paraId="5D034A2C" w14:textId="095A4928" w:rsidR="76FEE1C5" w:rsidRPr="00DA7345" w:rsidRDefault="005A31C7" w:rsidP="005A31C7">
      <w:pPr>
        <w:spacing w:after="140" w:line="276" w:lineRule="auto"/>
        <w:jc w:val="both"/>
      </w:pPr>
      <w:r>
        <w:t>This report examines automation across treatment stages, evaluates benefits and trade-offs, and considers practical constraints affecting real-world performance.</w:t>
      </w:r>
    </w:p>
    <w:p w14:paraId="6B7B7329" w14:textId="7350A796" w:rsidR="6CB4D2C2" w:rsidRDefault="6CB4D2C2" w:rsidP="6CB4D2C2">
      <w:pPr>
        <w:rPr>
          <w:rFonts w:cs="Arial"/>
        </w:rPr>
      </w:pPr>
    </w:p>
    <w:p w14:paraId="610FE2C8" w14:textId="796311A4" w:rsidR="61A1072C" w:rsidRDefault="61A1072C" w:rsidP="6CB4D2C2">
      <w:pPr>
        <w:pStyle w:val="Heading1"/>
      </w:pPr>
      <w:bookmarkStart w:id="2" w:name="_Toc228171167"/>
      <w:r>
        <w:t>Literature Review</w:t>
      </w:r>
      <w:bookmarkEnd w:id="2"/>
    </w:p>
    <w:p w14:paraId="4E76BE89" w14:textId="4CFBA53F" w:rsidR="005A31C7" w:rsidRDefault="005A31C7" w:rsidP="005A31C7">
      <w:pPr>
        <w:spacing w:after="140" w:line="276" w:lineRule="auto"/>
        <w:jc w:val="both"/>
      </w:pPr>
      <w:r>
        <w:t>A consistent finding across the literature is that automation enhances process stability and energy efficiency. Real-time sensing—dissolved oxygen (DO), pH, oxidation-reduction potential (ORP), turbidity, ammonia and flow—underpins effective control (Olsson, 2022). Improvements in sensor robustness and anti-fouling design have increased data reliability in aggressive wastewater environments (Rieger et al., 2019).</w:t>
      </w:r>
    </w:p>
    <w:p w14:paraId="3C78710D" w14:textId="77777777" w:rsidR="005A31C7" w:rsidRDefault="005A31C7" w:rsidP="005A31C7">
      <w:pPr>
        <w:spacing w:after="140" w:line="276" w:lineRule="auto"/>
        <w:jc w:val="both"/>
      </w:pPr>
    </w:p>
    <w:p w14:paraId="7395CD0C" w14:textId="77777777" w:rsidR="005A31C7" w:rsidRDefault="005A31C7" w:rsidP="005A31C7">
      <w:pPr>
        <w:spacing w:after="140" w:line="276" w:lineRule="auto"/>
        <w:jc w:val="both"/>
      </w:pPr>
      <w:r>
        <w:t>PLCs remain the industry standard for executing control logic due to determinism and resilience, while SCADA platforms enable supervisory oversight, alarm management and data logging. Integration of these layers improves situational awareness and facilitates trend analysis and fault diagnosis (Rieger et al., 2019).</w:t>
      </w:r>
    </w:p>
    <w:p w14:paraId="54E83095" w14:textId="77777777" w:rsidR="005A31C7" w:rsidRDefault="005A31C7" w:rsidP="005A31C7">
      <w:pPr>
        <w:spacing w:after="140" w:line="276" w:lineRule="auto"/>
        <w:jc w:val="both"/>
      </w:pPr>
    </w:p>
    <w:p w14:paraId="6A9C9B45" w14:textId="77777777" w:rsidR="005A31C7" w:rsidRDefault="005A31C7" w:rsidP="005A31C7">
      <w:pPr>
        <w:spacing w:after="140" w:line="276" w:lineRule="auto"/>
        <w:jc w:val="both"/>
      </w:pPr>
      <w:r>
        <w:t>Energy optimisation is most evident in aeration. Studies report that aeration can account for 40–60% of plant electricity use, and that feedback control using DO sensors and variable-speed blowers can yield substantial savings without compromising treatment (Gao et al., 2020). More advanced strategies—such as model predictive control (MPC)—use process models to anticipate disturbances and optimise control actions, particularly valuable under highly variable influent loads.</w:t>
      </w:r>
    </w:p>
    <w:p w14:paraId="14FD896D" w14:textId="77777777" w:rsidR="005A31C7" w:rsidRDefault="005A31C7" w:rsidP="005A31C7">
      <w:pPr>
        <w:spacing w:after="140" w:line="276" w:lineRule="auto"/>
        <w:jc w:val="both"/>
      </w:pPr>
    </w:p>
    <w:p w14:paraId="32E28A02" w14:textId="318DD39F" w:rsidR="009B127E" w:rsidRDefault="005A31C7" w:rsidP="005A31C7">
      <w:pPr>
        <w:spacing w:after="140" w:line="276" w:lineRule="auto"/>
        <w:jc w:val="both"/>
      </w:pPr>
      <w:r>
        <w:t>Limitations are also documented. Sensor drift and fouling can degrade control performance; increased connectivity expands the cyber-attack surface; and successful deployment requires skilled operators capable of interpreting data and maintaining instrumentation. Nonetheless, the consensus is that benefits outweigh risks when systems are properly engineered and maintained.</w:t>
      </w:r>
    </w:p>
    <w:p w14:paraId="26783C4D" w14:textId="49693AEC" w:rsidR="00596BFD" w:rsidRDefault="009B127E" w:rsidP="00191539">
      <w:r>
        <w:br w:type="page"/>
      </w:r>
    </w:p>
    <w:p w14:paraId="05F53243" w14:textId="736FB127" w:rsidR="0027186A" w:rsidRPr="0063099A" w:rsidRDefault="00DE7F89" w:rsidP="00225E96">
      <w:pPr>
        <w:pStyle w:val="Heading1"/>
      </w:pPr>
      <w:bookmarkStart w:id="3" w:name="_Toc228171168"/>
      <w:r>
        <w:t>H</w:t>
      </w:r>
      <w:r w:rsidRPr="00DE7F89">
        <w:t>istorical Development of ICA in Wastewater Treatment</w:t>
      </w:r>
      <w:bookmarkEnd w:id="3"/>
    </w:p>
    <w:p w14:paraId="26A2154A" w14:textId="77777777" w:rsidR="00A01D99" w:rsidRPr="00216954" w:rsidRDefault="00A01D99" w:rsidP="00A01D99">
      <w:pPr>
        <w:spacing w:before="80" w:after="180" w:line="288" w:lineRule="auto"/>
        <w:jc w:val="both"/>
        <w:rPr>
          <w:rFonts w:cs="Arial"/>
        </w:rPr>
      </w:pPr>
      <w:r w:rsidRPr="00216954">
        <w:rPr>
          <w:rFonts w:cs="Arial"/>
        </w:rPr>
        <w:t>The development of instrumentation, control and automation (ICA) in wastewater treatment reflects broader industrial automation trends, although it has been shaped by sector-specific challenges such as variable influent characteristics and strict environmental regulations. Early wastewater treatment facilities, established in the late nineteenth century, relied entirely on manual observation and intermittent sampling. While experienced operators could develop process understanding, this approach was reactive and often resulted in inconsistent treatment performance, with limited ability to detect gradual system deterioration before regulatory breaches occurred.</w:t>
      </w:r>
    </w:p>
    <w:p w14:paraId="33177759" w14:textId="77777777" w:rsidR="00A01D99" w:rsidRPr="00216954" w:rsidRDefault="00A01D99" w:rsidP="00A01D99">
      <w:pPr>
        <w:spacing w:before="80" w:after="180" w:line="288" w:lineRule="auto"/>
        <w:jc w:val="both"/>
      </w:pPr>
      <w:r w:rsidRPr="00216954">
        <w:t>From the mid-twentieth century, the introduction of pneumatic and analogue electronic instrumentation improved monitoring capabilities by enabling continuous measurement of key parameters such as flow, pH and dissolved oxygen. However, these systems remained largely open-loop, meaning operator intervention was still required to implement corrective actions.</w:t>
      </w:r>
    </w:p>
    <w:p w14:paraId="264A6567" w14:textId="77777777" w:rsidR="00A01D99" w:rsidRPr="00216954" w:rsidRDefault="00A01D99" w:rsidP="00A01D99">
      <w:pPr>
        <w:spacing w:before="80" w:after="180" w:line="288" w:lineRule="auto"/>
        <w:jc w:val="both"/>
      </w:pPr>
      <w:r w:rsidRPr="00216954">
        <w:t>A significant advancement occurred in the 1970s with the introduction of programmable logic controllers (PLCs), which enabled automated feedback control and reduced reliance on manual operation. By the 1980s, PLCs were widely used, though typically in isolated applications.</w:t>
      </w:r>
    </w:p>
    <w:p w14:paraId="0F20F29E" w14:textId="77777777" w:rsidR="00A01D99" w:rsidRDefault="00A01D99" w:rsidP="00A01D99">
      <w:pPr>
        <w:spacing w:before="80" w:after="180" w:line="288" w:lineRule="auto"/>
        <w:jc w:val="both"/>
      </w:pPr>
      <w:r w:rsidRPr="00216954">
        <w:t>The emergence of SCADA systems in the 1980s and 1990s allowed centralised monitoring and control, while later networking technologies enabled remote operation of multiple sites. More recently, digital innovations such as IoT, cloud computing and machine learning have supported predictive maintenance and enhanced process optimisation.</w:t>
      </w:r>
      <w:r>
        <w:t xml:space="preserve"> This evolution is summarised in Figure 1.</w:t>
      </w:r>
    </w:p>
    <w:p w14:paraId="7E0854D6" w14:textId="77777777" w:rsidR="00A01D99" w:rsidRDefault="00A01D99" w:rsidP="00A01D99">
      <w:pPr>
        <w:spacing w:before="200" w:after="60"/>
        <w:jc w:val="center"/>
      </w:pPr>
      <w:r>
        <w:rPr>
          <w:noProof/>
        </w:rPr>
        <w:drawing>
          <wp:inline distT="0" distB="0" distL="0" distR="0" wp14:anchorId="7153BA47" wp14:editId="341E3CD1">
            <wp:extent cx="5334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1905000"/>
                    </a:xfrm>
                    <a:prstGeom prst="rect">
                      <a:avLst/>
                    </a:prstGeom>
                  </pic:spPr>
                </pic:pic>
              </a:graphicData>
            </a:graphic>
          </wp:inline>
        </w:drawing>
      </w:r>
    </w:p>
    <w:p w14:paraId="5AB2764A" w14:textId="5D1E4F7B" w:rsidR="008E64C0" w:rsidRDefault="00A01D99" w:rsidP="00A01D99">
      <w:pPr>
        <w:spacing w:after="280"/>
        <w:jc w:val="center"/>
      </w:pPr>
      <w:r>
        <w:rPr>
          <w:i/>
          <w:iCs/>
          <w:color w:val="444444"/>
          <w:sz w:val="20"/>
          <w:szCs w:val="20"/>
        </w:rPr>
        <w:t>Figure 1: Historical Development of ICA Technology in Wastewater Treatment (1960–Present)</w:t>
      </w:r>
    </w:p>
    <w:p w14:paraId="6B9A11E5" w14:textId="59930686" w:rsidR="0047062A" w:rsidRPr="007D37E3" w:rsidRDefault="0047062A" w:rsidP="00342FDB">
      <w:pPr>
        <w:rPr>
          <w:color w:val="FF0000"/>
        </w:rPr>
      </w:pPr>
    </w:p>
    <w:p w14:paraId="660A0C51" w14:textId="6DD930D2" w:rsidR="00B74F33" w:rsidRDefault="00A01D99" w:rsidP="002679E2">
      <w:pPr>
        <w:pStyle w:val="Heading1"/>
      </w:pPr>
      <w:bookmarkStart w:id="4" w:name="_Toc228171169"/>
      <w:r w:rsidRPr="00A01D99">
        <w:t xml:space="preserve">Wastewater Treatment Process and ICA </w:t>
      </w:r>
      <w:r w:rsidR="00811F99">
        <w:t>D</w:t>
      </w:r>
      <w:r w:rsidR="00B11C81">
        <w:t>ema</w:t>
      </w:r>
      <w:r w:rsidRPr="00A01D99">
        <w:t>n</w:t>
      </w:r>
      <w:r w:rsidR="00B11C81">
        <w:t>ds</w:t>
      </w:r>
      <w:bookmarkEnd w:id="4"/>
    </w:p>
    <w:p w14:paraId="6389CD8C" w14:textId="4490C88D" w:rsidR="00635361" w:rsidRDefault="006A158E" w:rsidP="006A158E">
      <w:pPr>
        <w:spacing w:before="80" w:after="180" w:line="288" w:lineRule="auto"/>
        <w:jc w:val="both"/>
      </w:pPr>
      <w:r w:rsidRPr="006A158E">
        <w:t>Wastewater treatment comprises four sequential stages, each imposing distinct ICA requirements that ensure stable, compliant and energy</w:t>
      </w:r>
      <w:r w:rsidRPr="006A158E">
        <w:noBreakHyphen/>
        <w:t>efficient operation. Preliminary treatment removes coarse solids using mechanically raked bar screens and grit channels, with electromagnetic flow measurement (FT</w:t>
      </w:r>
      <w:r w:rsidRPr="006A158E">
        <w:noBreakHyphen/>
        <w:t>101) providing the mass</w:t>
      </w:r>
      <w:r w:rsidRPr="006A158E">
        <w:noBreakHyphen/>
        <w:t>balance reference for downstream dosing and enabling automated storm</w:t>
      </w:r>
      <w:r w:rsidRPr="006A158E">
        <w:noBreakHyphen/>
        <w:t>flow diversion. Primary sedimentation relies on sludge blanket level transmitters (LT</w:t>
      </w:r>
      <w:r w:rsidRPr="006A158E">
        <w:noBreakHyphen/>
        <w:t>201) to regulate sludge withdrawal and maintain hydraulic retention. The secondary biological stage is the most instrumentation</w:t>
      </w:r>
      <w:r w:rsidRPr="006A158E">
        <w:noBreakHyphen/>
        <w:t>intensive: dissolved oxygen (DO) must be controlled within a narrow band to sustain microbial activity, avoid filamentous bulking and prevent excessive aeration energy use, which typically represents 50–70% of total site consumption. Additional measurements – pH, temperature and MLSS (AT</w:t>
      </w:r>
      <w:r w:rsidRPr="006A158E">
        <w:noBreakHyphen/>
        <w:t>302/303) – support sludge age control and biological stability. Tertiary treatment employs turbidity monitoring (AT</w:t>
      </w:r>
      <w:r w:rsidRPr="006A158E">
        <w:noBreakHyphen/>
        <w:t>401) to govern filter backwash cycles and UV dose control to ensure pathogen inactivation within energy constraints. Across all stages, ICA provides continuous measurement, automated adjustment and early fault detection, enabling treatment works to maintain compliance despite fluctuating influent conditions.</w:t>
      </w:r>
    </w:p>
    <w:p w14:paraId="586F655F" w14:textId="77777777" w:rsidR="006A158E" w:rsidRDefault="006A158E" w:rsidP="006A158E">
      <w:pPr>
        <w:spacing w:before="80" w:after="180" w:line="288" w:lineRule="auto"/>
        <w:jc w:val="both"/>
      </w:pPr>
    </w:p>
    <w:p w14:paraId="389F6F1E" w14:textId="77777777" w:rsidR="00635361" w:rsidRDefault="00635361" w:rsidP="00635361">
      <w:pPr>
        <w:spacing w:before="200" w:after="60"/>
        <w:jc w:val="center"/>
      </w:pPr>
      <w:r>
        <w:rPr>
          <w:noProof/>
        </w:rPr>
        <w:drawing>
          <wp:inline distT="0" distB="0" distL="0" distR="0" wp14:anchorId="7D7F30A6" wp14:editId="79F5F2C3">
            <wp:extent cx="7232904" cy="2583180"/>
            <wp:effectExtent l="0" t="0" r="6350" b="7620"/>
            <wp:docPr id="648356648" name="Picture 64835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7237089" cy="2584675"/>
                    </a:xfrm>
                    <a:prstGeom prst="rect">
                      <a:avLst/>
                    </a:prstGeom>
                  </pic:spPr>
                </pic:pic>
              </a:graphicData>
            </a:graphic>
          </wp:inline>
        </w:drawing>
      </w:r>
    </w:p>
    <w:p w14:paraId="6D991F44" w14:textId="2C7514D9" w:rsidR="00446826" w:rsidRPr="00975863" w:rsidRDefault="00635361" w:rsidP="00975863">
      <w:pPr>
        <w:spacing w:after="280"/>
        <w:jc w:val="center"/>
      </w:pPr>
      <w:r>
        <w:rPr>
          <w:i/>
          <w:iCs/>
          <w:color w:val="444444"/>
          <w:sz w:val="20"/>
          <w:szCs w:val="20"/>
        </w:rPr>
        <w:t>Figure 2: Wastewater Treatment Process Flow Showing Key ICA Monitoring Points</w:t>
      </w:r>
      <w:r w:rsidR="00446826">
        <w:rPr>
          <w:rStyle w:val="eop"/>
          <w:rFonts w:eastAsiaTheme="majorEastAsia" w:cs="Arial"/>
          <w:sz w:val="22"/>
          <w:szCs w:val="22"/>
        </w:rPr>
        <w:t> </w:t>
      </w:r>
    </w:p>
    <w:p w14:paraId="162B7382" w14:textId="77777777" w:rsidR="00B40007" w:rsidRDefault="00B40007" w:rsidP="00B40007">
      <w:pPr>
        <w:spacing w:after="140" w:line="276" w:lineRule="auto"/>
        <w:jc w:val="both"/>
      </w:pPr>
    </w:p>
    <w:p w14:paraId="4D037A76" w14:textId="0B53AC01" w:rsidR="00DD3BB1" w:rsidRDefault="001B330A" w:rsidP="00DD3BB1">
      <w:pPr>
        <w:pStyle w:val="Heading1"/>
      </w:pPr>
      <w:bookmarkStart w:id="5" w:name="_Toc228171170"/>
      <w:r w:rsidRPr="001B330A">
        <w:t>Field Instrumentation and Sensor</w:t>
      </w:r>
      <w:r w:rsidR="007209EA">
        <w:t>s</w:t>
      </w:r>
      <w:bookmarkEnd w:id="5"/>
    </w:p>
    <w:p w14:paraId="117B79C9" w14:textId="77777777" w:rsidR="00A3709A" w:rsidRPr="00A3709A" w:rsidRDefault="00A3709A" w:rsidP="00A3709A">
      <w:pPr>
        <w:spacing w:before="80" w:after="180" w:line="288" w:lineRule="auto"/>
        <w:jc w:val="both"/>
        <w:rPr>
          <w:rFonts w:eastAsia="Times New Roman" w:cs="Arial"/>
          <w:color w:val="auto"/>
          <w:lang w:eastAsia="en-GB"/>
        </w:rPr>
      </w:pPr>
      <w:r w:rsidRPr="00A3709A">
        <w:rPr>
          <w:rFonts w:eastAsia="Times New Roman" w:cs="Arial"/>
          <w:color w:val="auto"/>
          <w:lang w:eastAsia="en-GB"/>
        </w:rPr>
        <w:t>The performance, stability and safety of any ICA architecture are ultimately constrained by the quality, reliability and maintainability of its field instrumentation. In wastewater treatment, where biological and hydraulic conditions fluctuate continuously, sensors must deliver accurate, drift</w:t>
      </w:r>
      <w:r w:rsidRPr="00A3709A">
        <w:rPr>
          <w:rFonts w:ascii="Cambria Math" w:eastAsia="Times New Roman" w:hAnsi="Cambria Math" w:cs="Cambria Math"/>
          <w:color w:val="auto"/>
          <w:lang w:eastAsia="en-GB"/>
        </w:rPr>
        <w:t>‑</w:t>
      </w:r>
      <w:r w:rsidRPr="00A3709A">
        <w:rPr>
          <w:rFonts w:eastAsia="Times New Roman" w:cs="Arial"/>
          <w:color w:val="auto"/>
          <w:lang w:eastAsia="en-GB"/>
        </w:rPr>
        <w:t>resistant measurements despite immersion in chemically aggressive, biofouling</w:t>
      </w:r>
      <w:r w:rsidRPr="00A3709A">
        <w:rPr>
          <w:rFonts w:ascii="Cambria Math" w:eastAsia="Times New Roman" w:hAnsi="Cambria Math" w:cs="Cambria Math"/>
          <w:color w:val="auto"/>
          <w:lang w:eastAsia="en-GB"/>
        </w:rPr>
        <w:t>‑</w:t>
      </w:r>
      <w:r w:rsidRPr="00A3709A">
        <w:rPr>
          <w:rFonts w:eastAsia="Times New Roman" w:cs="Arial"/>
          <w:color w:val="auto"/>
          <w:lang w:eastAsia="en-GB"/>
        </w:rPr>
        <w:t>prone environments. A control loop can only ever be as good as the data it receives; consequently, instrumentation selection and lifecycle management represent core engineering decisions rather than peripheral procurement choices.</w:t>
      </w:r>
    </w:p>
    <w:p w14:paraId="48FBC253" w14:textId="16FA1A0C" w:rsidR="00A3709A" w:rsidRPr="00A3709A" w:rsidRDefault="00A3709A" w:rsidP="00A3709A">
      <w:pPr>
        <w:spacing w:before="80" w:after="180" w:line="288" w:lineRule="auto"/>
        <w:jc w:val="both"/>
        <w:rPr>
          <w:rFonts w:eastAsia="Times New Roman" w:cs="Arial"/>
          <w:color w:val="auto"/>
          <w:lang w:eastAsia="en-GB"/>
        </w:rPr>
      </w:pPr>
    </w:p>
    <w:p w14:paraId="7D5ACDBB" w14:textId="77777777" w:rsidR="00A3709A" w:rsidRPr="00A3709A" w:rsidRDefault="00A3709A" w:rsidP="00A3709A">
      <w:pPr>
        <w:spacing w:before="80" w:after="180" w:line="288" w:lineRule="auto"/>
        <w:jc w:val="both"/>
        <w:rPr>
          <w:rFonts w:eastAsia="Times New Roman" w:cs="Arial"/>
          <w:color w:val="auto"/>
          <w:lang w:eastAsia="en-GB"/>
        </w:rPr>
      </w:pPr>
      <w:r w:rsidRPr="00A3709A">
        <w:rPr>
          <w:rFonts w:eastAsia="Times New Roman" w:cs="Arial"/>
          <w:color w:val="auto"/>
          <w:lang w:eastAsia="en-GB"/>
        </w:rPr>
        <w:t>Dissolved oxygen (DO) measurement is the most critical parameter in activated sludge control, and two sensing technologies dominate current practice. Polarographic (Clark</w:t>
      </w:r>
      <w:r w:rsidRPr="00A3709A">
        <w:rPr>
          <w:rFonts w:ascii="Cambria Math" w:eastAsia="Times New Roman" w:hAnsi="Cambria Math" w:cs="Cambria Math"/>
          <w:color w:val="auto"/>
          <w:lang w:eastAsia="en-GB"/>
        </w:rPr>
        <w:t>‑</w:t>
      </w:r>
      <w:r w:rsidRPr="00A3709A">
        <w:rPr>
          <w:rFonts w:eastAsia="Times New Roman" w:cs="Arial"/>
          <w:color w:val="auto"/>
          <w:lang w:eastAsia="en-GB"/>
        </w:rPr>
        <w:t>type) electrodes operate by reducing oxygen at a cathode behind a semi</w:t>
      </w:r>
      <w:r w:rsidRPr="00A3709A">
        <w:rPr>
          <w:rFonts w:ascii="Cambria Math" w:eastAsia="Times New Roman" w:hAnsi="Cambria Math" w:cs="Cambria Math"/>
          <w:color w:val="auto"/>
          <w:lang w:eastAsia="en-GB"/>
        </w:rPr>
        <w:t>‑</w:t>
      </w:r>
      <w:r w:rsidRPr="00A3709A">
        <w:rPr>
          <w:rFonts w:eastAsia="Times New Roman" w:cs="Arial"/>
          <w:color w:val="auto"/>
          <w:lang w:eastAsia="en-GB"/>
        </w:rPr>
        <w:t>permeable membrane. Although well</w:t>
      </w:r>
      <w:r w:rsidRPr="00A3709A">
        <w:rPr>
          <w:rFonts w:ascii="Cambria Math" w:eastAsia="Times New Roman" w:hAnsi="Cambria Math" w:cs="Cambria Math"/>
          <w:color w:val="auto"/>
          <w:lang w:eastAsia="en-GB"/>
        </w:rPr>
        <w:t>‑</w:t>
      </w:r>
      <w:r w:rsidRPr="00A3709A">
        <w:rPr>
          <w:rFonts w:eastAsia="Times New Roman" w:cs="Arial"/>
          <w:color w:val="auto"/>
          <w:lang w:eastAsia="en-GB"/>
        </w:rPr>
        <w:t>established and relatively inexpensive, they require periodic electrolyte replenishment, membrane replacement and frequent calibration, with drift accelerating in mixed liquor due to fouling and membrane degradation. Optical (luminescent) DO sensors infer oxygen concentration from the quenching of a phosphorescent dye layer. They eliminate electrolyte maintenance, exhibit superior long</w:t>
      </w:r>
      <w:r w:rsidRPr="00A3709A">
        <w:rPr>
          <w:rFonts w:ascii="Cambria Math" w:eastAsia="Times New Roman" w:hAnsi="Cambria Math" w:cs="Cambria Math"/>
          <w:color w:val="auto"/>
          <w:lang w:eastAsia="en-GB"/>
        </w:rPr>
        <w:t>‑</w:t>
      </w:r>
      <w:r w:rsidRPr="00A3709A">
        <w:rPr>
          <w:rFonts w:eastAsia="Times New Roman" w:cs="Arial"/>
          <w:color w:val="auto"/>
          <w:lang w:eastAsia="en-GB"/>
        </w:rPr>
        <w:t>term stability and respond more rapidly to concentration changes. Their higher capital cost is offset by reduced maintenance burden and improved control fidelity, making them the preferred choice for modern installations. Both technologies, however, require automated cleaning systems—typically air</w:t>
      </w:r>
      <w:r w:rsidRPr="00A3709A">
        <w:rPr>
          <w:rFonts w:ascii="Cambria Math" w:eastAsia="Times New Roman" w:hAnsi="Cambria Math" w:cs="Cambria Math"/>
          <w:color w:val="auto"/>
          <w:lang w:eastAsia="en-GB"/>
        </w:rPr>
        <w:t>‑</w:t>
      </w:r>
      <w:r w:rsidRPr="00A3709A">
        <w:rPr>
          <w:rFonts w:eastAsia="Times New Roman" w:cs="Arial"/>
          <w:color w:val="auto"/>
          <w:lang w:eastAsia="en-GB"/>
        </w:rPr>
        <w:t>blast or ultrasonic—to maintain measurement integrity.</w:t>
      </w:r>
    </w:p>
    <w:p w14:paraId="1F936823" w14:textId="77777777" w:rsidR="00A3709A" w:rsidRPr="00A3709A" w:rsidRDefault="00A3709A" w:rsidP="00A3709A">
      <w:pPr>
        <w:spacing w:before="80" w:after="180" w:line="288" w:lineRule="auto"/>
        <w:jc w:val="both"/>
        <w:rPr>
          <w:rFonts w:eastAsia="Times New Roman" w:cs="Arial"/>
          <w:color w:val="auto"/>
          <w:lang w:eastAsia="en-GB"/>
        </w:rPr>
      </w:pPr>
      <w:r w:rsidRPr="00A3709A">
        <w:rPr>
          <w:rFonts w:eastAsia="Times New Roman" w:cs="Arial"/>
          <w:color w:val="auto"/>
          <w:lang w:eastAsia="en-GB"/>
        </w:rPr>
        <w:t xml:space="preserve"> </w:t>
      </w:r>
    </w:p>
    <w:p w14:paraId="750EBB16" w14:textId="77777777" w:rsidR="00A3709A" w:rsidRPr="00A3709A" w:rsidRDefault="00A3709A" w:rsidP="00A3709A">
      <w:pPr>
        <w:spacing w:before="80" w:after="180" w:line="288" w:lineRule="auto"/>
        <w:jc w:val="both"/>
        <w:rPr>
          <w:rFonts w:eastAsia="Times New Roman" w:cs="Arial"/>
          <w:color w:val="auto"/>
          <w:lang w:eastAsia="en-GB"/>
        </w:rPr>
      </w:pPr>
      <w:r w:rsidRPr="00A3709A">
        <w:rPr>
          <w:rFonts w:eastAsia="Times New Roman" w:cs="Arial"/>
          <w:color w:val="auto"/>
          <w:lang w:eastAsia="en-GB"/>
        </w:rPr>
        <w:t>Flow measurement underpins mass</w:t>
      </w:r>
      <w:r w:rsidRPr="00A3709A">
        <w:rPr>
          <w:rFonts w:ascii="Cambria Math" w:eastAsia="Times New Roman" w:hAnsi="Cambria Math" w:cs="Cambria Math"/>
          <w:color w:val="auto"/>
          <w:lang w:eastAsia="en-GB"/>
        </w:rPr>
        <w:t>‑</w:t>
      </w:r>
      <w:r w:rsidRPr="00A3709A">
        <w:rPr>
          <w:rFonts w:eastAsia="Times New Roman" w:cs="Arial"/>
          <w:color w:val="auto"/>
          <w:lang w:eastAsia="en-GB"/>
        </w:rPr>
        <w:t>balance calculations, storm</w:t>
      </w:r>
      <w:r w:rsidRPr="00A3709A">
        <w:rPr>
          <w:rFonts w:ascii="Cambria Math" w:eastAsia="Times New Roman" w:hAnsi="Cambria Math" w:cs="Cambria Math"/>
          <w:color w:val="auto"/>
          <w:lang w:eastAsia="en-GB"/>
        </w:rPr>
        <w:t>‑</w:t>
      </w:r>
      <w:r w:rsidRPr="00A3709A">
        <w:rPr>
          <w:rFonts w:eastAsia="Times New Roman" w:cs="Arial"/>
          <w:color w:val="auto"/>
          <w:lang w:eastAsia="en-GB"/>
        </w:rPr>
        <w:t>flow management and chemical dosing control. Electromagnetic flow meters remain the industry standard due to their ±0.3–0.5% accuracy, insensitivity to suspended solids and absence of moving parts. Their reliability in high</w:t>
      </w:r>
      <w:r w:rsidRPr="00A3709A">
        <w:rPr>
          <w:rFonts w:ascii="Cambria Math" w:eastAsia="Times New Roman" w:hAnsi="Cambria Math" w:cs="Cambria Math"/>
          <w:color w:val="auto"/>
          <w:lang w:eastAsia="en-GB"/>
        </w:rPr>
        <w:t>‑</w:t>
      </w:r>
      <w:r w:rsidRPr="00A3709A">
        <w:rPr>
          <w:rFonts w:eastAsia="Times New Roman" w:cs="Arial"/>
          <w:color w:val="auto"/>
          <w:lang w:eastAsia="en-GB"/>
        </w:rPr>
        <w:t>solids wastewater makes them indispensable at inlet works and sludge transfer points. pH measurement, essential for chemical phosphorus removal and digestion stability, is typically achieved using glass</w:t>
      </w:r>
      <w:r w:rsidRPr="00A3709A">
        <w:rPr>
          <w:rFonts w:ascii="Cambria Math" w:eastAsia="Times New Roman" w:hAnsi="Cambria Math" w:cs="Cambria Math"/>
          <w:color w:val="auto"/>
          <w:lang w:eastAsia="en-GB"/>
        </w:rPr>
        <w:t>‑</w:t>
      </w:r>
      <w:r w:rsidRPr="00A3709A">
        <w:rPr>
          <w:rFonts w:eastAsia="Times New Roman" w:cs="Arial"/>
          <w:color w:val="auto"/>
          <w:lang w:eastAsia="en-GB"/>
        </w:rPr>
        <w:t>membrane electrodes. Combined pH/ORP probes extend diagnostic capability by characterising redox conditions, providing insight into nitrification and denitrification performance. Online ammonium (NH</w:t>
      </w:r>
      <w:r w:rsidRPr="00A3709A">
        <w:rPr>
          <w:rFonts w:ascii="Cambria Math" w:eastAsia="Times New Roman" w:hAnsi="Cambria Math" w:cs="Cambria Math"/>
          <w:color w:val="auto"/>
          <w:lang w:eastAsia="en-GB"/>
        </w:rPr>
        <w:t>₄‑</w:t>
      </w:r>
      <w:r w:rsidRPr="00A3709A">
        <w:rPr>
          <w:rFonts w:eastAsia="Times New Roman" w:cs="Arial"/>
          <w:color w:val="auto"/>
          <w:lang w:eastAsia="en-GB"/>
        </w:rPr>
        <w:t>N) ion</w:t>
      </w:r>
      <w:r w:rsidRPr="00A3709A">
        <w:rPr>
          <w:rFonts w:ascii="Cambria Math" w:eastAsia="Times New Roman" w:hAnsi="Cambria Math" w:cs="Cambria Math"/>
          <w:color w:val="auto"/>
          <w:lang w:eastAsia="en-GB"/>
        </w:rPr>
        <w:t>‑</w:t>
      </w:r>
      <w:r w:rsidRPr="00A3709A">
        <w:rPr>
          <w:rFonts w:eastAsia="Times New Roman" w:cs="Arial"/>
          <w:color w:val="auto"/>
          <w:lang w:eastAsia="en-GB"/>
        </w:rPr>
        <w:t>selective electrodes are increasingly deployed to support ammonium</w:t>
      </w:r>
      <w:r w:rsidRPr="00A3709A">
        <w:rPr>
          <w:rFonts w:ascii="Cambria Math" w:eastAsia="Times New Roman" w:hAnsi="Cambria Math" w:cs="Cambria Math"/>
          <w:color w:val="auto"/>
          <w:lang w:eastAsia="en-GB"/>
        </w:rPr>
        <w:t>‑</w:t>
      </w:r>
      <w:r w:rsidRPr="00A3709A">
        <w:rPr>
          <w:rFonts w:eastAsia="Times New Roman" w:cs="Arial"/>
          <w:color w:val="auto"/>
          <w:lang w:eastAsia="en-GB"/>
        </w:rPr>
        <w:t>based aeration control (ABAC), enabling aeration to respond directly to biological oxygen demand rather than relying solely on DO as a proxy.</w:t>
      </w:r>
    </w:p>
    <w:p w14:paraId="512C39EC" w14:textId="5C8A3636" w:rsidR="00A3709A" w:rsidRPr="00A3709A" w:rsidRDefault="00A3709A" w:rsidP="00A3709A">
      <w:pPr>
        <w:spacing w:before="80" w:after="180" w:line="288" w:lineRule="auto"/>
        <w:jc w:val="both"/>
        <w:rPr>
          <w:rFonts w:eastAsia="Times New Roman" w:cs="Arial"/>
          <w:color w:val="auto"/>
          <w:lang w:eastAsia="en-GB"/>
        </w:rPr>
      </w:pPr>
    </w:p>
    <w:p w14:paraId="52A5A8C9" w14:textId="26961418" w:rsidR="008A7662" w:rsidRPr="00556A20" w:rsidRDefault="00A3709A" w:rsidP="00A3709A">
      <w:pPr>
        <w:spacing w:before="80" w:after="180" w:line="288" w:lineRule="auto"/>
        <w:jc w:val="both"/>
      </w:pPr>
      <w:r w:rsidRPr="00A3709A">
        <w:rPr>
          <w:rFonts w:eastAsia="Times New Roman" w:cs="Arial"/>
          <w:color w:val="auto"/>
          <w:lang w:eastAsia="en-GB"/>
        </w:rPr>
        <w:t>The operational value of instrumentation depends not only on sensor technology but also on calibration strategy, redundancy, environmental protection and integration with cleaning systems. Biofouling, temperature variation, chemical attack and hydraulic shocks all degrade sensor performance over time. Consequently, robust maintenance regimes—including scheduled calibration, validation against laboratory samples and automated cleaning—are essential to sustaining control accuracy. As advanced control strategies such as MPC and AI</w:t>
      </w:r>
      <w:r w:rsidRPr="00A3709A">
        <w:rPr>
          <w:rFonts w:ascii="Cambria Math" w:eastAsia="Times New Roman" w:hAnsi="Cambria Math" w:cs="Cambria Math"/>
          <w:color w:val="auto"/>
          <w:lang w:eastAsia="en-GB"/>
        </w:rPr>
        <w:t>‑</w:t>
      </w:r>
      <w:r w:rsidRPr="00A3709A">
        <w:rPr>
          <w:rFonts w:eastAsia="Times New Roman" w:cs="Arial"/>
          <w:color w:val="auto"/>
          <w:lang w:eastAsia="en-GB"/>
        </w:rPr>
        <w:t>assisted optimisation become more prevalent, the requirement for high</w:t>
      </w:r>
      <w:r w:rsidRPr="00A3709A">
        <w:rPr>
          <w:rFonts w:ascii="Cambria Math" w:eastAsia="Times New Roman" w:hAnsi="Cambria Math" w:cs="Cambria Math"/>
          <w:color w:val="auto"/>
          <w:lang w:eastAsia="en-GB"/>
        </w:rPr>
        <w:t>‑</w:t>
      </w:r>
      <w:r w:rsidRPr="00A3709A">
        <w:rPr>
          <w:rFonts w:eastAsia="Times New Roman" w:cs="Arial"/>
          <w:color w:val="auto"/>
          <w:lang w:eastAsia="en-GB"/>
        </w:rPr>
        <w:t>fidelity, low</w:t>
      </w:r>
      <w:r w:rsidRPr="00A3709A">
        <w:rPr>
          <w:rFonts w:ascii="Cambria Math" w:eastAsia="Times New Roman" w:hAnsi="Cambria Math" w:cs="Cambria Math"/>
          <w:color w:val="auto"/>
          <w:lang w:eastAsia="en-GB"/>
        </w:rPr>
        <w:t>‑</w:t>
      </w:r>
      <w:r w:rsidRPr="00A3709A">
        <w:rPr>
          <w:rFonts w:eastAsia="Times New Roman" w:cs="Arial"/>
          <w:color w:val="auto"/>
          <w:lang w:eastAsia="en-GB"/>
        </w:rPr>
        <w:t>drift instrumentation becomes even more pronounced. Reliable measurement is therefore not merely a supporting function but a foundational prerequisite for modern wastewater automation</w:t>
      </w:r>
      <w:r w:rsidR="000D6DB2" w:rsidRPr="00F0518E">
        <w:t>.</w:t>
      </w:r>
    </w:p>
    <w:p w14:paraId="213C9C2F" w14:textId="77777777" w:rsidR="00981C27" w:rsidRDefault="00981C27" w:rsidP="00981C27"/>
    <w:p w14:paraId="2D40763E" w14:textId="35D8E8E0" w:rsidR="00981C27" w:rsidRPr="0063099A" w:rsidRDefault="009E5802" w:rsidP="00981C27">
      <w:pPr>
        <w:pStyle w:val="Heading1"/>
      </w:pPr>
      <w:bookmarkStart w:id="6" w:name="_Toc228171171"/>
      <w:r>
        <w:t>P</w:t>
      </w:r>
      <w:r w:rsidR="00065802">
        <w:t>roce</w:t>
      </w:r>
      <w:r w:rsidR="00981C27" w:rsidRPr="00FA1313">
        <w:t>ss</w:t>
      </w:r>
      <w:r w:rsidR="00065802">
        <w:t xml:space="preserve"> Controllers</w:t>
      </w:r>
      <w:bookmarkEnd w:id="6"/>
    </w:p>
    <w:p w14:paraId="1D04E0B9" w14:textId="6DAF605C" w:rsidR="00981C27" w:rsidRPr="00CA1E0F" w:rsidRDefault="00F736EB" w:rsidP="00981C27">
      <w:pPr>
        <w:pStyle w:val="Heading2"/>
        <w:spacing w:after="120"/>
        <w:ind w:left="0" w:firstLine="0"/>
        <w:rPr>
          <w:rFonts w:cs="Arial"/>
        </w:rPr>
      </w:pPr>
      <w:bookmarkStart w:id="7" w:name="_Toc228171172"/>
      <w:r w:rsidRPr="00F736EB">
        <w:rPr>
          <w:rFonts w:cs="Arial"/>
        </w:rPr>
        <w:t>Programmable Logic Controllers</w:t>
      </w:r>
      <w:bookmarkEnd w:id="7"/>
    </w:p>
    <w:p w14:paraId="376217C4" w14:textId="4C659513" w:rsidR="00981C27" w:rsidRDefault="00B221BF" w:rsidP="00894301">
      <w:r>
        <w:t xml:space="preserve">PLCs </w:t>
      </w:r>
      <w:r w:rsidR="00894301">
        <w:t xml:space="preserve">remain the dominant control platform across UK WwTFs. Their value lies in deterministic execution — the control program runs to completion within a guaranteed, repeating scan cycle, typically 10–100ms — providing the timing precision required for safe process control. Programming follows IEC 61131-3 standard languages, with Ladder Diagram (LD) widely used for discrete sequential logic (pump sequencing, valve interlocking) and Function Block Diagram (FBD) or Structured Text (ST) preferred for continuous PID loop implementation </w:t>
      </w:r>
      <w:r w:rsidR="00894301">
        <w:rPr>
          <w:sz w:val="20"/>
          <w:szCs w:val="20"/>
          <w:vertAlign w:val="superscript"/>
        </w:rPr>
        <w:t>[22]</w:t>
      </w:r>
      <w:r w:rsidR="00894301">
        <w:t>. Communication with field instruments and actuators is accomplished via analogue 4–20 mA signals for continuous variables and digital inputs/outputs for status and command signals, increasingly supplemented by HART, PROFIBUS-PA or Foundation Fieldbus digital protocols that enable additional diagnostic data to be extracted from intelligent field devices without additional wiring</w:t>
      </w:r>
      <w:r w:rsidR="00981C27" w:rsidRPr="004E34B6">
        <w:t>.</w:t>
      </w:r>
      <w:r w:rsidR="00981C27">
        <w:t xml:space="preserve"> </w:t>
      </w:r>
    </w:p>
    <w:p w14:paraId="4936850E" w14:textId="77777777" w:rsidR="00981C27" w:rsidRPr="00E430DA" w:rsidRDefault="00981C27" w:rsidP="00981C27">
      <w:pPr>
        <w:ind w:left="720"/>
      </w:pPr>
    </w:p>
    <w:p w14:paraId="4B9B5588" w14:textId="3D948EE7" w:rsidR="00981C27" w:rsidRDefault="003C029A" w:rsidP="00981C27">
      <w:pPr>
        <w:pStyle w:val="Heading2"/>
        <w:rPr>
          <w:rFonts w:cs="Arial"/>
        </w:rPr>
      </w:pPr>
      <w:bookmarkStart w:id="8" w:name="_Toc228171173"/>
      <w:r w:rsidRPr="003C029A">
        <w:rPr>
          <w:rFonts w:cs="Arial"/>
        </w:rPr>
        <w:t>PID Control and Its Practical Limitation</w:t>
      </w:r>
      <w:r w:rsidR="00C00389">
        <w:rPr>
          <w:rFonts w:cs="Arial"/>
        </w:rPr>
        <w:t>s</w:t>
      </w:r>
      <w:bookmarkEnd w:id="8"/>
    </w:p>
    <w:p w14:paraId="2CC2D590" w14:textId="07091EF3" w:rsidR="004D6AA9" w:rsidRDefault="00981C27" w:rsidP="004D6AA9">
      <w:pPr>
        <w:spacing w:before="80" w:after="180" w:line="288" w:lineRule="auto"/>
        <w:jc w:val="both"/>
      </w:pPr>
      <w:r w:rsidRPr="00733B80">
        <w:t>T</w:t>
      </w:r>
      <w:r w:rsidR="004D6AA9">
        <w:t xml:space="preserve">he Proportional-Integral-Derivative (PID) algorithm is the near-universal choice for continuous closed-loop control in WwTFs. Its three terms address complementary control objectives: the proportional gain provides a response scaled to the current error magnitude; the integral term eliminates steady-state offset by continuously accumulating the error over time; and the derivative term provides predictive damping by responding to the rate of error change </w:t>
      </w:r>
      <w:r w:rsidR="004D6AA9">
        <w:rPr>
          <w:sz w:val="20"/>
          <w:szCs w:val="20"/>
          <w:vertAlign w:val="superscript"/>
        </w:rPr>
        <w:t>[23]</w:t>
      </w:r>
      <w:r w:rsidR="004D6AA9">
        <w:t>. In DO control, a PID controller compares the measured DO concentration against the operator-configured setpoint and modulates blower speed or air valve position to minimise the error. Figure 3 illustrates this closed-loop architecture.</w:t>
      </w:r>
    </w:p>
    <w:p w14:paraId="4987CD47" w14:textId="77777777" w:rsidR="004D6AA9" w:rsidRDefault="004D6AA9" w:rsidP="004D6AA9">
      <w:pPr>
        <w:spacing w:before="200" w:after="60"/>
        <w:jc w:val="center"/>
      </w:pPr>
      <w:r>
        <w:rPr>
          <w:noProof/>
        </w:rPr>
        <w:drawing>
          <wp:inline distT="0" distB="0" distL="0" distR="0" wp14:anchorId="1E5BEA4C" wp14:editId="47381650">
            <wp:extent cx="5334000" cy="1905000"/>
            <wp:effectExtent l="0" t="0" r="0" b="0"/>
            <wp:docPr id="1989276389" name="Picture 198927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34000" cy="1905000"/>
                    </a:xfrm>
                    <a:prstGeom prst="rect">
                      <a:avLst/>
                    </a:prstGeom>
                  </pic:spPr>
                </pic:pic>
              </a:graphicData>
            </a:graphic>
          </wp:inline>
        </w:drawing>
      </w:r>
    </w:p>
    <w:p w14:paraId="79DB0012" w14:textId="77777777" w:rsidR="004D6AA9" w:rsidRDefault="004D6AA9" w:rsidP="004D6AA9">
      <w:pPr>
        <w:spacing w:after="280"/>
        <w:jc w:val="center"/>
      </w:pPr>
      <w:r>
        <w:rPr>
          <w:i/>
          <w:iCs/>
          <w:color w:val="444444"/>
          <w:sz w:val="20"/>
          <w:szCs w:val="20"/>
        </w:rPr>
        <w:t>Figure 3: PID Closed-Loop Control Schematic for Dissolved Oxygen Control in an Aeration Basin</w:t>
      </w:r>
    </w:p>
    <w:p w14:paraId="12C214F6" w14:textId="0FB9755C" w:rsidR="00981C27" w:rsidRDefault="004D6AA9" w:rsidP="004D6AA9">
      <w:r>
        <w:t xml:space="preserve">However, it is essential to critically appraise the limitations of standard PID control in the WwTF context. Biological treatment processes are inherently non-linear — the relationship between aeration rate and DO concentration is not fixed but varies with organic loading, temperature and biomass activity — and exhibit significant dead time between control action and measured response. Standard PID tuning methods (Ziegler-Nichols, IMC) assume linear, time-invariant process behaviour and produce suboptimal performance when these assumptions are violated </w:t>
      </w:r>
      <w:r>
        <w:rPr>
          <w:sz w:val="20"/>
          <w:szCs w:val="20"/>
          <w:vertAlign w:val="superscript"/>
        </w:rPr>
        <w:t>[24]</w:t>
      </w:r>
      <w:r>
        <w:t xml:space="preserve">. Additionally, WwTFs contain multiple interacting control loops: aeration control affects the biological nitrogen removal kinetics that determine the nitrification rate, which in turn influences DO demand. Single-loop PID controllers cannot account for these interactions, leading to oscillatory behaviour or poor disturbance rejection during high-loading events. These limitations motivate the adoption of cascade control architectures, feedforward compensation and, increasingly, model predictive control (MPC) strategies, as discussed in Section </w:t>
      </w:r>
      <w:r w:rsidR="00D335F8">
        <w:t>7</w:t>
      </w:r>
      <w:r w:rsidR="00981C27" w:rsidRPr="00733B80">
        <w:t>. </w:t>
      </w:r>
    </w:p>
    <w:p w14:paraId="084CD80D" w14:textId="77777777" w:rsidR="00FD627D" w:rsidRDefault="00FD627D" w:rsidP="004D6AA9"/>
    <w:p w14:paraId="4290B92F" w14:textId="1C92BF37" w:rsidR="00FD627D" w:rsidRPr="00CA1E0F" w:rsidRDefault="00C66058" w:rsidP="00FD627D">
      <w:pPr>
        <w:pStyle w:val="Heading2"/>
        <w:spacing w:after="120"/>
        <w:ind w:left="0" w:firstLine="0"/>
        <w:rPr>
          <w:rFonts w:cs="Arial"/>
        </w:rPr>
      </w:pPr>
      <w:bookmarkStart w:id="9" w:name="_Toc228171174"/>
      <w:r w:rsidRPr="00C66058">
        <w:rPr>
          <w:rFonts w:cs="Arial"/>
        </w:rPr>
        <w:t>Distributed Control System</w:t>
      </w:r>
      <w:r w:rsidR="00FD627D" w:rsidRPr="00F736EB">
        <w:rPr>
          <w:rFonts w:cs="Arial"/>
        </w:rPr>
        <w:t>s</w:t>
      </w:r>
      <w:bookmarkEnd w:id="9"/>
    </w:p>
    <w:p w14:paraId="451D2A53" w14:textId="6F6F71B1" w:rsidR="00FD627D" w:rsidRDefault="00662D21" w:rsidP="00FD627D">
      <w:r>
        <w:t>F</w:t>
      </w:r>
      <w:r w:rsidR="001F38EC" w:rsidRPr="001F38EC">
        <w:t>or larger, more complex WwTFs or those employing advanced treatment processes, a Distributed Control System (DCS) may supplement or replace the PLC-based architecture. DCS platforms distribute I/O and control processing across a network of intelligent field controllers, reducing cabling costs and improving fault tolerance through redundancy. They typically offer more sophisticated process control functionality than standard PLCs, including native multivariable control blocks and integrated historian capabilities. However, their higher capital and engineering cost means they are predominantly deployed in industrial water treatment, desalination and large urban WwTF applications rather than smaller municipal sites</w:t>
      </w:r>
      <w:r w:rsidR="00FD627D" w:rsidRPr="004E34B6">
        <w:t>.</w:t>
      </w:r>
      <w:r w:rsidR="00FD627D">
        <w:t xml:space="preserve"> </w:t>
      </w:r>
    </w:p>
    <w:p w14:paraId="0B18696A" w14:textId="77777777" w:rsidR="00FD627D" w:rsidRPr="00733B80" w:rsidRDefault="00FD627D" w:rsidP="004D6AA9"/>
    <w:p w14:paraId="153E379F" w14:textId="05D20399" w:rsidR="00AC2A86" w:rsidRPr="00E35B1F" w:rsidRDefault="002F00B7" w:rsidP="00AC2A86">
      <w:pPr>
        <w:pStyle w:val="Heading1"/>
        <w:rPr>
          <w:rFonts w:eastAsia="Arial" w:cs="Arial"/>
        </w:rPr>
      </w:pPr>
      <w:bookmarkStart w:id="10" w:name="_Toc228171175"/>
      <w:r w:rsidRPr="002F00B7">
        <w:rPr>
          <w:rFonts w:eastAsia="Arial" w:cs="Arial"/>
        </w:rPr>
        <w:t>Supervisory Control</w:t>
      </w:r>
      <w:r w:rsidR="008E18CD" w:rsidRPr="008E18CD">
        <w:rPr>
          <w:rFonts w:eastAsia="Arial" w:cs="Arial"/>
        </w:rPr>
        <w:t xml:space="preserve"> </w:t>
      </w:r>
      <w:r w:rsidR="008E18CD" w:rsidRPr="002F00B7">
        <w:rPr>
          <w:rFonts w:eastAsia="Arial" w:cs="Arial"/>
        </w:rPr>
        <w:t>and</w:t>
      </w:r>
      <w:r w:rsidRPr="002F00B7">
        <w:rPr>
          <w:rFonts w:eastAsia="Arial" w:cs="Arial"/>
        </w:rPr>
        <w:t xml:space="preserve"> Data Acquisition</w:t>
      </w:r>
      <w:bookmarkEnd w:id="10"/>
      <w:r w:rsidRPr="002F00B7">
        <w:rPr>
          <w:rFonts w:eastAsia="Arial" w:cs="Arial"/>
        </w:rPr>
        <w:t xml:space="preserve"> </w:t>
      </w:r>
    </w:p>
    <w:p w14:paraId="19653785" w14:textId="426251E0" w:rsidR="00E2410B" w:rsidRDefault="005D6749" w:rsidP="00E2410B">
      <w:pPr>
        <w:pStyle w:val="paragraph"/>
        <w:spacing w:before="0" w:beforeAutospacing="0" w:after="0" w:afterAutospacing="0"/>
        <w:jc w:val="both"/>
        <w:textAlignment w:val="baseline"/>
        <w:rPr>
          <w:rStyle w:val="eop"/>
          <w:rFonts w:ascii="Arial" w:eastAsiaTheme="majorEastAsia" w:hAnsi="Arial" w:cs="Arial"/>
        </w:rPr>
      </w:pPr>
      <w:r>
        <w:rPr>
          <w:rStyle w:val="normaltextrun"/>
          <w:rFonts w:ascii="Arial" w:eastAsiaTheme="majorEastAsia" w:hAnsi="Arial" w:cs="Arial"/>
        </w:rPr>
        <w:t>S</w:t>
      </w:r>
      <w:r w:rsidR="00E2410B">
        <w:rPr>
          <w:rStyle w:val="normaltextrun"/>
          <w:rFonts w:ascii="Arial" w:eastAsiaTheme="majorEastAsia" w:hAnsi="Arial" w:cs="Arial"/>
        </w:rPr>
        <w:t xml:space="preserve">CADA systems occupy Level 3 of the ISA-95 / Purdue Reference Model (Figure </w:t>
      </w:r>
      <w:r w:rsidR="009E2F4A">
        <w:rPr>
          <w:rStyle w:val="normaltextrun"/>
          <w:rFonts w:ascii="Arial" w:eastAsiaTheme="majorEastAsia" w:hAnsi="Arial" w:cs="Arial"/>
        </w:rPr>
        <w:t>4</w:t>
      </w:r>
      <w:r w:rsidR="00E2410B">
        <w:rPr>
          <w:rStyle w:val="normaltextrun"/>
          <w:rFonts w:ascii="Arial" w:eastAsiaTheme="majorEastAsia" w:hAnsi="Arial" w:cs="Arial"/>
        </w:rPr>
        <w:t>), consolidating data from all site PLCs into an HMI that delivers real-time visualisation, alarm management, historical trending and remote setpoint authority </w:t>
      </w:r>
      <w:r w:rsidR="00E2410B">
        <w:rPr>
          <w:rStyle w:val="normaltextrun"/>
          <w:rFonts w:ascii="Arial" w:eastAsiaTheme="majorEastAsia" w:hAnsi="Arial" w:cs="Arial"/>
          <w:color w:val="1B3A6B"/>
        </w:rPr>
        <w:t>(Boyer, 2010)</w:t>
      </w:r>
      <w:r w:rsidR="00E2410B">
        <w:rPr>
          <w:rStyle w:val="normaltextrun"/>
          <w:rFonts w:ascii="Arial" w:eastAsiaTheme="majorEastAsia" w:hAnsi="Arial" w:cs="Arial"/>
        </w:rPr>
        <w:t>. The data historian archives process values at high frequency, providing the evidential record for the Environment Agency’s Operator Self-Monitoring scheme </w:t>
      </w:r>
      <w:r w:rsidR="00E2410B">
        <w:rPr>
          <w:rStyle w:val="normaltextrun"/>
          <w:rFonts w:ascii="Arial" w:eastAsiaTheme="majorEastAsia" w:hAnsi="Arial" w:cs="Arial"/>
          <w:color w:val="1B3A6B"/>
        </w:rPr>
        <w:t>(Environment Agency, 2022)</w:t>
      </w:r>
      <w:r w:rsidR="00E2410B">
        <w:rPr>
          <w:rStyle w:val="normaltextrun"/>
          <w:rFonts w:ascii="Arial" w:eastAsiaTheme="majorEastAsia" w:hAnsi="Arial" w:cs="Arial"/>
        </w:rPr>
        <w:t> and enabling automated compliance reporting.</w:t>
      </w:r>
      <w:r w:rsidR="00E2410B">
        <w:rPr>
          <w:rStyle w:val="eop"/>
          <w:rFonts w:ascii="Arial" w:eastAsiaTheme="majorEastAsia" w:hAnsi="Arial" w:cs="Arial"/>
        </w:rPr>
        <w:t> </w:t>
      </w:r>
    </w:p>
    <w:p w14:paraId="0314606B" w14:textId="47D49832" w:rsidR="00A17ECE" w:rsidRDefault="00A17ECE" w:rsidP="00A17ECE">
      <w:pPr>
        <w:spacing w:before="80" w:line="276" w:lineRule="auto"/>
        <w:jc w:val="both"/>
      </w:pPr>
    </w:p>
    <w:p w14:paraId="3FC39754" w14:textId="77777777" w:rsidR="00A17ECE" w:rsidRDefault="00A17ECE" w:rsidP="00A17ECE">
      <w:pPr>
        <w:spacing w:before="160" w:after="60"/>
        <w:jc w:val="center"/>
      </w:pPr>
      <w:r>
        <w:rPr>
          <w:noProof/>
        </w:rPr>
        <w:drawing>
          <wp:inline distT="0" distB="0" distL="0" distR="0" wp14:anchorId="16F94C0E" wp14:editId="1574F5C3">
            <wp:extent cx="6499860" cy="2287162"/>
            <wp:effectExtent l="0" t="0" r="0" b="0"/>
            <wp:docPr id="1472764195" name="Picture 147276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64195" name="Picture 1472764195"/>
                    <pic:cNvPicPr>
                      <a:picLocks noChangeAspect="1" noChangeArrowheads="1"/>
                    </pic:cNvPicPr>
                  </pic:nvPicPr>
                  <pic:blipFill rotWithShape="1">
                    <a:blip r:embed="rId15">
                      <a:extLst>
                        <a:ext uri="{28A0092B-C50C-407E-A947-70E740481C1C}">
                          <a14:useLocalDpi xmlns:a14="http://schemas.microsoft.com/office/drawing/2010/main" val="0"/>
                        </a:ext>
                      </a:extLst>
                    </a:blip>
                    <a:srcRect t="15201"/>
                    <a:stretch>
                      <a:fillRect/>
                    </a:stretch>
                  </pic:blipFill>
                  <pic:spPr bwMode="auto">
                    <a:xfrm>
                      <a:off x="0" y="0"/>
                      <a:ext cx="6510260" cy="2290821"/>
                    </a:xfrm>
                    <a:prstGeom prst="rect">
                      <a:avLst/>
                    </a:prstGeom>
                    <a:ln>
                      <a:noFill/>
                    </a:ln>
                    <a:extLst>
                      <a:ext uri="{53640926-AAD7-44D8-BBD7-CCE9431645EC}">
                        <a14:shadowObscured xmlns:a14="http://schemas.microsoft.com/office/drawing/2010/main"/>
                      </a:ext>
                    </a:extLst>
                  </pic:spPr>
                </pic:pic>
              </a:graphicData>
            </a:graphic>
          </wp:inline>
        </w:drawing>
      </w:r>
    </w:p>
    <w:p w14:paraId="4D913CAC" w14:textId="1B9FB593" w:rsidR="00A17ECE" w:rsidRDefault="00A17ECE" w:rsidP="00A17ECE">
      <w:pPr>
        <w:spacing w:after="240"/>
        <w:jc w:val="center"/>
      </w:pPr>
      <w:r>
        <w:rPr>
          <w:i/>
          <w:iCs/>
          <w:color w:val="444444"/>
          <w:sz w:val="20"/>
          <w:szCs w:val="20"/>
        </w:rPr>
        <w:t xml:space="preserve">Figure 4: ICA System </w:t>
      </w:r>
      <w:r w:rsidR="004C507A">
        <w:rPr>
          <w:i/>
          <w:iCs/>
          <w:color w:val="444444"/>
          <w:sz w:val="20"/>
          <w:szCs w:val="20"/>
        </w:rPr>
        <w:t>Architecture: Purdue</w:t>
      </w:r>
      <w:r w:rsidR="00AA52BC">
        <w:rPr>
          <w:i/>
          <w:iCs/>
          <w:color w:val="444444"/>
          <w:sz w:val="20"/>
          <w:szCs w:val="20"/>
        </w:rPr>
        <w:t xml:space="preserve"> Reference Model</w:t>
      </w:r>
      <w:r>
        <w:rPr>
          <w:i/>
          <w:iCs/>
          <w:color w:val="444444"/>
          <w:sz w:val="20"/>
          <w:szCs w:val="20"/>
        </w:rPr>
        <w:t xml:space="preserve"> (ISA-95 / Purdue Model)</w:t>
      </w:r>
    </w:p>
    <w:p w14:paraId="5B0FB046" w14:textId="57D16415" w:rsidR="00E2410B" w:rsidRDefault="00E2410B" w:rsidP="00E2410B">
      <w:pPr>
        <w:pStyle w:val="paragraph"/>
        <w:spacing w:before="0" w:beforeAutospacing="0" w:after="0" w:afterAutospacing="0"/>
        <w:jc w:val="center"/>
        <w:textAlignment w:val="baseline"/>
        <w:rPr>
          <w:rFonts w:ascii="Segoe UI" w:hAnsi="Segoe UI" w:cs="Segoe UI"/>
          <w:sz w:val="18"/>
          <w:szCs w:val="18"/>
        </w:rPr>
      </w:pPr>
    </w:p>
    <w:p w14:paraId="03EA47CC" w14:textId="77777777" w:rsidR="00E2410B" w:rsidRDefault="00E2410B" w:rsidP="00E2410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20"/>
          <w:szCs w:val="20"/>
        </w:rPr>
        <w:t> </w:t>
      </w:r>
      <w:r>
        <w:rPr>
          <w:rStyle w:val="eop"/>
          <w:rFonts w:ascii="Arial" w:eastAsiaTheme="majorEastAsia" w:hAnsi="Arial" w:cs="Arial"/>
          <w:sz w:val="20"/>
          <w:szCs w:val="20"/>
        </w:rPr>
        <w:t> </w:t>
      </w:r>
    </w:p>
    <w:p w14:paraId="4DD112D5" w14:textId="77777777" w:rsidR="00E2410B" w:rsidRDefault="00E2410B" w:rsidP="00E2410B">
      <w:pPr>
        <w:pStyle w:val="paragraph"/>
        <w:spacing w:before="0" w:beforeAutospacing="0" w:after="0" w:afterAutospacing="0"/>
        <w:jc w:val="both"/>
        <w:textAlignment w:val="baseline"/>
        <w:rPr>
          <w:rStyle w:val="eop"/>
          <w:rFonts w:ascii="Arial" w:eastAsiaTheme="majorEastAsia" w:hAnsi="Arial" w:cs="Arial"/>
        </w:rPr>
      </w:pPr>
      <w:r>
        <w:rPr>
          <w:rStyle w:val="normaltextrun"/>
          <w:rFonts w:ascii="Arial" w:eastAsiaTheme="majorEastAsia" w:hAnsi="Arial" w:cs="Arial"/>
        </w:rPr>
        <w:t>SCADA connectivity with corporate IT networks introduces cybersecurity risk; the 2021 Oldsmar incident showed remote compromise can threaten public safety </w:t>
      </w:r>
      <w:r>
        <w:rPr>
          <w:rStyle w:val="normaltextrun"/>
          <w:rFonts w:ascii="Arial" w:eastAsiaTheme="majorEastAsia" w:hAnsi="Arial" w:cs="Arial"/>
          <w:color w:val="1B3A6B"/>
        </w:rPr>
        <w:t>(Dragos, 2021)</w:t>
      </w:r>
      <w:r>
        <w:rPr>
          <w:rStyle w:val="normaltextrun"/>
          <w:rFonts w:ascii="Arial" w:eastAsiaTheme="majorEastAsia" w:hAnsi="Arial" w:cs="Arial"/>
        </w:rPr>
        <w:t>. The NIS Regulations 2018 mandate network segmentation, access controls and incident response </w:t>
      </w:r>
      <w:r>
        <w:rPr>
          <w:rStyle w:val="normaltextrun"/>
          <w:rFonts w:ascii="Arial" w:eastAsiaTheme="majorEastAsia" w:hAnsi="Arial" w:cs="Arial"/>
          <w:color w:val="1B3A6B"/>
        </w:rPr>
        <w:t>(NCSC, 2022)</w:t>
      </w:r>
      <w:r>
        <w:rPr>
          <w:rStyle w:val="normaltextrun"/>
          <w:rFonts w:ascii="Arial" w:eastAsiaTheme="majorEastAsia" w:hAnsi="Arial" w:cs="Arial"/>
        </w:rPr>
        <w:t>. Balancing operational openness with security isolation remains a key governance challenge.</w:t>
      </w:r>
      <w:r>
        <w:rPr>
          <w:rStyle w:val="eop"/>
          <w:rFonts w:ascii="Arial" w:eastAsiaTheme="majorEastAsia" w:hAnsi="Arial" w:cs="Arial"/>
        </w:rPr>
        <w:t> </w:t>
      </w:r>
    </w:p>
    <w:p w14:paraId="5406FEBC" w14:textId="77777777" w:rsidR="002B084F" w:rsidRDefault="002B084F" w:rsidP="00E2410B">
      <w:pPr>
        <w:pStyle w:val="paragraph"/>
        <w:spacing w:before="0" w:beforeAutospacing="0" w:after="0" w:afterAutospacing="0"/>
        <w:jc w:val="both"/>
        <w:textAlignment w:val="baseline"/>
        <w:rPr>
          <w:rFonts w:ascii="Segoe UI" w:hAnsi="Segoe UI" w:cs="Segoe UI"/>
          <w:sz w:val="18"/>
          <w:szCs w:val="18"/>
        </w:rPr>
      </w:pPr>
    </w:p>
    <w:p w14:paraId="4FFB489B" w14:textId="77777777" w:rsidR="00981C27" w:rsidRDefault="00981C27" w:rsidP="00556A20">
      <w:pPr>
        <w:spacing w:after="0" w:line="240" w:lineRule="auto"/>
        <w:jc w:val="both"/>
        <w:textAlignment w:val="baseline"/>
        <w:rPr>
          <w:color w:val="FF0000"/>
        </w:rPr>
      </w:pPr>
    </w:p>
    <w:p w14:paraId="44788103" w14:textId="18B5B13A" w:rsidR="00464B1F" w:rsidRDefault="00CF0053" w:rsidP="00464B1F">
      <w:pPr>
        <w:pStyle w:val="Heading1"/>
      </w:pPr>
      <w:bookmarkStart w:id="11" w:name="_Toc228171176"/>
      <w:r w:rsidRPr="00CF0053">
        <w:t>Regulatory and Standards Framework</w:t>
      </w:r>
      <w:bookmarkEnd w:id="11"/>
    </w:p>
    <w:p w14:paraId="5D44BEF2" w14:textId="61731E1D" w:rsidR="00464B1F" w:rsidRDefault="00E40B58" w:rsidP="00AE20DB">
      <w:pPr>
        <w:rPr>
          <w:color w:val="auto"/>
        </w:rPr>
      </w:pPr>
      <w:r w:rsidRPr="00E40B58">
        <w:rPr>
          <w:color w:val="auto"/>
        </w:rPr>
        <w:t>Wastewater treatment works operate under Environmental Permits issued by the Environment Agency, specifying concentration or load</w:t>
      </w:r>
      <w:r w:rsidRPr="00E40B58">
        <w:rPr>
          <w:rFonts w:ascii="Cambria Math" w:hAnsi="Cambria Math" w:cs="Cambria Math"/>
          <w:color w:val="auto"/>
        </w:rPr>
        <w:t>‑</w:t>
      </w:r>
      <w:r w:rsidRPr="00E40B58">
        <w:rPr>
          <w:color w:val="auto"/>
        </w:rPr>
        <w:t>based discharge limits. ICA systems provide the continuous monitoring, automated adjustment and evidential data required to demonstrate compliance. ISO 14001 establishes the environmental management framework adopted by most utilities, while IEC 61511 governs safety instrumented systems, including SIL assessment of high</w:t>
      </w:r>
      <w:r w:rsidRPr="00E40B58">
        <w:rPr>
          <w:rFonts w:ascii="Cambria Math" w:hAnsi="Cambria Math" w:cs="Cambria Math"/>
          <w:color w:val="auto"/>
        </w:rPr>
        <w:t>‑</w:t>
      </w:r>
      <w:r w:rsidRPr="00E40B58">
        <w:rPr>
          <w:color w:val="auto"/>
        </w:rPr>
        <w:t>risk functions such as chemical dosing shutdowns. Together, these standards ensure that automated control supports safe, auditable and environmentally responsible plant operation.</w:t>
      </w:r>
    </w:p>
    <w:p w14:paraId="24B38502" w14:textId="77777777" w:rsidR="009F59A9" w:rsidRDefault="009F59A9" w:rsidP="00AE20DB">
      <w:pPr>
        <w:rPr>
          <w:color w:val="auto"/>
        </w:rPr>
      </w:pPr>
    </w:p>
    <w:p w14:paraId="782246FF" w14:textId="1187C9D8" w:rsidR="009F59A9" w:rsidRPr="0063099A" w:rsidRDefault="00F5110A" w:rsidP="009F59A9">
      <w:pPr>
        <w:pStyle w:val="Heading1"/>
      </w:pPr>
      <w:bookmarkStart w:id="12" w:name="_Toc228171177"/>
      <w:r w:rsidRPr="00F5110A">
        <w:t>Advanced Technologies and Energy Performance</w:t>
      </w:r>
      <w:bookmarkEnd w:id="12"/>
    </w:p>
    <w:p w14:paraId="560AA8BC" w14:textId="3ED7DB0C" w:rsidR="009F59A9" w:rsidRPr="00CA1E0F" w:rsidRDefault="007B4E71" w:rsidP="009F59A9">
      <w:pPr>
        <w:pStyle w:val="Heading2"/>
        <w:spacing w:after="120"/>
        <w:ind w:left="0" w:firstLine="0"/>
        <w:rPr>
          <w:rFonts w:cs="Arial"/>
        </w:rPr>
      </w:pPr>
      <w:bookmarkStart w:id="13" w:name="_Toc228171178"/>
      <w:r w:rsidRPr="007B4E71">
        <w:rPr>
          <w:rFonts w:cs="Arial"/>
        </w:rPr>
        <w:t>Control Strategy and Energy Savings</w:t>
      </w:r>
      <w:bookmarkEnd w:id="13"/>
    </w:p>
    <w:p w14:paraId="31B5325C" w14:textId="67391F19" w:rsidR="009F59A9" w:rsidRDefault="00DA4A7B" w:rsidP="009F59A9">
      <w:pPr>
        <w:spacing w:before="80" w:after="180" w:line="288" w:lineRule="auto"/>
        <w:jc w:val="both"/>
      </w:pPr>
      <w:r w:rsidRPr="00DA4A7B">
        <w:t>The progressive sophistication of aeration control strategy delivers quantifiable and substantial energy savings, as shown in Figure 4. Conventional DO PID control reduces aeration energy by approximately 21% relative to manual operation by eliminating gross over-aeration. Ammonium-based aeration control (ABAC) – which uses online NH</w:t>
      </w:r>
      <w:r w:rsidRPr="00DA4A7B">
        <w:rPr>
          <w:rFonts w:ascii="Cambria Math" w:hAnsi="Cambria Math" w:cs="Cambria Math"/>
        </w:rPr>
        <w:t>₄</w:t>
      </w:r>
      <w:r w:rsidRPr="00DA4A7B">
        <w:t xml:space="preserve">-N measurement as the primary control signal, with DO as a secondary constraint </w:t>
      </w:r>
      <w:r w:rsidRPr="00DA4A7B">
        <w:rPr>
          <w:rFonts w:cs="Arial"/>
        </w:rPr>
        <w:t>–</w:t>
      </w:r>
      <w:r w:rsidRPr="00DA4A7B">
        <w:t xml:space="preserve"> delivers a further 14 percentage points of saving by responding directly to biological oxygen demand rather than relying on the DO proxy (Amand, Olsson and Carlsson, 2013). Model Predictive Control (MPC), which optimises control actions over a future prediction horizon using a mathematical process model, achieves additional gains by anticipating diurnal and storm-induced load variations rather than responding reactively to disturbances (Flores-Alsina et al., 2018). The combined deployment of AI/ML optimisation and digital twins, whilst still at an early commercial stage, projects total savings of up to 60% against the manual baseline, with commensurate reductions in carbon emissions – of direct relevance to Ofwat's net zero operational target for 2030 (Ofwat and Environment Agency, 2022)</w:t>
      </w:r>
      <w:r w:rsidR="009F59A9">
        <w:t>.</w:t>
      </w:r>
    </w:p>
    <w:p w14:paraId="55DAC2DB" w14:textId="77777777" w:rsidR="00616D30" w:rsidRDefault="00616D30" w:rsidP="009F59A9">
      <w:pPr>
        <w:spacing w:before="80" w:after="180" w:line="288" w:lineRule="auto"/>
        <w:jc w:val="both"/>
      </w:pPr>
    </w:p>
    <w:p w14:paraId="0F59B656" w14:textId="1770DD8E" w:rsidR="009F59A9" w:rsidRDefault="00BD6304" w:rsidP="009F59A9">
      <w:pPr>
        <w:spacing w:before="200" w:after="60"/>
        <w:jc w:val="center"/>
      </w:pPr>
      <w:r>
        <w:rPr>
          <w:noProof/>
        </w:rPr>
        <w:drawing>
          <wp:inline distT="0" distB="0" distL="0" distR="0" wp14:anchorId="758352C6" wp14:editId="1A59431E">
            <wp:extent cx="7702209" cy="2835734"/>
            <wp:effectExtent l="0" t="0" r="0" b="3175"/>
            <wp:docPr id="798526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t="8827"/>
                    <a:stretch>
                      <a:fillRect/>
                    </a:stretch>
                  </pic:blipFill>
                  <pic:spPr bwMode="auto">
                    <a:xfrm>
                      <a:off x="0" y="0"/>
                      <a:ext cx="7764849" cy="2858796"/>
                    </a:xfrm>
                    <a:prstGeom prst="rect">
                      <a:avLst/>
                    </a:prstGeom>
                    <a:noFill/>
                    <a:ln>
                      <a:noFill/>
                    </a:ln>
                    <a:extLst>
                      <a:ext uri="{53640926-AAD7-44D8-BBD7-CCE9431645EC}">
                        <a14:shadowObscured xmlns:a14="http://schemas.microsoft.com/office/drawing/2010/main"/>
                      </a:ext>
                    </a:extLst>
                  </pic:spPr>
                </pic:pic>
              </a:graphicData>
            </a:graphic>
          </wp:inline>
        </w:drawing>
      </w:r>
    </w:p>
    <w:p w14:paraId="7FB4BC95" w14:textId="2048E410" w:rsidR="009F59A9" w:rsidRDefault="009F59A9" w:rsidP="009F59A9">
      <w:pPr>
        <w:spacing w:after="280"/>
        <w:jc w:val="center"/>
      </w:pPr>
      <w:r>
        <w:rPr>
          <w:i/>
          <w:iCs/>
          <w:color w:val="444444"/>
          <w:sz w:val="20"/>
          <w:szCs w:val="20"/>
        </w:rPr>
        <w:t xml:space="preserve">Figure </w:t>
      </w:r>
      <w:r w:rsidR="00922812">
        <w:rPr>
          <w:i/>
          <w:iCs/>
          <w:color w:val="444444"/>
          <w:sz w:val="20"/>
          <w:szCs w:val="20"/>
        </w:rPr>
        <w:t>5</w:t>
      </w:r>
      <w:r>
        <w:rPr>
          <w:i/>
          <w:iCs/>
          <w:color w:val="444444"/>
          <w:sz w:val="20"/>
          <w:szCs w:val="20"/>
        </w:rPr>
        <w:t xml:space="preserve">: </w:t>
      </w:r>
      <w:r w:rsidR="008923DD">
        <w:rPr>
          <w:i/>
          <w:iCs/>
          <w:color w:val="444444"/>
          <w:sz w:val="20"/>
          <w:szCs w:val="20"/>
        </w:rPr>
        <w:t>Aeration</w:t>
      </w:r>
      <w:r>
        <w:rPr>
          <w:i/>
          <w:iCs/>
          <w:color w:val="444444"/>
          <w:sz w:val="20"/>
          <w:szCs w:val="20"/>
        </w:rPr>
        <w:t xml:space="preserve"> </w:t>
      </w:r>
      <w:r w:rsidR="008923DD">
        <w:rPr>
          <w:i/>
          <w:iCs/>
          <w:color w:val="444444"/>
          <w:sz w:val="20"/>
          <w:szCs w:val="20"/>
        </w:rPr>
        <w:t>Energy</w:t>
      </w:r>
      <w:r w:rsidR="003F7951">
        <w:rPr>
          <w:i/>
          <w:iCs/>
          <w:color w:val="444444"/>
          <w:sz w:val="20"/>
          <w:szCs w:val="20"/>
        </w:rPr>
        <w:t xml:space="preserve"> </w:t>
      </w:r>
      <w:r>
        <w:rPr>
          <w:i/>
          <w:iCs/>
          <w:color w:val="444444"/>
          <w:sz w:val="20"/>
          <w:szCs w:val="20"/>
        </w:rPr>
        <w:t>Co</w:t>
      </w:r>
      <w:r w:rsidR="003F7951">
        <w:rPr>
          <w:i/>
          <w:iCs/>
          <w:color w:val="444444"/>
          <w:sz w:val="20"/>
          <w:szCs w:val="20"/>
        </w:rPr>
        <w:t>n</w:t>
      </w:r>
      <w:r>
        <w:rPr>
          <w:i/>
          <w:iCs/>
          <w:color w:val="444444"/>
          <w:sz w:val="20"/>
          <w:szCs w:val="20"/>
        </w:rPr>
        <w:t>s</w:t>
      </w:r>
      <w:r w:rsidR="003F7951">
        <w:rPr>
          <w:i/>
          <w:iCs/>
          <w:color w:val="444444"/>
          <w:sz w:val="20"/>
          <w:szCs w:val="20"/>
        </w:rPr>
        <w:t>umption</w:t>
      </w:r>
      <w:r w:rsidR="00364FA4">
        <w:rPr>
          <w:i/>
          <w:iCs/>
          <w:color w:val="444444"/>
          <w:sz w:val="20"/>
          <w:szCs w:val="20"/>
        </w:rPr>
        <w:t xml:space="preserve"> by ICA</w:t>
      </w:r>
      <w:r>
        <w:rPr>
          <w:i/>
          <w:iCs/>
          <w:color w:val="444444"/>
          <w:sz w:val="20"/>
          <w:szCs w:val="20"/>
        </w:rPr>
        <w:t xml:space="preserve"> Control </w:t>
      </w:r>
      <w:r w:rsidR="000357C6">
        <w:rPr>
          <w:i/>
          <w:iCs/>
          <w:color w:val="444444"/>
          <w:sz w:val="20"/>
          <w:szCs w:val="20"/>
        </w:rPr>
        <w:t>Strategy (a</w:t>
      </w:r>
      <w:r w:rsidR="006F5A7F">
        <w:rPr>
          <w:i/>
          <w:iCs/>
          <w:color w:val="444444"/>
          <w:sz w:val="20"/>
          <w:szCs w:val="20"/>
        </w:rPr>
        <w:t>dapted from Am</w:t>
      </w:r>
      <w:r w:rsidR="002E33AC">
        <w:rPr>
          <w:i/>
          <w:iCs/>
          <w:color w:val="444444"/>
          <w:sz w:val="20"/>
          <w:szCs w:val="20"/>
        </w:rPr>
        <w:t xml:space="preserve">and </w:t>
      </w:r>
      <w:r>
        <w:rPr>
          <w:i/>
          <w:iCs/>
          <w:color w:val="444444"/>
          <w:sz w:val="20"/>
          <w:szCs w:val="20"/>
        </w:rPr>
        <w:t xml:space="preserve">et </w:t>
      </w:r>
      <w:r w:rsidR="002E33AC">
        <w:rPr>
          <w:i/>
          <w:iCs/>
          <w:color w:val="444444"/>
          <w:sz w:val="20"/>
          <w:szCs w:val="20"/>
        </w:rPr>
        <w:t>al</w:t>
      </w:r>
      <w:r w:rsidR="00DA4809">
        <w:rPr>
          <w:i/>
          <w:iCs/>
          <w:color w:val="444444"/>
          <w:sz w:val="20"/>
          <w:szCs w:val="20"/>
        </w:rPr>
        <w:t>., 2013</w:t>
      </w:r>
      <w:r w:rsidR="00195565">
        <w:rPr>
          <w:i/>
          <w:iCs/>
          <w:color w:val="444444"/>
          <w:sz w:val="20"/>
          <w:szCs w:val="20"/>
        </w:rPr>
        <w:t xml:space="preserve">; </w:t>
      </w:r>
      <w:r w:rsidR="000357C6">
        <w:rPr>
          <w:i/>
          <w:iCs/>
          <w:color w:val="444444"/>
          <w:sz w:val="20"/>
          <w:szCs w:val="20"/>
        </w:rPr>
        <w:t>Olsson 2012)</w:t>
      </w:r>
    </w:p>
    <w:p w14:paraId="2C4BB7F0" w14:textId="77777777" w:rsidR="009F59A9" w:rsidRDefault="009F59A9" w:rsidP="009F59A9"/>
    <w:p w14:paraId="6FDC485A" w14:textId="6ED338E9" w:rsidR="009F59A9" w:rsidRPr="00CA1E0F" w:rsidRDefault="002374B1" w:rsidP="009F59A9">
      <w:pPr>
        <w:pStyle w:val="Heading2"/>
        <w:spacing w:after="120"/>
        <w:ind w:left="0" w:firstLine="0"/>
        <w:rPr>
          <w:rFonts w:cs="Arial"/>
        </w:rPr>
      </w:pPr>
      <w:bookmarkStart w:id="14" w:name="_Toc228171179"/>
      <w:r w:rsidRPr="002374B1">
        <w:rPr>
          <w:rFonts w:cs="Arial"/>
        </w:rPr>
        <w:t>Artificial Intelligence, IoT and Digital Twins</w:t>
      </w:r>
      <w:bookmarkEnd w:id="14"/>
    </w:p>
    <w:p w14:paraId="1785EF61" w14:textId="0C778C6D" w:rsidR="00026796" w:rsidRPr="00026796" w:rsidRDefault="00026796" w:rsidP="00026796">
      <w:r w:rsidRPr="00026796">
        <w:t>Machine learning models trained on historical SCADA data have demonstrated capability to predict effluent quality parameters several hours ahead, enabling pre-emptive rather than reactive control (Hao et al., 2022). However, three limitations must be critically acknowledged. First, model performance is bounded by training data quality; sparse, noisy or sensor-failure-corrupted SCADA archives – common in older works – severely limit generalisation. Second, neural networks and ensemble models are inherently opaque, raising legitimate concerns from both operators and regulators about the auditability of control decisions made by 'black-box' algorithms (Alex et al., 2020). Third, transfer learning between sites with different configurations and loading profiles remains an unsolved problem. Explainable AI (XAI) methods are an active research frontier that may address the auditability barrier. </w:t>
      </w:r>
    </w:p>
    <w:p w14:paraId="083D14BD" w14:textId="77777777" w:rsidR="00026796" w:rsidRPr="00026796" w:rsidRDefault="00026796" w:rsidP="00026796">
      <w:r w:rsidRPr="00026796">
        <w:t>Low-Power Wide-Area Network (LPWAN) technologies – particularly </w:t>
      </w:r>
      <w:proofErr w:type="spellStart"/>
      <w:r w:rsidRPr="00026796">
        <w:t>LoRaWAN</w:t>
      </w:r>
      <w:proofErr w:type="spellEnd"/>
      <w:r w:rsidRPr="00026796">
        <w:t> – enable battery-powered IoT sensors to transmit data over several kilometres without cellular infrastructure, extending real-time monitoring to combined sewer overflow (CSO) structures, remote pumping stations and sewer network assets (Xu et al., 2014). Digital twins couple IWA Activated Sludge Models (ASM1, ASM2d) with live SCADA data feeds to maintain a continuously synchronised virtual replica of the physical plant, enabling operators to simulate process responses to proposed changes before live implementation and underpinning MPC strategies (Flores-Alsina et al., 2018). United Utilities and Southern Water have both piloted digital twin deployments with reported improvements in process stability and predictive maintenance capability. Widespread adoption is constrained principally by the computational infrastructure and data governance investment required, rather than by technical maturity. </w:t>
      </w:r>
    </w:p>
    <w:p w14:paraId="25C1F41B" w14:textId="3B3AB815" w:rsidR="002B084F" w:rsidRPr="006A0CAE" w:rsidRDefault="009F59A9" w:rsidP="00AE20DB">
      <w:r>
        <w:t xml:space="preserve"> </w:t>
      </w:r>
    </w:p>
    <w:p w14:paraId="2052BC29" w14:textId="77777777" w:rsidR="00464B1F" w:rsidRDefault="00464B1F" w:rsidP="00464B1F">
      <w:pPr>
        <w:pStyle w:val="Heading1"/>
      </w:pPr>
      <w:bookmarkStart w:id="15" w:name="_Toc228171180"/>
      <w:r>
        <w:t>Conclusion</w:t>
      </w:r>
      <w:bookmarkEnd w:id="15"/>
    </w:p>
    <w:p w14:paraId="7A0D5243" w14:textId="5179F340" w:rsidR="00D335F8" w:rsidRDefault="00D335F8" w:rsidP="00D335F8">
      <w:pPr>
        <w:spacing w:after="200" w:line="288" w:lineRule="auto"/>
        <w:jc w:val="both"/>
      </w:pPr>
      <w:r>
        <w:t>ICA technology has transformed wastewater treatment from a reactive, manually managed process into a sophisticated automated system capable of delivering consistent regulatory compliance at industrial scale. The progression from basic PLC-based discrete control through closed-loop PID, SCADA supervision, ABAC and MPC to AI-driven predictive optimisation represents not merely a sequence of technological substitutions but a qualitative shift in what automated systems can achieve: from control of known disturbances to anticipation of unknown ones.</w:t>
      </w:r>
    </w:p>
    <w:p w14:paraId="089493CF" w14:textId="785FEBD2" w:rsidR="00464B1F" w:rsidRPr="00D335F8" w:rsidRDefault="00D335F8" w:rsidP="00D335F8">
      <w:pPr>
        <w:spacing w:after="200" w:line="288" w:lineRule="auto"/>
        <w:jc w:val="both"/>
      </w:pPr>
      <w:r>
        <w:t>The quantitative evidence presented in this report is unambiguous: appropriate ICA investment reduces aeration energy by up to 60%, directly mitigating both operating cost and carbon emissions. However, three critical challenges must be addressed for the sector to fully realise this potential. First, sensor reliability – particularly in biofouling-prone environments – remains a practical constraint that limits the fidelity of all higher-level control strategies; investment in self-cleaning instrumentation and robust calibration regimes is therefore a prerequisite rather than an option. Second, the cybersecurity risks introduced by networked SCADA and cloud integration require governance commensurate with the safety-critical nature of the infrastructure they control; NIS Regulations provide a minimum framework, but leading practice demands proactive OT security architecture. Third, the deployment of AI in safety-critical control must be accompanied by advances in explainability sufficient to satisfy both operator acceptance and regulatory scrutiny. The convergence of these conditions – reliable measurement, secure architecture, explainable intelligence – defines the engineering frontier of autonomous wastewater treatment.</w:t>
      </w:r>
    </w:p>
    <w:p w14:paraId="61853B3D" w14:textId="77777777" w:rsidR="00464B1F" w:rsidRPr="006E08DB" w:rsidRDefault="00464B1F" w:rsidP="00AE20DB">
      <w:pPr>
        <w:rPr>
          <w:color w:val="FF0000"/>
        </w:rPr>
      </w:pPr>
    </w:p>
    <w:bookmarkStart w:id="16" w:name="_Toc228171181" w:displacedByCustomXml="next"/>
    <w:sdt>
      <w:sdtPr>
        <w:rPr>
          <w:rFonts w:eastAsiaTheme="minorHAnsi"/>
          <w:color w:val="000000" w:themeColor="text1"/>
          <w:sz w:val="24"/>
          <w:szCs w:val="24"/>
        </w:rPr>
        <w:id w:val="-366445893"/>
        <w:docPartObj>
          <w:docPartGallery w:val="Bibliographies"/>
          <w:docPartUnique/>
        </w:docPartObj>
      </w:sdtPr>
      <w:sdtEndPr/>
      <w:sdtContent>
        <w:p w14:paraId="1F9C37CE" w14:textId="40B82FF7" w:rsidR="00DD4DE9" w:rsidRDefault="00DD4DE9">
          <w:pPr>
            <w:pStyle w:val="Heading1"/>
          </w:pPr>
          <w:r>
            <w:t>References</w:t>
          </w:r>
          <w:bookmarkEnd w:id="16"/>
        </w:p>
        <w:sdt>
          <w:sdtPr>
            <w:id w:val="-573587230"/>
            <w:bibliography/>
          </w:sdtPr>
          <w:sdtEndPr/>
          <w:sdtContent>
            <w:p w14:paraId="21026BB3" w14:textId="77777777" w:rsidR="00E74242" w:rsidRPr="00E74242" w:rsidRDefault="00E74242" w:rsidP="00576A10">
              <w:pPr>
                <w:pStyle w:val="Bibliography"/>
                <w:numPr>
                  <w:ilvl w:val="0"/>
                  <w:numId w:val="28"/>
                </w:numPr>
              </w:pPr>
              <w:r w:rsidRPr="00E74242">
                <w:t>Alex, J. et al. (2020) 'Machine learning in wastewater treatment: Current status and future perspectives', Water Science and Technology, 81(3), pp. 441–457. </w:t>
              </w:r>
            </w:p>
            <w:p w14:paraId="74EA716A" w14:textId="77777777" w:rsidR="00E74242" w:rsidRPr="00E74242" w:rsidRDefault="00E74242" w:rsidP="00576A10">
              <w:pPr>
                <w:pStyle w:val="Bibliography"/>
                <w:numPr>
                  <w:ilvl w:val="0"/>
                  <w:numId w:val="28"/>
                </w:numPr>
              </w:pPr>
              <w:r w:rsidRPr="00E74242">
                <w:t>Amand, L., Olsson, G. and Carlsson, B. (2013) 'Aeration control – a review', Water Science and Technology, 67(11), pp. 2374–2398. </w:t>
              </w:r>
            </w:p>
            <w:p w14:paraId="610DE2F8" w14:textId="77777777" w:rsidR="00E74242" w:rsidRPr="00E74242" w:rsidRDefault="00E74242" w:rsidP="00576A10">
              <w:pPr>
                <w:pStyle w:val="Bibliography"/>
                <w:numPr>
                  <w:ilvl w:val="0"/>
                  <w:numId w:val="28"/>
                </w:numPr>
              </w:pPr>
              <w:r w:rsidRPr="00E74242">
                <w:t>Astrom, K.J. and Hagglund, T. (2006) Advanced PID Control. Research Triangle Park, NC: ISA. </w:t>
              </w:r>
            </w:p>
            <w:p w14:paraId="6CC940D9" w14:textId="77777777" w:rsidR="00E74242" w:rsidRPr="00E74242" w:rsidRDefault="00E74242" w:rsidP="00576A10">
              <w:pPr>
                <w:pStyle w:val="Bibliography"/>
                <w:numPr>
                  <w:ilvl w:val="0"/>
                  <w:numId w:val="28"/>
                </w:numPr>
              </w:pPr>
              <w:r w:rsidRPr="00E74242">
                <w:t>Boyer, S.A. (2010) SCADA: Supervisory Control and Data Acquisition. 4th </w:t>
              </w:r>
              <w:proofErr w:type="spellStart"/>
              <w:r w:rsidRPr="00E74242">
                <w:t>edn</w:t>
              </w:r>
              <w:proofErr w:type="spellEnd"/>
              <w:r w:rsidRPr="00E74242">
                <w:t>. Research Triangle Park, NC: ISA. </w:t>
              </w:r>
            </w:p>
            <w:p w14:paraId="7FC9AF3A" w14:textId="77777777" w:rsidR="00E74242" w:rsidRPr="00E74242" w:rsidRDefault="00E74242" w:rsidP="00576A10">
              <w:pPr>
                <w:pStyle w:val="Bibliography"/>
                <w:numPr>
                  <w:ilvl w:val="0"/>
                  <w:numId w:val="28"/>
                </w:numPr>
              </w:pPr>
              <w:r w:rsidRPr="00E74242">
                <w:rPr>
                  <w:lang w:val="fr-FR"/>
                </w:rPr>
                <w:t xml:space="preserve">Crittenden, J.C. et al. </w:t>
              </w:r>
              <w:r w:rsidRPr="00E74242">
                <w:t>(2012) MWH's Water Treatment: Principles and Design. 3rd </w:t>
              </w:r>
              <w:proofErr w:type="spellStart"/>
              <w:r w:rsidRPr="00E74242">
                <w:t>edn</w:t>
              </w:r>
              <w:proofErr w:type="spellEnd"/>
              <w:r w:rsidRPr="00E74242">
                <w:t>. Hoboken, NJ: Wiley. </w:t>
              </w:r>
            </w:p>
            <w:p w14:paraId="77544192" w14:textId="48795EE9" w:rsidR="00E74242" w:rsidRPr="00E74242" w:rsidRDefault="00E74242" w:rsidP="00576A10">
              <w:pPr>
                <w:pStyle w:val="Bibliography"/>
                <w:numPr>
                  <w:ilvl w:val="0"/>
                  <w:numId w:val="28"/>
                </w:numPr>
              </w:pPr>
              <w:r w:rsidRPr="00E74242">
                <w:t>Dragos (2021) ICS/OT Cybersecurity Year in Review 2021. Available at: https://www.dragos.com). </w:t>
              </w:r>
            </w:p>
            <w:p w14:paraId="766487D4" w14:textId="77777777" w:rsidR="00E74242" w:rsidRPr="00E74242" w:rsidRDefault="00E74242" w:rsidP="00576A10">
              <w:pPr>
                <w:pStyle w:val="Bibliography"/>
                <w:numPr>
                  <w:ilvl w:val="0"/>
                  <w:numId w:val="28"/>
                </w:numPr>
              </w:pPr>
              <w:r w:rsidRPr="00E74242">
                <w:t>Endress+Hauser (2022) pH Measurement in Wastewater Treatment: Application Note. Reinach: Endress+Hauser. </w:t>
              </w:r>
            </w:p>
            <w:p w14:paraId="09BBD1B8" w14:textId="77777777" w:rsidR="00E74242" w:rsidRPr="00E74242" w:rsidRDefault="00E74242" w:rsidP="00576A10">
              <w:pPr>
                <w:pStyle w:val="Bibliography"/>
                <w:numPr>
                  <w:ilvl w:val="0"/>
                  <w:numId w:val="28"/>
                </w:numPr>
              </w:pPr>
              <w:r w:rsidRPr="00E74242">
                <w:t>Environment Agency (2022) Environmental Permitting Guidance: Water Discharge Activities. Bristol: Environment Agency. </w:t>
              </w:r>
            </w:p>
            <w:p w14:paraId="05694382" w14:textId="77777777" w:rsidR="00E74242" w:rsidRPr="00E74242" w:rsidRDefault="00E74242" w:rsidP="00576A10">
              <w:pPr>
                <w:pStyle w:val="Bibliography"/>
                <w:numPr>
                  <w:ilvl w:val="0"/>
                  <w:numId w:val="28"/>
                </w:numPr>
              </w:pPr>
              <w:r w:rsidRPr="00E74242">
                <w:t>Flores-Alsina, X. et al. (2018) 'Modelling, simulation and control of a wastewater treatment plant', Water Science and Technology, 77(5), pp. 1158–1164. </w:t>
              </w:r>
            </w:p>
            <w:p w14:paraId="324F8687" w14:textId="77777777" w:rsidR="00E74242" w:rsidRPr="00E74242" w:rsidRDefault="00E74242" w:rsidP="00576A10">
              <w:pPr>
                <w:pStyle w:val="Bibliography"/>
                <w:numPr>
                  <w:ilvl w:val="0"/>
                  <w:numId w:val="28"/>
                </w:numPr>
              </w:pPr>
              <w:r w:rsidRPr="00E74242">
                <w:t>Gray, N.F. (2010) Water Technology: An Introduction for Environmental Scientists and Engineers. 3rd </w:t>
              </w:r>
              <w:proofErr w:type="spellStart"/>
              <w:r w:rsidRPr="00E74242">
                <w:t>edn</w:t>
              </w:r>
              <w:proofErr w:type="spellEnd"/>
              <w:r w:rsidRPr="00E74242">
                <w:t>. Oxford: Butterworth-Heinemann. </w:t>
              </w:r>
            </w:p>
            <w:p w14:paraId="2FE8BAA4" w14:textId="77777777" w:rsidR="00E74242" w:rsidRPr="00E74242" w:rsidRDefault="00E74242" w:rsidP="00576A10">
              <w:pPr>
                <w:pStyle w:val="Bibliography"/>
                <w:numPr>
                  <w:ilvl w:val="0"/>
                  <w:numId w:val="28"/>
                </w:numPr>
              </w:pPr>
              <w:r w:rsidRPr="00E74242">
                <w:t>Hach (2022) Dissolved Oxygen Measurement Technology Selection Guide. Loveland, CO: Hach Company. </w:t>
              </w:r>
            </w:p>
            <w:p w14:paraId="0E4CF801" w14:textId="77777777" w:rsidR="00E74242" w:rsidRPr="00E74242" w:rsidRDefault="00E74242" w:rsidP="00576A10">
              <w:pPr>
                <w:pStyle w:val="Bibliography"/>
                <w:numPr>
                  <w:ilvl w:val="0"/>
                  <w:numId w:val="28"/>
                </w:numPr>
              </w:pPr>
              <w:r w:rsidRPr="00E74242">
                <w:t>Hao, X. et al. (2022) 'Artificial intelligence for wastewater treatment: A review', Bioresource Technology, 348, 126879. </w:t>
              </w:r>
            </w:p>
            <w:p w14:paraId="39D2EA59" w14:textId="77777777" w:rsidR="00E74242" w:rsidRPr="00E74242" w:rsidRDefault="00E74242" w:rsidP="00576A10">
              <w:pPr>
                <w:pStyle w:val="Bibliography"/>
                <w:numPr>
                  <w:ilvl w:val="0"/>
                  <w:numId w:val="28"/>
                </w:numPr>
              </w:pPr>
              <w:r w:rsidRPr="00E74242">
                <w:t>IEC (2016) IEC 61511: Functional Safety – Safety Instrumented Systems for the Process Industry Sector. Geneva: IEC. </w:t>
              </w:r>
            </w:p>
            <w:p w14:paraId="6B7523B5" w14:textId="77777777" w:rsidR="00E74242" w:rsidRPr="00E74242" w:rsidRDefault="00E74242" w:rsidP="00576A10">
              <w:pPr>
                <w:pStyle w:val="Bibliography"/>
                <w:numPr>
                  <w:ilvl w:val="0"/>
                  <w:numId w:val="28"/>
                </w:numPr>
              </w:pPr>
              <w:r w:rsidRPr="00E74242">
                <w:t>ISA (2012) ISA-75.01.01: Flow Equations for Sizing Control Valves. Research Triangle Park, NC: ISA. </w:t>
              </w:r>
            </w:p>
            <w:p w14:paraId="07E7CC9F" w14:textId="77777777" w:rsidR="00E74242" w:rsidRPr="00E74242" w:rsidRDefault="00E74242" w:rsidP="00576A10">
              <w:pPr>
                <w:pStyle w:val="Bibliography"/>
                <w:numPr>
                  <w:ilvl w:val="0"/>
                  <w:numId w:val="28"/>
                </w:numPr>
              </w:pPr>
              <w:r w:rsidRPr="00E74242">
                <w:t>ISO (2015) ISO 14001:2015 Environmental Management Systems – Requirements with Guidance for Use. Geneva: ISO. </w:t>
              </w:r>
            </w:p>
            <w:p w14:paraId="62A19899" w14:textId="77777777" w:rsidR="00E74242" w:rsidRPr="00E74242" w:rsidRDefault="00E74242" w:rsidP="00576A10">
              <w:pPr>
                <w:pStyle w:val="Bibliography"/>
                <w:numPr>
                  <w:ilvl w:val="0"/>
                  <w:numId w:val="28"/>
                </w:numPr>
              </w:pPr>
              <w:r w:rsidRPr="00E74242">
                <w:t>Liptak, B.G. (ed.) (2003) Instrument Engineers' Handbook: Process Measurement and Analysis. 4th </w:t>
              </w:r>
              <w:proofErr w:type="spellStart"/>
              <w:r w:rsidRPr="00E74242">
                <w:t>edn</w:t>
              </w:r>
              <w:proofErr w:type="spellEnd"/>
              <w:r w:rsidRPr="00E74242">
                <w:t>. Boca Raton, FL: CRC Press. </w:t>
              </w:r>
            </w:p>
            <w:p w14:paraId="6C67FF32" w14:textId="77777777" w:rsidR="00E74242" w:rsidRPr="00E74242" w:rsidRDefault="00E74242" w:rsidP="00576A10">
              <w:pPr>
                <w:pStyle w:val="Bibliography"/>
                <w:numPr>
                  <w:ilvl w:val="0"/>
                  <w:numId w:val="28"/>
                </w:numPr>
              </w:pPr>
              <w:r w:rsidRPr="00E74242">
                <w:t>NCSC (2022) Operational Technology Cyber Security Guidance. London: National Cyber Security Centre. </w:t>
              </w:r>
            </w:p>
            <w:p w14:paraId="6CB6044B" w14:textId="77777777" w:rsidR="00E74242" w:rsidRPr="00E74242" w:rsidRDefault="00E74242" w:rsidP="00576A10">
              <w:pPr>
                <w:pStyle w:val="Bibliography"/>
                <w:numPr>
                  <w:ilvl w:val="0"/>
                  <w:numId w:val="28"/>
                </w:numPr>
              </w:pPr>
              <w:r w:rsidRPr="00E74242">
                <w:t>Ofwat and Environment Agency (2022) Net Zero and the Water Industry: Joint Statement. Birmingham: Ofwat. </w:t>
              </w:r>
            </w:p>
            <w:p w14:paraId="1DCF9713" w14:textId="77777777" w:rsidR="00E74242" w:rsidRPr="00E74242" w:rsidRDefault="00E74242" w:rsidP="00576A10">
              <w:pPr>
                <w:pStyle w:val="Bibliography"/>
                <w:numPr>
                  <w:ilvl w:val="0"/>
                  <w:numId w:val="28"/>
                </w:numPr>
              </w:pPr>
              <w:r w:rsidRPr="00E74242">
                <w:t>Olsson, G. (2012) 'ICA and me – a subjective review', Water Science and Technology, 65(4), pp. 673–682. </w:t>
              </w:r>
            </w:p>
            <w:p w14:paraId="3FE3880C" w14:textId="733AF366" w:rsidR="00E74242" w:rsidRPr="00E74242" w:rsidRDefault="00E74242" w:rsidP="00576A10">
              <w:pPr>
                <w:pStyle w:val="Bibliography"/>
                <w:numPr>
                  <w:ilvl w:val="0"/>
                  <w:numId w:val="28"/>
                </w:numPr>
              </w:pPr>
              <w:r w:rsidRPr="00E74242">
                <w:t>Omega Engineering (2023) Electromagnetic Flow Meter Technology Guide. Available at: https://www.omega.co.uk. </w:t>
              </w:r>
            </w:p>
            <w:p w14:paraId="16E70D87" w14:textId="77777777" w:rsidR="00E74242" w:rsidRPr="00E74242" w:rsidRDefault="00E74242" w:rsidP="00576A10">
              <w:pPr>
                <w:pStyle w:val="Bibliography"/>
                <w:numPr>
                  <w:ilvl w:val="0"/>
                  <w:numId w:val="28"/>
                </w:numPr>
              </w:pPr>
              <w:proofErr w:type="spellStart"/>
              <w:r w:rsidRPr="00E74242">
                <w:rPr>
                  <w:lang w:val="fr-FR"/>
                </w:rPr>
                <w:t>Petruzella</w:t>
              </w:r>
              <w:proofErr w:type="spellEnd"/>
              <w:r w:rsidRPr="00E74242">
                <w:rPr>
                  <w:lang w:val="fr-FR"/>
                </w:rPr>
                <w:t xml:space="preserve">, F.D. (2017) Programmable Logic </w:t>
              </w:r>
              <w:proofErr w:type="spellStart"/>
              <w:r w:rsidRPr="00E74242">
                <w:rPr>
                  <w:lang w:val="fr-FR"/>
                </w:rPr>
                <w:t>Controllers</w:t>
              </w:r>
              <w:proofErr w:type="spellEnd"/>
              <w:r w:rsidRPr="00E74242">
                <w:rPr>
                  <w:lang w:val="fr-FR"/>
                </w:rPr>
                <w:t xml:space="preserve">. </w:t>
              </w:r>
              <w:r w:rsidRPr="00E74242">
                <w:t>5th </w:t>
              </w:r>
              <w:proofErr w:type="spellStart"/>
              <w:r w:rsidRPr="00E74242">
                <w:t>edn</w:t>
              </w:r>
              <w:proofErr w:type="spellEnd"/>
              <w:r w:rsidRPr="00E74242">
                <w:t>. New York: McGraw-Hill Education. </w:t>
              </w:r>
            </w:p>
            <w:p w14:paraId="38FEAD5D" w14:textId="77777777" w:rsidR="00E74242" w:rsidRPr="00E74242" w:rsidRDefault="00E74242" w:rsidP="00576A10">
              <w:pPr>
                <w:pStyle w:val="Bibliography"/>
                <w:numPr>
                  <w:ilvl w:val="0"/>
                  <w:numId w:val="28"/>
                </w:numPr>
              </w:pPr>
              <w:proofErr w:type="spellStart"/>
              <w:r w:rsidRPr="00E74242">
                <w:t>Tchobanoglous</w:t>
              </w:r>
              <w:proofErr w:type="spellEnd"/>
              <w:r w:rsidRPr="00E74242">
                <w:t>, G., Burton, F.L. and Stensel, H.D. (2014) Wastewater Engineering: Treatment and Resource Recovery. 5th </w:t>
              </w:r>
              <w:proofErr w:type="spellStart"/>
              <w:r w:rsidRPr="00E74242">
                <w:t>edn</w:t>
              </w:r>
              <w:proofErr w:type="spellEnd"/>
              <w:r w:rsidRPr="00E74242">
                <w:t>. New York: McGraw-Hill. </w:t>
              </w:r>
            </w:p>
            <w:p w14:paraId="1D4DA0E7" w14:textId="77777777" w:rsidR="00E74242" w:rsidRPr="00E74242" w:rsidRDefault="00E74242" w:rsidP="00576A10">
              <w:pPr>
                <w:pStyle w:val="Bibliography"/>
                <w:numPr>
                  <w:ilvl w:val="0"/>
                  <w:numId w:val="28"/>
                </w:numPr>
              </w:pPr>
              <w:r w:rsidRPr="00E74242">
                <w:t>Water UK (2023) Water and Wastewater Industry Overview. Available at: https://www.water.org.uk (Accessed: 10 April 2025). </w:t>
              </w:r>
            </w:p>
            <w:p w14:paraId="462288C5" w14:textId="77777777" w:rsidR="00E74242" w:rsidRPr="00E74242" w:rsidRDefault="00E74242" w:rsidP="00576A10">
              <w:pPr>
                <w:pStyle w:val="Bibliography"/>
                <w:numPr>
                  <w:ilvl w:val="0"/>
                  <w:numId w:val="28"/>
                </w:numPr>
              </w:pPr>
              <w:r w:rsidRPr="00E74242">
                <w:t>WEF (Water Environment Federation) (2010) Design of Municipal Wastewater Treatment Plants. 5th </w:t>
              </w:r>
              <w:proofErr w:type="spellStart"/>
              <w:r w:rsidRPr="00E74242">
                <w:t>edn</w:t>
              </w:r>
              <w:proofErr w:type="spellEnd"/>
              <w:r w:rsidRPr="00E74242">
                <w:t>. Alexandria, VA: WEF Press. </w:t>
              </w:r>
            </w:p>
            <w:p w14:paraId="35E5D904" w14:textId="77777777" w:rsidR="00E74242" w:rsidRPr="00E74242" w:rsidRDefault="00E74242" w:rsidP="00576A10">
              <w:pPr>
                <w:pStyle w:val="Bibliography"/>
                <w:numPr>
                  <w:ilvl w:val="0"/>
                  <w:numId w:val="28"/>
                </w:numPr>
              </w:pPr>
              <w:r w:rsidRPr="00E74242">
                <w:t>Xu, L.D., He, W. and Li, S. (2014) 'Internet of Things in industries: A survey', IEEE Transactions on Industrial Informatics, 10(4), pp. 2233–2243. </w:t>
              </w:r>
            </w:p>
            <w:p w14:paraId="63F3FEA3" w14:textId="4DC33410" w:rsidR="007B1D97" w:rsidRPr="0074042B" w:rsidRDefault="008B18DB" w:rsidP="00E74242">
              <w:pPr>
                <w:pStyle w:val="Bibliography"/>
                <w:ind w:left="720"/>
              </w:pPr>
            </w:p>
          </w:sdtContent>
        </w:sdt>
      </w:sdtContent>
    </w:sdt>
    <w:sectPr w:rsidR="007B1D97" w:rsidRPr="0074042B" w:rsidSect="007972CF">
      <w:headerReference w:type="even" r:id="rId17"/>
      <w:headerReference w:type="default" r:id="rId18"/>
      <w:footerReference w:type="default" r:id="rId19"/>
      <w:headerReference w:type="firs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5EE3B" w14:textId="77777777" w:rsidR="001E66DE" w:rsidRDefault="001E66DE" w:rsidP="0000452C">
      <w:pPr>
        <w:spacing w:line="240" w:lineRule="auto"/>
      </w:pPr>
      <w:r>
        <w:separator/>
      </w:r>
    </w:p>
  </w:endnote>
  <w:endnote w:type="continuationSeparator" w:id="0">
    <w:p w14:paraId="09697F47" w14:textId="77777777" w:rsidR="001E66DE" w:rsidRDefault="001E66DE" w:rsidP="0000452C">
      <w:pPr>
        <w:spacing w:line="240" w:lineRule="auto"/>
      </w:pPr>
      <w:r>
        <w:continuationSeparator/>
      </w:r>
    </w:p>
  </w:endnote>
  <w:endnote w:type="continuationNotice" w:id="1">
    <w:p w14:paraId="72B727DB" w14:textId="77777777" w:rsidR="001E66DE" w:rsidRDefault="001E66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476554"/>
      <w:docPartObj>
        <w:docPartGallery w:val="Page Numbers (Bottom of Page)"/>
        <w:docPartUnique/>
      </w:docPartObj>
    </w:sdtPr>
    <w:sdtEndPr>
      <w:rPr>
        <w:noProof/>
      </w:rPr>
    </w:sdtEndPr>
    <w:sdtContent>
      <w:p w14:paraId="5AFD8E00" w14:textId="47834CFE" w:rsidR="0000452C" w:rsidRDefault="000045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2E6F2" w14:textId="77777777" w:rsidR="0000452C" w:rsidRDefault="00004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33BD9" w14:textId="77777777" w:rsidR="001E66DE" w:rsidRDefault="001E66DE" w:rsidP="0000452C">
      <w:pPr>
        <w:spacing w:line="240" w:lineRule="auto"/>
      </w:pPr>
      <w:r>
        <w:separator/>
      </w:r>
    </w:p>
  </w:footnote>
  <w:footnote w:type="continuationSeparator" w:id="0">
    <w:p w14:paraId="121B0187" w14:textId="77777777" w:rsidR="001E66DE" w:rsidRDefault="001E66DE" w:rsidP="0000452C">
      <w:pPr>
        <w:spacing w:line="240" w:lineRule="auto"/>
      </w:pPr>
      <w:r>
        <w:continuationSeparator/>
      </w:r>
    </w:p>
  </w:footnote>
  <w:footnote w:type="continuationNotice" w:id="1">
    <w:p w14:paraId="404D7420" w14:textId="77777777" w:rsidR="001E66DE" w:rsidRDefault="001E66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E97D5" w14:textId="1CA8546F" w:rsidR="00C31BD7" w:rsidRDefault="00C31BD7">
    <w:pPr>
      <w:pStyle w:val="Header"/>
    </w:pPr>
    <w:r>
      <w:rPr>
        <w:noProof/>
      </w:rPr>
      <mc:AlternateContent>
        <mc:Choice Requires="wps">
          <w:drawing>
            <wp:anchor distT="0" distB="0" distL="0" distR="0" simplePos="0" relativeHeight="251658241" behindDoc="0" locked="0" layoutInCell="1" allowOverlap="1" wp14:anchorId="00BBE2A5" wp14:editId="3F43572F">
              <wp:simplePos x="635" y="635"/>
              <wp:positionH relativeFrom="page">
                <wp:align>center</wp:align>
              </wp:positionH>
              <wp:positionV relativeFrom="page">
                <wp:align>top</wp:align>
              </wp:positionV>
              <wp:extent cx="856615" cy="422910"/>
              <wp:effectExtent l="0" t="0" r="635" b="15240"/>
              <wp:wrapNone/>
              <wp:docPr id="829641395"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422910"/>
                      </a:xfrm>
                      <a:prstGeom prst="rect">
                        <a:avLst/>
                      </a:prstGeom>
                      <a:noFill/>
                      <a:ln>
                        <a:noFill/>
                      </a:ln>
                    </wps:spPr>
                    <wps:txbx>
                      <w:txbxContent>
                        <w:p w14:paraId="4124A7FF" w14:textId="364DABE4" w:rsidR="00C31BD7" w:rsidRPr="00C31BD7" w:rsidRDefault="00C31BD7" w:rsidP="00C31BD7">
                          <w:pPr>
                            <w:spacing w:after="0"/>
                            <w:rPr>
                              <w:rFonts w:ascii="Calibri" w:eastAsia="Calibri" w:hAnsi="Calibri" w:cs="Calibri"/>
                              <w:noProof/>
                              <w:color w:val="FF8C00"/>
                              <w:sz w:val="20"/>
                              <w:szCs w:val="20"/>
                            </w:rPr>
                          </w:pPr>
                          <w:r w:rsidRPr="00C31BD7">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0BBE2A5" id="_x0000_t202" coordsize="21600,21600" o:spt="202" path="m,l,21600r21600,l21600,xe">
              <v:stroke joinstyle="miter"/>
              <v:path gradientshapeok="t" o:connecttype="rect"/>
            </v:shapetype>
            <v:shape id="Text Box 2" o:spid="_x0000_s1026" type="#_x0000_t202" alt="C2 - Confidential" style="position:absolute;margin-left:0;margin-top:0;width:67.45pt;height:33.3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" filled="f" stroked="f">
              <v:textbox style="mso-fit-shape-to-text:t" inset="0,15pt,0,0">
                <w:txbxContent>
                  <w:p w14:paraId="4124A7FF" w14:textId="364DABE4" w:rsidR="00C31BD7" w:rsidRPr="00C31BD7" w:rsidRDefault="00C31BD7" w:rsidP="00C31BD7">
                    <w:pPr>
                      <w:spacing w:after="0"/>
                      <w:rPr>
                        <w:rFonts w:ascii="Calibri" w:eastAsia="Calibri" w:hAnsi="Calibri" w:cs="Calibri"/>
                        <w:noProof/>
                        <w:color w:val="FF8C00"/>
                        <w:sz w:val="20"/>
                        <w:szCs w:val="20"/>
                      </w:rPr>
                    </w:pPr>
                    <w:r w:rsidRPr="00C31BD7">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8FFF9" w14:textId="2F98B9FC" w:rsidR="00C31BD7" w:rsidRDefault="00C31BD7">
    <w:pPr>
      <w:pStyle w:val="Header"/>
    </w:pPr>
    <w:r>
      <w:rPr>
        <w:noProof/>
      </w:rPr>
      <mc:AlternateContent>
        <mc:Choice Requires="wps">
          <w:drawing>
            <wp:anchor distT="0" distB="0" distL="0" distR="0" simplePos="0" relativeHeight="251658242" behindDoc="0" locked="0" layoutInCell="1" allowOverlap="1" wp14:anchorId="1123CCC5" wp14:editId="1F5E1B77">
              <wp:simplePos x="914400" y="449580"/>
              <wp:positionH relativeFrom="page">
                <wp:align>center</wp:align>
              </wp:positionH>
              <wp:positionV relativeFrom="page">
                <wp:align>top</wp:align>
              </wp:positionV>
              <wp:extent cx="856615" cy="422910"/>
              <wp:effectExtent l="0" t="0" r="635" b="15240"/>
              <wp:wrapNone/>
              <wp:docPr id="129936543"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422910"/>
                      </a:xfrm>
                      <a:prstGeom prst="rect">
                        <a:avLst/>
                      </a:prstGeom>
                      <a:noFill/>
                      <a:ln>
                        <a:noFill/>
                      </a:ln>
                    </wps:spPr>
                    <wps:txbx>
                      <w:txbxContent>
                        <w:p w14:paraId="3C7B3054" w14:textId="5CF9CDD9" w:rsidR="00C31BD7" w:rsidRPr="00C31BD7" w:rsidRDefault="00C31BD7" w:rsidP="00C31BD7">
                          <w:pPr>
                            <w:spacing w:after="0"/>
                            <w:rPr>
                              <w:rFonts w:ascii="Calibri" w:eastAsia="Calibri" w:hAnsi="Calibri" w:cs="Calibri"/>
                              <w:noProof/>
                              <w:color w:val="FF8C00"/>
                              <w:sz w:val="20"/>
                              <w:szCs w:val="20"/>
                            </w:rPr>
                          </w:pPr>
                          <w:r w:rsidRPr="00C31BD7">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23CCC5" id="_x0000_t202" coordsize="21600,21600" o:spt="202" path="m,l,21600r21600,l21600,xe">
              <v:stroke joinstyle="miter"/>
              <v:path gradientshapeok="t" o:connecttype="rect"/>
            </v:shapetype>
            <v:shape id="Text Box 3" o:spid="_x0000_s1027" type="#_x0000_t202" alt="C2 - Confidential" style="position:absolute;margin-left:0;margin-top:0;width:67.45pt;height:33.3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" filled="f" stroked="f">
              <v:textbox style="mso-fit-shape-to-text:t" inset="0,15pt,0,0">
                <w:txbxContent>
                  <w:p w14:paraId="3C7B3054" w14:textId="5CF9CDD9" w:rsidR="00C31BD7" w:rsidRPr="00C31BD7" w:rsidRDefault="00C31BD7" w:rsidP="00C31BD7">
                    <w:pPr>
                      <w:spacing w:after="0"/>
                      <w:rPr>
                        <w:rFonts w:ascii="Calibri" w:eastAsia="Calibri" w:hAnsi="Calibri" w:cs="Calibri"/>
                        <w:noProof/>
                        <w:color w:val="FF8C00"/>
                        <w:sz w:val="20"/>
                        <w:szCs w:val="20"/>
                      </w:rPr>
                    </w:pPr>
                    <w:r w:rsidRPr="00C31BD7">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023D4" w14:textId="1422554E" w:rsidR="00C31BD7" w:rsidRDefault="00C31BD7">
    <w:pPr>
      <w:pStyle w:val="Header"/>
    </w:pPr>
    <w:r>
      <w:rPr>
        <w:noProof/>
      </w:rPr>
      <mc:AlternateContent>
        <mc:Choice Requires="wps">
          <w:drawing>
            <wp:anchor distT="0" distB="0" distL="0" distR="0" simplePos="0" relativeHeight="251658240" behindDoc="0" locked="0" layoutInCell="1" allowOverlap="1" wp14:anchorId="042F457D" wp14:editId="5EA61534">
              <wp:simplePos x="635" y="635"/>
              <wp:positionH relativeFrom="page">
                <wp:align>center</wp:align>
              </wp:positionH>
              <wp:positionV relativeFrom="page">
                <wp:align>top</wp:align>
              </wp:positionV>
              <wp:extent cx="856615" cy="422910"/>
              <wp:effectExtent l="0" t="0" r="635" b="15240"/>
              <wp:wrapNone/>
              <wp:docPr id="1115156160"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422910"/>
                      </a:xfrm>
                      <a:prstGeom prst="rect">
                        <a:avLst/>
                      </a:prstGeom>
                      <a:noFill/>
                      <a:ln>
                        <a:noFill/>
                      </a:ln>
                    </wps:spPr>
                    <wps:txbx>
                      <w:txbxContent>
                        <w:p w14:paraId="6DFAE57C" w14:textId="4D42BED5" w:rsidR="00C31BD7" w:rsidRPr="00C31BD7" w:rsidRDefault="00C31BD7" w:rsidP="00C31BD7">
                          <w:pPr>
                            <w:spacing w:after="0"/>
                            <w:rPr>
                              <w:rFonts w:ascii="Calibri" w:eastAsia="Calibri" w:hAnsi="Calibri" w:cs="Calibri"/>
                              <w:noProof/>
                              <w:color w:val="FF8C00"/>
                              <w:sz w:val="20"/>
                              <w:szCs w:val="20"/>
                            </w:rPr>
                          </w:pPr>
                          <w:r w:rsidRPr="00C31BD7">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42F457D" id="_x0000_t202" coordsize="21600,21600" o:spt="202" path="m,l,21600r21600,l21600,xe">
              <v:stroke joinstyle="miter"/>
              <v:path gradientshapeok="t" o:connecttype="rect"/>
            </v:shapetype>
            <v:shape id="Text Box 1" o:spid="_x0000_s1028" type="#_x0000_t202" alt="C2 - Confidential" style="position:absolute;margin-left:0;margin-top:0;width:67.45pt;height:33.3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" filled="f" stroked="f">
              <v:textbox style="mso-fit-shape-to-text:t" inset="0,15pt,0,0">
                <w:txbxContent>
                  <w:p w14:paraId="6DFAE57C" w14:textId="4D42BED5" w:rsidR="00C31BD7" w:rsidRPr="00C31BD7" w:rsidRDefault="00C31BD7" w:rsidP="00C31BD7">
                    <w:pPr>
                      <w:spacing w:after="0"/>
                      <w:rPr>
                        <w:rFonts w:ascii="Calibri" w:eastAsia="Calibri" w:hAnsi="Calibri" w:cs="Calibri"/>
                        <w:noProof/>
                        <w:color w:val="FF8C00"/>
                        <w:sz w:val="20"/>
                        <w:szCs w:val="20"/>
                      </w:rPr>
                    </w:pPr>
                    <w:r w:rsidRPr="00C31BD7">
                      <w:rPr>
                        <w:rFonts w:ascii="Calibri" w:eastAsia="Calibri" w:hAnsi="Calibri" w:cs="Calibri"/>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E2604"/>
    <w:multiLevelType w:val="hybridMultilevel"/>
    <w:tmpl w:val="2088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E2AB9"/>
    <w:multiLevelType w:val="multilevel"/>
    <w:tmpl w:val="4804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0876D3"/>
    <w:multiLevelType w:val="hybridMultilevel"/>
    <w:tmpl w:val="25A8F3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A810DD9"/>
    <w:multiLevelType w:val="multilevel"/>
    <w:tmpl w:val="FE6A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814D2B"/>
    <w:multiLevelType w:val="hybridMultilevel"/>
    <w:tmpl w:val="3F16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471492"/>
    <w:multiLevelType w:val="hybridMultilevel"/>
    <w:tmpl w:val="92C4F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67FEC"/>
    <w:multiLevelType w:val="hybridMultilevel"/>
    <w:tmpl w:val="CFCE9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94111"/>
    <w:multiLevelType w:val="hybridMultilevel"/>
    <w:tmpl w:val="BC64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828C2"/>
    <w:multiLevelType w:val="hybridMultilevel"/>
    <w:tmpl w:val="AEF22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70EA6"/>
    <w:multiLevelType w:val="multilevel"/>
    <w:tmpl w:val="77AC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595D19"/>
    <w:multiLevelType w:val="multilevel"/>
    <w:tmpl w:val="924A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46272D"/>
    <w:multiLevelType w:val="multilevel"/>
    <w:tmpl w:val="622E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67574D"/>
    <w:multiLevelType w:val="hybridMultilevel"/>
    <w:tmpl w:val="BF103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E44CDD"/>
    <w:multiLevelType w:val="hybridMultilevel"/>
    <w:tmpl w:val="FFFFFFFF"/>
    <w:lvl w:ilvl="0" w:tplc="DF7C4582">
      <w:start w:val="1"/>
      <w:numFmt w:val="bullet"/>
      <w:lvlText w:val="•"/>
      <w:lvlJc w:val="left"/>
      <w:pPr>
        <w:ind w:left="720" w:hanging="360"/>
      </w:pPr>
    </w:lvl>
    <w:lvl w:ilvl="1" w:tplc="0194CEF8">
      <w:numFmt w:val="decimal"/>
      <w:lvlText w:val=""/>
      <w:lvlJc w:val="left"/>
    </w:lvl>
    <w:lvl w:ilvl="2" w:tplc="7A487B46">
      <w:numFmt w:val="decimal"/>
      <w:lvlText w:val=""/>
      <w:lvlJc w:val="left"/>
    </w:lvl>
    <w:lvl w:ilvl="3" w:tplc="97229900">
      <w:numFmt w:val="decimal"/>
      <w:lvlText w:val=""/>
      <w:lvlJc w:val="left"/>
    </w:lvl>
    <w:lvl w:ilvl="4" w:tplc="1FA668BC">
      <w:numFmt w:val="decimal"/>
      <w:lvlText w:val=""/>
      <w:lvlJc w:val="left"/>
    </w:lvl>
    <w:lvl w:ilvl="5" w:tplc="4AC002DA">
      <w:numFmt w:val="decimal"/>
      <w:lvlText w:val=""/>
      <w:lvlJc w:val="left"/>
    </w:lvl>
    <w:lvl w:ilvl="6" w:tplc="9FD06D58">
      <w:numFmt w:val="decimal"/>
      <w:lvlText w:val=""/>
      <w:lvlJc w:val="left"/>
    </w:lvl>
    <w:lvl w:ilvl="7" w:tplc="36E2FC6E">
      <w:numFmt w:val="decimal"/>
      <w:lvlText w:val=""/>
      <w:lvlJc w:val="left"/>
    </w:lvl>
    <w:lvl w:ilvl="8" w:tplc="ABF438EC">
      <w:numFmt w:val="decimal"/>
      <w:lvlText w:val=""/>
      <w:lvlJc w:val="left"/>
    </w:lvl>
  </w:abstractNum>
  <w:abstractNum w:abstractNumId="14" w15:restartNumberingAfterBreak="0">
    <w:nsid w:val="450759FA"/>
    <w:multiLevelType w:val="multilevel"/>
    <w:tmpl w:val="2D34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CC48A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4CEC4B10"/>
    <w:multiLevelType w:val="multilevel"/>
    <w:tmpl w:val="B294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8D0D85"/>
    <w:multiLevelType w:val="multilevel"/>
    <w:tmpl w:val="C634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815282"/>
    <w:multiLevelType w:val="hybridMultilevel"/>
    <w:tmpl w:val="15083802"/>
    <w:lvl w:ilvl="0" w:tplc="A46C42C6">
      <w:start w:val="1"/>
      <w:numFmt w:val="decimal"/>
      <w:lvlText w:val="%1"/>
      <w:lvlJc w:val="left"/>
      <w:pPr>
        <w:ind w:left="1080" w:hanging="72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8A1802"/>
    <w:multiLevelType w:val="hybridMultilevel"/>
    <w:tmpl w:val="7FFC7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7134A3"/>
    <w:multiLevelType w:val="multilevel"/>
    <w:tmpl w:val="2E528C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1B2CB5"/>
    <w:multiLevelType w:val="multilevel"/>
    <w:tmpl w:val="AB7E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47940FE"/>
    <w:multiLevelType w:val="hybridMultilevel"/>
    <w:tmpl w:val="3580E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736996"/>
    <w:multiLevelType w:val="multilevel"/>
    <w:tmpl w:val="F3E2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6A08E4"/>
    <w:multiLevelType w:val="multilevel"/>
    <w:tmpl w:val="9BDC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956889"/>
    <w:multiLevelType w:val="multilevel"/>
    <w:tmpl w:val="28F4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9716A5"/>
    <w:multiLevelType w:val="multilevel"/>
    <w:tmpl w:val="E6B4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367261">
    <w:abstractNumId w:val="15"/>
  </w:num>
  <w:num w:numId="2" w16cid:durableId="1319920004">
    <w:abstractNumId w:val="18"/>
  </w:num>
  <w:num w:numId="3" w16cid:durableId="1017343142">
    <w:abstractNumId w:val="12"/>
  </w:num>
  <w:num w:numId="4" w16cid:durableId="211616339">
    <w:abstractNumId w:val="22"/>
  </w:num>
  <w:num w:numId="5" w16cid:durableId="253705643">
    <w:abstractNumId w:val="0"/>
  </w:num>
  <w:num w:numId="6" w16cid:durableId="519971565">
    <w:abstractNumId w:val="4"/>
  </w:num>
  <w:num w:numId="7" w16cid:durableId="128864188">
    <w:abstractNumId w:val="8"/>
  </w:num>
  <w:num w:numId="8" w16cid:durableId="153572898">
    <w:abstractNumId w:val="7"/>
  </w:num>
  <w:num w:numId="9" w16cid:durableId="1558935891">
    <w:abstractNumId w:val="6"/>
  </w:num>
  <w:num w:numId="10" w16cid:durableId="536241592">
    <w:abstractNumId w:val="20"/>
  </w:num>
  <w:num w:numId="11" w16cid:durableId="1897206867">
    <w:abstractNumId w:val="26"/>
  </w:num>
  <w:num w:numId="12" w16cid:durableId="832912729">
    <w:abstractNumId w:val="23"/>
  </w:num>
  <w:num w:numId="13" w16cid:durableId="1388921586">
    <w:abstractNumId w:val="24"/>
  </w:num>
  <w:num w:numId="14" w16cid:durableId="1363939285">
    <w:abstractNumId w:val="10"/>
  </w:num>
  <w:num w:numId="15" w16cid:durableId="398524987">
    <w:abstractNumId w:val="14"/>
  </w:num>
  <w:num w:numId="16" w16cid:durableId="1434788437">
    <w:abstractNumId w:val="17"/>
  </w:num>
  <w:num w:numId="17" w16cid:durableId="1400664208">
    <w:abstractNumId w:val="5"/>
  </w:num>
  <w:num w:numId="18" w16cid:durableId="1046642214">
    <w:abstractNumId w:val="25"/>
  </w:num>
  <w:num w:numId="19" w16cid:durableId="837767155">
    <w:abstractNumId w:val="19"/>
  </w:num>
  <w:num w:numId="20" w16cid:durableId="56633566">
    <w:abstractNumId w:val="13"/>
    <w:lvlOverride w:ilvl="0">
      <w:startOverride w:val="1"/>
    </w:lvlOverride>
  </w:num>
  <w:num w:numId="21" w16cid:durableId="412315183">
    <w:abstractNumId w:val="9"/>
  </w:num>
  <w:num w:numId="22" w16cid:durableId="552888118">
    <w:abstractNumId w:val="16"/>
  </w:num>
  <w:num w:numId="23" w16cid:durableId="504975785">
    <w:abstractNumId w:val="21"/>
  </w:num>
  <w:num w:numId="24" w16cid:durableId="2049792743">
    <w:abstractNumId w:val="1"/>
  </w:num>
  <w:num w:numId="25" w16cid:durableId="1664234727">
    <w:abstractNumId w:val="3"/>
  </w:num>
  <w:num w:numId="26" w16cid:durableId="1111049209">
    <w:abstractNumId w:val="11"/>
  </w:num>
  <w:num w:numId="27" w16cid:durableId="10833313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783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EB"/>
    <w:rsid w:val="00000271"/>
    <w:rsid w:val="00003F45"/>
    <w:rsid w:val="0000452C"/>
    <w:rsid w:val="00006128"/>
    <w:rsid w:val="000110F0"/>
    <w:rsid w:val="00011925"/>
    <w:rsid w:val="0001224A"/>
    <w:rsid w:val="00014F34"/>
    <w:rsid w:val="00015767"/>
    <w:rsid w:val="00017656"/>
    <w:rsid w:val="000205E0"/>
    <w:rsid w:val="00023901"/>
    <w:rsid w:val="00024228"/>
    <w:rsid w:val="00026796"/>
    <w:rsid w:val="00030CF3"/>
    <w:rsid w:val="00032592"/>
    <w:rsid w:val="00032A81"/>
    <w:rsid w:val="00032D31"/>
    <w:rsid w:val="00033475"/>
    <w:rsid w:val="00034972"/>
    <w:rsid w:val="000357C6"/>
    <w:rsid w:val="00035E50"/>
    <w:rsid w:val="00037125"/>
    <w:rsid w:val="000377BD"/>
    <w:rsid w:val="00040749"/>
    <w:rsid w:val="00040D3C"/>
    <w:rsid w:val="00042946"/>
    <w:rsid w:val="00043380"/>
    <w:rsid w:val="000436A7"/>
    <w:rsid w:val="00044D25"/>
    <w:rsid w:val="00045136"/>
    <w:rsid w:val="0004715B"/>
    <w:rsid w:val="000523D7"/>
    <w:rsid w:val="000561EE"/>
    <w:rsid w:val="00060E80"/>
    <w:rsid w:val="00063AE4"/>
    <w:rsid w:val="00064C07"/>
    <w:rsid w:val="00064C11"/>
    <w:rsid w:val="00065802"/>
    <w:rsid w:val="000658ED"/>
    <w:rsid w:val="0007003A"/>
    <w:rsid w:val="000711F4"/>
    <w:rsid w:val="000716EF"/>
    <w:rsid w:val="0007472A"/>
    <w:rsid w:val="00074775"/>
    <w:rsid w:val="00074D86"/>
    <w:rsid w:val="00075C51"/>
    <w:rsid w:val="00082D32"/>
    <w:rsid w:val="00086831"/>
    <w:rsid w:val="00087537"/>
    <w:rsid w:val="000876A2"/>
    <w:rsid w:val="00087C2F"/>
    <w:rsid w:val="00090017"/>
    <w:rsid w:val="0009062D"/>
    <w:rsid w:val="00092464"/>
    <w:rsid w:val="000925CE"/>
    <w:rsid w:val="00093547"/>
    <w:rsid w:val="00094B27"/>
    <w:rsid w:val="000A0186"/>
    <w:rsid w:val="000A333B"/>
    <w:rsid w:val="000A3B18"/>
    <w:rsid w:val="000A6C6C"/>
    <w:rsid w:val="000B0741"/>
    <w:rsid w:val="000B0FC9"/>
    <w:rsid w:val="000B1378"/>
    <w:rsid w:val="000B13DA"/>
    <w:rsid w:val="000B42AB"/>
    <w:rsid w:val="000B5FCD"/>
    <w:rsid w:val="000B6EAB"/>
    <w:rsid w:val="000B7C79"/>
    <w:rsid w:val="000C0139"/>
    <w:rsid w:val="000C0407"/>
    <w:rsid w:val="000C0957"/>
    <w:rsid w:val="000C0E96"/>
    <w:rsid w:val="000C54A8"/>
    <w:rsid w:val="000C57B2"/>
    <w:rsid w:val="000C5EF5"/>
    <w:rsid w:val="000C64F7"/>
    <w:rsid w:val="000C799D"/>
    <w:rsid w:val="000D16DF"/>
    <w:rsid w:val="000D3416"/>
    <w:rsid w:val="000D38A0"/>
    <w:rsid w:val="000D41F3"/>
    <w:rsid w:val="000D6DB2"/>
    <w:rsid w:val="000E465D"/>
    <w:rsid w:val="000E469F"/>
    <w:rsid w:val="000F2C55"/>
    <w:rsid w:val="000F47AF"/>
    <w:rsid w:val="000F4EEB"/>
    <w:rsid w:val="000F4F46"/>
    <w:rsid w:val="000F5DDA"/>
    <w:rsid w:val="000F5E01"/>
    <w:rsid w:val="000F6CC0"/>
    <w:rsid w:val="00104680"/>
    <w:rsid w:val="00104B35"/>
    <w:rsid w:val="00105205"/>
    <w:rsid w:val="00106C42"/>
    <w:rsid w:val="00107500"/>
    <w:rsid w:val="00107530"/>
    <w:rsid w:val="00107FBD"/>
    <w:rsid w:val="00110978"/>
    <w:rsid w:val="001131DF"/>
    <w:rsid w:val="001136E2"/>
    <w:rsid w:val="00114FFF"/>
    <w:rsid w:val="00117B76"/>
    <w:rsid w:val="0012082B"/>
    <w:rsid w:val="001224B5"/>
    <w:rsid w:val="00123F07"/>
    <w:rsid w:val="00125A67"/>
    <w:rsid w:val="0013051C"/>
    <w:rsid w:val="0013198F"/>
    <w:rsid w:val="00131EA1"/>
    <w:rsid w:val="00137522"/>
    <w:rsid w:val="00137C46"/>
    <w:rsid w:val="00141BEB"/>
    <w:rsid w:val="00141F2C"/>
    <w:rsid w:val="0014265F"/>
    <w:rsid w:val="00143A9B"/>
    <w:rsid w:val="001457C4"/>
    <w:rsid w:val="00150C5D"/>
    <w:rsid w:val="001521CA"/>
    <w:rsid w:val="00153148"/>
    <w:rsid w:val="00155D32"/>
    <w:rsid w:val="00157982"/>
    <w:rsid w:val="001613D5"/>
    <w:rsid w:val="001626F2"/>
    <w:rsid w:val="00164AE6"/>
    <w:rsid w:val="00164F19"/>
    <w:rsid w:val="00165C63"/>
    <w:rsid w:val="001713EB"/>
    <w:rsid w:val="001722DC"/>
    <w:rsid w:val="00172BA4"/>
    <w:rsid w:val="00174CA0"/>
    <w:rsid w:val="00175BF5"/>
    <w:rsid w:val="0018423C"/>
    <w:rsid w:val="00184E4A"/>
    <w:rsid w:val="0018672B"/>
    <w:rsid w:val="00187A27"/>
    <w:rsid w:val="00191539"/>
    <w:rsid w:val="001931BA"/>
    <w:rsid w:val="00193A1B"/>
    <w:rsid w:val="00194A2F"/>
    <w:rsid w:val="00194CC7"/>
    <w:rsid w:val="00195565"/>
    <w:rsid w:val="001962C5"/>
    <w:rsid w:val="00196A7C"/>
    <w:rsid w:val="001A0130"/>
    <w:rsid w:val="001A0E8A"/>
    <w:rsid w:val="001A139B"/>
    <w:rsid w:val="001A245C"/>
    <w:rsid w:val="001A3AF5"/>
    <w:rsid w:val="001A65A9"/>
    <w:rsid w:val="001A7749"/>
    <w:rsid w:val="001B0214"/>
    <w:rsid w:val="001B2E01"/>
    <w:rsid w:val="001B330A"/>
    <w:rsid w:val="001B3ACB"/>
    <w:rsid w:val="001B600C"/>
    <w:rsid w:val="001B7868"/>
    <w:rsid w:val="001C08C5"/>
    <w:rsid w:val="001C3926"/>
    <w:rsid w:val="001C42EE"/>
    <w:rsid w:val="001C63E0"/>
    <w:rsid w:val="001C72A4"/>
    <w:rsid w:val="001C78A8"/>
    <w:rsid w:val="001C7FA9"/>
    <w:rsid w:val="001D3956"/>
    <w:rsid w:val="001D4A55"/>
    <w:rsid w:val="001D4E74"/>
    <w:rsid w:val="001D7878"/>
    <w:rsid w:val="001E0A08"/>
    <w:rsid w:val="001E246E"/>
    <w:rsid w:val="001E254B"/>
    <w:rsid w:val="001E30AE"/>
    <w:rsid w:val="001E455B"/>
    <w:rsid w:val="001E4E26"/>
    <w:rsid w:val="001E527A"/>
    <w:rsid w:val="001E5AC6"/>
    <w:rsid w:val="001E5F0E"/>
    <w:rsid w:val="001E66DE"/>
    <w:rsid w:val="001F04CA"/>
    <w:rsid w:val="001F38EC"/>
    <w:rsid w:val="001F3A6A"/>
    <w:rsid w:val="001F4620"/>
    <w:rsid w:val="001F6F2A"/>
    <w:rsid w:val="001F75C4"/>
    <w:rsid w:val="0020219F"/>
    <w:rsid w:val="00210EEE"/>
    <w:rsid w:val="0021379A"/>
    <w:rsid w:val="00213B25"/>
    <w:rsid w:val="00216CE7"/>
    <w:rsid w:val="0021730F"/>
    <w:rsid w:val="002220E1"/>
    <w:rsid w:val="002237E1"/>
    <w:rsid w:val="002247EF"/>
    <w:rsid w:val="00225E96"/>
    <w:rsid w:val="0023057C"/>
    <w:rsid w:val="00230CAC"/>
    <w:rsid w:val="0023175A"/>
    <w:rsid w:val="00233C32"/>
    <w:rsid w:val="002341E1"/>
    <w:rsid w:val="00234817"/>
    <w:rsid w:val="00234CC1"/>
    <w:rsid w:val="002374B1"/>
    <w:rsid w:val="00237872"/>
    <w:rsid w:val="00241E2E"/>
    <w:rsid w:val="00241F70"/>
    <w:rsid w:val="00242CFE"/>
    <w:rsid w:val="00242E81"/>
    <w:rsid w:val="00244EAF"/>
    <w:rsid w:val="002465C2"/>
    <w:rsid w:val="00246660"/>
    <w:rsid w:val="00246CA5"/>
    <w:rsid w:val="00255EDF"/>
    <w:rsid w:val="002574B9"/>
    <w:rsid w:val="00261D4F"/>
    <w:rsid w:val="00262ADB"/>
    <w:rsid w:val="00262F02"/>
    <w:rsid w:val="00263070"/>
    <w:rsid w:val="002654E7"/>
    <w:rsid w:val="0026680F"/>
    <w:rsid w:val="00266CAD"/>
    <w:rsid w:val="002679E2"/>
    <w:rsid w:val="0027186A"/>
    <w:rsid w:val="00272E2B"/>
    <w:rsid w:val="00273E72"/>
    <w:rsid w:val="00275D21"/>
    <w:rsid w:val="00277BFA"/>
    <w:rsid w:val="002804DC"/>
    <w:rsid w:val="00281820"/>
    <w:rsid w:val="00281CC1"/>
    <w:rsid w:val="00284B92"/>
    <w:rsid w:val="002865CD"/>
    <w:rsid w:val="002865CE"/>
    <w:rsid w:val="00286E18"/>
    <w:rsid w:val="00287B35"/>
    <w:rsid w:val="00292E91"/>
    <w:rsid w:val="00295A59"/>
    <w:rsid w:val="00296013"/>
    <w:rsid w:val="00296716"/>
    <w:rsid w:val="00297B6E"/>
    <w:rsid w:val="002A0D65"/>
    <w:rsid w:val="002A21DE"/>
    <w:rsid w:val="002A31A3"/>
    <w:rsid w:val="002A557A"/>
    <w:rsid w:val="002A5A32"/>
    <w:rsid w:val="002A64A8"/>
    <w:rsid w:val="002B084F"/>
    <w:rsid w:val="002B0A04"/>
    <w:rsid w:val="002B11B1"/>
    <w:rsid w:val="002B1E6A"/>
    <w:rsid w:val="002B2EB5"/>
    <w:rsid w:val="002B3696"/>
    <w:rsid w:val="002B3C81"/>
    <w:rsid w:val="002B5241"/>
    <w:rsid w:val="002B6785"/>
    <w:rsid w:val="002B6F47"/>
    <w:rsid w:val="002B775E"/>
    <w:rsid w:val="002C0624"/>
    <w:rsid w:val="002C463F"/>
    <w:rsid w:val="002C4E48"/>
    <w:rsid w:val="002C78EB"/>
    <w:rsid w:val="002C7F2C"/>
    <w:rsid w:val="002C7FB0"/>
    <w:rsid w:val="002D18A4"/>
    <w:rsid w:val="002D1AEB"/>
    <w:rsid w:val="002D24BE"/>
    <w:rsid w:val="002D29C1"/>
    <w:rsid w:val="002D2A9E"/>
    <w:rsid w:val="002D60D6"/>
    <w:rsid w:val="002D6246"/>
    <w:rsid w:val="002D692B"/>
    <w:rsid w:val="002E1AF5"/>
    <w:rsid w:val="002E284A"/>
    <w:rsid w:val="002E33AC"/>
    <w:rsid w:val="002E444D"/>
    <w:rsid w:val="002E5529"/>
    <w:rsid w:val="002E5A7C"/>
    <w:rsid w:val="002E634C"/>
    <w:rsid w:val="002F00B7"/>
    <w:rsid w:val="002F2B79"/>
    <w:rsid w:val="002F2DAF"/>
    <w:rsid w:val="002F3C15"/>
    <w:rsid w:val="002F441F"/>
    <w:rsid w:val="00300923"/>
    <w:rsid w:val="00303599"/>
    <w:rsid w:val="003036A1"/>
    <w:rsid w:val="00303BD9"/>
    <w:rsid w:val="003053A2"/>
    <w:rsid w:val="00305E33"/>
    <w:rsid w:val="00306AC5"/>
    <w:rsid w:val="003075F6"/>
    <w:rsid w:val="00312C32"/>
    <w:rsid w:val="00314730"/>
    <w:rsid w:val="00314E1F"/>
    <w:rsid w:val="00314E86"/>
    <w:rsid w:val="00315806"/>
    <w:rsid w:val="0031598A"/>
    <w:rsid w:val="00315D61"/>
    <w:rsid w:val="00316C2E"/>
    <w:rsid w:val="00317D66"/>
    <w:rsid w:val="00320BD4"/>
    <w:rsid w:val="0032671A"/>
    <w:rsid w:val="00327095"/>
    <w:rsid w:val="00327E2C"/>
    <w:rsid w:val="00331757"/>
    <w:rsid w:val="0033372F"/>
    <w:rsid w:val="00334811"/>
    <w:rsid w:val="00334FCF"/>
    <w:rsid w:val="003355DC"/>
    <w:rsid w:val="0033580A"/>
    <w:rsid w:val="00335884"/>
    <w:rsid w:val="00336E8D"/>
    <w:rsid w:val="0033770B"/>
    <w:rsid w:val="00340078"/>
    <w:rsid w:val="00342658"/>
    <w:rsid w:val="00342FDB"/>
    <w:rsid w:val="00346A45"/>
    <w:rsid w:val="00347615"/>
    <w:rsid w:val="00347F0A"/>
    <w:rsid w:val="003501F9"/>
    <w:rsid w:val="0035240E"/>
    <w:rsid w:val="00354EBE"/>
    <w:rsid w:val="003559ED"/>
    <w:rsid w:val="00356AAD"/>
    <w:rsid w:val="00357579"/>
    <w:rsid w:val="003578D6"/>
    <w:rsid w:val="00364884"/>
    <w:rsid w:val="00364FA4"/>
    <w:rsid w:val="003654D0"/>
    <w:rsid w:val="00367A3F"/>
    <w:rsid w:val="003706E3"/>
    <w:rsid w:val="00377B77"/>
    <w:rsid w:val="003807CE"/>
    <w:rsid w:val="00380989"/>
    <w:rsid w:val="00381411"/>
    <w:rsid w:val="0038185E"/>
    <w:rsid w:val="00383508"/>
    <w:rsid w:val="0038781A"/>
    <w:rsid w:val="00387A44"/>
    <w:rsid w:val="00390164"/>
    <w:rsid w:val="003926D0"/>
    <w:rsid w:val="003939C3"/>
    <w:rsid w:val="00394588"/>
    <w:rsid w:val="00394C15"/>
    <w:rsid w:val="0039507B"/>
    <w:rsid w:val="003A402A"/>
    <w:rsid w:val="003A45E3"/>
    <w:rsid w:val="003A547B"/>
    <w:rsid w:val="003A70BD"/>
    <w:rsid w:val="003A7508"/>
    <w:rsid w:val="003A797F"/>
    <w:rsid w:val="003B0223"/>
    <w:rsid w:val="003B1C34"/>
    <w:rsid w:val="003B21DD"/>
    <w:rsid w:val="003B23CC"/>
    <w:rsid w:val="003B251B"/>
    <w:rsid w:val="003B25D2"/>
    <w:rsid w:val="003B33CF"/>
    <w:rsid w:val="003B4440"/>
    <w:rsid w:val="003B46FC"/>
    <w:rsid w:val="003B525C"/>
    <w:rsid w:val="003B5C9B"/>
    <w:rsid w:val="003C029A"/>
    <w:rsid w:val="003C1137"/>
    <w:rsid w:val="003C2E6E"/>
    <w:rsid w:val="003C49FC"/>
    <w:rsid w:val="003C4D8D"/>
    <w:rsid w:val="003D087F"/>
    <w:rsid w:val="003D129E"/>
    <w:rsid w:val="003D28DC"/>
    <w:rsid w:val="003D4F79"/>
    <w:rsid w:val="003D6453"/>
    <w:rsid w:val="003D67A5"/>
    <w:rsid w:val="003E12AC"/>
    <w:rsid w:val="003E442E"/>
    <w:rsid w:val="003E45E6"/>
    <w:rsid w:val="003E4EA2"/>
    <w:rsid w:val="003E5FBB"/>
    <w:rsid w:val="003E66DD"/>
    <w:rsid w:val="003E7029"/>
    <w:rsid w:val="003E7F17"/>
    <w:rsid w:val="003F0720"/>
    <w:rsid w:val="003F09CF"/>
    <w:rsid w:val="003F0E20"/>
    <w:rsid w:val="003F58F8"/>
    <w:rsid w:val="003F7951"/>
    <w:rsid w:val="003F7C52"/>
    <w:rsid w:val="00403F29"/>
    <w:rsid w:val="00405164"/>
    <w:rsid w:val="00405722"/>
    <w:rsid w:val="00411015"/>
    <w:rsid w:val="004120CE"/>
    <w:rsid w:val="00412303"/>
    <w:rsid w:val="00413E55"/>
    <w:rsid w:val="00417120"/>
    <w:rsid w:val="00421187"/>
    <w:rsid w:val="00422080"/>
    <w:rsid w:val="0042222A"/>
    <w:rsid w:val="00423678"/>
    <w:rsid w:val="00424A45"/>
    <w:rsid w:val="00425D03"/>
    <w:rsid w:val="00430137"/>
    <w:rsid w:val="00430B92"/>
    <w:rsid w:val="00431BC3"/>
    <w:rsid w:val="004331A3"/>
    <w:rsid w:val="00445379"/>
    <w:rsid w:val="00446826"/>
    <w:rsid w:val="00450082"/>
    <w:rsid w:val="004513C6"/>
    <w:rsid w:val="00451511"/>
    <w:rsid w:val="00451CB6"/>
    <w:rsid w:val="00452B23"/>
    <w:rsid w:val="00454231"/>
    <w:rsid w:val="00455E00"/>
    <w:rsid w:val="004561F6"/>
    <w:rsid w:val="004613D5"/>
    <w:rsid w:val="00462B8D"/>
    <w:rsid w:val="00464B1F"/>
    <w:rsid w:val="004657F3"/>
    <w:rsid w:val="00467898"/>
    <w:rsid w:val="0047062A"/>
    <w:rsid w:val="00470791"/>
    <w:rsid w:val="00471132"/>
    <w:rsid w:val="00475C78"/>
    <w:rsid w:val="004766F0"/>
    <w:rsid w:val="00476D72"/>
    <w:rsid w:val="00477056"/>
    <w:rsid w:val="004829FE"/>
    <w:rsid w:val="00483036"/>
    <w:rsid w:val="0048401C"/>
    <w:rsid w:val="00485CE2"/>
    <w:rsid w:val="00485E39"/>
    <w:rsid w:val="00490516"/>
    <w:rsid w:val="00490602"/>
    <w:rsid w:val="004913A0"/>
    <w:rsid w:val="00491E61"/>
    <w:rsid w:val="004945C0"/>
    <w:rsid w:val="004953D6"/>
    <w:rsid w:val="004959E7"/>
    <w:rsid w:val="004959EC"/>
    <w:rsid w:val="004967B8"/>
    <w:rsid w:val="00497C87"/>
    <w:rsid w:val="004A00DE"/>
    <w:rsid w:val="004A10AB"/>
    <w:rsid w:val="004A170B"/>
    <w:rsid w:val="004A2B39"/>
    <w:rsid w:val="004A48B7"/>
    <w:rsid w:val="004A516A"/>
    <w:rsid w:val="004A72F7"/>
    <w:rsid w:val="004A76DB"/>
    <w:rsid w:val="004B1777"/>
    <w:rsid w:val="004B30BD"/>
    <w:rsid w:val="004B3AD3"/>
    <w:rsid w:val="004B4C99"/>
    <w:rsid w:val="004B4ECB"/>
    <w:rsid w:val="004B7C44"/>
    <w:rsid w:val="004C0AB6"/>
    <w:rsid w:val="004C16F6"/>
    <w:rsid w:val="004C25F0"/>
    <w:rsid w:val="004C4C0C"/>
    <w:rsid w:val="004C507A"/>
    <w:rsid w:val="004C5FB8"/>
    <w:rsid w:val="004C677D"/>
    <w:rsid w:val="004C67FD"/>
    <w:rsid w:val="004C73DD"/>
    <w:rsid w:val="004C7A84"/>
    <w:rsid w:val="004D1E4D"/>
    <w:rsid w:val="004D1FD2"/>
    <w:rsid w:val="004D228D"/>
    <w:rsid w:val="004D6AA9"/>
    <w:rsid w:val="004E0AB2"/>
    <w:rsid w:val="004E2E34"/>
    <w:rsid w:val="004E2F71"/>
    <w:rsid w:val="004E334B"/>
    <w:rsid w:val="004E34B6"/>
    <w:rsid w:val="004E6754"/>
    <w:rsid w:val="004E7828"/>
    <w:rsid w:val="004E7983"/>
    <w:rsid w:val="004F149C"/>
    <w:rsid w:val="004F14FB"/>
    <w:rsid w:val="004F16C6"/>
    <w:rsid w:val="004F1B79"/>
    <w:rsid w:val="004F504F"/>
    <w:rsid w:val="004F7F73"/>
    <w:rsid w:val="0050081C"/>
    <w:rsid w:val="0050161C"/>
    <w:rsid w:val="00501CB0"/>
    <w:rsid w:val="005031E4"/>
    <w:rsid w:val="00506CE2"/>
    <w:rsid w:val="00506F30"/>
    <w:rsid w:val="00510775"/>
    <w:rsid w:val="005110CB"/>
    <w:rsid w:val="0051173B"/>
    <w:rsid w:val="00511C4C"/>
    <w:rsid w:val="00515102"/>
    <w:rsid w:val="00516A42"/>
    <w:rsid w:val="0051796B"/>
    <w:rsid w:val="005229B8"/>
    <w:rsid w:val="00522F38"/>
    <w:rsid w:val="005230B0"/>
    <w:rsid w:val="005319BD"/>
    <w:rsid w:val="00532EE7"/>
    <w:rsid w:val="00534E10"/>
    <w:rsid w:val="00534F63"/>
    <w:rsid w:val="005350CC"/>
    <w:rsid w:val="00536884"/>
    <w:rsid w:val="0054063A"/>
    <w:rsid w:val="00540D83"/>
    <w:rsid w:val="0054539E"/>
    <w:rsid w:val="00547B74"/>
    <w:rsid w:val="00547C54"/>
    <w:rsid w:val="00550EE5"/>
    <w:rsid w:val="0055138C"/>
    <w:rsid w:val="005524A4"/>
    <w:rsid w:val="005554CD"/>
    <w:rsid w:val="00556A20"/>
    <w:rsid w:val="00563C03"/>
    <w:rsid w:val="00564CB8"/>
    <w:rsid w:val="00565810"/>
    <w:rsid w:val="00566C93"/>
    <w:rsid w:val="0057133B"/>
    <w:rsid w:val="00571A8E"/>
    <w:rsid w:val="0057423F"/>
    <w:rsid w:val="00575345"/>
    <w:rsid w:val="005759D9"/>
    <w:rsid w:val="00575AD6"/>
    <w:rsid w:val="00576A10"/>
    <w:rsid w:val="005834F1"/>
    <w:rsid w:val="005838D8"/>
    <w:rsid w:val="005847AF"/>
    <w:rsid w:val="00590172"/>
    <w:rsid w:val="00590DAA"/>
    <w:rsid w:val="00591F5E"/>
    <w:rsid w:val="0059350D"/>
    <w:rsid w:val="00594250"/>
    <w:rsid w:val="00595E18"/>
    <w:rsid w:val="00596BFD"/>
    <w:rsid w:val="0059726C"/>
    <w:rsid w:val="005A003D"/>
    <w:rsid w:val="005A31C7"/>
    <w:rsid w:val="005A7A44"/>
    <w:rsid w:val="005A7CFC"/>
    <w:rsid w:val="005B44B9"/>
    <w:rsid w:val="005B474E"/>
    <w:rsid w:val="005B52AB"/>
    <w:rsid w:val="005C01ED"/>
    <w:rsid w:val="005C0407"/>
    <w:rsid w:val="005C1E50"/>
    <w:rsid w:val="005C202A"/>
    <w:rsid w:val="005C357D"/>
    <w:rsid w:val="005C4E38"/>
    <w:rsid w:val="005C5527"/>
    <w:rsid w:val="005C5934"/>
    <w:rsid w:val="005C5D40"/>
    <w:rsid w:val="005C619D"/>
    <w:rsid w:val="005D0A17"/>
    <w:rsid w:val="005D341A"/>
    <w:rsid w:val="005D512C"/>
    <w:rsid w:val="005D5955"/>
    <w:rsid w:val="005D5F5B"/>
    <w:rsid w:val="005D6749"/>
    <w:rsid w:val="005E1739"/>
    <w:rsid w:val="005E3C5D"/>
    <w:rsid w:val="005E4565"/>
    <w:rsid w:val="005E68AC"/>
    <w:rsid w:val="005F52AC"/>
    <w:rsid w:val="005F63CB"/>
    <w:rsid w:val="00603660"/>
    <w:rsid w:val="006057B2"/>
    <w:rsid w:val="00610699"/>
    <w:rsid w:val="00610AF5"/>
    <w:rsid w:val="00611B39"/>
    <w:rsid w:val="00611C87"/>
    <w:rsid w:val="006132FE"/>
    <w:rsid w:val="00616D30"/>
    <w:rsid w:val="00616DEE"/>
    <w:rsid w:val="006174AF"/>
    <w:rsid w:val="00621C6C"/>
    <w:rsid w:val="00622050"/>
    <w:rsid w:val="00625349"/>
    <w:rsid w:val="0062646A"/>
    <w:rsid w:val="006278E7"/>
    <w:rsid w:val="0063099A"/>
    <w:rsid w:val="0063383C"/>
    <w:rsid w:val="006351F7"/>
    <w:rsid w:val="00635361"/>
    <w:rsid w:val="00635756"/>
    <w:rsid w:val="006366A2"/>
    <w:rsid w:val="0063671A"/>
    <w:rsid w:val="0064409F"/>
    <w:rsid w:val="00645E0D"/>
    <w:rsid w:val="00650BD0"/>
    <w:rsid w:val="00651486"/>
    <w:rsid w:val="006517DE"/>
    <w:rsid w:val="00652235"/>
    <w:rsid w:val="00652541"/>
    <w:rsid w:val="006536DA"/>
    <w:rsid w:val="006546F2"/>
    <w:rsid w:val="0066155E"/>
    <w:rsid w:val="00661A57"/>
    <w:rsid w:val="00662D21"/>
    <w:rsid w:val="00663136"/>
    <w:rsid w:val="00663ED1"/>
    <w:rsid w:val="00664069"/>
    <w:rsid w:val="00664982"/>
    <w:rsid w:val="00664D3A"/>
    <w:rsid w:val="00664E47"/>
    <w:rsid w:val="006657F1"/>
    <w:rsid w:val="006673C7"/>
    <w:rsid w:val="00671C00"/>
    <w:rsid w:val="00675781"/>
    <w:rsid w:val="00675DF5"/>
    <w:rsid w:val="00676492"/>
    <w:rsid w:val="00685C6B"/>
    <w:rsid w:val="00685F1F"/>
    <w:rsid w:val="00691307"/>
    <w:rsid w:val="0069139F"/>
    <w:rsid w:val="00692BB6"/>
    <w:rsid w:val="00692F46"/>
    <w:rsid w:val="00694FE8"/>
    <w:rsid w:val="00696658"/>
    <w:rsid w:val="00697BB2"/>
    <w:rsid w:val="006A0CAE"/>
    <w:rsid w:val="006A158E"/>
    <w:rsid w:val="006A1764"/>
    <w:rsid w:val="006A1949"/>
    <w:rsid w:val="006A2ACB"/>
    <w:rsid w:val="006A31CA"/>
    <w:rsid w:val="006B414A"/>
    <w:rsid w:val="006B455E"/>
    <w:rsid w:val="006B473A"/>
    <w:rsid w:val="006B66A0"/>
    <w:rsid w:val="006C2A93"/>
    <w:rsid w:val="006C47AF"/>
    <w:rsid w:val="006C5489"/>
    <w:rsid w:val="006C5D0C"/>
    <w:rsid w:val="006C6636"/>
    <w:rsid w:val="006C78AC"/>
    <w:rsid w:val="006D2BE5"/>
    <w:rsid w:val="006D505A"/>
    <w:rsid w:val="006E08DB"/>
    <w:rsid w:val="006E16EA"/>
    <w:rsid w:val="006E2077"/>
    <w:rsid w:val="006E2693"/>
    <w:rsid w:val="006E2E3C"/>
    <w:rsid w:val="006E36D6"/>
    <w:rsid w:val="006E4EC4"/>
    <w:rsid w:val="006E5E08"/>
    <w:rsid w:val="006F1AB1"/>
    <w:rsid w:val="006F397C"/>
    <w:rsid w:val="006F4BD5"/>
    <w:rsid w:val="006F55C6"/>
    <w:rsid w:val="006F5A7F"/>
    <w:rsid w:val="0070118C"/>
    <w:rsid w:val="00703C80"/>
    <w:rsid w:val="00704BAC"/>
    <w:rsid w:val="007052EF"/>
    <w:rsid w:val="007057CC"/>
    <w:rsid w:val="00707432"/>
    <w:rsid w:val="00710B6C"/>
    <w:rsid w:val="0071136E"/>
    <w:rsid w:val="00711EBD"/>
    <w:rsid w:val="00712513"/>
    <w:rsid w:val="00712ED2"/>
    <w:rsid w:val="00713571"/>
    <w:rsid w:val="00714879"/>
    <w:rsid w:val="00717B92"/>
    <w:rsid w:val="007209EA"/>
    <w:rsid w:val="007238ED"/>
    <w:rsid w:val="00723C23"/>
    <w:rsid w:val="007259C6"/>
    <w:rsid w:val="00726090"/>
    <w:rsid w:val="007272A9"/>
    <w:rsid w:val="00731DBE"/>
    <w:rsid w:val="00732A0B"/>
    <w:rsid w:val="00733010"/>
    <w:rsid w:val="007336EB"/>
    <w:rsid w:val="007337A3"/>
    <w:rsid w:val="00733B80"/>
    <w:rsid w:val="00734951"/>
    <w:rsid w:val="00734988"/>
    <w:rsid w:val="0074042B"/>
    <w:rsid w:val="007432D2"/>
    <w:rsid w:val="0074495B"/>
    <w:rsid w:val="0074595C"/>
    <w:rsid w:val="007459F2"/>
    <w:rsid w:val="0074681D"/>
    <w:rsid w:val="00750CA2"/>
    <w:rsid w:val="0075144E"/>
    <w:rsid w:val="0075366D"/>
    <w:rsid w:val="00754866"/>
    <w:rsid w:val="0075617C"/>
    <w:rsid w:val="00756BB4"/>
    <w:rsid w:val="00762310"/>
    <w:rsid w:val="00762DC4"/>
    <w:rsid w:val="007659CF"/>
    <w:rsid w:val="0076632E"/>
    <w:rsid w:val="00770ADC"/>
    <w:rsid w:val="00770AFC"/>
    <w:rsid w:val="00771FB4"/>
    <w:rsid w:val="007740AB"/>
    <w:rsid w:val="00775106"/>
    <w:rsid w:val="007759F2"/>
    <w:rsid w:val="00775D09"/>
    <w:rsid w:val="007764E6"/>
    <w:rsid w:val="00780562"/>
    <w:rsid w:val="00781168"/>
    <w:rsid w:val="007816AF"/>
    <w:rsid w:val="00781D08"/>
    <w:rsid w:val="00783196"/>
    <w:rsid w:val="00783FAD"/>
    <w:rsid w:val="0078522C"/>
    <w:rsid w:val="007860F8"/>
    <w:rsid w:val="007872BF"/>
    <w:rsid w:val="007875AA"/>
    <w:rsid w:val="00792998"/>
    <w:rsid w:val="007944C6"/>
    <w:rsid w:val="00795541"/>
    <w:rsid w:val="0079580D"/>
    <w:rsid w:val="00796329"/>
    <w:rsid w:val="007970F3"/>
    <w:rsid w:val="007972CF"/>
    <w:rsid w:val="00797573"/>
    <w:rsid w:val="00797736"/>
    <w:rsid w:val="007A1026"/>
    <w:rsid w:val="007A183F"/>
    <w:rsid w:val="007A356E"/>
    <w:rsid w:val="007A3CD4"/>
    <w:rsid w:val="007A5171"/>
    <w:rsid w:val="007A5BAF"/>
    <w:rsid w:val="007A756E"/>
    <w:rsid w:val="007B1D97"/>
    <w:rsid w:val="007B3788"/>
    <w:rsid w:val="007B4383"/>
    <w:rsid w:val="007B48C0"/>
    <w:rsid w:val="007B4E71"/>
    <w:rsid w:val="007B5278"/>
    <w:rsid w:val="007B5B7F"/>
    <w:rsid w:val="007B5B9E"/>
    <w:rsid w:val="007C017F"/>
    <w:rsid w:val="007C27D3"/>
    <w:rsid w:val="007C67C5"/>
    <w:rsid w:val="007D0366"/>
    <w:rsid w:val="007D37E3"/>
    <w:rsid w:val="007D55B9"/>
    <w:rsid w:val="007D591F"/>
    <w:rsid w:val="007D5FA0"/>
    <w:rsid w:val="007E02F1"/>
    <w:rsid w:val="007E03D4"/>
    <w:rsid w:val="007E0B74"/>
    <w:rsid w:val="007E60C0"/>
    <w:rsid w:val="007E711C"/>
    <w:rsid w:val="007F0558"/>
    <w:rsid w:val="007F205D"/>
    <w:rsid w:val="007F46D7"/>
    <w:rsid w:val="007F58A9"/>
    <w:rsid w:val="007F58E4"/>
    <w:rsid w:val="007F5B6A"/>
    <w:rsid w:val="007F648E"/>
    <w:rsid w:val="007F78C2"/>
    <w:rsid w:val="008010FB"/>
    <w:rsid w:val="00804570"/>
    <w:rsid w:val="00811F99"/>
    <w:rsid w:val="0081231C"/>
    <w:rsid w:val="0081277A"/>
    <w:rsid w:val="00813626"/>
    <w:rsid w:val="008138FC"/>
    <w:rsid w:val="00813B3A"/>
    <w:rsid w:val="00814C2F"/>
    <w:rsid w:val="00815273"/>
    <w:rsid w:val="00815357"/>
    <w:rsid w:val="00815487"/>
    <w:rsid w:val="00815509"/>
    <w:rsid w:val="008178B2"/>
    <w:rsid w:val="00820385"/>
    <w:rsid w:val="00822504"/>
    <w:rsid w:val="00823343"/>
    <w:rsid w:val="008246C4"/>
    <w:rsid w:val="00825CBD"/>
    <w:rsid w:val="00826C28"/>
    <w:rsid w:val="00827ADA"/>
    <w:rsid w:val="00830F26"/>
    <w:rsid w:val="00830F7E"/>
    <w:rsid w:val="008310E3"/>
    <w:rsid w:val="00833AC6"/>
    <w:rsid w:val="008369F9"/>
    <w:rsid w:val="00842BA8"/>
    <w:rsid w:val="00852077"/>
    <w:rsid w:val="008537FA"/>
    <w:rsid w:val="008544DC"/>
    <w:rsid w:val="00856968"/>
    <w:rsid w:val="008569DD"/>
    <w:rsid w:val="00856FFF"/>
    <w:rsid w:val="0086118C"/>
    <w:rsid w:val="00861B18"/>
    <w:rsid w:val="00861B83"/>
    <w:rsid w:val="0086397C"/>
    <w:rsid w:val="00865373"/>
    <w:rsid w:val="008665BA"/>
    <w:rsid w:val="00867569"/>
    <w:rsid w:val="008709C4"/>
    <w:rsid w:val="00871329"/>
    <w:rsid w:val="0087232F"/>
    <w:rsid w:val="008724B1"/>
    <w:rsid w:val="00875412"/>
    <w:rsid w:val="00877A1D"/>
    <w:rsid w:val="008800E4"/>
    <w:rsid w:val="008824F3"/>
    <w:rsid w:val="00882509"/>
    <w:rsid w:val="00883043"/>
    <w:rsid w:val="00883E90"/>
    <w:rsid w:val="00883F36"/>
    <w:rsid w:val="00885DF8"/>
    <w:rsid w:val="00886243"/>
    <w:rsid w:val="00886827"/>
    <w:rsid w:val="00887402"/>
    <w:rsid w:val="008923DD"/>
    <w:rsid w:val="00892AA5"/>
    <w:rsid w:val="00894301"/>
    <w:rsid w:val="0089584D"/>
    <w:rsid w:val="00897E88"/>
    <w:rsid w:val="008A4FC2"/>
    <w:rsid w:val="008A544D"/>
    <w:rsid w:val="008A620A"/>
    <w:rsid w:val="008A7662"/>
    <w:rsid w:val="008B0746"/>
    <w:rsid w:val="008B5054"/>
    <w:rsid w:val="008B5544"/>
    <w:rsid w:val="008B5691"/>
    <w:rsid w:val="008B60CB"/>
    <w:rsid w:val="008B67A2"/>
    <w:rsid w:val="008B7E59"/>
    <w:rsid w:val="008C246B"/>
    <w:rsid w:val="008C442A"/>
    <w:rsid w:val="008C4689"/>
    <w:rsid w:val="008C4A2B"/>
    <w:rsid w:val="008C4C68"/>
    <w:rsid w:val="008C690C"/>
    <w:rsid w:val="008C7075"/>
    <w:rsid w:val="008D0D42"/>
    <w:rsid w:val="008D1F3C"/>
    <w:rsid w:val="008D2054"/>
    <w:rsid w:val="008D37C7"/>
    <w:rsid w:val="008D3ECD"/>
    <w:rsid w:val="008D4858"/>
    <w:rsid w:val="008D6AC8"/>
    <w:rsid w:val="008E141A"/>
    <w:rsid w:val="008E18CD"/>
    <w:rsid w:val="008E193F"/>
    <w:rsid w:val="008E3A14"/>
    <w:rsid w:val="008E4C66"/>
    <w:rsid w:val="008E5569"/>
    <w:rsid w:val="008E64C0"/>
    <w:rsid w:val="008E6DA7"/>
    <w:rsid w:val="008F00D2"/>
    <w:rsid w:val="008F094E"/>
    <w:rsid w:val="008F2969"/>
    <w:rsid w:val="008F59FC"/>
    <w:rsid w:val="0090086F"/>
    <w:rsid w:val="00900D76"/>
    <w:rsid w:val="00905545"/>
    <w:rsid w:val="0090727E"/>
    <w:rsid w:val="009073EF"/>
    <w:rsid w:val="00911B10"/>
    <w:rsid w:val="009139D8"/>
    <w:rsid w:val="00915CDA"/>
    <w:rsid w:val="0091623E"/>
    <w:rsid w:val="009172F1"/>
    <w:rsid w:val="00920D8F"/>
    <w:rsid w:val="009212E0"/>
    <w:rsid w:val="009219DA"/>
    <w:rsid w:val="00922812"/>
    <w:rsid w:val="00925C5F"/>
    <w:rsid w:val="00927344"/>
    <w:rsid w:val="0093032C"/>
    <w:rsid w:val="00930687"/>
    <w:rsid w:val="009317C2"/>
    <w:rsid w:val="009332BB"/>
    <w:rsid w:val="00934838"/>
    <w:rsid w:val="00936478"/>
    <w:rsid w:val="00937C93"/>
    <w:rsid w:val="00940664"/>
    <w:rsid w:val="00940D7C"/>
    <w:rsid w:val="00942C41"/>
    <w:rsid w:val="00943098"/>
    <w:rsid w:val="00943380"/>
    <w:rsid w:val="00945405"/>
    <w:rsid w:val="0094751E"/>
    <w:rsid w:val="009518B1"/>
    <w:rsid w:val="0095237F"/>
    <w:rsid w:val="00962061"/>
    <w:rsid w:val="00963635"/>
    <w:rsid w:val="00964F58"/>
    <w:rsid w:val="009667AF"/>
    <w:rsid w:val="009672E7"/>
    <w:rsid w:val="009678F4"/>
    <w:rsid w:val="00970178"/>
    <w:rsid w:val="009728FF"/>
    <w:rsid w:val="00974CB4"/>
    <w:rsid w:val="00975863"/>
    <w:rsid w:val="00977D0F"/>
    <w:rsid w:val="00981B8C"/>
    <w:rsid w:val="00981C27"/>
    <w:rsid w:val="00985918"/>
    <w:rsid w:val="009872BB"/>
    <w:rsid w:val="009901DD"/>
    <w:rsid w:val="00990F4D"/>
    <w:rsid w:val="00992454"/>
    <w:rsid w:val="00993F04"/>
    <w:rsid w:val="00994B12"/>
    <w:rsid w:val="009A0785"/>
    <w:rsid w:val="009A2228"/>
    <w:rsid w:val="009A2BFB"/>
    <w:rsid w:val="009A3290"/>
    <w:rsid w:val="009A3E5D"/>
    <w:rsid w:val="009A50FD"/>
    <w:rsid w:val="009A62D5"/>
    <w:rsid w:val="009B127E"/>
    <w:rsid w:val="009B437C"/>
    <w:rsid w:val="009B44A0"/>
    <w:rsid w:val="009B6A79"/>
    <w:rsid w:val="009B708D"/>
    <w:rsid w:val="009C122B"/>
    <w:rsid w:val="009C21FC"/>
    <w:rsid w:val="009C2C21"/>
    <w:rsid w:val="009C2EEE"/>
    <w:rsid w:val="009C4133"/>
    <w:rsid w:val="009C456C"/>
    <w:rsid w:val="009C5526"/>
    <w:rsid w:val="009C5545"/>
    <w:rsid w:val="009C6494"/>
    <w:rsid w:val="009C6F0A"/>
    <w:rsid w:val="009C7161"/>
    <w:rsid w:val="009D13F0"/>
    <w:rsid w:val="009D1679"/>
    <w:rsid w:val="009D1B7D"/>
    <w:rsid w:val="009D40A9"/>
    <w:rsid w:val="009D42CC"/>
    <w:rsid w:val="009D5618"/>
    <w:rsid w:val="009D5BF5"/>
    <w:rsid w:val="009D7F85"/>
    <w:rsid w:val="009E08F6"/>
    <w:rsid w:val="009E2F4A"/>
    <w:rsid w:val="009E3D1F"/>
    <w:rsid w:val="009E5802"/>
    <w:rsid w:val="009F0E44"/>
    <w:rsid w:val="009F15A0"/>
    <w:rsid w:val="009F3AFA"/>
    <w:rsid w:val="009F3BFC"/>
    <w:rsid w:val="009F59A9"/>
    <w:rsid w:val="009F7643"/>
    <w:rsid w:val="00A0154A"/>
    <w:rsid w:val="00A01D99"/>
    <w:rsid w:val="00A0225B"/>
    <w:rsid w:val="00A056BC"/>
    <w:rsid w:val="00A06889"/>
    <w:rsid w:val="00A068DF"/>
    <w:rsid w:val="00A1177E"/>
    <w:rsid w:val="00A11BB4"/>
    <w:rsid w:val="00A1230C"/>
    <w:rsid w:val="00A12A75"/>
    <w:rsid w:val="00A154DA"/>
    <w:rsid w:val="00A1587B"/>
    <w:rsid w:val="00A17ECE"/>
    <w:rsid w:val="00A17F9D"/>
    <w:rsid w:val="00A2160B"/>
    <w:rsid w:val="00A21A34"/>
    <w:rsid w:val="00A22B98"/>
    <w:rsid w:val="00A23EC8"/>
    <w:rsid w:val="00A254B7"/>
    <w:rsid w:val="00A2668D"/>
    <w:rsid w:val="00A26735"/>
    <w:rsid w:val="00A2725B"/>
    <w:rsid w:val="00A27D12"/>
    <w:rsid w:val="00A31225"/>
    <w:rsid w:val="00A36C9D"/>
    <w:rsid w:val="00A36EB4"/>
    <w:rsid w:val="00A3709A"/>
    <w:rsid w:val="00A373F1"/>
    <w:rsid w:val="00A3744A"/>
    <w:rsid w:val="00A40DDC"/>
    <w:rsid w:val="00A41C59"/>
    <w:rsid w:val="00A42C35"/>
    <w:rsid w:val="00A42CEE"/>
    <w:rsid w:val="00A43B70"/>
    <w:rsid w:val="00A46BEE"/>
    <w:rsid w:val="00A476AD"/>
    <w:rsid w:val="00A47E7F"/>
    <w:rsid w:val="00A52332"/>
    <w:rsid w:val="00A54351"/>
    <w:rsid w:val="00A54F84"/>
    <w:rsid w:val="00A565D9"/>
    <w:rsid w:val="00A56A6D"/>
    <w:rsid w:val="00A56D4B"/>
    <w:rsid w:val="00A67729"/>
    <w:rsid w:val="00A71005"/>
    <w:rsid w:val="00A72E8A"/>
    <w:rsid w:val="00A73C9A"/>
    <w:rsid w:val="00A76446"/>
    <w:rsid w:val="00A76966"/>
    <w:rsid w:val="00A80219"/>
    <w:rsid w:val="00A82B24"/>
    <w:rsid w:val="00A83940"/>
    <w:rsid w:val="00A84141"/>
    <w:rsid w:val="00A95069"/>
    <w:rsid w:val="00A97898"/>
    <w:rsid w:val="00AA0D93"/>
    <w:rsid w:val="00AA1888"/>
    <w:rsid w:val="00AA1AE8"/>
    <w:rsid w:val="00AA2F6C"/>
    <w:rsid w:val="00AA52BC"/>
    <w:rsid w:val="00AA58D4"/>
    <w:rsid w:val="00AB019E"/>
    <w:rsid w:val="00AB43C0"/>
    <w:rsid w:val="00AB5A17"/>
    <w:rsid w:val="00AB6BDD"/>
    <w:rsid w:val="00AB7449"/>
    <w:rsid w:val="00AB768D"/>
    <w:rsid w:val="00AB7815"/>
    <w:rsid w:val="00AB7B5C"/>
    <w:rsid w:val="00AB7C63"/>
    <w:rsid w:val="00AC2A86"/>
    <w:rsid w:val="00AC46EE"/>
    <w:rsid w:val="00AC5D75"/>
    <w:rsid w:val="00AC633F"/>
    <w:rsid w:val="00AC6BB0"/>
    <w:rsid w:val="00AC6F84"/>
    <w:rsid w:val="00AC7204"/>
    <w:rsid w:val="00AC7256"/>
    <w:rsid w:val="00AD14A3"/>
    <w:rsid w:val="00AD188E"/>
    <w:rsid w:val="00AD6037"/>
    <w:rsid w:val="00AE20DB"/>
    <w:rsid w:val="00AE5468"/>
    <w:rsid w:val="00AE54A8"/>
    <w:rsid w:val="00AE6197"/>
    <w:rsid w:val="00AE6865"/>
    <w:rsid w:val="00AE6956"/>
    <w:rsid w:val="00AE6B85"/>
    <w:rsid w:val="00AE7C2C"/>
    <w:rsid w:val="00AF4D0B"/>
    <w:rsid w:val="00B0157F"/>
    <w:rsid w:val="00B01F08"/>
    <w:rsid w:val="00B02118"/>
    <w:rsid w:val="00B024E3"/>
    <w:rsid w:val="00B06023"/>
    <w:rsid w:val="00B07F44"/>
    <w:rsid w:val="00B105BC"/>
    <w:rsid w:val="00B11C81"/>
    <w:rsid w:val="00B12E57"/>
    <w:rsid w:val="00B13C84"/>
    <w:rsid w:val="00B16C6F"/>
    <w:rsid w:val="00B17634"/>
    <w:rsid w:val="00B17C48"/>
    <w:rsid w:val="00B211EC"/>
    <w:rsid w:val="00B221BF"/>
    <w:rsid w:val="00B234BD"/>
    <w:rsid w:val="00B238F0"/>
    <w:rsid w:val="00B25097"/>
    <w:rsid w:val="00B252B1"/>
    <w:rsid w:val="00B25D41"/>
    <w:rsid w:val="00B27301"/>
    <w:rsid w:val="00B30A43"/>
    <w:rsid w:val="00B33AB0"/>
    <w:rsid w:val="00B36662"/>
    <w:rsid w:val="00B40007"/>
    <w:rsid w:val="00B4124F"/>
    <w:rsid w:val="00B413A8"/>
    <w:rsid w:val="00B4469B"/>
    <w:rsid w:val="00B44F87"/>
    <w:rsid w:val="00B46E19"/>
    <w:rsid w:val="00B47CAE"/>
    <w:rsid w:val="00B52090"/>
    <w:rsid w:val="00B5300B"/>
    <w:rsid w:val="00B53033"/>
    <w:rsid w:val="00B54CBC"/>
    <w:rsid w:val="00B554B5"/>
    <w:rsid w:val="00B56A20"/>
    <w:rsid w:val="00B572B6"/>
    <w:rsid w:val="00B60F1D"/>
    <w:rsid w:val="00B6128D"/>
    <w:rsid w:val="00B63528"/>
    <w:rsid w:val="00B63708"/>
    <w:rsid w:val="00B64B53"/>
    <w:rsid w:val="00B65A46"/>
    <w:rsid w:val="00B706D9"/>
    <w:rsid w:val="00B73F6D"/>
    <w:rsid w:val="00B74F33"/>
    <w:rsid w:val="00B76054"/>
    <w:rsid w:val="00B80C82"/>
    <w:rsid w:val="00B81920"/>
    <w:rsid w:val="00B839FE"/>
    <w:rsid w:val="00B84E2E"/>
    <w:rsid w:val="00B86508"/>
    <w:rsid w:val="00B86888"/>
    <w:rsid w:val="00B86A3F"/>
    <w:rsid w:val="00B87746"/>
    <w:rsid w:val="00B87C00"/>
    <w:rsid w:val="00B9008A"/>
    <w:rsid w:val="00B90BB0"/>
    <w:rsid w:val="00B918EB"/>
    <w:rsid w:val="00B926AB"/>
    <w:rsid w:val="00B942CA"/>
    <w:rsid w:val="00B945BA"/>
    <w:rsid w:val="00B96B49"/>
    <w:rsid w:val="00B97D5B"/>
    <w:rsid w:val="00BA1E7D"/>
    <w:rsid w:val="00BA44C8"/>
    <w:rsid w:val="00BA45CF"/>
    <w:rsid w:val="00BA48FD"/>
    <w:rsid w:val="00BA4F86"/>
    <w:rsid w:val="00BA6BE7"/>
    <w:rsid w:val="00BB0017"/>
    <w:rsid w:val="00BB246F"/>
    <w:rsid w:val="00BB3D66"/>
    <w:rsid w:val="00BB44A8"/>
    <w:rsid w:val="00BB735B"/>
    <w:rsid w:val="00BB7C4B"/>
    <w:rsid w:val="00BC133E"/>
    <w:rsid w:val="00BC1D0D"/>
    <w:rsid w:val="00BC283E"/>
    <w:rsid w:val="00BC339A"/>
    <w:rsid w:val="00BC3B81"/>
    <w:rsid w:val="00BC40E4"/>
    <w:rsid w:val="00BD090B"/>
    <w:rsid w:val="00BD0949"/>
    <w:rsid w:val="00BD4BB6"/>
    <w:rsid w:val="00BD6304"/>
    <w:rsid w:val="00BD6557"/>
    <w:rsid w:val="00BD747A"/>
    <w:rsid w:val="00BE00D6"/>
    <w:rsid w:val="00BE05E8"/>
    <w:rsid w:val="00BE2D74"/>
    <w:rsid w:val="00BE45CA"/>
    <w:rsid w:val="00BE48AE"/>
    <w:rsid w:val="00BE4BE7"/>
    <w:rsid w:val="00BE57B4"/>
    <w:rsid w:val="00BE5C7C"/>
    <w:rsid w:val="00BF0D21"/>
    <w:rsid w:val="00BF25FB"/>
    <w:rsid w:val="00BF3F86"/>
    <w:rsid w:val="00BF7F24"/>
    <w:rsid w:val="00C00389"/>
    <w:rsid w:val="00C00499"/>
    <w:rsid w:val="00C0394F"/>
    <w:rsid w:val="00C07008"/>
    <w:rsid w:val="00C0762D"/>
    <w:rsid w:val="00C10562"/>
    <w:rsid w:val="00C10878"/>
    <w:rsid w:val="00C1103A"/>
    <w:rsid w:val="00C129CF"/>
    <w:rsid w:val="00C15896"/>
    <w:rsid w:val="00C16770"/>
    <w:rsid w:val="00C169A1"/>
    <w:rsid w:val="00C170A0"/>
    <w:rsid w:val="00C20334"/>
    <w:rsid w:val="00C20D09"/>
    <w:rsid w:val="00C21A63"/>
    <w:rsid w:val="00C23541"/>
    <w:rsid w:val="00C2455E"/>
    <w:rsid w:val="00C3001E"/>
    <w:rsid w:val="00C30441"/>
    <w:rsid w:val="00C30D7A"/>
    <w:rsid w:val="00C31BD7"/>
    <w:rsid w:val="00C32966"/>
    <w:rsid w:val="00C34C87"/>
    <w:rsid w:val="00C37476"/>
    <w:rsid w:val="00C406DF"/>
    <w:rsid w:val="00C417CB"/>
    <w:rsid w:val="00C46088"/>
    <w:rsid w:val="00C464B5"/>
    <w:rsid w:val="00C46C49"/>
    <w:rsid w:val="00C51C93"/>
    <w:rsid w:val="00C52859"/>
    <w:rsid w:val="00C52BDD"/>
    <w:rsid w:val="00C52C35"/>
    <w:rsid w:val="00C53C02"/>
    <w:rsid w:val="00C53FF2"/>
    <w:rsid w:val="00C5469B"/>
    <w:rsid w:val="00C57466"/>
    <w:rsid w:val="00C60C73"/>
    <w:rsid w:val="00C62286"/>
    <w:rsid w:val="00C62832"/>
    <w:rsid w:val="00C64187"/>
    <w:rsid w:val="00C64FDE"/>
    <w:rsid w:val="00C65956"/>
    <w:rsid w:val="00C65F66"/>
    <w:rsid w:val="00C66058"/>
    <w:rsid w:val="00C6622D"/>
    <w:rsid w:val="00C66531"/>
    <w:rsid w:val="00C6656D"/>
    <w:rsid w:val="00C716D9"/>
    <w:rsid w:val="00C73544"/>
    <w:rsid w:val="00C73F22"/>
    <w:rsid w:val="00C741F0"/>
    <w:rsid w:val="00C745C0"/>
    <w:rsid w:val="00C75885"/>
    <w:rsid w:val="00C76B54"/>
    <w:rsid w:val="00C8103C"/>
    <w:rsid w:val="00C81CB7"/>
    <w:rsid w:val="00C8235B"/>
    <w:rsid w:val="00C8517C"/>
    <w:rsid w:val="00C910DE"/>
    <w:rsid w:val="00C918B7"/>
    <w:rsid w:val="00C91B35"/>
    <w:rsid w:val="00C91B37"/>
    <w:rsid w:val="00C91BCF"/>
    <w:rsid w:val="00C92D15"/>
    <w:rsid w:val="00C974E2"/>
    <w:rsid w:val="00C97E38"/>
    <w:rsid w:val="00CA1E0F"/>
    <w:rsid w:val="00CA20E3"/>
    <w:rsid w:val="00CA66DC"/>
    <w:rsid w:val="00CB26EB"/>
    <w:rsid w:val="00CB5CD6"/>
    <w:rsid w:val="00CB6F69"/>
    <w:rsid w:val="00CC0B7D"/>
    <w:rsid w:val="00CC247E"/>
    <w:rsid w:val="00CC3BBA"/>
    <w:rsid w:val="00CC5947"/>
    <w:rsid w:val="00CC740A"/>
    <w:rsid w:val="00CD0936"/>
    <w:rsid w:val="00CD1D2C"/>
    <w:rsid w:val="00CD26B4"/>
    <w:rsid w:val="00CD3EF6"/>
    <w:rsid w:val="00CD4ACB"/>
    <w:rsid w:val="00CD683B"/>
    <w:rsid w:val="00CD71D1"/>
    <w:rsid w:val="00CD7CF4"/>
    <w:rsid w:val="00CE1C91"/>
    <w:rsid w:val="00CE41A0"/>
    <w:rsid w:val="00CF0053"/>
    <w:rsid w:val="00CF0720"/>
    <w:rsid w:val="00CF2813"/>
    <w:rsid w:val="00CF3172"/>
    <w:rsid w:val="00CF5339"/>
    <w:rsid w:val="00CF790A"/>
    <w:rsid w:val="00CF7EFE"/>
    <w:rsid w:val="00D01A25"/>
    <w:rsid w:val="00D022CE"/>
    <w:rsid w:val="00D029D9"/>
    <w:rsid w:val="00D02CF9"/>
    <w:rsid w:val="00D02EEA"/>
    <w:rsid w:val="00D034C7"/>
    <w:rsid w:val="00D04658"/>
    <w:rsid w:val="00D04906"/>
    <w:rsid w:val="00D05585"/>
    <w:rsid w:val="00D05C9D"/>
    <w:rsid w:val="00D06541"/>
    <w:rsid w:val="00D07716"/>
    <w:rsid w:val="00D1034A"/>
    <w:rsid w:val="00D12BA7"/>
    <w:rsid w:val="00D1575C"/>
    <w:rsid w:val="00D22704"/>
    <w:rsid w:val="00D22E75"/>
    <w:rsid w:val="00D23DE1"/>
    <w:rsid w:val="00D25CFD"/>
    <w:rsid w:val="00D26F99"/>
    <w:rsid w:val="00D271B0"/>
    <w:rsid w:val="00D27A09"/>
    <w:rsid w:val="00D320C3"/>
    <w:rsid w:val="00D325C2"/>
    <w:rsid w:val="00D335F8"/>
    <w:rsid w:val="00D34D3F"/>
    <w:rsid w:val="00D3716C"/>
    <w:rsid w:val="00D379E1"/>
    <w:rsid w:val="00D37C5A"/>
    <w:rsid w:val="00D443E7"/>
    <w:rsid w:val="00D461CF"/>
    <w:rsid w:val="00D468CF"/>
    <w:rsid w:val="00D46CF1"/>
    <w:rsid w:val="00D4779D"/>
    <w:rsid w:val="00D50B0B"/>
    <w:rsid w:val="00D544DF"/>
    <w:rsid w:val="00D54CDF"/>
    <w:rsid w:val="00D569DC"/>
    <w:rsid w:val="00D5759D"/>
    <w:rsid w:val="00D60010"/>
    <w:rsid w:val="00D611AB"/>
    <w:rsid w:val="00D635BC"/>
    <w:rsid w:val="00D66E86"/>
    <w:rsid w:val="00D710E2"/>
    <w:rsid w:val="00D71C18"/>
    <w:rsid w:val="00D80A9C"/>
    <w:rsid w:val="00D817E7"/>
    <w:rsid w:val="00D8428B"/>
    <w:rsid w:val="00D8437F"/>
    <w:rsid w:val="00D84A5A"/>
    <w:rsid w:val="00D8556F"/>
    <w:rsid w:val="00D85F2F"/>
    <w:rsid w:val="00D87CAC"/>
    <w:rsid w:val="00D90903"/>
    <w:rsid w:val="00D91483"/>
    <w:rsid w:val="00D9533B"/>
    <w:rsid w:val="00D97CD9"/>
    <w:rsid w:val="00DA014F"/>
    <w:rsid w:val="00DA04F0"/>
    <w:rsid w:val="00DA11BB"/>
    <w:rsid w:val="00DA4809"/>
    <w:rsid w:val="00DA4A7B"/>
    <w:rsid w:val="00DA522E"/>
    <w:rsid w:val="00DA55F5"/>
    <w:rsid w:val="00DA5C03"/>
    <w:rsid w:val="00DA6BF9"/>
    <w:rsid w:val="00DA7345"/>
    <w:rsid w:val="00DB258D"/>
    <w:rsid w:val="00DB39F2"/>
    <w:rsid w:val="00DB5296"/>
    <w:rsid w:val="00DB68E2"/>
    <w:rsid w:val="00DC08AE"/>
    <w:rsid w:val="00DC187E"/>
    <w:rsid w:val="00DC310E"/>
    <w:rsid w:val="00DC42B4"/>
    <w:rsid w:val="00DD0B87"/>
    <w:rsid w:val="00DD12F7"/>
    <w:rsid w:val="00DD162C"/>
    <w:rsid w:val="00DD188C"/>
    <w:rsid w:val="00DD3221"/>
    <w:rsid w:val="00DD38C7"/>
    <w:rsid w:val="00DD3B70"/>
    <w:rsid w:val="00DD3BB1"/>
    <w:rsid w:val="00DD4D2C"/>
    <w:rsid w:val="00DD4DE9"/>
    <w:rsid w:val="00DD7E15"/>
    <w:rsid w:val="00DE1745"/>
    <w:rsid w:val="00DE3967"/>
    <w:rsid w:val="00DE5E7D"/>
    <w:rsid w:val="00DE6045"/>
    <w:rsid w:val="00DE65CA"/>
    <w:rsid w:val="00DE6F60"/>
    <w:rsid w:val="00DE7F89"/>
    <w:rsid w:val="00DF1874"/>
    <w:rsid w:val="00DF1B02"/>
    <w:rsid w:val="00DF355C"/>
    <w:rsid w:val="00DF5320"/>
    <w:rsid w:val="00DF5405"/>
    <w:rsid w:val="00E02928"/>
    <w:rsid w:val="00E0333B"/>
    <w:rsid w:val="00E03EF0"/>
    <w:rsid w:val="00E07358"/>
    <w:rsid w:val="00E07A6B"/>
    <w:rsid w:val="00E10597"/>
    <w:rsid w:val="00E12859"/>
    <w:rsid w:val="00E21651"/>
    <w:rsid w:val="00E217BF"/>
    <w:rsid w:val="00E23636"/>
    <w:rsid w:val="00E2410B"/>
    <w:rsid w:val="00E244C5"/>
    <w:rsid w:val="00E252A9"/>
    <w:rsid w:val="00E26223"/>
    <w:rsid w:val="00E26D2C"/>
    <w:rsid w:val="00E31F1B"/>
    <w:rsid w:val="00E3379A"/>
    <w:rsid w:val="00E350B8"/>
    <w:rsid w:val="00E35B1F"/>
    <w:rsid w:val="00E36487"/>
    <w:rsid w:val="00E37713"/>
    <w:rsid w:val="00E40B58"/>
    <w:rsid w:val="00E42AAE"/>
    <w:rsid w:val="00E42EAA"/>
    <w:rsid w:val="00E430DA"/>
    <w:rsid w:val="00E43192"/>
    <w:rsid w:val="00E4366D"/>
    <w:rsid w:val="00E43831"/>
    <w:rsid w:val="00E4599E"/>
    <w:rsid w:val="00E46E98"/>
    <w:rsid w:val="00E5006B"/>
    <w:rsid w:val="00E5046A"/>
    <w:rsid w:val="00E51F8D"/>
    <w:rsid w:val="00E5205E"/>
    <w:rsid w:val="00E52E92"/>
    <w:rsid w:val="00E53C99"/>
    <w:rsid w:val="00E54CD1"/>
    <w:rsid w:val="00E54CF0"/>
    <w:rsid w:val="00E56E8C"/>
    <w:rsid w:val="00E57096"/>
    <w:rsid w:val="00E607C5"/>
    <w:rsid w:val="00E61F96"/>
    <w:rsid w:val="00E6288E"/>
    <w:rsid w:val="00E642CB"/>
    <w:rsid w:val="00E64A1C"/>
    <w:rsid w:val="00E65DD6"/>
    <w:rsid w:val="00E66262"/>
    <w:rsid w:val="00E6752E"/>
    <w:rsid w:val="00E7102A"/>
    <w:rsid w:val="00E72D2B"/>
    <w:rsid w:val="00E733DE"/>
    <w:rsid w:val="00E74242"/>
    <w:rsid w:val="00E77E76"/>
    <w:rsid w:val="00E81633"/>
    <w:rsid w:val="00E83289"/>
    <w:rsid w:val="00E840E4"/>
    <w:rsid w:val="00E840E9"/>
    <w:rsid w:val="00E86EA8"/>
    <w:rsid w:val="00E8735A"/>
    <w:rsid w:val="00E90642"/>
    <w:rsid w:val="00E949D6"/>
    <w:rsid w:val="00E9535E"/>
    <w:rsid w:val="00E969F7"/>
    <w:rsid w:val="00E9727B"/>
    <w:rsid w:val="00E97932"/>
    <w:rsid w:val="00EA00CD"/>
    <w:rsid w:val="00EA0CB0"/>
    <w:rsid w:val="00EA3232"/>
    <w:rsid w:val="00EA3E66"/>
    <w:rsid w:val="00EA428B"/>
    <w:rsid w:val="00EA4D9A"/>
    <w:rsid w:val="00EA4D9D"/>
    <w:rsid w:val="00EA56AE"/>
    <w:rsid w:val="00EA599A"/>
    <w:rsid w:val="00EB390C"/>
    <w:rsid w:val="00EB3E56"/>
    <w:rsid w:val="00EB4851"/>
    <w:rsid w:val="00EB4907"/>
    <w:rsid w:val="00EB7FF5"/>
    <w:rsid w:val="00EC25AA"/>
    <w:rsid w:val="00EC2ADC"/>
    <w:rsid w:val="00EC44C1"/>
    <w:rsid w:val="00EC4D82"/>
    <w:rsid w:val="00EC649E"/>
    <w:rsid w:val="00ED0BED"/>
    <w:rsid w:val="00ED1377"/>
    <w:rsid w:val="00ED19AC"/>
    <w:rsid w:val="00ED2B05"/>
    <w:rsid w:val="00ED2ED4"/>
    <w:rsid w:val="00ED661F"/>
    <w:rsid w:val="00ED7A22"/>
    <w:rsid w:val="00EE009A"/>
    <w:rsid w:val="00EE0207"/>
    <w:rsid w:val="00EE2541"/>
    <w:rsid w:val="00EE2A23"/>
    <w:rsid w:val="00EE4074"/>
    <w:rsid w:val="00EE45BA"/>
    <w:rsid w:val="00EE704E"/>
    <w:rsid w:val="00EE76E2"/>
    <w:rsid w:val="00EE7BAB"/>
    <w:rsid w:val="00EF0D6B"/>
    <w:rsid w:val="00EF274E"/>
    <w:rsid w:val="00EF3245"/>
    <w:rsid w:val="00EF3748"/>
    <w:rsid w:val="00EF3846"/>
    <w:rsid w:val="00EF43FD"/>
    <w:rsid w:val="00EF56D3"/>
    <w:rsid w:val="00EF6D8C"/>
    <w:rsid w:val="00EF6F13"/>
    <w:rsid w:val="00EF7988"/>
    <w:rsid w:val="00F001D8"/>
    <w:rsid w:val="00F021EB"/>
    <w:rsid w:val="00F06485"/>
    <w:rsid w:val="00F07098"/>
    <w:rsid w:val="00F07C2E"/>
    <w:rsid w:val="00F07CE0"/>
    <w:rsid w:val="00F101B8"/>
    <w:rsid w:val="00F11B15"/>
    <w:rsid w:val="00F125F1"/>
    <w:rsid w:val="00F13279"/>
    <w:rsid w:val="00F143CC"/>
    <w:rsid w:val="00F157A9"/>
    <w:rsid w:val="00F16058"/>
    <w:rsid w:val="00F17575"/>
    <w:rsid w:val="00F17798"/>
    <w:rsid w:val="00F21D74"/>
    <w:rsid w:val="00F23EA8"/>
    <w:rsid w:val="00F254E8"/>
    <w:rsid w:val="00F26934"/>
    <w:rsid w:val="00F31ADE"/>
    <w:rsid w:val="00F367A5"/>
    <w:rsid w:val="00F4000E"/>
    <w:rsid w:val="00F43BE8"/>
    <w:rsid w:val="00F449E8"/>
    <w:rsid w:val="00F4580E"/>
    <w:rsid w:val="00F45EE7"/>
    <w:rsid w:val="00F46751"/>
    <w:rsid w:val="00F47191"/>
    <w:rsid w:val="00F50EA5"/>
    <w:rsid w:val="00F5110A"/>
    <w:rsid w:val="00F565B7"/>
    <w:rsid w:val="00F57B6B"/>
    <w:rsid w:val="00F6079B"/>
    <w:rsid w:val="00F63E1F"/>
    <w:rsid w:val="00F65527"/>
    <w:rsid w:val="00F67B0A"/>
    <w:rsid w:val="00F721C9"/>
    <w:rsid w:val="00F736EB"/>
    <w:rsid w:val="00F75320"/>
    <w:rsid w:val="00F75EB4"/>
    <w:rsid w:val="00F76306"/>
    <w:rsid w:val="00F80776"/>
    <w:rsid w:val="00F835D7"/>
    <w:rsid w:val="00F8668C"/>
    <w:rsid w:val="00F87C81"/>
    <w:rsid w:val="00F91E19"/>
    <w:rsid w:val="00F93B33"/>
    <w:rsid w:val="00F942FD"/>
    <w:rsid w:val="00F954D4"/>
    <w:rsid w:val="00F95AAB"/>
    <w:rsid w:val="00FA1313"/>
    <w:rsid w:val="00FA163D"/>
    <w:rsid w:val="00FA31AF"/>
    <w:rsid w:val="00FA33B4"/>
    <w:rsid w:val="00FB00E0"/>
    <w:rsid w:val="00FB442E"/>
    <w:rsid w:val="00FC0FFB"/>
    <w:rsid w:val="00FC1E24"/>
    <w:rsid w:val="00FC2655"/>
    <w:rsid w:val="00FC57AD"/>
    <w:rsid w:val="00FD0BE7"/>
    <w:rsid w:val="00FD2345"/>
    <w:rsid w:val="00FD627D"/>
    <w:rsid w:val="00FD6647"/>
    <w:rsid w:val="00FD766F"/>
    <w:rsid w:val="00FE0100"/>
    <w:rsid w:val="00FE2539"/>
    <w:rsid w:val="00FE4B32"/>
    <w:rsid w:val="00FE4F15"/>
    <w:rsid w:val="00FE6040"/>
    <w:rsid w:val="00FE6A4B"/>
    <w:rsid w:val="00FE742E"/>
    <w:rsid w:val="00FF001D"/>
    <w:rsid w:val="00FF0534"/>
    <w:rsid w:val="00FF25E4"/>
    <w:rsid w:val="00FF29F8"/>
    <w:rsid w:val="00FF33EC"/>
    <w:rsid w:val="00FF3533"/>
    <w:rsid w:val="00FF3F03"/>
    <w:rsid w:val="00FF6AFD"/>
    <w:rsid w:val="00FF761B"/>
    <w:rsid w:val="00FF77F4"/>
    <w:rsid w:val="0D9442CD"/>
    <w:rsid w:val="10FD11D6"/>
    <w:rsid w:val="21109DFC"/>
    <w:rsid w:val="2BE0EC96"/>
    <w:rsid w:val="2E626678"/>
    <w:rsid w:val="33820071"/>
    <w:rsid w:val="454B0D56"/>
    <w:rsid w:val="468EEB57"/>
    <w:rsid w:val="46DF3904"/>
    <w:rsid w:val="54E4986F"/>
    <w:rsid w:val="56300DF7"/>
    <w:rsid w:val="566B055E"/>
    <w:rsid w:val="6086D999"/>
    <w:rsid w:val="61A1072C"/>
    <w:rsid w:val="6540DADF"/>
    <w:rsid w:val="6CB4D2C2"/>
    <w:rsid w:val="76945820"/>
    <w:rsid w:val="76FEE1C5"/>
    <w:rsid w:val="7FE73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65827"/>
  <w15:chartTrackingRefBased/>
  <w15:docId w15:val="{A7DC47A1-BA01-488B-AE41-6C889CACE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ajorBidi"/>
        <w:color w:val="000000" w:themeColor="text1"/>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6F6"/>
  </w:style>
  <w:style w:type="paragraph" w:styleId="Heading1">
    <w:name w:val="heading 1"/>
    <w:basedOn w:val="Normal"/>
    <w:next w:val="Normal"/>
    <w:link w:val="Heading1Char"/>
    <w:uiPriority w:val="9"/>
    <w:qFormat/>
    <w:rsid w:val="00F021EB"/>
    <w:pPr>
      <w:keepNext/>
      <w:keepLines/>
      <w:numPr>
        <w:numId w:val="1"/>
      </w:numPr>
      <w:spacing w:before="24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F021EB"/>
    <w:pPr>
      <w:keepNext/>
      <w:keepLines/>
      <w:numPr>
        <w:ilvl w:val="1"/>
        <w:numId w:val="1"/>
      </w:numPr>
      <w:outlineLvl w:val="1"/>
    </w:pPr>
    <w:rPr>
      <w:rFonts w:eastAsiaTheme="majorEastAsia"/>
      <w:color w:val="2F5496" w:themeColor="accent1" w:themeShade="BF"/>
      <w:sz w:val="26"/>
      <w:szCs w:val="26"/>
    </w:rPr>
  </w:style>
  <w:style w:type="paragraph" w:styleId="Heading3">
    <w:name w:val="heading 3"/>
    <w:basedOn w:val="Normal"/>
    <w:next w:val="Normal"/>
    <w:link w:val="Heading3Char"/>
    <w:uiPriority w:val="9"/>
    <w:unhideWhenUsed/>
    <w:qFormat/>
    <w:rsid w:val="00671C00"/>
    <w:pPr>
      <w:keepNext/>
      <w:keepLines/>
      <w:numPr>
        <w:ilvl w:val="2"/>
        <w:numId w:val="1"/>
      </w:numPr>
      <w:outlineLvl w:val="2"/>
    </w:pPr>
    <w:rPr>
      <w:rFonts w:asciiTheme="majorHAnsi" w:eastAsiaTheme="majorEastAsia" w:hAnsiTheme="majorHAnsi"/>
      <w:color w:val="1F3763" w:themeColor="accent1" w:themeShade="7F"/>
    </w:rPr>
  </w:style>
  <w:style w:type="paragraph" w:styleId="Heading4">
    <w:name w:val="heading 4"/>
    <w:basedOn w:val="Normal"/>
    <w:next w:val="Normal"/>
    <w:link w:val="Heading4Char"/>
    <w:uiPriority w:val="9"/>
    <w:unhideWhenUsed/>
    <w:qFormat/>
    <w:rsid w:val="00671C00"/>
    <w:pPr>
      <w:keepNext/>
      <w:keepLines/>
      <w:numPr>
        <w:ilvl w:val="3"/>
        <w:numId w:val="1"/>
      </w:numPr>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unhideWhenUsed/>
    <w:qFormat/>
    <w:rsid w:val="00671C00"/>
    <w:pPr>
      <w:keepNext/>
      <w:keepLines/>
      <w:numPr>
        <w:ilvl w:val="4"/>
        <w:numId w:val="1"/>
      </w:numPr>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unhideWhenUsed/>
    <w:qFormat/>
    <w:rsid w:val="00671C00"/>
    <w:pPr>
      <w:keepNext/>
      <w:keepLines/>
      <w:numPr>
        <w:ilvl w:val="5"/>
        <w:numId w:val="1"/>
      </w:numPr>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unhideWhenUsed/>
    <w:qFormat/>
    <w:rsid w:val="00671C00"/>
    <w:pPr>
      <w:keepNext/>
      <w:keepLines/>
      <w:numPr>
        <w:ilvl w:val="6"/>
        <w:numId w:val="1"/>
      </w:numPr>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unhideWhenUsed/>
    <w:qFormat/>
    <w:rsid w:val="00671C00"/>
    <w:pPr>
      <w:keepNext/>
      <w:keepLines/>
      <w:numPr>
        <w:ilvl w:val="7"/>
        <w:numId w:val="1"/>
      </w:numPr>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unhideWhenUsed/>
    <w:qFormat/>
    <w:rsid w:val="00671C00"/>
    <w:pPr>
      <w:keepNext/>
      <w:keepLines/>
      <w:numPr>
        <w:ilvl w:val="8"/>
        <w:numId w:val="1"/>
      </w:numPr>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1E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021EB"/>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671C0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71C0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71C0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71C0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71C0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71C0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71C0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0452C"/>
    <w:pPr>
      <w:tabs>
        <w:tab w:val="center" w:pos="4513"/>
        <w:tab w:val="right" w:pos="9026"/>
      </w:tabs>
      <w:spacing w:line="240" w:lineRule="auto"/>
    </w:pPr>
  </w:style>
  <w:style w:type="character" w:customStyle="1" w:styleId="HeaderChar">
    <w:name w:val="Header Char"/>
    <w:basedOn w:val="DefaultParagraphFont"/>
    <w:link w:val="Header"/>
    <w:uiPriority w:val="99"/>
    <w:rsid w:val="0000452C"/>
    <w:rPr>
      <w:rFonts w:ascii="Times New Roman" w:hAnsi="Times New Roman"/>
    </w:rPr>
  </w:style>
  <w:style w:type="paragraph" w:styleId="Footer">
    <w:name w:val="footer"/>
    <w:basedOn w:val="Normal"/>
    <w:link w:val="FooterChar"/>
    <w:uiPriority w:val="99"/>
    <w:unhideWhenUsed/>
    <w:rsid w:val="0000452C"/>
    <w:pPr>
      <w:tabs>
        <w:tab w:val="center" w:pos="4513"/>
        <w:tab w:val="right" w:pos="9026"/>
      </w:tabs>
      <w:spacing w:line="240" w:lineRule="auto"/>
    </w:pPr>
  </w:style>
  <w:style w:type="character" w:customStyle="1" w:styleId="FooterChar">
    <w:name w:val="Footer Char"/>
    <w:basedOn w:val="DefaultParagraphFont"/>
    <w:link w:val="Footer"/>
    <w:uiPriority w:val="99"/>
    <w:rsid w:val="0000452C"/>
    <w:rPr>
      <w:rFonts w:ascii="Times New Roman" w:hAnsi="Times New Roman"/>
    </w:rPr>
  </w:style>
  <w:style w:type="paragraph" w:styleId="TOCHeading">
    <w:name w:val="TOC Heading"/>
    <w:basedOn w:val="Heading1"/>
    <w:next w:val="Normal"/>
    <w:uiPriority w:val="39"/>
    <w:unhideWhenUsed/>
    <w:qFormat/>
    <w:rsid w:val="00032D31"/>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32D31"/>
    <w:pPr>
      <w:spacing w:after="100"/>
    </w:pPr>
  </w:style>
  <w:style w:type="character" w:styleId="Hyperlink">
    <w:name w:val="Hyperlink"/>
    <w:basedOn w:val="DefaultParagraphFont"/>
    <w:uiPriority w:val="99"/>
    <w:unhideWhenUsed/>
    <w:rsid w:val="00032D31"/>
    <w:rPr>
      <w:color w:val="0563C1" w:themeColor="hyperlink"/>
      <w:u w:val="single"/>
    </w:rPr>
  </w:style>
  <w:style w:type="paragraph" w:styleId="TOC2">
    <w:name w:val="toc 2"/>
    <w:basedOn w:val="Normal"/>
    <w:next w:val="Normal"/>
    <w:autoRedefine/>
    <w:uiPriority w:val="39"/>
    <w:unhideWhenUsed/>
    <w:rsid w:val="000B1378"/>
    <w:pPr>
      <w:spacing w:after="100"/>
      <w:ind w:left="220"/>
    </w:pPr>
  </w:style>
  <w:style w:type="table" w:styleId="TableGrid">
    <w:name w:val="Table Grid"/>
    <w:basedOn w:val="TableNormal"/>
    <w:uiPriority w:val="39"/>
    <w:rsid w:val="005F63C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56BB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0E8A"/>
  </w:style>
  <w:style w:type="paragraph" w:styleId="Bibliography">
    <w:name w:val="Bibliography"/>
    <w:basedOn w:val="Normal"/>
    <w:next w:val="Normal"/>
    <w:uiPriority w:val="37"/>
    <w:unhideWhenUsed/>
    <w:rsid w:val="004561F6"/>
  </w:style>
  <w:style w:type="paragraph" w:styleId="NormalWeb">
    <w:name w:val="Normal (Web)"/>
    <w:basedOn w:val="Normal"/>
    <w:uiPriority w:val="99"/>
    <w:unhideWhenUsed/>
    <w:rsid w:val="00B74F33"/>
    <w:pPr>
      <w:spacing w:before="100" w:beforeAutospacing="1" w:after="100" w:afterAutospacing="1" w:line="240" w:lineRule="auto"/>
    </w:pPr>
    <w:rPr>
      <w:rFonts w:eastAsia="Times New Roman" w:cs="Times New Roman"/>
      <w:lang w:eastAsia="en-GB"/>
    </w:rPr>
  </w:style>
  <w:style w:type="paragraph" w:styleId="NoSpacing">
    <w:name w:val="No Spacing"/>
    <w:uiPriority w:val="1"/>
    <w:qFormat/>
    <w:rsid w:val="0027186A"/>
    <w:pPr>
      <w:spacing w:line="240" w:lineRule="auto"/>
    </w:pPr>
    <w:rPr>
      <w:rFonts w:ascii="Times New Roman" w:hAnsi="Times New Roman"/>
    </w:rPr>
  </w:style>
  <w:style w:type="paragraph" w:styleId="ListParagraph">
    <w:name w:val="List Paragraph"/>
    <w:basedOn w:val="Normal"/>
    <w:qFormat/>
    <w:rsid w:val="00797736"/>
    <w:pPr>
      <w:ind w:left="720"/>
      <w:contextualSpacing/>
    </w:pPr>
  </w:style>
  <w:style w:type="paragraph" w:styleId="TOC3">
    <w:name w:val="toc 3"/>
    <w:basedOn w:val="Normal"/>
    <w:next w:val="Normal"/>
    <w:uiPriority w:val="39"/>
    <w:unhideWhenUsed/>
    <w:rsid w:val="00C2455E"/>
    <w:pPr>
      <w:spacing w:after="100"/>
      <w:ind w:left="440"/>
    </w:pPr>
  </w:style>
  <w:style w:type="character" w:styleId="Strong">
    <w:name w:val="Strong"/>
    <w:basedOn w:val="DefaultParagraphFont"/>
    <w:uiPriority w:val="22"/>
    <w:qFormat/>
    <w:rsid w:val="007F648E"/>
    <w:rPr>
      <w:b/>
      <w:bCs/>
    </w:rPr>
  </w:style>
  <w:style w:type="character" w:styleId="UnresolvedMention">
    <w:name w:val="Unresolved Mention"/>
    <w:basedOn w:val="DefaultParagraphFont"/>
    <w:uiPriority w:val="99"/>
    <w:semiHidden/>
    <w:unhideWhenUsed/>
    <w:rsid w:val="00241F70"/>
    <w:rPr>
      <w:color w:val="605E5C"/>
      <w:shd w:val="clear" w:color="auto" w:fill="E1DFDD"/>
    </w:rPr>
  </w:style>
  <w:style w:type="paragraph" w:customStyle="1" w:styleId="paragraph">
    <w:name w:val="paragraph"/>
    <w:basedOn w:val="Normal"/>
    <w:rsid w:val="002A0D65"/>
    <w:pPr>
      <w:spacing w:before="100" w:beforeAutospacing="1" w:after="100" w:afterAutospacing="1" w:line="240" w:lineRule="auto"/>
    </w:pPr>
    <w:rPr>
      <w:rFonts w:ascii="Times New Roman" w:eastAsia="Times New Roman" w:hAnsi="Times New Roman" w:cs="Times New Roman"/>
      <w:color w:val="auto"/>
      <w:lang w:eastAsia="en-GB"/>
    </w:rPr>
  </w:style>
  <w:style w:type="character" w:customStyle="1" w:styleId="normaltextrun">
    <w:name w:val="normaltextrun"/>
    <w:basedOn w:val="DefaultParagraphFont"/>
    <w:rsid w:val="002A0D65"/>
  </w:style>
  <w:style w:type="character" w:customStyle="1" w:styleId="eop">
    <w:name w:val="eop"/>
    <w:basedOn w:val="DefaultParagraphFont"/>
    <w:rsid w:val="002A0D65"/>
  </w:style>
  <w:style w:type="character" w:customStyle="1" w:styleId="wacimagecontainer">
    <w:name w:val="wacimagecontainer"/>
    <w:basedOn w:val="DefaultParagraphFont"/>
    <w:rsid w:val="00446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275">
      <w:bodyDiv w:val="1"/>
      <w:marLeft w:val="0"/>
      <w:marRight w:val="0"/>
      <w:marTop w:val="0"/>
      <w:marBottom w:val="0"/>
      <w:divBdr>
        <w:top w:val="none" w:sz="0" w:space="0" w:color="auto"/>
        <w:left w:val="none" w:sz="0" w:space="0" w:color="auto"/>
        <w:bottom w:val="none" w:sz="0" w:space="0" w:color="auto"/>
        <w:right w:val="none" w:sz="0" w:space="0" w:color="auto"/>
      </w:divBdr>
    </w:div>
    <w:div w:id="3283414">
      <w:bodyDiv w:val="1"/>
      <w:marLeft w:val="0"/>
      <w:marRight w:val="0"/>
      <w:marTop w:val="0"/>
      <w:marBottom w:val="0"/>
      <w:divBdr>
        <w:top w:val="none" w:sz="0" w:space="0" w:color="auto"/>
        <w:left w:val="none" w:sz="0" w:space="0" w:color="auto"/>
        <w:bottom w:val="none" w:sz="0" w:space="0" w:color="auto"/>
        <w:right w:val="none" w:sz="0" w:space="0" w:color="auto"/>
      </w:divBdr>
    </w:div>
    <w:div w:id="5912045">
      <w:bodyDiv w:val="1"/>
      <w:marLeft w:val="0"/>
      <w:marRight w:val="0"/>
      <w:marTop w:val="0"/>
      <w:marBottom w:val="0"/>
      <w:divBdr>
        <w:top w:val="none" w:sz="0" w:space="0" w:color="auto"/>
        <w:left w:val="none" w:sz="0" w:space="0" w:color="auto"/>
        <w:bottom w:val="none" w:sz="0" w:space="0" w:color="auto"/>
        <w:right w:val="none" w:sz="0" w:space="0" w:color="auto"/>
      </w:divBdr>
    </w:div>
    <w:div w:id="19942771">
      <w:bodyDiv w:val="1"/>
      <w:marLeft w:val="0"/>
      <w:marRight w:val="0"/>
      <w:marTop w:val="0"/>
      <w:marBottom w:val="0"/>
      <w:divBdr>
        <w:top w:val="none" w:sz="0" w:space="0" w:color="auto"/>
        <w:left w:val="none" w:sz="0" w:space="0" w:color="auto"/>
        <w:bottom w:val="none" w:sz="0" w:space="0" w:color="auto"/>
        <w:right w:val="none" w:sz="0" w:space="0" w:color="auto"/>
      </w:divBdr>
    </w:div>
    <w:div w:id="32778964">
      <w:bodyDiv w:val="1"/>
      <w:marLeft w:val="0"/>
      <w:marRight w:val="0"/>
      <w:marTop w:val="0"/>
      <w:marBottom w:val="0"/>
      <w:divBdr>
        <w:top w:val="none" w:sz="0" w:space="0" w:color="auto"/>
        <w:left w:val="none" w:sz="0" w:space="0" w:color="auto"/>
        <w:bottom w:val="none" w:sz="0" w:space="0" w:color="auto"/>
        <w:right w:val="none" w:sz="0" w:space="0" w:color="auto"/>
      </w:divBdr>
    </w:div>
    <w:div w:id="38555895">
      <w:bodyDiv w:val="1"/>
      <w:marLeft w:val="0"/>
      <w:marRight w:val="0"/>
      <w:marTop w:val="0"/>
      <w:marBottom w:val="0"/>
      <w:divBdr>
        <w:top w:val="none" w:sz="0" w:space="0" w:color="auto"/>
        <w:left w:val="none" w:sz="0" w:space="0" w:color="auto"/>
        <w:bottom w:val="none" w:sz="0" w:space="0" w:color="auto"/>
        <w:right w:val="none" w:sz="0" w:space="0" w:color="auto"/>
      </w:divBdr>
    </w:div>
    <w:div w:id="50814164">
      <w:bodyDiv w:val="1"/>
      <w:marLeft w:val="0"/>
      <w:marRight w:val="0"/>
      <w:marTop w:val="0"/>
      <w:marBottom w:val="0"/>
      <w:divBdr>
        <w:top w:val="none" w:sz="0" w:space="0" w:color="auto"/>
        <w:left w:val="none" w:sz="0" w:space="0" w:color="auto"/>
        <w:bottom w:val="none" w:sz="0" w:space="0" w:color="auto"/>
        <w:right w:val="none" w:sz="0" w:space="0" w:color="auto"/>
      </w:divBdr>
    </w:div>
    <w:div w:id="53937648">
      <w:bodyDiv w:val="1"/>
      <w:marLeft w:val="0"/>
      <w:marRight w:val="0"/>
      <w:marTop w:val="0"/>
      <w:marBottom w:val="0"/>
      <w:divBdr>
        <w:top w:val="none" w:sz="0" w:space="0" w:color="auto"/>
        <w:left w:val="none" w:sz="0" w:space="0" w:color="auto"/>
        <w:bottom w:val="none" w:sz="0" w:space="0" w:color="auto"/>
        <w:right w:val="none" w:sz="0" w:space="0" w:color="auto"/>
      </w:divBdr>
    </w:div>
    <w:div w:id="66927434">
      <w:bodyDiv w:val="1"/>
      <w:marLeft w:val="0"/>
      <w:marRight w:val="0"/>
      <w:marTop w:val="0"/>
      <w:marBottom w:val="0"/>
      <w:divBdr>
        <w:top w:val="none" w:sz="0" w:space="0" w:color="auto"/>
        <w:left w:val="none" w:sz="0" w:space="0" w:color="auto"/>
        <w:bottom w:val="none" w:sz="0" w:space="0" w:color="auto"/>
        <w:right w:val="none" w:sz="0" w:space="0" w:color="auto"/>
      </w:divBdr>
    </w:div>
    <w:div w:id="76481043">
      <w:bodyDiv w:val="1"/>
      <w:marLeft w:val="0"/>
      <w:marRight w:val="0"/>
      <w:marTop w:val="0"/>
      <w:marBottom w:val="0"/>
      <w:divBdr>
        <w:top w:val="none" w:sz="0" w:space="0" w:color="auto"/>
        <w:left w:val="none" w:sz="0" w:space="0" w:color="auto"/>
        <w:bottom w:val="none" w:sz="0" w:space="0" w:color="auto"/>
        <w:right w:val="none" w:sz="0" w:space="0" w:color="auto"/>
      </w:divBdr>
    </w:div>
    <w:div w:id="85807064">
      <w:bodyDiv w:val="1"/>
      <w:marLeft w:val="0"/>
      <w:marRight w:val="0"/>
      <w:marTop w:val="0"/>
      <w:marBottom w:val="0"/>
      <w:divBdr>
        <w:top w:val="none" w:sz="0" w:space="0" w:color="auto"/>
        <w:left w:val="none" w:sz="0" w:space="0" w:color="auto"/>
        <w:bottom w:val="none" w:sz="0" w:space="0" w:color="auto"/>
        <w:right w:val="none" w:sz="0" w:space="0" w:color="auto"/>
      </w:divBdr>
    </w:div>
    <w:div w:id="92406772">
      <w:bodyDiv w:val="1"/>
      <w:marLeft w:val="0"/>
      <w:marRight w:val="0"/>
      <w:marTop w:val="0"/>
      <w:marBottom w:val="0"/>
      <w:divBdr>
        <w:top w:val="none" w:sz="0" w:space="0" w:color="auto"/>
        <w:left w:val="none" w:sz="0" w:space="0" w:color="auto"/>
        <w:bottom w:val="none" w:sz="0" w:space="0" w:color="auto"/>
        <w:right w:val="none" w:sz="0" w:space="0" w:color="auto"/>
      </w:divBdr>
    </w:div>
    <w:div w:id="95178639">
      <w:bodyDiv w:val="1"/>
      <w:marLeft w:val="0"/>
      <w:marRight w:val="0"/>
      <w:marTop w:val="0"/>
      <w:marBottom w:val="0"/>
      <w:divBdr>
        <w:top w:val="none" w:sz="0" w:space="0" w:color="auto"/>
        <w:left w:val="none" w:sz="0" w:space="0" w:color="auto"/>
        <w:bottom w:val="none" w:sz="0" w:space="0" w:color="auto"/>
        <w:right w:val="none" w:sz="0" w:space="0" w:color="auto"/>
      </w:divBdr>
    </w:div>
    <w:div w:id="96414755">
      <w:bodyDiv w:val="1"/>
      <w:marLeft w:val="0"/>
      <w:marRight w:val="0"/>
      <w:marTop w:val="0"/>
      <w:marBottom w:val="0"/>
      <w:divBdr>
        <w:top w:val="none" w:sz="0" w:space="0" w:color="auto"/>
        <w:left w:val="none" w:sz="0" w:space="0" w:color="auto"/>
        <w:bottom w:val="none" w:sz="0" w:space="0" w:color="auto"/>
        <w:right w:val="none" w:sz="0" w:space="0" w:color="auto"/>
      </w:divBdr>
    </w:div>
    <w:div w:id="96753232">
      <w:bodyDiv w:val="1"/>
      <w:marLeft w:val="0"/>
      <w:marRight w:val="0"/>
      <w:marTop w:val="0"/>
      <w:marBottom w:val="0"/>
      <w:divBdr>
        <w:top w:val="none" w:sz="0" w:space="0" w:color="auto"/>
        <w:left w:val="none" w:sz="0" w:space="0" w:color="auto"/>
        <w:bottom w:val="none" w:sz="0" w:space="0" w:color="auto"/>
        <w:right w:val="none" w:sz="0" w:space="0" w:color="auto"/>
      </w:divBdr>
    </w:div>
    <w:div w:id="99685075">
      <w:bodyDiv w:val="1"/>
      <w:marLeft w:val="0"/>
      <w:marRight w:val="0"/>
      <w:marTop w:val="0"/>
      <w:marBottom w:val="0"/>
      <w:divBdr>
        <w:top w:val="none" w:sz="0" w:space="0" w:color="auto"/>
        <w:left w:val="none" w:sz="0" w:space="0" w:color="auto"/>
        <w:bottom w:val="none" w:sz="0" w:space="0" w:color="auto"/>
        <w:right w:val="none" w:sz="0" w:space="0" w:color="auto"/>
      </w:divBdr>
    </w:div>
    <w:div w:id="105541685">
      <w:bodyDiv w:val="1"/>
      <w:marLeft w:val="0"/>
      <w:marRight w:val="0"/>
      <w:marTop w:val="0"/>
      <w:marBottom w:val="0"/>
      <w:divBdr>
        <w:top w:val="none" w:sz="0" w:space="0" w:color="auto"/>
        <w:left w:val="none" w:sz="0" w:space="0" w:color="auto"/>
        <w:bottom w:val="none" w:sz="0" w:space="0" w:color="auto"/>
        <w:right w:val="none" w:sz="0" w:space="0" w:color="auto"/>
      </w:divBdr>
    </w:div>
    <w:div w:id="108941777">
      <w:bodyDiv w:val="1"/>
      <w:marLeft w:val="0"/>
      <w:marRight w:val="0"/>
      <w:marTop w:val="0"/>
      <w:marBottom w:val="0"/>
      <w:divBdr>
        <w:top w:val="none" w:sz="0" w:space="0" w:color="auto"/>
        <w:left w:val="none" w:sz="0" w:space="0" w:color="auto"/>
        <w:bottom w:val="none" w:sz="0" w:space="0" w:color="auto"/>
        <w:right w:val="none" w:sz="0" w:space="0" w:color="auto"/>
      </w:divBdr>
    </w:div>
    <w:div w:id="112403383">
      <w:bodyDiv w:val="1"/>
      <w:marLeft w:val="0"/>
      <w:marRight w:val="0"/>
      <w:marTop w:val="0"/>
      <w:marBottom w:val="0"/>
      <w:divBdr>
        <w:top w:val="none" w:sz="0" w:space="0" w:color="auto"/>
        <w:left w:val="none" w:sz="0" w:space="0" w:color="auto"/>
        <w:bottom w:val="none" w:sz="0" w:space="0" w:color="auto"/>
        <w:right w:val="none" w:sz="0" w:space="0" w:color="auto"/>
      </w:divBdr>
    </w:div>
    <w:div w:id="113838896">
      <w:bodyDiv w:val="1"/>
      <w:marLeft w:val="0"/>
      <w:marRight w:val="0"/>
      <w:marTop w:val="0"/>
      <w:marBottom w:val="0"/>
      <w:divBdr>
        <w:top w:val="none" w:sz="0" w:space="0" w:color="auto"/>
        <w:left w:val="none" w:sz="0" w:space="0" w:color="auto"/>
        <w:bottom w:val="none" w:sz="0" w:space="0" w:color="auto"/>
        <w:right w:val="none" w:sz="0" w:space="0" w:color="auto"/>
      </w:divBdr>
    </w:div>
    <w:div w:id="122500860">
      <w:bodyDiv w:val="1"/>
      <w:marLeft w:val="0"/>
      <w:marRight w:val="0"/>
      <w:marTop w:val="0"/>
      <w:marBottom w:val="0"/>
      <w:divBdr>
        <w:top w:val="none" w:sz="0" w:space="0" w:color="auto"/>
        <w:left w:val="none" w:sz="0" w:space="0" w:color="auto"/>
        <w:bottom w:val="none" w:sz="0" w:space="0" w:color="auto"/>
        <w:right w:val="none" w:sz="0" w:space="0" w:color="auto"/>
      </w:divBdr>
    </w:div>
    <w:div w:id="129639535">
      <w:bodyDiv w:val="1"/>
      <w:marLeft w:val="0"/>
      <w:marRight w:val="0"/>
      <w:marTop w:val="0"/>
      <w:marBottom w:val="0"/>
      <w:divBdr>
        <w:top w:val="none" w:sz="0" w:space="0" w:color="auto"/>
        <w:left w:val="none" w:sz="0" w:space="0" w:color="auto"/>
        <w:bottom w:val="none" w:sz="0" w:space="0" w:color="auto"/>
        <w:right w:val="none" w:sz="0" w:space="0" w:color="auto"/>
      </w:divBdr>
    </w:div>
    <w:div w:id="135996573">
      <w:bodyDiv w:val="1"/>
      <w:marLeft w:val="0"/>
      <w:marRight w:val="0"/>
      <w:marTop w:val="0"/>
      <w:marBottom w:val="0"/>
      <w:divBdr>
        <w:top w:val="none" w:sz="0" w:space="0" w:color="auto"/>
        <w:left w:val="none" w:sz="0" w:space="0" w:color="auto"/>
        <w:bottom w:val="none" w:sz="0" w:space="0" w:color="auto"/>
        <w:right w:val="none" w:sz="0" w:space="0" w:color="auto"/>
      </w:divBdr>
    </w:div>
    <w:div w:id="141771671">
      <w:bodyDiv w:val="1"/>
      <w:marLeft w:val="0"/>
      <w:marRight w:val="0"/>
      <w:marTop w:val="0"/>
      <w:marBottom w:val="0"/>
      <w:divBdr>
        <w:top w:val="none" w:sz="0" w:space="0" w:color="auto"/>
        <w:left w:val="none" w:sz="0" w:space="0" w:color="auto"/>
        <w:bottom w:val="none" w:sz="0" w:space="0" w:color="auto"/>
        <w:right w:val="none" w:sz="0" w:space="0" w:color="auto"/>
      </w:divBdr>
    </w:div>
    <w:div w:id="149903155">
      <w:bodyDiv w:val="1"/>
      <w:marLeft w:val="0"/>
      <w:marRight w:val="0"/>
      <w:marTop w:val="0"/>
      <w:marBottom w:val="0"/>
      <w:divBdr>
        <w:top w:val="none" w:sz="0" w:space="0" w:color="auto"/>
        <w:left w:val="none" w:sz="0" w:space="0" w:color="auto"/>
        <w:bottom w:val="none" w:sz="0" w:space="0" w:color="auto"/>
        <w:right w:val="none" w:sz="0" w:space="0" w:color="auto"/>
      </w:divBdr>
    </w:div>
    <w:div w:id="154224359">
      <w:bodyDiv w:val="1"/>
      <w:marLeft w:val="0"/>
      <w:marRight w:val="0"/>
      <w:marTop w:val="0"/>
      <w:marBottom w:val="0"/>
      <w:divBdr>
        <w:top w:val="none" w:sz="0" w:space="0" w:color="auto"/>
        <w:left w:val="none" w:sz="0" w:space="0" w:color="auto"/>
        <w:bottom w:val="none" w:sz="0" w:space="0" w:color="auto"/>
        <w:right w:val="none" w:sz="0" w:space="0" w:color="auto"/>
      </w:divBdr>
    </w:div>
    <w:div w:id="157888278">
      <w:bodyDiv w:val="1"/>
      <w:marLeft w:val="0"/>
      <w:marRight w:val="0"/>
      <w:marTop w:val="0"/>
      <w:marBottom w:val="0"/>
      <w:divBdr>
        <w:top w:val="none" w:sz="0" w:space="0" w:color="auto"/>
        <w:left w:val="none" w:sz="0" w:space="0" w:color="auto"/>
        <w:bottom w:val="none" w:sz="0" w:space="0" w:color="auto"/>
        <w:right w:val="none" w:sz="0" w:space="0" w:color="auto"/>
      </w:divBdr>
    </w:div>
    <w:div w:id="161699344">
      <w:bodyDiv w:val="1"/>
      <w:marLeft w:val="0"/>
      <w:marRight w:val="0"/>
      <w:marTop w:val="0"/>
      <w:marBottom w:val="0"/>
      <w:divBdr>
        <w:top w:val="none" w:sz="0" w:space="0" w:color="auto"/>
        <w:left w:val="none" w:sz="0" w:space="0" w:color="auto"/>
        <w:bottom w:val="none" w:sz="0" w:space="0" w:color="auto"/>
        <w:right w:val="none" w:sz="0" w:space="0" w:color="auto"/>
      </w:divBdr>
    </w:div>
    <w:div w:id="166871142">
      <w:bodyDiv w:val="1"/>
      <w:marLeft w:val="0"/>
      <w:marRight w:val="0"/>
      <w:marTop w:val="0"/>
      <w:marBottom w:val="0"/>
      <w:divBdr>
        <w:top w:val="none" w:sz="0" w:space="0" w:color="auto"/>
        <w:left w:val="none" w:sz="0" w:space="0" w:color="auto"/>
        <w:bottom w:val="none" w:sz="0" w:space="0" w:color="auto"/>
        <w:right w:val="none" w:sz="0" w:space="0" w:color="auto"/>
      </w:divBdr>
    </w:div>
    <w:div w:id="169028541">
      <w:bodyDiv w:val="1"/>
      <w:marLeft w:val="0"/>
      <w:marRight w:val="0"/>
      <w:marTop w:val="0"/>
      <w:marBottom w:val="0"/>
      <w:divBdr>
        <w:top w:val="none" w:sz="0" w:space="0" w:color="auto"/>
        <w:left w:val="none" w:sz="0" w:space="0" w:color="auto"/>
        <w:bottom w:val="none" w:sz="0" w:space="0" w:color="auto"/>
        <w:right w:val="none" w:sz="0" w:space="0" w:color="auto"/>
      </w:divBdr>
    </w:div>
    <w:div w:id="171993392">
      <w:bodyDiv w:val="1"/>
      <w:marLeft w:val="0"/>
      <w:marRight w:val="0"/>
      <w:marTop w:val="0"/>
      <w:marBottom w:val="0"/>
      <w:divBdr>
        <w:top w:val="none" w:sz="0" w:space="0" w:color="auto"/>
        <w:left w:val="none" w:sz="0" w:space="0" w:color="auto"/>
        <w:bottom w:val="none" w:sz="0" w:space="0" w:color="auto"/>
        <w:right w:val="none" w:sz="0" w:space="0" w:color="auto"/>
      </w:divBdr>
    </w:div>
    <w:div w:id="178393508">
      <w:bodyDiv w:val="1"/>
      <w:marLeft w:val="0"/>
      <w:marRight w:val="0"/>
      <w:marTop w:val="0"/>
      <w:marBottom w:val="0"/>
      <w:divBdr>
        <w:top w:val="none" w:sz="0" w:space="0" w:color="auto"/>
        <w:left w:val="none" w:sz="0" w:space="0" w:color="auto"/>
        <w:bottom w:val="none" w:sz="0" w:space="0" w:color="auto"/>
        <w:right w:val="none" w:sz="0" w:space="0" w:color="auto"/>
      </w:divBdr>
    </w:div>
    <w:div w:id="178666303">
      <w:bodyDiv w:val="1"/>
      <w:marLeft w:val="0"/>
      <w:marRight w:val="0"/>
      <w:marTop w:val="0"/>
      <w:marBottom w:val="0"/>
      <w:divBdr>
        <w:top w:val="none" w:sz="0" w:space="0" w:color="auto"/>
        <w:left w:val="none" w:sz="0" w:space="0" w:color="auto"/>
        <w:bottom w:val="none" w:sz="0" w:space="0" w:color="auto"/>
        <w:right w:val="none" w:sz="0" w:space="0" w:color="auto"/>
      </w:divBdr>
    </w:div>
    <w:div w:id="186990834">
      <w:bodyDiv w:val="1"/>
      <w:marLeft w:val="0"/>
      <w:marRight w:val="0"/>
      <w:marTop w:val="0"/>
      <w:marBottom w:val="0"/>
      <w:divBdr>
        <w:top w:val="none" w:sz="0" w:space="0" w:color="auto"/>
        <w:left w:val="none" w:sz="0" w:space="0" w:color="auto"/>
        <w:bottom w:val="none" w:sz="0" w:space="0" w:color="auto"/>
        <w:right w:val="none" w:sz="0" w:space="0" w:color="auto"/>
      </w:divBdr>
    </w:div>
    <w:div w:id="212350891">
      <w:bodyDiv w:val="1"/>
      <w:marLeft w:val="0"/>
      <w:marRight w:val="0"/>
      <w:marTop w:val="0"/>
      <w:marBottom w:val="0"/>
      <w:divBdr>
        <w:top w:val="none" w:sz="0" w:space="0" w:color="auto"/>
        <w:left w:val="none" w:sz="0" w:space="0" w:color="auto"/>
        <w:bottom w:val="none" w:sz="0" w:space="0" w:color="auto"/>
        <w:right w:val="none" w:sz="0" w:space="0" w:color="auto"/>
      </w:divBdr>
    </w:div>
    <w:div w:id="222524526">
      <w:bodyDiv w:val="1"/>
      <w:marLeft w:val="0"/>
      <w:marRight w:val="0"/>
      <w:marTop w:val="0"/>
      <w:marBottom w:val="0"/>
      <w:divBdr>
        <w:top w:val="none" w:sz="0" w:space="0" w:color="auto"/>
        <w:left w:val="none" w:sz="0" w:space="0" w:color="auto"/>
        <w:bottom w:val="none" w:sz="0" w:space="0" w:color="auto"/>
        <w:right w:val="none" w:sz="0" w:space="0" w:color="auto"/>
      </w:divBdr>
    </w:div>
    <w:div w:id="224412218">
      <w:bodyDiv w:val="1"/>
      <w:marLeft w:val="0"/>
      <w:marRight w:val="0"/>
      <w:marTop w:val="0"/>
      <w:marBottom w:val="0"/>
      <w:divBdr>
        <w:top w:val="none" w:sz="0" w:space="0" w:color="auto"/>
        <w:left w:val="none" w:sz="0" w:space="0" w:color="auto"/>
        <w:bottom w:val="none" w:sz="0" w:space="0" w:color="auto"/>
        <w:right w:val="none" w:sz="0" w:space="0" w:color="auto"/>
      </w:divBdr>
    </w:div>
    <w:div w:id="239294137">
      <w:bodyDiv w:val="1"/>
      <w:marLeft w:val="0"/>
      <w:marRight w:val="0"/>
      <w:marTop w:val="0"/>
      <w:marBottom w:val="0"/>
      <w:divBdr>
        <w:top w:val="none" w:sz="0" w:space="0" w:color="auto"/>
        <w:left w:val="none" w:sz="0" w:space="0" w:color="auto"/>
        <w:bottom w:val="none" w:sz="0" w:space="0" w:color="auto"/>
        <w:right w:val="none" w:sz="0" w:space="0" w:color="auto"/>
      </w:divBdr>
    </w:div>
    <w:div w:id="249386293">
      <w:bodyDiv w:val="1"/>
      <w:marLeft w:val="0"/>
      <w:marRight w:val="0"/>
      <w:marTop w:val="0"/>
      <w:marBottom w:val="0"/>
      <w:divBdr>
        <w:top w:val="none" w:sz="0" w:space="0" w:color="auto"/>
        <w:left w:val="none" w:sz="0" w:space="0" w:color="auto"/>
        <w:bottom w:val="none" w:sz="0" w:space="0" w:color="auto"/>
        <w:right w:val="none" w:sz="0" w:space="0" w:color="auto"/>
      </w:divBdr>
    </w:div>
    <w:div w:id="249967289">
      <w:bodyDiv w:val="1"/>
      <w:marLeft w:val="0"/>
      <w:marRight w:val="0"/>
      <w:marTop w:val="0"/>
      <w:marBottom w:val="0"/>
      <w:divBdr>
        <w:top w:val="none" w:sz="0" w:space="0" w:color="auto"/>
        <w:left w:val="none" w:sz="0" w:space="0" w:color="auto"/>
        <w:bottom w:val="none" w:sz="0" w:space="0" w:color="auto"/>
        <w:right w:val="none" w:sz="0" w:space="0" w:color="auto"/>
      </w:divBdr>
    </w:div>
    <w:div w:id="250890043">
      <w:bodyDiv w:val="1"/>
      <w:marLeft w:val="0"/>
      <w:marRight w:val="0"/>
      <w:marTop w:val="0"/>
      <w:marBottom w:val="0"/>
      <w:divBdr>
        <w:top w:val="none" w:sz="0" w:space="0" w:color="auto"/>
        <w:left w:val="none" w:sz="0" w:space="0" w:color="auto"/>
        <w:bottom w:val="none" w:sz="0" w:space="0" w:color="auto"/>
        <w:right w:val="none" w:sz="0" w:space="0" w:color="auto"/>
      </w:divBdr>
    </w:div>
    <w:div w:id="254443225">
      <w:bodyDiv w:val="1"/>
      <w:marLeft w:val="0"/>
      <w:marRight w:val="0"/>
      <w:marTop w:val="0"/>
      <w:marBottom w:val="0"/>
      <w:divBdr>
        <w:top w:val="none" w:sz="0" w:space="0" w:color="auto"/>
        <w:left w:val="none" w:sz="0" w:space="0" w:color="auto"/>
        <w:bottom w:val="none" w:sz="0" w:space="0" w:color="auto"/>
        <w:right w:val="none" w:sz="0" w:space="0" w:color="auto"/>
      </w:divBdr>
    </w:div>
    <w:div w:id="261115181">
      <w:bodyDiv w:val="1"/>
      <w:marLeft w:val="0"/>
      <w:marRight w:val="0"/>
      <w:marTop w:val="0"/>
      <w:marBottom w:val="0"/>
      <w:divBdr>
        <w:top w:val="none" w:sz="0" w:space="0" w:color="auto"/>
        <w:left w:val="none" w:sz="0" w:space="0" w:color="auto"/>
        <w:bottom w:val="none" w:sz="0" w:space="0" w:color="auto"/>
        <w:right w:val="none" w:sz="0" w:space="0" w:color="auto"/>
      </w:divBdr>
    </w:div>
    <w:div w:id="268120343">
      <w:bodyDiv w:val="1"/>
      <w:marLeft w:val="0"/>
      <w:marRight w:val="0"/>
      <w:marTop w:val="0"/>
      <w:marBottom w:val="0"/>
      <w:divBdr>
        <w:top w:val="none" w:sz="0" w:space="0" w:color="auto"/>
        <w:left w:val="none" w:sz="0" w:space="0" w:color="auto"/>
        <w:bottom w:val="none" w:sz="0" w:space="0" w:color="auto"/>
        <w:right w:val="none" w:sz="0" w:space="0" w:color="auto"/>
      </w:divBdr>
    </w:div>
    <w:div w:id="270628695">
      <w:bodyDiv w:val="1"/>
      <w:marLeft w:val="0"/>
      <w:marRight w:val="0"/>
      <w:marTop w:val="0"/>
      <w:marBottom w:val="0"/>
      <w:divBdr>
        <w:top w:val="none" w:sz="0" w:space="0" w:color="auto"/>
        <w:left w:val="none" w:sz="0" w:space="0" w:color="auto"/>
        <w:bottom w:val="none" w:sz="0" w:space="0" w:color="auto"/>
        <w:right w:val="none" w:sz="0" w:space="0" w:color="auto"/>
      </w:divBdr>
    </w:div>
    <w:div w:id="276261744">
      <w:bodyDiv w:val="1"/>
      <w:marLeft w:val="0"/>
      <w:marRight w:val="0"/>
      <w:marTop w:val="0"/>
      <w:marBottom w:val="0"/>
      <w:divBdr>
        <w:top w:val="none" w:sz="0" w:space="0" w:color="auto"/>
        <w:left w:val="none" w:sz="0" w:space="0" w:color="auto"/>
        <w:bottom w:val="none" w:sz="0" w:space="0" w:color="auto"/>
        <w:right w:val="none" w:sz="0" w:space="0" w:color="auto"/>
      </w:divBdr>
    </w:div>
    <w:div w:id="289286637">
      <w:bodyDiv w:val="1"/>
      <w:marLeft w:val="0"/>
      <w:marRight w:val="0"/>
      <w:marTop w:val="0"/>
      <w:marBottom w:val="0"/>
      <w:divBdr>
        <w:top w:val="none" w:sz="0" w:space="0" w:color="auto"/>
        <w:left w:val="none" w:sz="0" w:space="0" w:color="auto"/>
        <w:bottom w:val="none" w:sz="0" w:space="0" w:color="auto"/>
        <w:right w:val="none" w:sz="0" w:space="0" w:color="auto"/>
      </w:divBdr>
    </w:div>
    <w:div w:id="299845697">
      <w:bodyDiv w:val="1"/>
      <w:marLeft w:val="0"/>
      <w:marRight w:val="0"/>
      <w:marTop w:val="0"/>
      <w:marBottom w:val="0"/>
      <w:divBdr>
        <w:top w:val="none" w:sz="0" w:space="0" w:color="auto"/>
        <w:left w:val="none" w:sz="0" w:space="0" w:color="auto"/>
        <w:bottom w:val="none" w:sz="0" w:space="0" w:color="auto"/>
        <w:right w:val="none" w:sz="0" w:space="0" w:color="auto"/>
      </w:divBdr>
    </w:div>
    <w:div w:id="306978781">
      <w:bodyDiv w:val="1"/>
      <w:marLeft w:val="0"/>
      <w:marRight w:val="0"/>
      <w:marTop w:val="0"/>
      <w:marBottom w:val="0"/>
      <w:divBdr>
        <w:top w:val="none" w:sz="0" w:space="0" w:color="auto"/>
        <w:left w:val="none" w:sz="0" w:space="0" w:color="auto"/>
        <w:bottom w:val="none" w:sz="0" w:space="0" w:color="auto"/>
        <w:right w:val="none" w:sz="0" w:space="0" w:color="auto"/>
      </w:divBdr>
    </w:div>
    <w:div w:id="309873781">
      <w:bodyDiv w:val="1"/>
      <w:marLeft w:val="0"/>
      <w:marRight w:val="0"/>
      <w:marTop w:val="0"/>
      <w:marBottom w:val="0"/>
      <w:divBdr>
        <w:top w:val="none" w:sz="0" w:space="0" w:color="auto"/>
        <w:left w:val="none" w:sz="0" w:space="0" w:color="auto"/>
        <w:bottom w:val="none" w:sz="0" w:space="0" w:color="auto"/>
        <w:right w:val="none" w:sz="0" w:space="0" w:color="auto"/>
      </w:divBdr>
    </w:div>
    <w:div w:id="313801063">
      <w:bodyDiv w:val="1"/>
      <w:marLeft w:val="0"/>
      <w:marRight w:val="0"/>
      <w:marTop w:val="0"/>
      <w:marBottom w:val="0"/>
      <w:divBdr>
        <w:top w:val="none" w:sz="0" w:space="0" w:color="auto"/>
        <w:left w:val="none" w:sz="0" w:space="0" w:color="auto"/>
        <w:bottom w:val="none" w:sz="0" w:space="0" w:color="auto"/>
        <w:right w:val="none" w:sz="0" w:space="0" w:color="auto"/>
      </w:divBdr>
    </w:div>
    <w:div w:id="325059076">
      <w:bodyDiv w:val="1"/>
      <w:marLeft w:val="0"/>
      <w:marRight w:val="0"/>
      <w:marTop w:val="0"/>
      <w:marBottom w:val="0"/>
      <w:divBdr>
        <w:top w:val="none" w:sz="0" w:space="0" w:color="auto"/>
        <w:left w:val="none" w:sz="0" w:space="0" w:color="auto"/>
        <w:bottom w:val="none" w:sz="0" w:space="0" w:color="auto"/>
        <w:right w:val="none" w:sz="0" w:space="0" w:color="auto"/>
      </w:divBdr>
    </w:div>
    <w:div w:id="337275357">
      <w:bodyDiv w:val="1"/>
      <w:marLeft w:val="0"/>
      <w:marRight w:val="0"/>
      <w:marTop w:val="0"/>
      <w:marBottom w:val="0"/>
      <w:divBdr>
        <w:top w:val="none" w:sz="0" w:space="0" w:color="auto"/>
        <w:left w:val="none" w:sz="0" w:space="0" w:color="auto"/>
        <w:bottom w:val="none" w:sz="0" w:space="0" w:color="auto"/>
        <w:right w:val="none" w:sz="0" w:space="0" w:color="auto"/>
      </w:divBdr>
    </w:div>
    <w:div w:id="410397353">
      <w:bodyDiv w:val="1"/>
      <w:marLeft w:val="0"/>
      <w:marRight w:val="0"/>
      <w:marTop w:val="0"/>
      <w:marBottom w:val="0"/>
      <w:divBdr>
        <w:top w:val="none" w:sz="0" w:space="0" w:color="auto"/>
        <w:left w:val="none" w:sz="0" w:space="0" w:color="auto"/>
        <w:bottom w:val="none" w:sz="0" w:space="0" w:color="auto"/>
        <w:right w:val="none" w:sz="0" w:space="0" w:color="auto"/>
      </w:divBdr>
    </w:div>
    <w:div w:id="431899174">
      <w:bodyDiv w:val="1"/>
      <w:marLeft w:val="0"/>
      <w:marRight w:val="0"/>
      <w:marTop w:val="0"/>
      <w:marBottom w:val="0"/>
      <w:divBdr>
        <w:top w:val="none" w:sz="0" w:space="0" w:color="auto"/>
        <w:left w:val="none" w:sz="0" w:space="0" w:color="auto"/>
        <w:bottom w:val="none" w:sz="0" w:space="0" w:color="auto"/>
        <w:right w:val="none" w:sz="0" w:space="0" w:color="auto"/>
      </w:divBdr>
    </w:div>
    <w:div w:id="454564059">
      <w:bodyDiv w:val="1"/>
      <w:marLeft w:val="0"/>
      <w:marRight w:val="0"/>
      <w:marTop w:val="0"/>
      <w:marBottom w:val="0"/>
      <w:divBdr>
        <w:top w:val="none" w:sz="0" w:space="0" w:color="auto"/>
        <w:left w:val="none" w:sz="0" w:space="0" w:color="auto"/>
        <w:bottom w:val="none" w:sz="0" w:space="0" w:color="auto"/>
        <w:right w:val="none" w:sz="0" w:space="0" w:color="auto"/>
      </w:divBdr>
      <w:divsChild>
        <w:div w:id="239141964">
          <w:marLeft w:val="0"/>
          <w:marRight w:val="0"/>
          <w:marTop w:val="0"/>
          <w:marBottom w:val="0"/>
          <w:divBdr>
            <w:top w:val="none" w:sz="0" w:space="0" w:color="auto"/>
            <w:left w:val="none" w:sz="0" w:space="0" w:color="auto"/>
            <w:bottom w:val="none" w:sz="0" w:space="0" w:color="auto"/>
            <w:right w:val="none" w:sz="0" w:space="0" w:color="auto"/>
          </w:divBdr>
        </w:div>
        <w:div w:id="903566978">
          <w:marLeft w:val="0"/>
          <w:marRight w:val="0"/>
          <w:marTop w:val="0"/>
          <w:marBottom w:val="0"/>
          <w:divBdr>
            <w:top w:val="none" w:sz="0" w:space="0" w:color="auto"/>
            <w:left w:val="none" w:sz="0" w:space="0" w:color="auto"/>
            <w:bottom w:val="none" w:sz="0" w:space="0" w:color="auto"/>
            <w:right w:val="none" w:sz="0" w:space="0" w:color="auto"/>
          </w:divBdr>
        </w:div>
        <w:div w:id="1003581956">
          <w:marLeft w:val="0"/>
          <w:marRight w:val="0"/>
          <w:marTop w:val="0"/>
          <w:marBottom w:val="0"/>
          <w:divBdr>
            <w:top w:val="none" w:sz="0" w:space="0" w:color="auto"/>
            <w:left w:val="none" w:sz="0" w:space="0" w:color="auto"/>
            <w:bottom w:val="none" w:sz="0" w:space="0" w:color="auto"/>
            <w:right w:val="none" w:sz="0" w:space="0" w:color="auto"/>
          </w:divBdr>
        </w:div>
        <w:div w:id="1061950853">
          <w:marLeft w:val="0"/>
          <w:marRight w:val="0"/>
          <w:marTop w:val="0"/>
          <w:marBottom w:val="0"/>
          <w:divBdr>
            <w:top w:val="none" w:sz="0" w:space="0" w:color="auto"/>
            <w:left w:val="none" w:sz="0" w:space="0" w:color="auto"/>
            <w:bottom w:val="none" w:sz="0" w:space="0" w:color="auto"/>
            <w:right w:val="none" w:sz="0" w:space="0" w:color="auto"/>
          </w:divBdr>
        </w:div>
        <w:div w:id="1364744978">
          <w:marLeft w:val="0"/>
          <w:marRight w:val="0"/>
          <w:marTop w:val="0"/>
          <w:marBottom w:val="0"/>
          <w:divBdr>
            <w:top w:val="none" w:sz="0" w:space="0" w:color="auto"/>
            <w:left w:val="none" w:sz="0" w:space="0" w:color="auto"/>
            <w:bottom w:val="none" w:sz="0" w:space="0" w:color="auto"/>
            <w:right w:val="none" w:sz="0" w:space="0" w:color="auto"/>
          </w:divBdr>
        </w:div>
        <w:div w:id="1397893756">
          <w:marLeft w:val="0"/>
          <w:marRight w:val="0"/>
          <w:marTop w:val="0"/>
          <w:marBottom w:val="0"/>
          <w:divBdr>
            <w:top w:val="none" w:sz="0" w:space="0" w:color="auto"/>
            <w:left w:val="none" w:sz="0" w:space="0" w:color="auto"/>
            <w:bottom w:val="none" w:sz="0" w:space="0" w:color="auto"/>
            <w:right w:val="none" w:sz="0" w:space="0" w:color="auto"/>
          </w:divBdr>
        </w:div>
        <w:div w:id="1442841311">
          <w:marLeft w:val="0"/>
          <w:marRight w:val="0"/>
          <w:marTop w:val="0"/>
          <w:marBottom w:val="0"/>
          <w:divBdr>
            <w:top w:val="none" w:sz="0" w:space="0" w:color="auto"/>
            <w:left w:val="none" w:sz="0" w:space="0" w:color="auto"/>
            <w:bottom w:val="none" w:sz="0" w:space="0" w:color="auto"/>
            <w:right w:val="none" w:sz="0" w:space="0" w:color="auto"/>
          </w:divBdr>
        </w:div>
        <w:div w:id="1562905542">
          <w:marLeft w:val="0"/>
          <w:marRight w:val="0"/>
          <w:marTop w:val="0"/>
          <w:marBottom w:val="0"/>
          <w:divBdr>
            <w:top w:val="none" w:sz="0" w:space="0" w:color="auto"/>
            <w:left w:val="none" w:sz="0" w:space="0" w:color="auto"/>
            <w:bottom w:val="none" w:sz="0" w:space="0" w:color="auto"/>
            <w:right w:val="none" w:sz="0" w:space="0" w:color="auto"/>
          </w:divBdr>
        </w:div>
        <w:div w:id="1599173528">
          <w:marLeft w:val="0"/>
          <w:marRight w:val="0"/>
          <w:marTop w:val="0"/>
          <w:marBottom w:val="0"/>
          <w:divBdr>
            <w:top w:val="none" w:sz="0" w:space="0" w:color="auto"/>
            <w:left w:val="none" w:sz="0" w:space="0" w:color="auto"/>
            <w:bottom w:val="none" w:sz="0" w:space="0" w:color="auto"/>
            <w:right w:val="none" w:sz="0" w:space="0" w:color="auto"/>
          </w:divBdr>
        </w:div>
        <w:div w:id="2088574807">
          <w:marLeft w:val="0"/>
          <w:marRight w:val="0"/>
          <w:marTop w:val="0"/>
          <w:marBottom w:val="0"/>
          <w:divBdr>
            <w:top w:val="none" w:sz="0" w:space="0" w:color="auto"/>
            <w:left w:val="none" w:sz="0" w:space="0" w:color="auto"/>
            <w:bottom w:val="none" w:sz="0" w:space="0" w:color="auto"/>
            <w:right w:val="none" w:sz="0" w:space="0" w:color="auto"/>
          </w:divBdr>
        </w:div>
      </w:divsChild>
    </w:div>
    <w:div w:id="458425874">
      <w:bodyDiv w:val="1"/>
      <w:marLeft w:val="0"/>
      <w:marRight w:val="0"/>
      <w:marTop w:val="0"/>
      <w:marBottom w:val="0"/>
      <w:divBdr>
        <w:top w:val="none" w:sz="0" w:space="0" w:color="auto"/>
        <w:left w:val="none" w:sz="0" w:space="0" w:color="auto"/>
        <w:bottom w:val="none" w:sz="0" w:space="0" w:color="auto"/>
        <w:right w:val="none" w:sz="0" w:space="0" w:color="auto"/>
      </w:divBdr>
    </w:div>
    <w:div w:id="465706008">
      <w:bodyDiv w:val="1"/>
      <w:marLeft w:val="0"/>
      <w:marRight w:val="0"/>
      <w:marTop w:val="0"/>
      <w:marBottom w:val="0"/>
      <w:divBdr>
        <w:top w:val="none" w:sz="0" w:space="0" w:color="auto"/>
        <w:left w:val="none" w:sz="0" w:space="0" w:color="auto"/>
        <w:bottom w:val="none" w:sz="0" w:space="0" w:color="auto"/>
        <w:right w:val="none" w:sz="0" w:space="0" w:color="auto"/>
      </w:divBdr>
    </w:div>
    <w:div w:id="467479889">
      <w:bodyDiv w:val="1"/>
      <w:marLeft w:val="0"/>
      <w:marRight w:val="0"/>
      <w:marTop w:val="0"/>
      <w:marBottom w:val="0"/>
      <w:divBdr>
        <w:top w:val="none" w:sz="0" w:space="0" w:color="auto"/>
        <w:left w:val="none" w:sz="0" w:space="0" w:color="auto"/>
        <w:bottom w:val="none" w:sz="0" w:space="0" w:color="auto"/>
        <w:right w:val="none" w:sz="0" w:space="0" w:color="auto"/>
      </w:divBdr>
    </w:div>
    <w:div w:id="471798322">
      <w:bodyDiv w:val="1"/>
      <w:marLeft w:val="0"/>
      <w:marRight w:val="0"/>
      <w:marTop w:val="0"/>
      <w:marBottom w:val="0"/>
      <w:divBdr>
        <w:top w:val="none" w:sz="0" w:space="0" w:color="auto"/>
        <w:left w:val="none" w:sz="0" w:space="0" w:color="auto"/>
        <w:bottom w:val="none" w:sz="0" w:space="0" w:color="auto"/>
        <w:right w:val="none" w:sz="0" w:space="0" w:color="auto"/>
      </w:divBdr>
    </w:div>
    <w:div w:id="475223170">
      <w:bodyDiv w:val="1"/>
      <w:marLeft w:val="0"/>
      <w:marRight w:val="0"/>
      <w:marTop w:val="0"/>
      <w:marBottom w:val="0"/>
      <w:divBdr>
        <w:top w:val="none" w:sz="0" w:space="0" w:color="auto"/>
        <w:left w:val="none" w:sz="0" w:space="0" w:color="auto"/>
        <w:bottom w:val="none" w:sz="0" w:space="0" w:color="auto"/>
        <w:right w:val="none" w:sz="0" w:space="0" w:color="auto"/>
      </w:divBdr>
    </w:div>
    <w:div w:id="481385309">
      <w:bodyDiv w:val="1"/>
      <w:marLeft w:val="0"/>
      <w:marRight w:val="0"/>
      <w:marTop w:val="0"/>
      <w:marBottom w:val="0"/>
      <w:divBdr>
        <w:top w:val="none" w:sz="0" w:space="0" w:color="auto"/>
        <w:left w:val="none" w:sz="0" w:space="0" w:color="auto"/>
        <w:bottom w:val="none" w:sz="0" w:space="0" w:color="auto"/>
        <w:right w:val="none" w:sz="0" w:space="0" w:color="auto"/>
      </w:divBdr>
    </w:div>
    <w:div w:id="489954104">
      <w:bodyDiv w:val="1"/>
      <w:marLeft w:val="0"/>
      <w:marRight w:val="0"/>
      <w:marTop w:val="0"/>
      <w:marBottom w:val="0"/>
      <w:divBdr>
        <w:top w:val="none" w:sz="0" w:space="0" w:color="auto"/>
        <w:left w:val="none" w:sz="0" w:space="0" w:color="auto"/>
        <w:bottom w:val="none" w:sz="0" w:space="0" w:color="auto"/>
        <w:right w:val="none" w:sz="0" w:space="0" w:color="auto"/>
      </w:divBdr>
    </w:div>
    <w:div w:id="497423651">
      <w:bodyDiv w:val="1"/>
      <w:marLeft w:val="0"/>
      <w:marRight w:val="0"/>
      <w:marTop w:val="0"/>
      <w:marBottom w:val="0"/>
      <w:divBdr>
        <w:top w:val="none" w:sz="0" w:space="0" w:color="auto"/>
        <w:left w:val="none" w:sz="0" w:space="0" w:color="auto"/>
        <w:bottom w:val="none" w:sz="0" w:space="0" w:color="auto"/>
        <w:right w:val="none" w:sz="0" w:space="0" w:color="auto"/>
      </w:divBdr>
    </w:div>
    <w:div w:id="499738517">
      <w:bodyDiv w:val="1"/>
      <w:marLeft w:val="0"/>
      <w:marRight w:val="0"/>
      <w:marTop w:val="0"/>
      <w:marBottom w:val="0"/>
      <w:divBdr>
        <w:top w:val="none" w:sz="0" w:space="0" w:color="auto"/>
        <w:left w:val="none" w:sz="0" w:space="0" w:color="auto"/>
        <w:bottom w:val="none" w:sz="0" w:space="0" w:color="auto"/>
        <w:right w:val="none" w:sz="0" w:space="0" w:color="auto"/>
      </w:divBdr>
    </w:div>
    <w:div w:id="502745526">
      <w:bodyDiv w:val="1"/>
      <w:marLeft w:val="0"/>
      <w:marRight w:val="0"/>
      <w:marTop w:val="0"/>
      <w:marBottom w:val="0"/>
      <w:divBdr>
        <w:top w:val="none" w:sz="0" w:space="0" w:color="auto"/>
        <w:left w:val="none" w:sz="0" w:space="0" w:color="auto"/>
        <w:bottom w:val="none" w:sz="0" w:space="0" w:color="auto"/>
        <w:right w:val="none" w:sz="0" w:space="0" w:color="auto"/>
      </w:divBdr>
    </w:div>
    <w:div w:id="554974373">
      <w:bodyDiv w:val="1"/>
      <w:marLeft w:val="0"/>
      <w:marRight w:val="0"/>
      <w:marTop w:val="0"/>
      <w:marBottom w:val="0"/>
      <w:divBdr>
        <w:top w:val="none" w:sz="0" w:space="0" w:color="auto"/>
        <w:left w:val="none" w:sz="0" w:space="0" w:color="auto"/>
        <w:bottom w:val="none" w:sz="0" w:space="0" w:color="auto"/>
        <w:right w:val="none" w:sz="0" w:space="0" w:color="auto"/>
      </w:divBdr>
    </w:div>
    <w:div w:id="561450839">
      <w:bodyDiv w:val="1"/>
      <w:marLeft w:val="0"/>
      <w:marRight w:val="0"/>
      <w:marTop w:val="0"/>
      <w:marBottom w:val="0"/>
      <w:divBdr>
        <w:top w:val="none" w:sz="0" w:space="0" w:color="auto"/>
        <w:left w:val="none" w:sz="0" w:space="0" w:color="auto"/>
        <w:bottom w:val="none" w:sz="0" w:space="0" w:color="auto"/>
        <w:right w:val="none" w:sz="0" w:space="0" w:color="auto"/>
      </w:divBdr>
    </w:div>
    <w:div w:id="573053012">
      <w:bodyDiv w:val="1"/>
      <w:marLeft w:val="0"/>
      <w:marRight w:val="0"/>
      <w:marTop w:val="0"/>
      <w:marBottom w:val="0"/>
      <w:divBdr>
        <w:top w:val="none" w:sz="0" w:space="0" w:color="auto"/>
        <w:left w:val="none" w:sz="0" w:space="0" w:color="auto"/>
        <w:bottom w:val="none" w:sz="0" w:space="0" w:color="auto"/>
        <w:right w:val="none" w:sz="0" w:space="0" w:color="auto"/>
      </w:divBdr>
    </w:div>
    <w:div w:id="595015828">
      <w:bodyDiv w:val="1"/>
      <w:marLeft w:val="0"/>
      <w:marRight w:val="0"/>
      <w:marTop w:val="0"/>
      <w:marBottom w:val="0"/>
      <w:divBdr>
        <w:top w:val="none" w:sz="0" w:space="0" w:color="auto"/>
        <w:left w:val="none" w:sz="0" w:space="0" w:color="auto"/>
        <w:bottom w:val="none" w:sz="0" w:space="0" w:color="auto"/>
        <w:right w:val="none" w:sz="0" w:space="0" w:color="auto"/>
      </w:divBdr>
    </w:div>
    <w:div w:id="605578583">
      <w:bodyDiv w:val="1"/>
      <w:marLeft w:val="0"/>
      <w:marRight w:val="0"/>
      <w:marTop w:val="0"/>
      <w:marBottom w:val="0"/>
      <w:divBdr>
        <w:top w:val="none" w:sz="0" w:space="0" w:color="auto"/>
        <w:left w:val="none" w:sz="0" w:space="0" w:color="auto"/>
        <w:bottom w:val="none" w:sz="0" w:space="0" w:color="auto"/>
        <w:right w:val="none" w:sz="0" w:space="0" w:color="auto"/>
      </w:divBdr>
    </w:div>
    <w:div w:id="608902442">
      <w:bodyDiv w:val="1"/>
      <w:marLeft w:val="0"/>
      <w:marRight w:val="0"/>
      <w:marTop w:val="0"/>
      <w:marBottom w:val="0"/>
      <w:divBdr>
        <w:top w:val="none" w:sz="0" w:space="0" w:color="auto"/>
        <w:left w:val="none" w:sz="0" w:space="0" w:color="auto"/>
        <w:bottom w:val="none" w:sz="0" w:space="0" w:color="auto"/>
        <w:right w:val="none" w:sz="0" w:space="0" w:color="auto"/>
      </w:divBdr>
    </w:div>
    <w:div w:id="610282032">
      <w:bodyDiv w:val="1"/>
      <w:marLeft w:val="0"/>
      <w:marRight w:val="0"/>
      <w:marTop w:val="0"/>
      <w:marBottom w:val="0"/>
      <w:divBdr>
        <w:top w:val="none" w:sz="0" w:space="0" w:color="auto"/>
        <w:left w:val="none" w:sz="0" w:space="0" w:color="auto"/>
        <w:bottom w:val="none" w:sz="0" w:space="0" w:color="auto"/>
        <w:right w:val="none" w:sz="0" w:space="0" w:color="auto"/>
      </w:divBdr>
    </w:div>
    <w:div w:id="630020234">
      <w:bodyDiv w:val="1"/>
      <w:marLeft w:val="0"/>
      <w:marRight w:val="0"/>
      <w:marTop w:val="0"/>
      <w:marBottom w:val="0"/>
      <w:divBdr>
        <w:top w:val="none" w:sz="0" w:space="0" w:color="auto"/>
        <w:left w:val="none" w:sz="0" w:space="0" w:color="auto"/>
        <w:bottom w:val="none" w:sz="0" w:space="0" w:color="auto"/>
        <w:right w:val="none" w:sz="0" w:space="0" w:color="auto"/>
      </w:divBdr>
    </w:div>
    <w:div w:id="637535332">
      <w:bodyDiv w:val="1"/>
      <w:marLeft w:val="0"/>
      <w:marRight w:val="0"/>
      <w:marTop w:val="0"/>
      <w:marBottom w:val="0"/>
      <w:divBdr>
        <w:top w:val="none" w:sz="0" w:space="0" w:color="auto"/>
        <w:left w:val="none" w:sz="0" w:space="0" w:color="auto"/>
        <w:bottom w:val="none" w:sz="0" w:space="0" w:color="auto"/>
        <w:right w:val="none" w:sz="0" w:space="0" w:color="auto"/>
      </w:divBdr>
    </w:div>
    <w:div w:id="645545779">
      <w:bodyDiv w:val="1"/>
      <w:marLeft w:val="0"/>
      <w:marRight w:val="0"/>
      <w:marTop w:val="0"/>
      <w:marBottom w:val="0"/>
      <w:divBdr>
        <w:top w:val="none" w:sz="0" w:space="0" w:color="auto"/>
        <w:left w:val="none" w:sz="0" w:space="0" w:color="auto"/>
        <w:bottom w:val="none" w:sz="0" w:space="0" w:color="auto"/>
        <w:right w:val="none" w:sz="0" w:space="0" w:color="auto"/>
      </w:divBdr>
    </w:div>
    <w:div w:id="647056780">
      <w:bodyDiv w:val="1"/>
      <w:marLeft w:val="0"/>
      <w:marRight w:val="0"/>
      <w:marTop w:val="0"/>
      <w:marBottom w:val="0"/>
      <w:divBdr>
        <w:top w:val="none" w:sz="0" w:space="0" w:color="auto"/>
        <w:left w:val="none" w:sz="0" w:space="0" w:color="auto"/>
        <w:bottom w:val="none" w:sz="0" w:space="0" w:color="auto"/>
        <w:right w:val="none" w:sz="0" w:space="0" w:color="auto"/>
      </w:divBdr>
    </w:div>
    <w:div w:id="647827960">
      <w:bodyDiv w:val="1"/>
      <w:marLeft w:val="0"/>
      <w:marRight w:val="0"/>
      <w:marTop w:val="0"/>
      <w:marBottom w:val="0"/>
      <w:divBdr>
        <w:top w:val="none" w:sz="0" w:space="0" w:color="auto"/>
        <w:left w:val="none" w:sz="0" w:space="0" w:color="auto"/>
        <w:bottom w:val="none" w:sz="0" w:space="0" w:color="auto"/>
        <w:right w:val="none" w:sz="0" w:space="0" w:color="auto"/>
      </w:divBdr>
    </w:div>
    <w:div w:id="652105933">
      <w:bodyDiv w:val="1"/>
      <w:marLeft w:val="0"/>
      <w:marRight w:val="0"/>
      <w:marTop w:val="0"/>
      <w:marBottom w:val="0"/>
      <w:divBdr>
        <w:top w:val="none" w:sz="0" w:space="0" w:color="auto"/>
        <w:left w:val="none" w:sz="0" w:space="0" w:color="auto"/>
        <w:bottom w:val="none" w:sz="0" w:space="0" w:color="auto"/>
        <w:right w:val="none" w:sz="0" w:space="0" w:color="auto"/>
      </w:divBdr>
    </w:div>
    <w:div w:id="660701150">
      <w:bodyDiv w:val="1"/>
      <w:marLeft w:val="0"/>
      <w:marRight w:val="0"/>
      <w:marTop w:val="0"/>
      <w:marBottom w:val="0"/>
      <w:divBdr>
        <w:top w:val="none" w:sz="0" w:space="0" w:color="auto"/>
        <w:left w:val="none" w:sz="0" w:space="0" w:color="auto"/>
        <w:bottom w:val="none" w:sz="0" w:space="0" w:color="auto"/>
        <w:right w:val="none" w:sz="0" w:space="0" w:color="auto"/>
      </w:divBdr>
    </w:div>
    <w:div w:id="668605158">
      <w:bodyDiv w:val="1"/>
      <w:marLeft w:val="0"/>
      <w:marRight w:val="0"/>
      <w:marTop w:val="0"/>
      <w:marBottom w:val="0"/>
      <w:divBdr>
        <w:top w:val="none" w:sz="0" w:space="0" w:color="auto"/>
        <w:left w:val="none" w:sz="0" w:space="0" w:color="auto"/>
        <w:bottom w:val="none" w:sz="0" w:space="0" w:color="auto"/>
        <w:right w:val="none" w:sz="0" w:space="0" w:color="auto"/>
      </w:divBdr>
    </w:div>
    <w:div w:id="674958178">
      <w:bodyDiv w:val="1"/>
      <w:marLeft w:val="0"/>
      <w:marRight w:val="0"/>
      <w:marTop w:val="0"/>
      <w:marBottom w:val="0"/>
      <w:divBdr>
        <w:top w:val="none" w:sz="0" w:space="0" w:color="auto"/>
        <w:left w:val="none" w:sz="0" w:space="0" w:color="auto"/>
        <w:bottom w:val="none" w:sz="0" w:space="0" w:color="auto"/>
        <w:right w:val="none" w:sz="0" w:space="0" w:color="auto"/>
      </w:divBdr>
    </w:div>
    <w:div w:id="676538861">
      <w:bodyDiv w:val="1"/>
      <w:marLeft w:val="0"/>
      <w:marRight w:val="0"/>
      <w:marTop w:val="0"/>
      <w:marBottom w:val="0"/>
      <w:divBdr>
        <w:top w:val="none" w:sz="0" w:space="0" w:color="auto"/>
        <w:left w:val="none" w:sz="0" w:space="0" w:color="auto"/>
        <w:bottom w:val="none" w:sz="0" w:space="0" w:color="auto"/>
        <w:right w:val="none" w:sz="0" w:space="0" w:color="auto"/>
      </w:divBdr>
    </w:div>
    <w:div w:id="680087583">
      <w:bodyDiv w:val="1"/>
      <w:marLeft w:val="0"/>
      <w:marRight w:val="0"/>
      <w:marTop w:val="0"/>
      <w:marBottom w:val="0"/>
      <w:divBdr>
        <w:top w:val="none" w:sz="0" w:space="0" w:color="auto"/>
        <w:left w:val="none" w:sz="0" w:space="0" w:color="auto"/>
        <w:bottom w:val="none" w:sz="0" w:space="0" w:color="auto"/>
        <w:right w:val="none" w:sz="0" w:space="0" w:color="auto"/>
      </w:divBdr>
    </w:div>
    <w:div w:id="680815567">
      <w:bodyDiv w:val="1"/>
      <w:marLeft w:val="0"/>
      <w:marRight w:val="0"/>
      <w:marTop w:val="0"/>
      <w:marBottom w:val="0"/>
      <w:divBdr>
        <w:top w:val="none" w:sz="0" w:space="0" w:color="auto"/>
        <w:left w:val="none" w:sz="0" w:space="0" w:color="auto"/>
        <w:bottom w:val="none" w:sz="0" w:space="0" w:color="auto"/>
        <w:right w:val="none" w:sz="0" w:space="0" w:color="auto"/>
      </w:divBdr>
    </w:div>
    <w:div w:id="690689888">
      <w:bodyDiv w:val="1"/>
      <w:marLeft w:val="0"/>
      <w:marRight w:val="0"/>
      <w:marTop w:val="0"/>
      <w:marBottom w:val="0"/>
      <w:divBdr>
        <w:top w:val="none" w:sz="0" w:space="0" w:color="auto"/>
        <w:left w:val="none" w:sz="0" w:space="0" w:color="auto"/>
        <w:bottom w:val="none" w:sz="0" w:space="0" w:color="auto"/>
        <w:right w:val="none" w:sz="0" w:space="0" w:color="auto"/>
      </w:divBdr>
    </w:div>
    <w:div w:id="696472263">
      <w:bodyDiv w:val="1"/>
      <w:marLeft w:val="0"/>
      <w:marRight w:val="0"/>
      <w:marTop w:val="0"/>
      <w:marBottom w:val="0"/>
      <w:divBdr>
        <w:top w:val="none" w:sz="0" w:space="0" w:color="auto"/>
        <w:left w:val="none" w:sz="0" w:space="0" w:color="auto"/>
        <w:bottom w:val="none" w:sz="0" w:space="0" w:color="auto"/>
        <w:right w:val="none" w:sz="0" w:space="0" w:color="auto"/>
      </w:divBdr>
    </w:div>
    <w:div w:id="699207185">
      <w:bodyDiv w:val="1"/>
      <w:marLeft w:val="0"/>
      <w:marRight w:val="0"/>
      <w:marTop w:val="0"/>
      <w:marBottom w:val="0"/>
      <w:divBdr>
        <w:top w:val="none" w:sz="0" w:space="0" w:color="auto"/>
        <w:left w:val="none" w:sz="0" w:space="0" w:color="auto"/>
        <w:bottom w:val="none" w:sz="0" w:space="0" w:color="auto"/>
        <w:right w:val="none" w:sz="0" w:space="0" w:color="auto"/>
      </w:divBdr>
    </w:div>
    <w:div w:id="705905402">
      <w:bodyDiv w:val="1"/>
      <w:marLeft w:val="0"/>
      <w:marRight w:val="0"/>
      <w:marTop w:val="0"/>
      <w:marBottom w:val="0"/>
      <w:divBdr>
        <w:top w:val="none" w:sz="0" w:space="0" w:color="auto"/>
        <w:left w:val="none" w:sz="0" w:space="0" w:color="auto"/>
        <w:bottom w:val="none" w:sz="0" w:space="0" w:color="auto"/>
        <w:right w:val="none" w:sz="0" w:space="0" w:color="auto"/>
      </w:divBdr>
    </w:div>
    <w:div w:id="709577141">
      <w:bodyDiv w:val="1"/>
      <w:marLeft w:val="0"/>
      <w:marRight w:val="0"/>
      <w:marTop w:val="0"/>
      <w:marBottom w:val="0"/>
      <w:divBdr>
        <w:top w:val="none" w:sz="0" w:space="0" w:color="auto"/>
        <w:left w:val="none" w:sz="0" w:space="0" w:color="auto"/>
        <w:bottom w:val="none" w:sz="0" w:space="0" w:color="auto"/>
        <w:right w:val="none" w:sz="0" w:space="0" w:color="auto"/>
      </w:divBdr>
    </w:div>
    <w:div w:id="723480239">
      <w:bodyDiv w:val="1"/>
      <w:marLeft w:val="0"/>
      <w:marRight w:val="0"/>
      <w:marTop w:val="0"/>
      <w:marBottom w:val="0"/>
      <w:divBdr>
        <w:top w:val="none" w:sz="0" w:space="0" w:color="auto"/>
        <w:left w:val="none" w:sz="0" w:space="0" w:color="auto"/>
        <w:bottom w:val="none" w:sz="0" w:space="0" w:color="auto"/>
        <w:right w:val="none" w:sz="0" w:space="0" w:color="auto"/>
      </w:divBdr>
    </w:div>
    <w:div w:id="768627361">
      <w:bodyDiv w:val="1"/>
      <w:marLeft w:val="0"/>
      <w:marRight w:val="0"/>
      <w:marTop w:val="0"/>
      <w:marBottom w:val="0"/>
      <w:divBdr>
        <w:top w:val="none" w:sz="0" w:space="0" w:color="auto"/>
        <w:left w:val="none" w:sz="0" w:space="0" w:color="auto"/>
        <w:bottom w:val="none" w:sz="0" w:space="0" w:color="auto"/>
        <w:right w:val="none" w:sz="0" w:space="0" w:color="auto"/>
      </w:divBdr>
    </w:div>
    <w:div w:id="776605657">
      <w:bodyDiv w:val="1"/>
      <w:marLeft w:val="0"/>
      <w:marRight w:val="0"/>
      <w:marTop w:val="0"/>
      <w:marBottom w:val="0"/>
      <w:divBdr>
        <w:top w:val="none" w:sz="0" w:space="0" w:color="auto"/>
        <w:left w:val="none" w:sz="0" w:space="0" w:color="auto"/>
        <w:bottom w:val="none" w:sz="0" w:space="0" w:color="auto"/>
        <w:right w:val="none" w:sz="0" w:space="0" w:color="auto"/>
      </w:divBdr>
    </w:div>
    <w:div w:id="779684309">
      <w:bodyDiv w:val="1"/>
      <w:marLeft w:val="0"/>
      <w:marRight w:val="0"/>
      <w:marTop w:val="0"/>
      <w:marBottom w:val="0"/>
      <w:divBdr>
        <w:top w:val="none" w:sz="0" w:space="0" w:color="auto"/>
        <w:left w:val="none" w:sz="0" w:space="0" w:color="auto"/>
        <w:bottom w:val="none" w:sz="0" w:space="0" w:color="auto"/>
        <w:right w:val="none" w:sz="0" w:space="0" w:color="auto"/>
      </w:divBdr>
    </w:div>
    <w:div w:id="779956776">
      <w:bodyDiv w:val="1"/>
      <w:marLeft w:val="0"/>
      <w:marRight w:val="0"/>
      <w:marTop w:val="0"/>
      <w:marBottom w:val="0"/>
      <w:divBdr>
        <w:top w:val="none" w:sz="0" w:space="0" w:color="auto"/>
        <w:left w:val="none" w:sz="0" w:space="0" w:color="auto"/>
        <w:bottom w:val="none" w:sz="0" w:space="0" w:color="auto"/>
        <w:right w:val="none" w:sz="0" w:space="0" w:color="auto"/>
      </w:divBdr>
    </w:div>
    <w:div w:id="784158511">
      <w:bodyDiv w:val="1"/>
      <w:marLeft w:val="0"/>
      <w:marRight w:val="0"/>
      <w:marTop w:val="0"/>
      <w:marBottom w:val="0"/>
      <w:divBdr>
        <w:top w:val="none" w:sz="0" w:space="0" w:color="auto"/>
        <w:left w:val="none" w:sz="0" w:space="0" w:color="auto"/>
        <w:bottom w:val="none" w:sz="0" w:space="0" w:color="auto"/>
        <w:right w:val="none" w:sz="0" w:space="0" w:color="auto"/>
      </w:divBdr>
    </w:div>
    <w:div w:id="805314103">
      <w:bodyDiv w:val="1"/>
      <w:marLeft w:val="0"/>
      <w:marRight w:val="0"/>
      <w:marTop w:val="0"/>
      <w:marBottom w:val="0"/>
      <w:divBdr>
        <w:top w:val="none" w:sz="0" w:space="0" w:color="auto"/>
        <w:left w:val="none" w:sz="0" w:space="0" w:color="auto"/>
        <w:bottom w:val="none" w:sz="0" w:space="0" w:color="auto"/>
        <w:right w:val="none" w:sz="0" w:space="0" w:color="auto"/>
      </w:divBdr>
    </w:div>
    <w:div w:id="812261796">
      <w:bodyDiv w:val="1"/>
      <w:marLeft w:val="0"/>
      <w:marRight w:val="0"/>
      <w:marTop w:val="0"/>
      <w:marBottom w:val="0"/>
      <w:divBdr>
        <w:top w:val="none" w:sz="0" w:space="0" w:color="auto"/>
        <w:left w:val="none" w:sz="0" w:space="0" w:color="auto"/>
        <w:bottom w:val="none" w:sz="0" w:space="0" w:color="auto"/>
        <w:right w:val="none" w:sz="0" w:space="0" w:color="auto"/>
      </w:divBdr>
    </w:div>
    <w:div w:id="818306000">
      <w:bodyDiv w:val="1"/>
      <w:marLeft w:val="0"/>
      <w:marRight w:val="0"/>
      <w:marTop w:val="0"/>
      <w:marBottom w:val="0"/>
      <w:divBdr>
        <w:top w:val="none" w:sz="0" w:space="0" w:color="auto"/>
        <w:left w:val="none" w:sz="0" w:space="0" w:color="auto"/>
        <w:bottom w:val="none" w:sz="0" w:space="0" w:color="auto"/>
        <w:right w:val="none" w:sz="0" w:space="0" w:color="auto"/>
      </w:divBdr>
    </w:div>
    <w:div w:id="863323573">
      <w:bodyDiv w:val="1"/>
      <w:marLeft w:val="0"/>
      <w:marRight w:val="0"/>
      <w:marTop w:val="0"/>
      <w:marBottom w:val="0"/>
      <w:divBdr>
        <w:top w:val="none" w:sz="0" w:space="0" w:color="auto"/>
        <w:left w:val="none" w:sz="0" w:space="0" w:color="auto"/>
        <w:bottom w:val="none" w:sz="0" w:space="0" w:color="auto"/>
        <w:right w:val="none" w:sz="0" w:space="0" w:color="auto"/>
      </w:divBdr>
    </w:div>
    <w:div w:id="868953633">
      <w:bodyDiv w:val="1"/>
      <w:marLeft w:val="0"/>
      <w:marRight w:val="0"/>
      <w:marTop w:val="0"/>
      <w:marBottom w:val="0"/>
      <w:divBdr>
        <w:top w:val="none" w:sz="0" w:space="0" w:color="auto"/>
        <w:left w:val="none" w:sz="0" w:space="0" w:color="auto"/>
        <w:bottom w:val="none" w:sz="0" w:space="0" w:color="auto"/>
        <w:right w:val="none" w:sz="0" w:space="0" w:color="auto"/>
      </w:divBdr>
    </w:div>
    <w:div w:id="872382073">
      <w:bodyDiv w:val="1"/>
      <w:marLeft w:val="0"/>
      <w:marRight w:val="0"/>
      <w:marTop w:val="0"/>
      <w:marBottom w:val="0"/>
      <w:divBdr>
        <w:top w:val="none" w:sz="0" w:space="0" w:color="auto"/>
        <w:left w:val="none" w:sz="0" w:space="0" w:color="auto"/>
        <w:bottom w:val="none" w:sz="0" w:space="0" w:color="auto"/>
        <w:right w:val="none" w:sz="0" w:space="0" w:color="auto"/>
      </w:divBdr>
    </w:div>
    <w:div w:id="874998100">
      <w:bodyDiv w:val="1"/>
      <w:marLeft w:val="0"/>
      <w:marRight w:val="0"/>
      <w:marTop w:val="0"/>
      <w:marBottom w:val="0"/>
      <w:divBdr>
        <w:top w:val="none" w:sz="0" w:space="0" w:color="auto"/>
        <w:left w:val="none" w:sz="0" w:space="0" w:color="auto"/>
        <w:bottom w:val="none" w:sz="0" w:space="0" w:color="auto"/>
        <w:right w:val="none" w:sz="0" w:space="0" w:color="auto"/>
      </w:divBdr>
    </w:div>
    <w:div w:id="878785959">
      <w:bodyDiv w:val="1"/>
      <w:marLeft w:val="0"/>
      <w:marRight w:val="0"/>
      <w:marTop w:val="0"/>
      <w:marBottom w:val="0"/>
      <w:divBdr>
        <w:top w:val="none" w:sz="0" w:space="0" w:color="auto"/>
        <w:left w:val="none" w:sz="0" w:space="0" w:color="auto"/>
        <w:bottom w:val="none" w:sz="0" w:space="0" w:color="auto"/>
        <w:right w:val="none" w:sz="0" w:space="0" w:color="auto"/>
      </w:divBdr>
    </w:div>
    <w:div w:id="888688563">
      <w:bodyDiv w:val="1"/>
      <w:marLeft w:val="0"/>
      <w:marRight w:val="0"/>
      <w:marTop w:val="0"/>
      <w:marBottom w:val="0"/>
      <w:divBdr>
        <w:top w:val="none" w:sz="0" w:space="0" w:color="auto"/>
        <w:left w:val="none" w:sz="0" w:space="0" w:color="auto"/>
        <w:bottom w:val="none" w:sz="0" w:space="0" w:color="auto"/>
        <w:right w:val="none" w:sz="0" w:space="0" w:color="auto"/>
      </w:divBdr>
      <w:divsChild>
        <w:div w:id="510528534">
          <w:marLeft w:val="0"/>
          <w:marRight w:val="0"/>
          <w:marTop w:val="0"/>
          <w:marBottom w:val="0"/>
          <w:divBdr>
            <w:top w:val="none" w:sz="0" w:space="0" w:color="auto"/>
            <w:left w:val="none" w:sz="0" w:space="0" w:color="auto"/>
            <w:bottom w:val="none" w:sz="0" w:space="0" w:color="auto"/>
            <w:right w:val="none" w:sz="0" w:space="0" w:color="auto"/>
          </w:divBdr>
        </w:div>
        <w:div w:id="543710650">
          <w:marLeft w:val="0"/>
          <w:marRight w:val="0"/>
          <w:marTop w:val="0"/>
          <w:marBottom w:val="0"/>
          <w:divBdr>
            <w:top w:val="none" w:sz="0" w:space="0" w:color="auto"/>
            <w:left w:val="none" w:sz="0" w:space="0" w:color="auto"/>
            <w:bottom w:val="none" w:sz="0" w:space="0" w:color="auto"/>
            <w:right w:val="none" w:sz="0" w:space="0" w:color="auto"/>
          </w:divBdr>
        </w:div>
        <w:div w:id="925268502">
          <w:marLeft w:val="0"/>
          <w:marRight w:val="0"/>
          <w:marTop w:val="0"/>
          <w:marBottom w:val="0"/>
          <w:divBdr>
            <w:top w:val="none" w:sz="0" w:space="0" w:color="auto"/>
            <w:left w:val="none" w:sz="0" w:space="0" w:color="auto"/>
            <w:bottom w:val="none" w:sz="0" w:space="0" w:color="auto"/>
            <w:right w:val="none" w:sz="0" w:space="0" w:color="auto"/>
          </w:divBdr>
        </w:div>
        <w:div w:id="1487623270">
          <w:marLeft w:val="0"/>
          <w:marRight w:val="0"/>
          <w:marTop w:val="0"/>
          <w:marBottom w:val="0"/>
          <w:divBdr>
            <w:top w:val="none" w:sz="0" w:space="0" w:color="auto"/>
            <w:left w:val="none" w:sz="0" w:space="0" w:color="auto"/>
            <w:bottom w:val="none" w:sz="0" w:space="0" w:color="auto"/>
            <w:right w:val="none" w:sz="0" w:space="0" w:color="auto"/>
          </w:divBdr>
        </w:div>
        <w:div w:id="1497644456">
          <w:marLeft w:val="0"/>
          <w:marRight w:val="0"/>
          <w:marTop w:val="0"/>
          <w:marBottom w:val="0"/>
          <w:divBdr>
            <w:top w:val="none" w:sz="0" w:space="0" w:color="auto"/>
            <w:left w:val="none" w:sz="0" w:space="0" w:color="auto"/>
            <w:bottom w:val="none" w:sz="0" w:space="0" w:color="auto"/>
            <w:right w:val="none" w:sz="0" w:space="0" w:color="auto"/>
          </w:divBdr>
        </w:div>
        <w:div w:id="1645044290">
          <w:marLeft w:val="0"/>
          <w:marRight w:val="0"/>
          <w:marTop w:val="0"/>
          <w:marBottom w:val="0"/>
          <w:divBdr>
            <w:top w:val="none" w:sz="0" w:space="0" w:color="auto"/>
            <w:left w:val="none" w:sz="0" w:space="0" w:color="auto"/>
            <w:bottom w:val="none" w:sz="0" w:space="0" w:color="auto"/>
            <w:right w:val="none" w:sz="0" w:space="0" w:color="auto"/>
          </w:divBdr>
        </w:div>
        <w:div w:id="1747458792">
          <w:marLeft w:val="0"/>
          <w:marRight w:val="0"/>
          <w:marTop w:val="0"/>
          <w:marBottom w:val="0"/>
          <w:divBdr>
            <w:top w:val="none" w:sz="0" w:space="0" w:color="auto"/>
            <w:left w:val="none" w:sz="0" w:space="0" w:color="auto"/>
            <w:bottom w:val="none" w:sz="0" w:space="0" w:color="auto"/>
            <w:right w:val="none" w:sz="0" w:space="0" w:color="auto"/>
          </w:divBdr>
        </w:div>
        <w:div w:id="1779644127">
          <w:marLeft w:val="0"/>
          <w:marRight w:val="0"/>
          <w:marTop w:val="0"/>
          <w:marBottom w:val="0"/>
          <w:divBdr>
            <w:top w:val="none" w:sz="0" w:space="0" w:color="auto"/>
            <w:left w:val="none" w:sz="0" w:space="0" w:color="auto"/>
            <w:bottom w:val="none" w:sz="0" w:space="0" w:color="auto"/>
            <w:right w:val="none" w:sz="0" w:space="0" w:color="auto"/>
          </w:divBdr>
        </w:div>
        <w:div w:id="1962034407">
          <w:marLeft w:val="0"/>
          <w:marRight w:val="0"/>
          <w:marTop w:val="0"/>
          <w:marBottom w:val="0"/>
          <w:divBdr>
            <w:top w:val="none" w:sz="0" w:space="0" w:color="auto"/>
            <w:left w:val="none" w:sz="0" w:space="0" w:color="auto"/>
            <w:bottom w:val="none" w:sz="0" w:space="0" w:color="auto"/>
            <w:right w:val="none" w:sz="0" w:space="0" w:color="auto"/>
          </w:divBdr>
        </w:div>
        <w:div w:id="2104647222">
          <w:marLeft w:val="0"/>
          <w:marRight w:val="0"/>
          <w:marTop w:val="0"/>
          <w:marBottom w:val="0"/>
          <w:divBdr>
            <w:top w:val="none" w:sz="0" w:space="0" w:color="auto"/>
            <w:left w:val="none" w:sz="0" w:space="0" w:color="auto"/>
            <w:bottom w:val="none" w:sz="0" w:space="0" w:color="auto"/>
            <w:right w:val="none" w:sz="0" w:space="0" w:color="auto"/>
          </w:divBdr>
        </w:div>
      </w:divsChild>
    </w:div>
    <w:div w:id="889608433">
      <w:bodyDiv w:val="1"/>
      <w:marLeft w:val="0"/>
      <w:marRight w:val="0"/>
      <w:marTop w:val="0"/>
      <w:marBottom w:val="0"/>
      <w:divBdr>
        <w:top w:val="none" w:sz="0" w:space="0" w:color="auto"/>
        <w:left w:val="none" w:sz="0" w:space="0" w:color="auto"/>
        <w:bottom w:val="none" w:sz="0" w:space="0" w:color="auto"/>
        <w:right w:val="none" w:sz="0" w:space="0" w:color="auto"/>
      </w:divBdr>
    </w:div>
    <w:div w:id="891841939">
      <w:bodyDiv w:val="1"/>
      <w:marLeft w:val="0"/>
      <w:marRight w:val="0"/>
      <w:marTop w:val="0"/>
      <w:marBottom w:val="0"/>
      <w:divBdr>
        <w:top w:val="none" w:sz="0" w:space="0" w:color="auto"/>
        <w:left w:val="none" w:sz="0" w:space="0" w:color="auto"/>
        <w:bottom w:val="none" w:sz="0" w:space="0" w:color="auto"/>
        <w:right w:val="none" w:sz="0" w:space="0" w:color="auto"/>
      </w:divBdr>
    </w:div>
    <w:div w:id="905149306">
      <w:bodyDiv w:val="1"/>
      <w:marLeft w:val="0"/>
      <w:marRight w:val="0"/>
      <w:marTop w:val="0"/>
      <w:marBottom w:val="0"/>
      <w:divBdr>
        <w:top w:val="none" w:sz="0" w:space="0" w:color="auto"/>
        <w:left w:val="none" w:sz="0" w:space="0" w:color="auto"/>
        <w:bottom w:val="none" w:sz="0" w:space="0" w:color="auto"/>
        <w:right w:val="none" w:sz="0" w:space="0" w:color="auto"/>
      </w:divBdr>
    </w:div>
    <w:div w:id="909384194">
      <w:bodyDiv w:val="1"/>
      <w:marLeft w:val="0"/>
      <w:marRight w:val="0"/>
      <w:marTop w:val="0"/>
      <w:marBottom w:val="0"/>
      <w:divBdr>
        <w:top w:val="none" w:sz="0" w:space="0" w:color="auto"/>
        <w:left w:val="none" w:sz="0" w:space="0" w:color="auto"/>
        <w:bottom w:val="none" w:sz="0" w:space="0" w:color="auto"/>
        <w:right w:val="none" w:sz="0" w:space="0" w:color="auto"/>
      </w:divBdr>
    </w:div>
    <w:div w:id="918638815">
      <w:bodyDiv w:val="1"/>
      <w:marLeft w:val="0"/>
      <w:marRight w:val="0"/>
      <w:marTop w:val="0"/>
      <w:marBottom w:val="0"/>
      <w:divBdr>
        <w:top w:val="none" w:sz="0" w:space="0" w:color="auto"/>
        <w:left w:val="none" w:sz="0" w:space="0" w:color="auto"/>
        <w:bottom w:val="none" w:sz="0" w:space="0" w:color="auto"/>
        <w:right w:val="none" w:sz="0" w:space="0" w:color="auto"/>
      </w:divBdr>
    </w:div>
    <w:div w:id="919218553">
      <w:bodyDiv w:val="1"/>
      <w:marLeft w:val="0"/>
      <w:marRight w:val="0"/>
      <w:marTop w:val="0"/>
      <w:marBottom w:val="0"/>
      <w:divBdr>
        <w:top w:val="none" w:sz="0" w:space="0" w:color="auto"/>
        <w:left w:val="none" w:sz="0" w:space="0" w:color="auto"/>
        <w:bottom w:val="none" w:sz="0" w:space="0" w:color="auto"/>
        <w:right w:val="none" w:sz="0" w:space="0" w:color="auto"/>
      </w:divBdr>
    </w:div>
    <w:div w:id="919749880">
      <w:bodyDiv w:val="1"/>
      <w:marLeft w:val="0"/>
      <w:marRight w:val="0"/>
      <w:marTop w:val="0"/>
      <w:marBottom w:val="0"/>
      <w:divBdr>
        <w:top w:val="none" w:sz="0" w:space="0" w:color="auto"/>
        <w:left w:val="none" w:sz="0" w:space="0" w:color="auto"/>
        <w:bottom w:val="none" w:sz="0" w:space="0" w:color="auto"/>
        <w:right w:val="none" w:sz="0" w:space="0" w:color="auto"/>
      </w:divBdr>
    </w:div>
    <w:div w:id="929238695">
      <w:bodyDiv w:val="1"/>
      <w:marLeft w:val="0"/>
      <w:marRight w:val="0"/>
      <w:marTop w:val="0"/>
      <w:marBottom w:val="0"/>
      <w:divBdr>
        <w:top w:val="none" w:sz="0" w:space="0" w:color="auto"/>
        <w:left w:val="none" w:sz="0" w:space="0" w:color="auto"/>
        <w:bottom w:val="none" w:sz="0" w:space="0" w:color="auto"/>
        <w:right w:val="none" w:sz="0" w:space="0" w:color="auto"/>
      </w:divBdr>
    </w:div>
    <w:div w:id="934674856">
      <w:bodyDiv w:val="1"/>
      <w:marLeft w:val="0"/>
      <w:marRight w:val="0"/>
      <w:marTop w:val="0"/>
      <w:marBottom w:val="0"/>
      <w:divBdr>
        <w:top w:val="none" w:sz="0" w:space="0" w:color="auto"/>
        <w:left w:val="none" w:sz="0" w:space="0" w:color="auto"/>
        <w:bottom w:val="none" w:sz="0" w:space="0" w:color="auto"/>
        <w:right w:val="none" w:sz="0" w:space="0" w:color="auto"/>
      </w:divBdr>
    </w:div>
    <w:div w:id="936475750">
      <w:bodyDiv w:val="1"/>
      <w:marLeft w:val="0"/>
      <w:marRight w:val="0"/>
      <w:marTop w:val="0"/>
      <w:marBottom w:val="0"/>
      <w:divBdr>
        <w:top w:val="none" w:sz="0" w:space="0" w:color="auto"/>
        <w:left w:val="none" w:sz="0" w:space="0" w:color="auto"/>
        <w:bottom w:val="none" w:sz="0" w:space="0" w:color="auto"/>
        <w:right w:val="none" w:sz="0" w:space="0" w:color="auto"/>
      </w:divBdr>
    </w:div>
    <w:div w:id="936987142">
      <w:bodyDiv w:val="1"/>
      <w:marLeft w:val="0"/>
      <w:marRight w:val="0"/>
      <w:marTop w:val="0"/>
      <w:marBottom w:val="0"/>
      <w:divBdr>
        <w:top w:val="none" w:sz="0" w:space="0" w:color="auto"/>
        <w:left w:val="none" w:sz="0" w:space="0" w:color="auto"/>
        <w:bottom w:val="none" w:sz="0" w:space="0" w:color="auto"/>
        <w:right w:val="none" w:sz="0" w:space="0" w:color="auto"/>
      </w:divBdr>
    </w:div>
    <w:div w:id="937326548">
      <w:bodyDiv w:val="1"/>
      <w:marLeft w:val="0"/>
      <w:marRight w:val="0"/>
      <w:marTop w:val="0"/>
      <w:marBottom w:val="0"/>
      <w:divBdr>
        <w:top w:val="none" w:sz="0" w:space="0" w:color="auto"/>
        <w:left w:val="none" w:sz="0" w:space="0" w:color="auto"/>
        <w:bottom w:val="none" w:sz="0" w:space="0" w:color="auto"/>
        <w:right w:val="none" w:sz="0" w:space="0" w:color="auto"/>
      </w:divBdr>
    </w:div>
    <w:div w:id="939222663">
      <w:bodyDiv w:val="1"/>
      <w:marLeft w:val="0"/>
      <w:marRight w:val="0"/>
      <w:marTop w:val="0"/>
      <w:marBottom w:val="0"/>
      <w:divBdr>
        <w:top w:val="none" w:sz="0" w:space="0" w:color="auto"/>
        <w:left w:val="none" w:sz="0" w:space="0" w:color="auto"/>
        <w:bottom w:val="none" w:sz="0" w:space="0" w:color="auto"/>
        <w:right w:val="none" w:sz="0" w:space="0" w:color="auto"/>
      </w:divBdr>
    </w:div>
    <w:div w:id="944267243">
      <w:bodyDiv w:val="1"/>
      <w:marLeft w:val="0"/>
      <w:marRight w:val="0"/>
      <w:marTop w:val="0"/>
      <w:marBottom w:val="0"/>
      <w:divBdr>
        <w:top w:val="none" w:sz="0" w:space="0" w:color="auto"/>
        <w:left w:val="none" w:sz="0" w:space="0" w:color="auto"/>
        <w:bottom w:val="none" w:sz="0" w:space="0" w:color="auto"/>
        <w:right w:val="none" w:sz="0" w:space="0" w:color="auto"/>
      </w:divBdr>
    </w:div>
    <w:div w:id="958873347">
      <w:bodyDiv w:val="1"/>
      <w:marLeft w:val="0"/>
      <w:marRight w:val="0"/>
      <w:marTop w:val="0"/>
      <w:marBottom w:val="0"/>
      <w:divBdr>
        <w:top w:val="none" w:sz="0" w:space="0" w:color="auto"/>
        <w:left w:val="none" w:sz="0" w:space="0" w:color="auto"/>
        <w:bottom w:val="none" w:sz="0" w:space="0" w:color="auto"/>
        <w:right w:val="none" w:sz="0" w:space="0" w:color="auto"/>
      </w:divBdr>
    </w:div>
    <w:div w:id="970136261">
      <w:bodyDiv w:val="1"/>
      <w:marLeft w:val="0"/>
      <w:marRight w:val="0"/>
      <w:marTop w:val="0"/>
      <w:marBottom w:val="0"/>
      <w:divBdr>
        <w:top w:val="none" w:sz="0" w:space="0" w:color="auto"/>
        <w:left w:val="none" w:sz="0" w:space="0" w:color="auto"/>
        <w:bottom w:val="none" w:sz="0" w:space="0" w:color="auto"/>
        <w:right w:val="none" w:sz="0" w:space="0" w:color="auto"/>
      </w:divBdr>
    </w:div>
    <w:div w:id="970398179">
      <w:bodyDiv w:val="1"/>
      <w:marLeft w:val="0"/>
      <w:marRight w:val="0"/>
      <w:marTop w:val="0"/>
      <w:marBottom w:val="0"/>
      <w:divBdr>
        <w:top w:val="none" w:sz="0" w:space="0" w:color="auto"/>
        <w:left w:val="none" w:sz="0" w:space="0" w:color="auto"/>
        <w:bottom w:val="none" w:sz="0" w:space="0" w:color="auto"/>
        <w:right w:val="none" w:sz="0" w:space="0" w:color="auto"/>
      </w:divBdr>
    </w:div>
    <w:div w:id="978724147">
      <w:bodyDiv w:val="1"/>
      <w:marLeft w:val="0"/>
      <w:marRight w:val="0"/>
      <w:marTop w:val="0"/>
      <w:marBottom w:val="0"/>
      <w:divBdr>
        <w:top w:val="none" w:sz="0" w:space="0" w:color="auto"/>
        <w:left w:val="none" w:sz="0" w:space="0" w:color="auto"/>
        <w:bottom w:val="none" w:sz="0" w:space="0" w:color="auto"/>
        <w:right w:val="none" w:sz="0" w:space="0" w:color="auto"/>
      </w:divBdr>
    </w:div>
    <w:div w:id="996110908">
      <w:bodyDiv w:val="1"/>
      <w:marLeft w:val="0"/>
      <w:marRight w:val="0"/>
      <w:marTop w:val="0"/>
      <w:marBottom w:val="0"/>
      <w:divBdr>
        <w:top w:val="none" w:sz="0" w:space="0" w:color="auto"/>
        <w:left w:val="none" w:sz="0" w:space="0" w:color="auto"/>
        <w:bottom w:val="none" w:sz="0" w:space="0" w:color="auto"/>
        <w:right w:val="none" w:sz="0" w:space="0" w:color="auto"/>
      </w:divBdr>
    </w:div>
    <w:div w:id="1009529791">
      <w:bodyDiv w:val="1"/>
      <w:marLeft w:val="0"/>
      <w:marRight w:val="0"/>
      <w:marTop w:val="0"/>
      <w:marBottom w:val="0"/>
      <w:divBdr>
        <w:top w:val="none" w:sz="0" w:space="0" w:color="auto"/>
        <w:left w:val="none" w:sz="0" w:space="0" w:color="auto"/>
        <w:bottom w:val="none" w:sz="0" w:space="0" w:color="auto"/>
        <w:right w:val="none" w:sz="0" w:space="0" w:color="auto"/>
      </w:divBdr>
    </w:div>
    <w:div w:id="1011682002">
      <w:bodyDiv w:val="1"/>
      <w:marLeft w:val="0"/>
      <w:marRight w:val="0"/>
      <w:marTop w:val="0"/>
      <w:marBottom w:val="0"/>
      <w:divBdr>
        <w:top w:val="none" w:sz="0" w:space="0" w:color="auto"/>
        <w:left w:val="none" w:sz="0" w:space="0" w:color="auto"/>
        <w:bottom w:val="none" w:sz="0" w:space="0" w:color="auto"/>
        <w:right w:val="none" w:sz="0" w:space="0" w:color="auto"/>
      </w:divBdr>
    </w:div>
    <w:div w:id="1012145852">
      <w:bodyDiv w:val="1"/>
      <w:marLeft w:val="0"/>
      <w:marRight w:val="0"/>
      <w:marTop w:val="0"/>
      <w:marBottom w:val="0"/>
      <w:divBdr>
        <w:top w:val="none" w:sz="0" w:space="0" w:color="auto"/>
        <w:left w:val="none" w:sz="0" w:space="0" w:color="auto"/>
        <w:bottom w:val="none" w:sz="0" w:space="0" w:color="auto"/>
        <w:right w:val="none" w:sz="0" w:space="0" w:color="auto"/>
      </w:divBdr>
    </w:div>
    <w:div w:id="1014577884">
      <w:bodyDiv w:val="1"/>
      <w:marLeft w:val="0"/>
      <w:marRight w:val="0"/>
      <w:marTop w:val="0"/>
      <w:marBottom w:val="0"/>
      <w:divBdr>
        <w:top w:val="none" w:sz="0" w:space="0" w:color="auto"/>
        <w:left w:val="none" w:sz="0" w:space="0" w:color="auto"/>
        <w:bottom w:val="none" w:sz="0" w:space="0" w:color="auto"/>
        <w:right w:val="none" w:sz="0" w:space="0" w:color="auto"/>
      </w:divBdr>
    </w:div>
    <w:div w:id="1019354736">
      <w:bodyDiv w:val="1"/>
      <w:marLeft w:val="0"/>
      <w:marRight w:val="0"/>
      <w:marTop w:val="0"/>
      <w:marBottom w:val="0"/>
      <w:divBdr>
        <w:top w:val="none" w:sz="0" w:space="0" w:color="auto"/>
        <w:left w:val="none" w:sz="0" w:space="0" w:color="auto"/>
        <w:bottom w:val="none" w:sz="0" w:space="0" w:color="auto"/>
        <w:right w:val="none" w:sz="0" w:space="0" w:color="auto"/>
      </w:divBdr>
    </w:div>
    <w:div w:id="1031960129">
      <w:bodyDiv w:val="1"/>
      <w:marLeft w:val="0"/>
      <w:marRight w:val="0"/>
      <w:marTop w:val="0"/>
      <w:marBottom w:val="0"/>
      <w:divBdr>
        <w:top w:val="none" w:sz="0" w:space="0" w:color="auto"/>
        <w:left w:val="none" w:sz="0" w:space="0" w:color="auto"/>
        <w:bottom w:val="none" w:sz="0" w:space="0" w:color="auto"/>
        <w:right w:val="none" w:sz="0" w:space="0" w:color="auto"/>
      </w:divBdr>
    </w:div>
    <w:div w:id="1049063323">
      <w:bodyDiv w:val="1"/>
      <w:marLeft w:val="0"/>
      <w:marRight w:val="0"/>
      <w:marTop w:val="0"/>
      <w:marBottom w:val="0"/>
      <w:divBdr>
        <w:top w:val="none" w:sz="0" w:space="0" w:color="auto"/>
        <w:left w:val="none" w:sz="0" w:space="0" w:color="auto"/>
        <w:bottom w:val="none" w:sz="0" w:space="0" w:color="auto"/>
        <w:right w:val="none" w:sz="0" w:space="0" w:color="auto"/>
      </w:divBdr>
    </w:div>
    <w:div w:id="1067073385">
      <w:bodyDiv w:val="1"/>
      <w:marLeft w:val="0"/>
      <w:marRight w:val="0"/>
      <w:marTop w:val="0"/>
      <w:marBottom w:val="0"/>
      <w:divBdr>
        <w:top w:val="none" w:sz="0" w:space="0" w:color="auto"/>
        <w:left w:val="none" w:sz="0" w:space="0" w:color="auto"/>
        <w:bottom w:val="none" w:sz="0" w:space="0" w:color="auto"/>
        <w:right w:val="none" w:sz="0" w:space="0" w:color="auto"/>
      </w:divBdr>
    </w:div>
    <w:div w:id="1079594393">
      <w:bodyDiv w:val="1"/>
      <w:marLeft w:val="0"/>
      <w:marRight w:val="0"/>
      <w:marTop w:val="0"/>
      <w:marBottom w:val="0"/>
      <w:divBdr>
        <w:top w:val="none" w:sz="0" w:space="0" w:color="auto"/>
        <w:left w:val="none" w:sz="0" w:space="0" w:color="auto"/>
        <w:bottom w:val="none" w:sz="0" w:space="0" w:color="auto"/>
        <w:right w:val="none" w:sz="0" w:space="0" w:color="auto"/>
      </w:divBdr>
    </w:div>
    <w:div w:id="1081949853">
      <w:bodyDiv w:val="1"/>
      <w:marLeft w:val="0"/>
      <w:marRight w:val="0"/>
      <w:marTop w:val="0"/>
      <w:marBottom w:val="0"/>
      <w:divBdr>
        <w:top w:val="none" w:sz="0" w:space="0" w:color="auto"/>
        <w:left w:val="none" w:sz="0" w:space="0" w:color="auto"/>
        <w:bottom w:val="none" w:sz="0" w:space="0" w:color="auto"/>
        <w:right w:val="none" w:sz="0" w:space="0" w:color="auto"/>
      </w:divBdr>
    </w:div>
    <w:div w:id="1099369352">
      <w:bodyDiv w:val="1"/>
      <w:marLeft w:val="0"/>
      <w:marRight w:val="0"/>
      <w:marTop w:val="0"/>
      <w:marBottom w:val="0"/>
      <w:divBdr>
        <w:top w:val="none" w:sz="0" w:space="0" w:color="auto"/>
        <w:left w:val="none" w:sz="0" w:space="0" w:color="auto"/>
        <w:bottom w:val="none" w:sz="0" w:space="0" w:color="auto"/>
        <w:right w:val="none" w:sz="0" w:space="0" w:color="auto"/>
      </w:divBdr>
    </w:div>
    <w:div w:id="1105228015">
      <w:bodyDiv w:val="1"/>
      <w:marLeft w:val="0"/>
      <w:marRight w:val="0"/>
      <w:marTop w:val="0"/>
      <w:marBottom w:val="0"/>
      <w:divBdr>
        <w:top w:val="none" w:sz="0" w:space="0" w:color="auto"/>
        <w:left w:val="none" w:sz="0" w:space="0" w:color="auto"/>
        <w:bottom w:val="none" w:sz="0" w:space="0" w:color="auto"/>
        <w:right w:val="none" w:sz="0" w:space="0" w:color="auto"/>
      </w:divBdr>
    </w:div>
    <w:div w:id="1121655318">
      <w:bodyDiv w:val="1"/>
      <w:marLeft w:val="0"/>
      <w:marRight w:val="0"/>
      <w:marTop w:val="0"/>
      <w:marBottom w:val="0"/>
      <w:divBdr>
        <w:top w:val="none" w:sz="0" w:space="0" w:color="auto"/>
        <w:left w:val="none" w:sz="0" w:space="0" w:color="auto"/>
        <w:bottom w:val="none" w:sz="0" w:space="0" w:color="auto"/>
        <w:right w:val="none" w:sz="0" w:space="0" w:color="auto"/>
      </w:divBdr>
    </w:div>
    <w:div w:id="1124929649">
      <w:bodyDiv w:val="1"/>
      <w:marLeft w:val="0"/>
      <w:marRight w:val="0"/>
      <w:marTop w:val="0"/>
      <w:marBottom w:val="0"/>
      <w:divBdr>
        <w:top w:val="none" w:sz="0" w:space="0" w:color="auto"/>
        <w:left w:val="none" w:sz="0" w:space="0" w:color="auto"/>
        <w:bottom w:val="none" w:sz="0" w:space="0" w:color="auto"/>
        <w:right w:val="none" w:sz="0" w:space="0" w:color="auto"/>
      </w:divBdr>
    </w:div>
    <w:div w:id="1125077374">
      <w:bodyDiv w:val="1"/>
      <w:marLeft w:val="0"/>
      <w:marRight w:val="0"/>
      <w:marTop w:val="0"/>
      <w:marBottom w:val="0"/>
      <w:divBdr>
        <w:top w:val="none" w:sz="0" w:space="0" w:color="auto"/>
        <w:left w:val="none" w:sz="0" w:space="0" w:color="auto"/>
        <w:bottom w:val="none" w:sz="0" w:space="0" w:color="auto"/>
        <w:right w:val="none" w:sz="0" w:space="0" w:color="auto"/>
      </w:divBdr>
    </w:div>
    <w:div w:id="1128624427">
      <w:bodyDiv w:val="1"/>
      <w:marLeft w:val="0"/>
      <w:marRight w:val="0"/>
      <w:marTop w:val="0"/>
      <w:marBottom w:val="0"/>
      <w:divBdr>
        <w:top w:val="none" w:sz="0" w:space="0" w:color="auto"/>
        <w:left w:val="none" w:sz="0" w:space="0" w:color="auto"/>
        <w:bottom w:val="none" w:sz="0" w:space="0" w:color="auto"/>
        <w:right w:val="none" w:sz="0" w:space="0" w:color="auto"/>
      </w:divBdr>
    </w:div>
    <w:div w:id="1134907677">
      <w:bodyDiv w:val="1"/>
      <w:marLeft w:val="0"/>
      <w:marRight w:val="0"/>
      <w:marTop w:val="0"/>
      <w:marBottom w:val="0"/>
      <w:divBdr>
        <w:top w:val="none" w:sz="0" w:space="0" w:color="auto"/>
        <w:left w:val="none" w:sz="0" w:space="0" w:color="auto"/>
        <w:bottom w:val="none" w:sz="0" w:space="0" w:color="auto"/>
        <w:right w:val="none" w:sz="0" w:space="0" w:color="auto"/>
      </w:divBdr>
    </w:div>
    <w:div w:id="1144544222">
      <w:bodyDiv w:val="1"/>
      <w:marLeft w:val="0"/>
      <w:marRight w:val="0"/>
      <w:marTop w:val="0"/>
      <w:marBottom w:val="0"/>
      <w:divBdr>
        <w:top w:val="none" w:sz="0" w:space="0" w:color="auto"/>
        <w:left w:val="none" w:sz="0" w:space="0" w:color="auto"/>
        <w:bottom w:val="none" w:sz="0" w:space="0" w:color="auto"/>
        <w:right w:val="none" w:sz="0" w:space="0" w:color="auto"/>
      </w:divBdr>
    </w:div>
    <w:div w:id="1162233971">
      <w:bodyDiv w:val="1"/>
      <w:marLeft w:val="0"/>
      <w:marRight w:val="0"/>
      <w:marTop w:val="0"/>
      <w:marBottom w:val="0"/>
      <w:divBdr>
        <w:top w:val="none" w:sz="0" w:space="0" w:color="auto"/>
        <w:left w:val="none" w:sz="0" w:space="0" w:color="auto"/>
        <w:bottom w:val="none" w:sz="0" w:space="0" w:color="auto"/>
        <w:right w:val="none" w:sz="0" w:space="0" w:color="auto"/>
      </w:divBdr>
    </w:div>
    <w:div w:id="1166168588">
      <w:bodyDiv w:val="1"/>
      <w:marLeft w:val="0"/>
      <w:marRight w:val="0"/>
      <w:marTop w:val="0"/>
      <w:marBottom w:val="0"/>
      <w:divBdr>
        <w:top w:val="none" w:sz="0" w:space="0" w:color="auto"/>
        <w:left w:val="none" w:sz="0" w:space="0" w:color="auto"/>
        <w:bottom w:val="none" w:sz="0" w:space="0" w:color="auto"/>
        <w:right w:val="none" w:sz="0" w:space="0" w:color="auto"/>
      </w:divBdr>
    </w:div>
    <w:div w:id="1168329943">
      <w:bodyDiv w:val="1"/>
      <w:marLeft w:val="0"/>
      <w:marRight w:val="0"/>
      <w:marTop w:val="0"/>
      <w:marBottom w:val="0"/>
      <w:divBdr>
        <w:top w:val="none" w:sz="0" w:space="0" w:color="auto"/>
        <w:left w:val="none" w:sz="0" w:space="0" w:color="auto"/>
        <w:bottom w:val="none" w:sz="0" w:space="0" w:color="auto"/>
        <w:right w:val="none" w:sz="0" w:space="0" w:color="auto"/>
      </w:divBdr>
    </w:div>
    <w:div w:id="1176191959">
      <w:bodyDiv w:val="1"/>
      <w:marLeft w:val="0"/>
      <w:marRight w:val="0"/>
      <w:marTop w:val="0"/>
      <w:marBottom w:val="0"/>
      <w:divBdr>
        <w:top w:val="none" w:sz="0" w:space="0" w:color="auto"/>
        <w:left w:val="none" w:sz="0" w:space="0" w:color="auto"/>
        <w:bottom w:val="none" w:sz="0" w:space="0" w:color="auto"/>
        <w:right w:val="none" w:sz="0" w:space="0" w:color="auto"/>
      </w:divBdr>
    </w:div>
    <w:div w:id="1178041359">
      <w:bodyDiv w:val="1"/>
      <w:marLeft w:val="0"/>
      <w:marRight w:val="0"/>
      <w:marTop w:val="0"/>
      <w:marBottom w:val="0"/>
      <w:divBdr>
        <w:top w:val="none" w:sz="0" w:space="0" w:color="auto"/>
        <w:left w:val="none" w:sz="0" w:space="0" w:color="auto"/>
        <w:bottom w:val="none" w:sz="0" w:space="0" w:color="auto"/>
        <w:right w:val="none" w:sz="0" w:space="0" w:color="auto"/>
      </w:divBdr>
    </w:div>
    <w:div w:id="1199204903">
      <w:bodyDiv w:val="1"/>
      <w:marLeft w:val="0"/>
      <w:marRight w:val="0"/>
      <w:marTop w:val="0"/>
      <w:marBottom w:val="0"/>
      <w:divBdr>
        <w:top w:val="none" w:sz="0" w:space="0" w:color="auto"/>
        <w:left w:val="none" w:sz="0" w:space="0" w:color="auto"/>
        <w:bottom w:val="none" w:sz="0" w:space="0" w:color="auto"/>
        <w:right w:val="none" w:sz="0" w:space="0" w:color="auto"/>
      </w:divBdr>
    </w:div>
    <w:div w:id="1206134792">
      <w:bodyDiv w:val="1"/>
      <w:marLeft w:val="0"/>
      <w:marRight w:val="0"/>
      <w:marTop w:val="0"/>
      <w:marBottom w:val="0"/>
      <w:divBdr>
        <w:top w:val="none" w:sz="0" w:space="0" w:color="auto"/>
        <w:left w:val="none" w:sz="0" w:space="0" w:color="auto"/>
        <w:bottom w:val="none" w:sz="0" w:space="0" w:color="auto"/>
        <w:right w:val="none" w:sz="0" w:space="0" w:color="auto"/>
      </w:divBdr>
    </w:div>
    <w:div w:id="1217818800">
      <w:bodyDiv w:val="1"/>
      <w:marLeft w:val="0"/>
      <w:marRight w:val="0"/>
      <w:marTop w:val="0"/>
      <w:marBottom w:val="0"/>
      <w:divBdr>
        <w:top w:val="none" w:sz="0" w:space="0" w:color="auto"/>
        <w:left w:val="none" w:sz="0" w:space="0" w:color="auto"/>
        <w:bottom w:val="none" w:sz="0" w:space="0" w:color="auto"/>
        <w:right w:val="none" w:sz="0" w:space="0" w:color="auto"/>
      </w:divBdr>
    </w:div>
    <w:div w:id="1219514803">
      <w:bodyDiv w:val="1"/>
      <w:marLeft w:val="0"/>
      <w:marRight w:val="0"/>
      <w:marTop w:val="0"/>
      <w:marBottom w:val="0"/>
      <w:divBdr>
        <w:top w:val="none" w:sz="0" w:space="0" w:color="auto"/>
        <w:left w:val="none" w:sz="0" w:space="0" w:color="auto"/>
        <w:bottom w:val="none" w:sz="0" w:space="0" w:color="auto"/>
        <w:right w:val="none" w:sz="0" w:space="0" w:color="auto"/>
      </w:divBdr>
    </w:div>
    <w:div w:id="1253705888">
      <w:bodyDiv w:val="1"/>
      <w:marLeft w:val="0"/>
      <w:marRight w:val="0"/>
      <w:marTop w:val="0"/>
      <w:marBottom w:val="0"/>
      <w:divBdr>
        <w:top w:val="none" w:sz="0" w:space="0" w:color="auto"/>
        <w:left w:val="none" w:sz="0" w:space="0" w:color="auto"/>
        <w:bottom w:val="none" w:sz="0" w:space="0" w:color="auto"/>
        <w:right w:val="none" w:sz="0" w:space="0" w:color="auto"/>
      </w:divBdr>
    </w:div>
    <w:div w:id="1276447356">
      <w:bodyDiv w:val="1"/>
      <w:marLeft w:val="0"/>
      <w:marRight w:val="0"/>
      <w:marTop w:val="0"/>
      <w:marBottom w:val="0"/>
      <w:divBdr>
        <w:top w:val="none" w:sz="0" w:space="0" w:color="auto"/>
        <w:left w:val="none" w:sz="0" w:space="0" w:color="auto"/>
        <w:bottom w:val="none" w:sz="0" w:space="0" w:color="auto"/>
        <w:right w:val="none" w:sz="0" w:space="0" w:color="auto"/>
      </w:divBdr>
    </w:div>
    <w:div w:id="1285694225">
      <w:bodyDiv w:val="1"/>
      <w:marLeft w:val="0"/>
      <w:marRight w:val="0"/>
      <w:marTop w:val="0"/>
      <w:marBottom w:val="0"/>
      <w:divBdr>
        <w:top w:val="none" w:sz="0" w:space="0" w:color="auto"/>
        <w:left w:val="none" w:sz="0" w:space="0" w:color="auto"/>
        <w:bottom w:val="none" w:sz="0" w:space="0" w:color="auto"/>
        <w:right w:val="none" w:sz="0" w:space="0" w:color="auto"/>
      </w:divBdr>
    </w:div>
    <w:div w:id="1305356943">
      <w:bodyDiv w:val="1"/>
      <w:marLeft w:val="0"/>
      <w:marRight w:val="0"/>
      <w:marTop w:val="0"/>
      <w:marBottom w:val="0"/>
      <w:divBdr>
        <w:top w:val="none" w:sz="0" w:space="0" w:color="auto"/>
        <w:left w:val="none" w:sz="0" w:space="0" w:color="auto"/>
        <w:bottom w:val="none" w:sz="0" w:space="0" w:color="auto"/>
        <w:right w:val="none" w:sz="0" w:space="0" w:color="auto"/>
      </w:divBdr>
    </w:div>
    <w:div w:id="1316684511">
      <w:bodyDiv w:val="1"/>
      <w:marLeft w:val="0"/>
      <w:marRight w:val="0"/>
      <w:marTop w:val="0"/>
      <w:marBottom w:val="0"/>
      <w:divBdr>
        <w:top w:val="none" w:sz="0" w:space="0" w:color="auto"/>
        <w:left w:val="none" w:sz="0" w:space="0" w:color="auto"/>
        <w:bottom w:val="none" w:sz="0" w:space="0" w:color="auto"/>
        <w:right w:val="none" w:sz="0" w:space="0" w:color="auto"/>
      </w:divBdr>
    </w:div>
    <w:div w:id="1346205990">
      <w:bodyDiv w:val="1"/>
      <w:marLeft w:val="0"/>
      <w:marRight w:val="0"/>
      <w:marTop w:val="0"/>
      <w:marBottom w:val="0"/>
      <w:divBdr>
        <w:top w:val="none" w:sz="0" w:space="0" w:color="auto"/>
        <w:left w:val="none" w:sz="0" w:space="0" w:color="auto"/>
        <w:bottom w:val="none" w:sz="0" w:space="0" w:color="auto"/>
        <w:right w:val="none" w:sz="0" w:space="0" w:color="auto"/>
      </w:divBdr>
    </w:div>
    <w:div w:id="1347361942">
      <w:bodyDiv w:val="1"/>
      <w:marLeft w:val="0"/>
      <w:marRight w:val="0"/>
      <w:marTop w:val="0"/>
      <w:marBottom w:val="0"/>
      <w:divBdr>
        <w:top w:val="none" w:sz="0" w:space="0" w:color="auto"/>
        <w:left w:val="none" w:sz="0" w:space="0" w:color="auto"/>
        <w:bottom w:val="none" w:sz="0" w:space="0" w:color="auto"/>
        <w:right w:val="none" w:sz="0" w:space="0" w:color="auto"/>
      </w:divBdr>
    </w:div>
    <w:div w:id="1349991342">
      <w:bodyDiv w:val="1"/>
      <w:marLeft w:val="0"/>
      <w:marRight w:val="0"/>
      <w:marTop w:val="0"/>
      <w:marBottom w:val="0"/>
      <w:divBdr>
        <w:top w:val="none" w:sz="0" w:space="0" w:color="auto"/>
        <w:left w:val="none" w:sz="0" w:space="0" w:color="auto"/>
        <w:bottom w:val="none" w:sz="0" w:space="0" w:color="auto"/>
        <w:right w:val="none" w:sz="0" w:space="0" w:color="auto"/>
      </w:divBdr>
    </w:div>
    <w:div w:id="1359893806">
      <w:bodyDiv w:val="1"/>
      <w:marLeft w:val="0"/>
      <w:marRight w:val="0"/>
      <w:marTop w:val="0"/>
      <w:marBottom w:val="0"/>
      <w:divBdr>
        <w:top w:val="none" w:sz="0" w:space="0" w:color="auto"/>
        <w:left w:val="none" w:sz="0" w:space="0" w:color="auto"/>
        <w:bottom w:val="none" w:sz="0" w:space="0" w:color="auto"/>
        <w:right w:val="none" w:sz="0" w:space="0" w:color="auto"/>
      </w:divBdr>
    </w:div>
    <w:div w:id="1377583326">
      <w:bodyDiv w:val="1"/>
      <w:marLeft w:val="0"/>
      <w:marRight w:val="0"/>
      <w:marTop w:val="0"/>
      <w:marBottom w:val="0"/>
      <w:divBdr>
        <w:top w:val="none" w:sz="0" w:space="0" w:color="auto"/>
        <w:left w:val="none" w:sz="0" w:space="0" w:color="auto"/>
        <w:bottom w:val="none" w:sz="0" w:space="0" w:color="auto"/>
        <w:right w:val="none" w:sz="0" w:space="0" w:color="auto"/>
      </w:divBdr>
    </w:div>
    <w:div w:id="1411318285">
      <w:bodyDiv w:val="1"/>
      <w:marLeft w:val="0"/>
      <w:marRight w:val="0"/>
      <w:marTop w:val="0"/>
      <w:marBottom w:val="0"/>
      <w:divBdr>
        <w:top w:val="none" w:sz="0" w:space="0" w:color="auto"/>
        <w:left w:val="none" w:sz="0" w:space="0" w:color="auto"/>
        <w:bottom w:val="none" w:sz="0" w:space="0" w:color="auto"/>
        <w:right w:val="none" w:sz="0" w:space="0" w:color="auto"/>
      </w:divBdr>
    </w:div>
    <w:div w:id="1412700105">
      <w:bodyDiv w:val="1"/>
      <w:marLeft w:val="0"/>
      <w:marRight w:val="0"/>
      <w:marTop w:val="0"/>
      <w:marBottom w:val="0"/>
      <w:divBdr>
        <w:top w:val="none" w:sz="0" w:space="0" w:color="auto"/>
        <w:left w:val="none" w:sz="0" w:space="0" w:color="auto"/>
        <w:bottom w:val="none" w:sz="0" w:space="0" w:color="auto"/>
        <w:right w:val="none" w:sz="0" w:space="0" w:color="auto"/>
      </w:divBdr>
    </w:div>
    <w:div w:id="1419641035">
      <w:bodyDiv w:val="1"/>
      <w:marLeft w:val="0"/>
      <w:marRight w:val="0"/>
      <w:marTop w:val="0"/>
      <w:marBottom w:val="0"/>
      <w:divBdr>
        <w:top w:val="none" w:sz="0" w:space="0" w:color="auto"/>
        <w:left w:val="none" w:sz="0" w:space="0" w:color="auto"/>
        <w:bottom w:val="none" w:sz="0" w:space="0" w:color="auto"/>
        <w:right w:val="none" w:sz="0" w:space="0" w:color="auto"/>
      </w:divBdr>
    </w:div>
    <w:div w:id="1455978421">
      <w:bodyDiv w:val="1"/>
      <w:marLeft w:val="0"/>
      <w:marRight w:val="0"/>
      <w:marTop w:val="0"/>
      <w:marBottom w:val="0"/>
      <w:divBdr>
        <w:top w:val="none" w:sz="0" w:space="0" w:color="auto"/>
        <w:left w:val="none" w:sz="0" w:space="0" w:color="auto"/>
        <w:bottom w:val="none" w:sz="0" w:space="0" w:color="auto"/>
        <w:right w:val="none" w:sz="0" w:space="0" w:color="auto"/>
      </w:divBdr>
    </w:div>
    <w:div w:id="1458833166">
      <w:bodyDiv w:val="1"/>
      <w:marLeft w:val="0"/>
      <w:marRight w:val="0"/>
      <w:marTop w:val="0"/>
      <w:marBottom w:val="0"/>
      <w:divBdr>
        <w:top w:val="none" w:sz="0" w:space="0" w:color="auto"/>
        <w:left w:val="none" w:sz="0" w:space="0" w:color="auto"/>
        <w:bottom w:val="none" w:sz="0" w:space="0" w:color="auto"/>
        <w:right w:val="none" w:sz="0" w:space="0" w:color="auto"/>
      </w:divBdr>
    </w:div>
    <w:div w:id="1471554623">
      <w:bodyDiv w:val="1"/>
      <w:marLeft w:val="0"/>
      <w:marRight w:val="0"/>
      <w:marTop w:val="0"/>
      <w:marBottom w:val="0"/>
      <w:divBdr>
        <w:top w:val="none" w:sz="0" w:space="0" w:color="auto"/>
        <w:left w:val="none" w:sz="0" w:space="0" w:color="auto"/>
        <w:bottom w:val="none" w:sz="0" w:space="0" w:color="auto"/>
        <w:right w:val="none" w:sz="0" w:space="0" w:color="auto"/>
      </w:divBdr>
    </w:div>
    <w:div w:id="1473518444">
      <w:bodyDiv w:val="1"/>
      <w:marLeft w:val="0"/>
      <w:marRight w:val="0"/>
      <w:marTop w:val="0"/>
      <w:marBottom w:val="0"/>
      <w:divBdr>
        <w:top w:val="none" w:sz="0" w:space="0" w:color="auto"/>
        <w:left w:val="none" w:sz="0" w:space="0" w:color="auto"/>
        <w:bottom w:val="none" w:sz="0" w:space="0" w:color="auto"/>
        <w:right w:val="none" w:sz="0" w:space="0" w:color="auto"/>
      </w:divBdr>
    </w:div>
    <w:div w:id="1476875493">
      <w:bodyDiv w:val="1"/>
      <w:marLeft w:val="0"/>
      <w:marRight w:val="0"/>
      <w:marTop w:val="0"/>
      <w:marBottom w:val="0"/>
      <w:divBdr>
        <w:top w:val="none" w:sz="0" w:space="0" w:color="auto"/>
        <w:left w:val="none" w:sz="0" w:space="0" w:color="auto"/>
        <w:bottom w:val="none" w:sz="0" w:space="0" w:color="auto"/>
        <w:right w:val="none" w:sz="0" w:space="0" w:color="auto"/>
      </w:divBdr>
    </w:div>
    <w:div w:id="1496143462">
      <w:bodyDiv w:val="1"/>
      <w:marLeft w:val="0"/>
      <w:marRight w:val="0"/>
      <w:marTop w:val="0"/>
      <w:marBottom w:val="0"/>
      <w:divBdr>
        <w:top w:val="none" w:sz="0" w:space="0" w:color="auto"/>
        <w:left w:val="none" w:sz="0" w:space="0" w:color="auto"/>
        <w:bottom w:val="none" w:sz="0" w:space="0" w:color="auto"/>
        <w:right w:val="none" w:sz="0" w:space="0" w:color="auto"/>
      </w:divBdr>
    </w:div>
    <w:div w:id="1497258274">
      <w:bodyDiv w:val="1"/>
      <w:marLeft w:val="0"/>
      <w:marRight w:val="0"/>
      <w:marTop w:val="0"/>
      <w:marBottom w:val="0"/>
      <w:divBdr>
        <w:top w:val="none" w:sz="0" w:space="0" w:color="auto"/>
        <w:left w:val="none" w:sz="0" w:space="0" w:color="auto"/>
        <w:bottom w:val="none" w:sz="0" w:space="0" w:color="auto"/>
        <w:right w:val="none" w:sz="0" w:space="0" w:color="auto"/>
      </w:divBdr>
    </w:div>
    <w:div w:id="1499812693">
      <w:bodyDiv w:val="1"/>
      <w:marLeft w:val="0"/>
      <w:marRight w:val="0"/>
      <w:marTop w:val="0"/>
      <w:marBottom w:val="0"/>
      <w:divBdr>
        <w:top w:val="none" w:sz="0" w:space="0" w:color="auto"/>
        <w:left w:val="none" w:sz="0" w:space="0" w:color="auto"/>
        <w:bottom w:val="none" w:sz="0" w:space="0" w:color="auto"/>
        <w:right w:val="none" w:sz="0" w:space="0" w:color="auto"/>
      </w:divBdr>
    </w:div>
    <w:div w:id="1502310742">
      <w:bodyDiv w:val="1"/>
      <w:marLeft w:val="0"/>
      <w:marRight w:val="0"/>
      <w:marTop w:val="0"/>
      <w:marBottom w:val="0"/>
      <w:divBdr>
        <w:top w:val="none" w:sz="0" w:space="0" w:color="auto"/>
        <w:left w:val="none" w:sz="0" w:space="0" w:color="auto"/>
        <w:bottom w:val="none" w:sz="0" w:space="0" w:color="auto"/>
        <w:right w:val="none" w:sz="0" w:space="0" w:color="auto"/>
      </w:divBdr>
    </w:div>
    <w:div w:id="1518696737">
      <w:bodyDiv w:val="1"/>
      <w:marLeft w:val="0"/>
      <w:marRight w:val="0"/>
      <w:marTop w:val="0"/>
      <w:marBottom w:val="0"/>
      <w:divBdr>
        <w:top w:val="none" w:sz="0" w:space="0" w:color="auto"/>
        <w:left w:val="none" w:sz="0" w:space="0" w:color="auto"/>
        <w:bottom w:val="none" w:sz="0" w:space="0" w:color="auto"/>
        <w:right w:val="none" w:sz="0" w:space="0" w:color="auto"/>
      </w:divBdr>
    </w:div>
    <w:div w:id="1529949871">
      <w:bodyDiv w:val="1"/>
      <w:marLeft w:val="0"/>
      <w:marRight w:val="0"/>
      <w:marTop w:val="0"/>
      <w:marBottom w:val="0"/>
      <w:divBdr>
        <w:top w:val="none" w:sz="0" w:space="0" w:color="auto"/>
        <w:left w:val="none" w:sz="0" w:space="0" w:color="auto"/>
        <w:bottom w:val="none" w:sz="0" w:space="0" w:color="auto"/>
        <w:right w:val="none" w:sz="0" w:space="0" w:color="auto"/>
      </w:divBdr>
    </w:div>
    <w:div w:id="1541239283">
      <w:bodyDiv w:val="1"/>
      <w:marLeft w:val="0"/>
      <w:marRight w:val="0"/>
      <w:marTop w:val="0"/>
      <w:marBottom w:val="0"/>
      <w:divBdr>
        <w:top w:val="none" w:sz="0" w:space="0" w:color="auto"/>
        <w:left w:val="none" w:sz="0" w:space="0" w:color="auto"/>
        <w:bottom w:val="none" w:sz="0" w:space="0" w:color="auto"/>
        <w:right w:val="none" w:sz="0" w:space="0" w:color="auto"/>
      </w:divBdr>
    </w:div>
    <w:div w:id="1548226279">
      <w:bodyDiv w:val="1"/>
      <w:marLeft w:val="0"/>
      <w:marRight w:val="0"/>
      <w:marTop w:val="0"/>
      <w:marBottom w:val="0"/>
      <w:divBdr>
        <w:top w:val="none" w:sz="0" w:space="0" w:color="auto"/>
        <w:left w:val="none" w:sz="0" w:space="0" w:color="auto"/>
        <w:bottom w:val="none" w:sz="0" w:space="0" w:color="auto"/>
        <w:right w:val="none" w:sz="0" w:space="0" w:color="auto"/>
      </w:divBdr>
    </w:div>
    <w:div w:id="1551261477">
      <w:bodyDiv w:val="1"/>
      <w:marLeft w:val="0"/>
      <w:marRight w:val="0"/>
      <w:marTop w:val="0"/>
      <w:marBottom w:val="0"/>
      <w:divBdr>
        <w:top w:val="none" w:sz="0" w:space="0" w:color="auto"/>
        <w:left w:val="none" w:sz="0" w:space="0" w:color="auto"/>
        <w:bottom w:val="none" w:sz="0" w:space="0" w:color="auto"/>
        <w:right w:val="none" w:sz="0" w:space="0" w:color="auto"/>
      </w:divBdr>
    </w:div>
    <w:div w:id="1552498921">
      <w:bodyDiv w:val="1"/>
      <w:marLeft w:val="0"/>
      <w:marRight w:val="0"/>
      <w:marTop w:val="0"/>
      <w:marBottom w:val="0"/>
      <w:divBdr>
        <w:top w:val="none" w:sz="0" w:space="0" w:color="auto"/>
        <w:left w:val="none" w:sz="0" w:space="0" w:color="auto"/>
        <w:bottom w:val="none" w:sz="0" w:space="0" w:color="auto"/>
        <w:right w:val="none" w:sz="0" w:space="0" w:color="auto"/>
      </w:divBdr>
    </w:div>
    <w:div w:id="1557274074">
      <w:bodyDiv w:val="1"/>
      <w:marLeft w:val="0"/>
      <w:marRight w:val="0"/>
      <w:marTop w:val="0"/>
      <w:marBottom w:val="0"/>
      <w:divBdr>
        <w:top w:val="none" w:sz="0" w:space="0" w:color="auto"/>
        <w:left w:val="none" w:sz="0" w:space="0" w:color="auto"/>
        <w:bottom w:val="none" w:sz="0" w:space="0" w:color="auto"/>
        <w:right w:val="none" w:sz="0" w:space="0" w:color="auto"/>
      </w:divBdr>
    </w:div>
    <w:div w:id="1562060211">
      <w:bodyDiv w:val="1"/>
      <w:marLeft w:val="0"/>
      <w:marRight w:val="0"/>
      <w:marTop w:val="0"/>
      <w:marBottom w:val="0"/>
      <w:divBdr>
        <w:top w:val="none" w:sz="0" w:space="0" w:color="auto"/>
        <w:left w:val="none" w:sz="0" w:space="0" w:color="auto"/>
        <w:bottom w:val="none" w:sz="0" w:space="0" w:color="auto"/>
        <w:right w:val="none" w:sz="0" w:space="0" w:color="auto"/>
      </w:divBdr>
      <w:divsChild>
        <w:div w:id="58944820">
          <w:marLeft w:val="0"/>
          <w:marRight w:val="0"/>
          <w:marTop w:val="0"/>
          <w:marBottom w:val="0"/>
          <w:divBdr>
            <w:top w:val="none" w:sz="0" w:space="0" w:color="auto"/>
            <w:left w:val="none" w:sz="0" w:space="0" w:color="auto"/>
            <w:bottom w:val="none" w:sz="0" w:space="0" w:color="auto"/>
            <w:right w:val="none" w:sz="0" w:space="0" w:color="auto"/>
          </w:divBdr>
        </w:div>
        <w:div w:id="397552642">
          <w:marLeft w:val="0"/>
          <w:marRight w:val="0"/>
          <w:marTop w:val="0"/>
          <w:marBottom w:val="0"/>
          <w:divBdr>
            <w:top w:val="none" w:sz="0" w:space="0" w:color="auto"/>
            <w:left w:val="none" w:sz="0" w:space="0" w:color="auto"/>
            <w:bottom w:val="none" w:sz="0" w:space="0" w:color="auto"/>
            <w:right w:val="none" w:sz="0" w:space="0" w:color="auto"/>
          </w:divBdr>
        </w:div>
        <w:div w:id="410201494">
          <w:marLeft w:val="0"/>
          <w:marRight w:val="0"/>
          <w:marTop w:val="0"/>
          <w:marBottom w:val="0"/>
          <w:divBdr>
            <w:top w:val="none" w:sz="0" w:space="0" w:color="auto"/>
            <w:left w:val="none" w:sz="0" w:space="0" w:color="auto"/>
            <w:bottom w:val="none" w:sz="0" w:space="0" w:color="auto"/>
            <w:right w:val="none" w:sz="0" w:space="0" w:color="auto"/>
          </w:divBdr>
        </w:div>
        <w:div w:id="1044910140">
          <w:marLeft w:val="0"/>
          <w:marRight w:val="0"/>
          <w:marTop w:val="0"/>
          <w:marBottom w:val="0"/>
          <w:divBdr>
            <w:top w:val="none" w:sz="0" w:space="0" w:color="auto"/>
            <w:left w:val="none" w:sz="0" w:space="0" w:color="auto"/>
            <w:bottom w:val="none" w:sz="0" w:space="0" w:color="auto"/>
            <w:right w:val="none" w:sz="0" w:space="0" w:color="auto"/>
          </w:divBdr>
        </w:div>
        <w:div w:id="1093430243">
          <w:marLeft w:val="0"/>
          <w:marRight w:val="0"/>
          <w:marTop w:val="0"/>
          <w:marBottom w:val="0"/>
          <w:divBdr>
            <w:top w:val="none" w:sz="0" w:space="0" w:color="auto"/>
            <w:left w:val="none" w:sz="0" w:space="0" w:color="auto"/>
            <w:bottom w:val="none" w:sz="0" w:space="0" w:color="auto"/>
            <w:right w:val="none" w:sz="0" w:space="0" w:color="auto"/>
          </w:divBdr>
        </w:div>
        <w:div w:id="1492406781">
          <w:marLeft w:val="0"/>
          <w:marRight w:val="0"/>
          <w:marTop w:val="0"/>
          <w:marBottom w:val="0"/>
          <w:divBdr>
            <w:top w:val="none" w:sz="0" w:space="0" w:color="auto"/>
            <w:left w:val="none" w:sz="0" w:space="0" w:color="auto"/>
            <w:bottom w:val="none" w:sz="0" w:space="0" w:color="auto"/>
            <w:right w:val="none" w:sz="0" w:space="0" w:color="auto"/>
          </w:divBdr>
        </w:div>
        <w:div w:id="1656716497">
          <w:marLeft w:val="0"/>
          <w:marRight w:val="0"/>
          <w:marTop w:val="0"/>
          <w:marBottom w:val="0"/>
          <w:divBdr>
            <w:top w:val="none" w:sz="0" w:space="0" w:color="auto"/>
            <w:left w:val="none" w:sz="0" w:space="0" w:color="auto"/>
            <w:bottom w:val="none" w:sz="0" w:space="0" w:color="auto"/>
            <w:right w:val="none" w:sz="0" w:space="0" w:color="auto"/>
          </w:divBdr>
        </w:div>
        <w:div w:id="1860583503">
          <w:marLeft w:val="0"/>
          <w:marRight w:val="0"/>
          <w:marTop w:val="0"/>
          <w:marBottom w:val="0"/>
          <w:divBdr>
            <w:top w:val="none" w:sz="0" w:space="0" w:color="auto"/>
            <w:left w:val="none" w:sz="0" w:space="0" w:color="auto"/>
            <w:bottom w:val="none" w:sz="0" w:space="0" w:color="auto"/>
            <w:right w:val="none" w:sz="0" w:space="0" w:color="auto"/>
          </w:divBdr>
        </w:div>
        <w:div w:id="2000621311">
          <w:marLeft w:val="0"/>
          <w:marRight w:val="0"/>
          <w:marTop w:val="0"/>
          <w:marBottom w:val="0"/>
          <w:divBdr>
            <w:top w:val="none" w:sz="0" w:space="0" w:color="auto"/>
            <w:left w:val="none" w:sz="0" w:space="0" w:color="auto"/>
            <w:bottom w:val="none" w:sz="0" w:space="0" w:color="auto"/>
            <w:right w:val="none" w:sz="0" w:space="0" w:color="auto"/>
          </w:divBdr>
        </w:div>
        <w:div w:id="2082752051">
          <w:marLeft w:val="0"/>
          <w:marRight w:val="0"/>
          <w:marTop w:val="0"/>
          <w:marBottom w:val="0"/>
          <w:divBdr>
            <w:top w:val="none" w:sz="0" w:space="0" w:color="auto"/>
            <w:left w:val="none" w:sz="0" w:space="0" w:color="auto"/>
            <w:bottom w:val="none" w:sz="0" w:space="0" w:color="auto"/>
            <w:right w:val="none" w:sz="0" w:space="0" w:color="auto"/>
          </w:divBdr>
        </w:div>
      </w:divsChild>
    </w:div>
    <w:div w:id="1563785300">
      <w:bodyDiv w:val="1"/>
      <w:marLeft w:val="0"/>
      <w:marRight w:val="0"/>
      <w:marTop w:val="0"/>
      <w:marBottom w:val="0"/>
      <w:divBdr>
        <w:top w:val="none" w:sz="0" w:space="0" w:color="auto"/>
        <w:left w:val="none" w:sz="0" w:space="0" w:color="auto"/>
        <w:bottom w:val="none" w:sz="0" w:space="0" w:color="auto"/>
        <w:right w:val="none" w:sz="0" w:space="0" w:color="auto"/>
      </w:divBdr>
    </w:div>
    <w:div w:id="1574271202">
      <w:bodyDiv w:val="1"/>
      <w:marLeft w:val="0"/>
      <w:marRight w:val="0"/>
      <w:marTop w:val="0"/>
      <w:marBottom w:val="0"/>
      <w:divBdr>
        <w:top w:val="none" w:sz="0" w:space="0" w:color="auto"/>
        <w:left w:val="none" w:sz="0" w:space="0" w:color="auto"/>
        <w:bottom w:val="none" w:sz="0" w:space="0" w:color="auto"/>
        <w:right w:val="none" w:sz="0" w:space="0" w:color="auto"/>
      </w:divBdr>
    </w:div>
    <w:div w:id="1584949812">
      <w:bodyDiv w:val="1"/>
      <w:marLeft w:val="0"/>
      <w:marRight w:val="0"/>
      <w:marTop w:val="0"/>
      <w:marBottom w:val="0"/>
      <w:divBdr>
        <w:top w:val="none" w:sz="0" w:space="0" w:color="auto"/>
        <w:left w:val="none" w:sz="0" w:space="0" w:color="auto"/>
        <w:bottom w:val="none" w:sz="0" w:space="0" w:color="auto"/>
        <w:right w:val="none" w:sz="0" w:space="0" w:color="auto"/>
      </w:divBdr>
    </w:div>
    <w:div w:id="1602451726">
      <w:bodyDiv w:val="1"/>
      <w:marLeft w:val="0"/>
      <w:marRight w:val="0"/>
      <w:marTop w:val="0"/>
      <w:marBottom w:val="0"/>
      <w:divBdr>
        <w:top w:val="none" w:sz="0" w:space="0" w:color="auto"/>
        <w:left w:val="none" w:sz="0" w:space="0" w:color="auto"/>
        <w:bottom w:val="none" w:sz="0" w:space="0" w:color="auto"/>
        <w:right w:val="none" w:sz="0" w:space="0" w:color="auto"/>
      </w:divBdr>
    </w:div>
    <w:div w:id="1608848260">
      <w:bodyDiv w:val="1"/>
      <w:marLeft w:val="0"/>
      <w:marRight w:val="0"/>
      <w:marTop w:val="0"/>
      <w:marBottom w:val="0"/>
      <w:divBdr>
        <w:top w:val="none" w:sz="0" w:space="0" w:color="auto"/>
        <w:left w:val="none" w:sz="0" w:space="0" w:color="auto"/>
        <w:bottom w:val="none" w:sz="0" w:space="0" w:color="auto"/>
        <w:right w:val="none" w:sz="0" w:space="0" w:color="auto"/>
      </w:divBdr>
    </w:div>
    <w:div w:id="1610972099">
      <w:bodyDiv w:val="1"/>
      <w:marLeft w:val="0"/>
      <w:marRight w:val="0"/>
      <w:marTop w:val="0"/>
      <w:marBottom w:val="0"/>
      <w:divBdr>
        <w:top w:val="none" w:sz="0" w:space="0" w:color="auto"/>
        <w:left w:val="none" w:sz="0" w:space="0" w:color="auto"/>
        <w:bottom w:val="none" w:sz="0" w:space="0" w:color="auto"/>
        <w:right w:val="none" w:sz="0" w:space="0" w:color="auto"/>
      </w:divBdr>
    </w:div>
    <w:div w:id="1615289071">
      <w:bodyDiv w:val="1"/>
      <w:marLeft w:val="0"/>
      <w:marRight w:val="0"/>
      <w:marTop w:val="0"/>
      <w:marBottom w:val="0"/>
      <w:divBdr>
        <w:top w:val="none" w:sz="0" w:space="0" w:color="auto"/>
        <w:left w:val="none" w:sz="0" w:space="0" w:color="auto"/>
        <w:bottom w:val="none" w:sz="0" w:space="0" w:color="auto"/>
        <w:right w:val="none" w:sz="0" w:space="0" w:color="auto"/>
      </w:divBdr>
    </w:div>
    <w:div w:id="1615553258">
      <w:bodyDiv w:val="1"/>
      <w:marLeft w:val="0"/>
      <w:marRight w:val="0"/>
      <w:marTop w:val="0"/>
      <w:marBottom w:val="0"/>
      <w:divBdr>
        <w:top w:val="none" w:sz="0" w:space="0" w:color="auto"/>
        <w:left w:val="none" w:sz="0" w:space="0" w:color="auto"/>
        <w:bottom w:val="none" w:sz="0" w:space="0" w:color="auto"/>
        <w:right w:val="none" w:sz="0" w:space="0" w:color="auto"/>
      </w:divBdr>
    </w:div>
    <w:div w:id="1623531841">
      <w:bodyDiv w:val="1"/>
      <w:marLeft w:val="0"/>
      <w:marRight w:val="0"/>
      <w:marTop w:val="0"/>
      <w:marBottom w:val="0"/>
      <w:divBdr>
        <w:top w:val="none" w:sz="0" w:space="0" w:color="auto"/>
        <w:left w:val="none" w:sz="0" w:space="0" w:color="auto"/>
        <w:bottom w:val="none" w:sz="0" w:space="0" w:color="auto"/>
        <w:right w:val="none" w:sz="0" w:space="0" w:color="auto"/>
      </w:divBdr>
    </w:div>
    <w:div w:id="1646810395">
      <w:bodyDiv w:val="1"/>
      <w:marLeft w:val="0"/>
      <w:marRight w:val="0"/>
      <w:marTop w:val="0"/>
      <w:marBottom w:val="0"/>
      <w:divBdr>
        <w:top w:val="none" w:sz="0" w:space="0" w:color="auto"/>
        <w:left w:val="none" w:sz="0" w:space="0" w:color="auto"/>
        <w:bottom w:val="none" w:sz="0" w:space="0" w:color="auto"/>
        <w:right w:val="none" w:sz="0" w:space="0" w:color="auto"/>
      </w:divBdr>
    </w:div>
    <w:div w:id="1646934925">
      <w:bodyDiv w:val="1"/>
      <w:marLeft w:val="0"/>
      <w:marRight w:val="0"/>
      <w:marTop w:val="0"/>
      <w:marBottom w:val="0"/>
      <w:divBdr>
        <w:top w:val="none" w:sz="0" w:space="0" w:color="auto"/>
        <w:left w:val="none" w:sz="0" w:space="0" w:color="auto"/>
        <w:bottom w:val="none" w:sz="0" w:space="0" w:color="auto"/>
        <w:right w:val="none" w:sz="0" w:space="0" w:color="auto"/>
      </w:divBdr>
    </w:div>
    <w:div w:id="1651714449">
      <w:bodyDiv w:val="1"/>
      <w:marLeft w:val="0"/>
      <w:marRight w:val="0"/>
      <w:marTop w:val="0"/>
      <w:marBottom w:val="0"/>
      <w:divBdr>
        <w:top w:val="none" w:sz="0" w:space="0" w:color="auto"/>
        <w:left w:val="none" w:sz="0" w:space="0" w:color="auto"/>
        <w:bottom w:val="none" w:sz="0" w:space="0" w:color="auto"/>
        <w:right w:val="none" w:sz="0" w:space="0" w:color="auto"/>
      </w:divBdr>
    </w:div>
    <w:div w:id="1660885722">
      <w:bodyDiv w:val="1"/>
      <w:marLeft w:val="0"/>
      <w:marRight w:val="0"/>
      <w:marTop w:val="0"/>
      <w:marBottom w:val="0"/>
      <w:divBdr>
        <w:top w:val="none" w:sz="0" w:space="0" w:color="auto"/>
        <w:left w:val="none" w:sz="0" w:space="0" w:color="auto"/>
        <w:bottom w:val="none" w:sz="0" w:space="0" w:color="auto"/>
        <w:right w:val="none" w:sz="0" w:space="0" w:color="auto"/>
      </w:divBdr>
    </w:div>
    <w:div w:id="1665744671">
      <w:bodyDiv w:val="1"/>
      <w:marLeft w:val="0"/>
      <w:marRight w:val="0"/>
      <w:marTop w:val="0"/>
      <w:marBottom w:val="0"/>
      <w:divBdr>
        <w:top w:val="none" w:sz="0" w:space="0" w:color="auto"/>
        <w:left w:val="none" w:sz="0" w:space="0" w:color="auto"/>
        <w:bottom w:val="none" w:sz="0" w:space="0" w:color="auto"/>
        <w:right w:val="none" w:sz="0" w:space="0" w:color="auto"/>
      </w:divBdr>
    </w:div>
    <w:div w:id="1694527750">
      <w:bodyDiv w:val="1"/>
      <w:marLeft w:val="0"/>
      <w:marRight w:val="0"/>
      <w:marTop w:val="0"/>
      <w:marBottom w:val="0"/>
      <w:divBdr>
        <w:top w:val="none" w:sz="0" w:space="0" w:color="auto"/>
        <w:left w:val="none" w:sz="0" w:space="0" w:color="auto"/>
        <w:bottom w:val="none" w:sz="0" w:space="0" w:color="auto"/>
        <w:right w:val="none" w:sz="0" w:space="0" w:color="auto"/>
      </w:divBdr>
    </w:div>
    <w:div w:id="1695351616">
      <w:bodyDiv w:val="1"/>
      <w:marLeft w:val="0"/>
      <w:marRight w:val="0"/>
      <w:marTop w:val="0"/>
      <w:marBottom w:val="0"/>
      <w:divBdr>
        <w:top w:val="none" w:sz="0" w:space="0" w:color="auto"/>
        <w:left w:val="none" w:sz="0" w:space="0" w:color="auto"/>
        <w:bottom w:val="none" w:sz="0" w:space="0" w:color="auto"/>
        <w:right w:val="none" w:sz="0" w:space="0" w:color="auto"/>
      </w:divBdr>
    </w:div>
    <w:div w:id="1721129439">
      <w:bodyDiv w:val="1"/>
      <w:marLeft w:val="0"/>
      <w:marRight w:val="0"/>
      <w:marTop w:val="0"/>
      <w:marBottom w:val="0"/>
      <w:divBdr>
        <w:top w:val="none" w:sz="0" w:space="0" w:color="auto"/>
        <w:left w:val="none" w:sz="0" w:space="0" w:color="auto"/>
        <w:bottom w:val="none" w:sz="0" w:space="0" w:color="auto"/>
        <w:right w:val="none" w:sz="0" w:space="0" w:color="auto"/>
      </w:divBdr>
    </w:div>
    <w:div w:id="1728412612">
      <w:bodyDiv w:val="1"/>
      <w:marLeft w:val="0"/>
      <w:marRight w:val="0"/>
      <w:marTop w:val="0"/>
      <w:marBottom w:val="0"/>
      <w:divBdr>
        <w:top w:val="none" w:sz="0" w:space="0" w:color="auto"/>
        <w:left w:val="none" w:sz="0" w:space="0" w:color="auto"/>
        <w:bottom w:val="none" w:sz="0" w:space="0" w:color="auto"/>
        <w:right w:val="none" w:sz="0" w:space="0" w:color="auto"/>
      </w:divBdr>
    </w:div>
    <w:div w:id="1731147914">
      <w:bodyDiv w:val="1"/>
      <w:marLeft w:val="0"/>
      <w:marRight w:val="0"/>
      <w:marTop w:val="0"/>
      <w:marBottom w:val="0"/>
      <w:divBdr>
        <w:top w:val="none" w:sz="0" w:space="0" w:color="auto"/>
        <w:left w:val="none" w:sz="0" w:space="0" w:color="auto"/>
        <w:bottom w:val="none" w:sz="0" w:space="0" w:color="auto"/>
        <w:right w:val="none" w:sz="0" w:space="0" w:color="auto"/>
      </w:divBdr>
    </w:div>
    <w:div w:id="1739471247">
      <w:bodyDiv w:val="1"/>
      <w:marLeft w:val="0"/>
      <w:marRight w:val="0"/>
      <w:marTop w:val="0"/>
      <w:marBottom w:val="0"/>
      <w:divBdr>
        <w:top w:val="none" w:sz="0" w:space="0" w:color="auto"/>
        <w:left w:val="none" w:sz="0" w:space="0" w:color="auto"/>
        <w:bottom w:val="none" w:sz="0" w:space="0" w:color="auto"/>
        <w:right w:val="none" w:sz="0" w:space="0" w:color="auto"/>
      </w:divBdr>
    </w:div>
    <w:div w:id="1745251011">
      <w:bodyDiv w:val="1"/>
      <w:marLeft w:val="0"/>
      <w:marRight w:val="0"/>
      <w:marTop w:val="0"/>
      <w:marBottom w:val="0"/>
      <w:divBdr>
        <w:top w:val="none" w:sz="0" w:space="0" w:color="auto"/>
        <w:left w:val="none" w:sz="0" w:space="0" w:color="auto"/>
        <w:bottom w:val="none" w:sz="0" w:space="0" w:color="auto"/>
        <w:right w:val="none" w:sz="0" w:space="0" w:color="auto"/>
      </w:divBdr>
    </w:div>
    <w:div w:id="1748261372">
      <w:bodyDiv w:val="1"/>
      <w:marLeft w:val="0"/>
      <w:marRight w:val="0"/>
      <w:marTop w:val="0"/>
      <w:marBottom w:val="0"/>
      <w:divBdr>
        <w:top w:val="none" w:sz="0" w:space="0" w:color="auto"/>
        <w:left w:val="none" w:sz="0" w:space="0" w:color="auto"/>
        <w:bottom w:val="none" w:sz="0" w:space="0" w:color="auto"/>
        <w:right w:val="none" w:sz="0" w:space="0" w:color="auto"/>
      </w:divBdr>
    </w:div>
    <w:div w:id="1752775494">
      <w:bodyDiv w:val="1"/>
      <w:marLeft w:val="0"/>
      <w:marRight w:val="0"/>
      <w:marTop w:val="0"/>
      <w:marBottom w:val="0"/>
      <w:divBdr>
        <w:top w:val="none" w:sz="0" w:space="0" w:color="auto"/>
        <w:left w:val="none" w:sz="0" w:space="0" w:color="auto"/>
        <w:bottom w:val="none" w:sz="0" w:space="0" w:color="auto"/>
        <w:right w:val="none" w:sz="0" w:space="0" w:color="auto"/>
      </w:divBdr>
    </w:div>
    <w:div w:id="1755515481">
      <w:bodyDiv w:val="1"/>
      <w:marLeft w:val="0"/>
      <w:marRight w:val="0"/>
      <w:marTop w:val="0"/>
      <w:marBottom w:val="0"/>
      <w:divBdr>
        <w:top w:val="none" w:sz="0" w:space="0" w:color="auto"/>
        <w:left w:val="none" w:sz="0" w:space="0" w:color="auto"/>
        <w:bottom w:val="none" w:sz="0" w:space="0" w:color="auto"/>
        <w:right w:val="none" w:sz="0" w:space="0" w:color="auto"/>
      </w:divBdr>
    </w:div>
    <w:div w:id="1756514480">
      <w:bodyDiv w:val="1"/>
      <w:marLeft w:val="0"/>
      <w:marRight w:val="0"/>
      <w:marTop w:val="0"/>
      <w:marBottom w:val="0"/>
      <w:divBdr>
        <w:top w:val="none" w:sz="0" w:space="0" w:color="auto"/>
        <w:left w:val="none" w:sz="0" w:space="0" w:color="auto"/>
        <w:bottom w:val="none" w:sz="0" w:space="0" w:color="auto"/>
        <w:right w:val="none" w:sz="0" w:space="0" w:color="auto"/>
      </w:divBdr>
    </w:div>
    <w:div w:id="1762482905">
      <w:bodyDiv w:val="1"/>
      <w:marLeft w:val="0"/>
      <w:marRight w:val="0"/>
      <w:marTop w:val="0"/>
      <w:marBottom w:val="0"/>
      <w:divBdr>
        <w:top w:val="none" w:sz="0" w:space="0" w:color="auto"/>
        <w:left w:val="none" w:sz="0" w:space="0" w:color="auto"/>
        <w:bottom w:val="none" w:sz="0" w:space="0" w:color="auto"/>
        <w:right w:val="none" w:sz="0" w:space="0" w:color="auto"/>
      </w:divBdr>
    </w:div>
    <w:div w:id="1783376984">
      <w:bodyDiv w:val="1"/>
      <w:marLeft w:val="0"/>
      <w:marRight w:val="0"/>
      <w:marTop w:val="0"/>
      <w:marBottom w:val="0"/>
      <w:divBdr>
        <w:top w:val="none" w:sz="0" w:space="0" w:color="auto"/>
        <w:left w:val="none" w:sz="0" w:space="0" w:color="auto"/>
        <w:bottom w:val="none" w:sz="0" w:space="0" w:color="auto"/>
        <w:right w:val="none" w:sz="0" w:space="0" w:color="auto"/>
      </w:divBdr>
    </w:div>
    <w:div w:id="1783840332">
      <w:bodyDiv w:val="1"/>
      <w:marLeft w:val="0"/>
      <w:marRight w:val="0"/>
      <w:marTop w:val="0"/>
      <w:marBottom w:val="0"/>
      <w:divBdr>
        <w:top w:val="none" w:sz="0" w:space="0" w:color="auto"/>
        <w:left w:val="none" w:sz="0" w:space="0" w:color="auto"/>
        <w:bottom w:val="none" w:sz="0" w:space="0" w:color="auto"/>
        <w:right w:val="none" w:sz="0" w:space="0" w:color="auto"/>
      </w:divBdr>
    </w:div>
    <w:div w:id="1785995961">
      <w:bodyDiv w:val="1"/>
      <w:marLeft w:val="0"/>
      <w:marRight w:val="0"/>
      <w:marTop w:val="0"/>
      <w:marBottom w:val="0"/>
      <w:divBdr>
        <w:top w:val="none" w:sz="0" w:space="0" w:color="auto"/>
        <w:left w:val="none" w:sz="0" w:space="0" w:color="auto"/>
        <w:bottom w:val="none" w:sz="0" w:space="0" w:color="auto"/>
        <w:right w:val="none" w:sz="0" w:space="0" w:color="auto"/>
      </w:divBdr>
    </w:div>
    <w:div w:id="1789545195">
      <w:bodyDiv w:val="1"/>
      <w:marLeft w:val="0"/>
      <w:marRight w:val="0"/>
      <w:marTop w:val="0"/>
      <w:marBottom w:val="0"/>
      <w:divBdr>
        <w:top w:val="none" w:sz="0" w:space="0" w:color="auto"/>
        <w:left w:val="none" w:sz="0" w:space="0" w:color="auto"/>
        <w:bottom w:val="none" w:sz="0" w:space="0" w:color="auto"/>
        <w:right w:val="none" w:sz="0" w:space="0" w:color="auto"/>
      </w:divBdr>
    </w:div>
    <w:div w:id="1811944106">
      <w:bodyDiv w:val="1"/>
      <w:marLeft w:val="0"/>
      <w:marRight w:val="0"/>
      <w:marTop w:val="0"/>
      <w:marBottom w:val="0"/>
      <w:divBdr>
        <w:top w:val="none" w:sz="0" w:space="0" w:color="auto"/>
        <w:left w:val="none" w:sz="0" w:space="0" w:color="auto"/>
        <w:bottom w:val="none" w:sz="0" w:space="0" w:color="auto"/>
        <w:right w:val="none" w:sz="0" w:space="0" w:color="auto"/>
      </w:divBdr>
    </w:div>
    <w:div w:id="1814708940">
      <w:bodyDiv w:val="1"/>
      <w:marLeft w:val="0"/>
      <w:marRight w:val="0"/>
      <w:marTop w:val="0"/>
      <w:marBottom w:val="0"/>
      <w:divBdr>
        <w:top w:val="none" w:sz="0" w:space="0" w:color="auto"/>
        <w:left w:val="none" w:sz="0" w:space="0" w:color="auto"/>
        <w:bottom w:val="none" w:sz="0" w:space="0" w:color="auto"/>
        <w:right w:val="none" w:sz="0" w:space="0" w:color="auto"/>
      </w:divBdr>
    </w:div>
    <w:div w:id="1818758993">
      <w:bodyDiv w:val="1"/>
      <w:marLeft w:val="0"/>
      <w:marRight w:val="0"/>
      <w:marTop w:val="0"/>
      <w:marBottom w:val="0"/>
      <w:divBdr>
        <w:top w:val="none" w:sz="0" w:space="0" w:color="auto"/>
        <w:left w:val="none" w:sz="0" w:space="0" w:color="auto"/>
        <w:bottom w:val="none" w:sz="0" w:space="0" w:color="auto"/>
        <w:right w:val="none" w:sz="0" w:space="0" w:color="auto"/>
      </w:divBdr>
    </w:div>
    <w:div w:id="1872841206">
      <w:bodyDiv w:val="1"/>
      <w:marLeft w:val="0"/>
      <w:marRight w:val="0"/>
      <w:marTop w:val="0"/>
      <w:marBottom w:val="0"/>
      <w:divBdr>
        <w:top w:val="none" w:sz="0" w:space="0" w:color="auto"/>
        <w:left w:val="none" w:sz="0" w:space="0" w:color="auto"/>
        <w:bottom w:val="none" w:sz="0" w:space="0" w:color="auto"/>
        <w:right w:val="none" w:sz="0" w:space="0" w:color="auto"/>
      </w:divBdr>
    </w:div>
    <w:div w:id="1892422112">
      <w:bodyDiv w:val="1"/>
      <w:marLeft w:val="0"/>
      <w:marRight w:val="0"/>
      <w:marTop w:val="0"/>
      <w:marBottom w:val="0"/>
      <w:divBdr>
        <w:top w:val="none" w:sz="0" w:space="0" w:color="auto"/>
        <w:left w:val="none" w:sz="0" w:space="0" w:color="auto"/>
        <w:bottom w:val="none" w:sz="0" w:space="0" w:color="auto"/>
        <w:right w:val="none" w:sz="0" w:space="0" w:color="auto"/>
      </w:divBdr>
    </w:div>
    <w:div w:id="1949922651">
      <w:bodyDiv w:val="1"/>
      <w:marLeft w:val="0"/>
      <w:marRight w:val="0"/>
      <w:marTop w:val="0"/>
      <w:marBottom w:val="0"/>
      <w:divBdr>
        <w:top w:val="none" w:sz="0" w:space="0" w:color="auto"/>
        <w:left w:val="none" w:sz="0" w:space="0" w:color="auto"/>
        <w:bottom w:val="none" w:sz="0" w:space="0" w:color="auto"/>
        <w:right w:val="none" w:sz="0" w:space="0" w:color="auto"/>
      </w:divBdr>
    </w:div>
    <w:div w:id="1958675544">
      <w:bodyDiv w:val="1"/>
      <w:marLeft w:val="0"/>
      <w:marRight w:val="0"/>
      <w:marTop w:val="0"/>
      <w:marBottom w:val="0"/>
      <w:divBdr>
        <w:top w:val="none" w:sz="0" w:space="0" w:color="auto"/>
        <w:left w:val="none" w:sz="0" w:space="0" w:color="auto"/>
        <w:bottom w:val="none" w:sz="0" w:space="0" w:color="auto"/>
        <w:right w:val="none" w:sz="0" w:space="0" w:color="auto"/>
      </w:divBdr>
    </w:div>
    <w:div w:id="1983534159">
      <w:bodyDiv w:val="1"/>
      <w:marLeft w:val="0"/>
      <w:marRight w:val="0"/>
      <w:marTop w:val="0"/>
      <w:marBottom w:val="0"/>
      <w:divBdr>
        <w:top w:val="none" w:sz="0" w:space="0" w:color="auto"/>
        <w:left w:val="none" w:sz="0" w:space="0" w:color="auto"/>
        <w:bottom w:val="none" w:sz="0" w:space="0" w:color="auto"/>
        <w:right w:val="none" w:sz="0" w:space="0" w:color="auto"/>
      </w:divBdr>
    </w:div>
    <w:div w:id="1986009207">
      <w:bodyDiv w:val="1"/>
      <w:marLeft w:val="0"/>
      <w:marRight w:val="0"/>
      <w:marTop w:val="0"/>
      <w:marBottom w:val="0"/>
      <w:divBdr>
        <w:top w:val="none" w:sz="0" w:space="0" w:color="auto"/>
        <w:left w:val="none" w:sz="0" w:space="0" w:color="auto"/>
        <w:bottom w:val="none" w:sz="0" w:space="0" w:color="auto"/>
        <w:right w:val="none" w:sz="0" w:space="0" w:color="auto"/>
      </w:divBdr>
    </w:div>
    <w:div w:id="1999266862">
      <w:bodyDiv w:val="1"/>
      <w:marLeft w:val="0"/>
      <w:marRight w:val="0"/>
      <w:marTop w:val="0"/>
      <w:marBottom w:val="0"/>
      <w:divBdr>
        <w:top w:val="none" w:sz="0" w:space="0" w:color="auto"/>
        <w:left w:val="none" w:sz="0" w:space="0" w:color="auto"/>
        <w:bottom w:val="none" w:sz="0" w:space="0" w:color="auto"/>
        <w:right w:val="none" w:sz="0" w:space="0" w:color="auto"/>
      </w:divBdr>
    </w:div>
    <w:div w:id="2003073819">
      <w:bodyDiv w:val="1"/>
      <w:marLeft w:val="0"/>
      <w:marRight w:val="0"/>
      <w:marTop w:val="0"/>
      <w:marBottom w:val="0"/>
      <w:divBdr>
        <w:top w:val="none" w:sz="0" w:space="0" w:color="auto"/>
        <w:left w:val="none" w:sz="0" w:space="0" w:color="auto"/>
        <w:bottom w:val="none" w:sz="0" w:space="0" w:color="auto"/>
        <w:right w:val="none" w:sz="0" w:space="0" w:color="auto"/>
      </w:divBdr>
    </w:div>
    <w:div w:id="2013220389">
      <w:bodyDiv w:val="1"/>
      <w:marLeft w:val="0"/>
      <w:marRight w:val="0"/>
      <w:marTop w:val="0"/>
      <w:marBottom w:val="0"/>
      <w:divBdr>
        <w:top w:val="none" w:sz="0" w:space="0" w:color="auto"/>
        <w:left w:val="none" w:sz="0" w:space="0" w:color="auto"/>
        <w:bottom w:val="none" w:sz="0" w:space="0" w:color="auto"/>
        <w:right w:val="none" w:sz="0" w:space="0" w:color="auto"/>
      </w:divBdr>
    </w:div>
    <w:div w:id="2017920828">
      <w:bodyDiv w:val="1"/>
      <w:marLeft w:val="0"/>
      <w:marRight w:val="0"/>
      <w:marTop w:val="0"/>
      <w:marBottom w:val="0"/>
      <w:divBdr>
        <w:top w:val="none" w:sz="0" w:space="0" w:color="auto"/>
        <w:left w:val="none" w:sz="0" w:space="0" w:color="auto"/>
        <w:bottom w:val="none" w:sz="0" w:space="0" w:color="auto"/>
        <w:right w:val="none" w:sz="0" w:space="0" w:color="auto"/>
      </w:divBdr>
    </w:div>
    <w:div w:id="2028482925">
      <w:bodyDiv w:val="1"/>
      <w:marLeft w:val="0"/>
      <w:marRight w:val="0"/>
      <w:marTop w:val="0"/>
      <w:marBottom w:val="0"/>
      <w:divBdr>
        <w:top w:val="none" w:sz="0" w:space="0" w:color="auto"/>
        <w:left w:val="none" w:sz="0" w:space="0" w:color="auto"/>
        <w:bottom w:val="none" w:sz="0" w:space="0" w:color="auto"/>
        <w:right w:val="none" w:sz="0" w:space="0" w:color="auto"/>
      </w:divBdr>
    </w:div>
    <w:div w:id="2029136246">
      <w:bodyDiv w:val="1"/>
      <w:marLeft w:val="0"/>
      <w:marRight w:val="0"/>
      <w:marTop w:val="0"/>
      <w:marBottom w:val="0"/>
      <w:divBdr>
        <w:top w:val="none" w:sz="0" w:space="0" w:color="auto"/>
        <w:left w:val="none" w:sz="0" w:space="0" w:color="auto"/>
        <w:bottom w:val="none" w:sz="0" w:space="0" w:color="auto"/>
        <w:right w:val="none" w:sz="0" w:space="0" w:color="auto"/>
      </w:divBdr>
    </w:div>
    <w:div w:id="2040815584">
      <w:bodyDiv w:val="1"/>
      <w:marLeft w:val="0"/>
      <w:marRight w:val="0"/>
      <w:marTop w:val="0"/>
      <w:marBottom w:val="0"/>
      <w:divBdr>
        <w:top w:val="none" w:sz="0" w:space="0" w:color="auto"/>
        <w:left w:val="none" w:sz="0" w:space="0" w:color="auto"/>
        <w:bottom w:val="none" w:sz="0" w:space="0" w:color="auto"/>
        <w:right w:val="none" w:sz="0" w:space="0" w:color="auto"/>
      </w:divBdr>
    </w:div>
    <w:div w:id="2042585693">
      <w:bodyDiv w:val="1"/>
      <w:marLeft w:val="0"/>
      <w:marRight w:val="0"/>
      <w:marTop w:val="0"/>
      <w:marBottom w:val="0"/>
      <w:divBdr>
        <w:top w:val="none" w:sz="0" w:space="0" w:color="auto"/>
        <w:left w:val="none" w:sz="0" w:space="0" w:color="auto"/>
        <w:bottom w:val="none" w:sz="0" w:space="0" w:color="auto"/>
        <w:right w:val="none" w:sz="0" w:space="0" w:color="auto"/>
      </w:divBdr>
    </w:div>
    <w:div w:id="2049182027">
      <w:bodyDiv w:val="1"/>
      <w:marLeft w:val="0"/>
      <w:marRight w:val="0"/>
      <w:marTop w:val="0"/>
      <w:marBottom w:val="0"/>
      <w:divBdr>
        <w:top w:val="none" w:sz="0" w:space="0" w:color="auto"/>
        <w:left w:val="none" w:sz="0" w:space="0" w:color="auto"/>
        <w:bottom w:val="none" w:sz="0" w:space="0" w:color="auto"/>
        <w:right w:val="none" w:sz="0" w:space="0" w:color="auto"/>
      </w:divBdr>
    </w:div>
    <w:div w:id="2052722289">
      <w:bodyDiv w:val="1"/>
      <w:marLeft w:val="0"/>
      <w:marRight w:val="0"/>
      <w:marTop w:val="0"/>
      <w:marBottom w:val="0"/>
      <w:divBdr>
        <w:top w:val="none" w:sz="0" w:space="0" w:color="auto"/>
        <w:left w:val="none" w:sz="0" w:space="0" w:color="auto"/>
        <w:bottom w:val="none" w:sz="0" w:space="0" w:color="auto"/>
        <w:right w:val="none" w:sz="0" w:space="0" w:color="auto"/>
      </w:divBdr>
    </w:div>
    <w:div w:id="2054962830">
      <w:bodyDiv w:val="1"/>
      <w:marLeft w:val="0"/>
      <w:marRight w:val="0"/>
      <w:marTop w:val="0"/>
      <w:marBottom w:val="0"/>
      <w:divBdr>
        <w:top w:val="none" w:sz="0" w:space="0" w:color="auto"/>
        <w:left w:val="none" w:sz="0" w:space="0" w:color="auto"/>
        <w:bottom w:val="none" w:sz="0" w:space="0" w:color="auto"/>
        <w:right w:val="none" w:sz="0" w:space="0" w:color="auto"/>
      </w:divBdr>
    </w:div>
    <w:div w:id="2060745588">
      <w:bodyDiv w:val="1"/>
      <w:marLeft w:val="0"/>
      <w:marRight w:val="0"/>
      <w:marTop w:val="0"/>
      <w:marBottom w:val="0"/>
      <w:divBdr>
        <w:top w:val="none" w:sz="0" w:space="0" w:color="auto"/>
        <w:left w:val="none" w:sz="0" w:space="0" w:color="auto"/>
        <w:bottom w:val="none" w:sz="0" w:space="0" w:color="auto"/>
        <w:right w:val="none" w:sz="0" w:space="0" w:color="auto"/>
      </w:divBdr>
    </w:div>
    <w:div w:id="2060863405">
      <w:bodyDiv w:val="1"/>
      <w:marLeft w:val="0"/>
      <w:marRight w:val="0"/>
      <w:marTop w:val="0"/>
      <w:marBottom w:val="0"/>
      <w:divBdr>
        <w:top w:val="none" w:sz="0" w:space="0" w:color="auto"/>
        <w:left w:val="none" w:sz="0" w:space="0" w:color="auto"/>
        <w:bottom w:val="none" w:sz="0" w:space="0" w:color="auto"/>
        <w:right w:val="none" w:sz="0" w:space="0" w:color="auto"/>
      </w:divBdr>
    </w:div>
    <w:div w:id="2100246124">
      <w:bodyDiv w:val="1"/>
      <w:marLeft w:val="0"/>
      <w:marRight w:val="0"/>
      <w:marTop w:val="0"/>
      <w:marBottom w:val="0"/>
      <w:divBdr>
        <w:top w:val="none" w:sz="0" w:space="0" w:color="auto"/>
        <w:left w:val="none" w:sz="0" w:space="0" w:color="auto"/>
        <w:bottom w:val="none" w:sz="0" w:space="0" w:color="auto"/>
        <w:right w:val="none" w:sz="0" w:space="0" w:color="auto"/>
      </w:divBdr>
    </w:div>
    <w:div w:id="2109419893">
      <w:bodyDiv w:val="1"/>
      <w:marLeft w:val="0"/>
      <w:marRight w:val="0"/>
      <w:marTop w:val="0"/>
      <w:marBottom w:val="0"/>
      <w:divBdr>
        <w:top w:val="none" w:sz="0" w:space="0" w:color="auto"/>
        <w:left w:val="none" w:sz="0" w:space="0" w:color="auto"/>
        <w:bottom w:val="none" w:sz="0" w:space="0" w:color="auto"/>
        <w:right w:val="none" w:sz="0" w:space="0" w:color="auto"/>
      </w:divBdr>
    </w:div>
    <w:div w:id="2117020836">
      <w:bodyDiv w:val="1"/>
      <w:marLeft w:val="0"/>
      <w:marRight w:val="0"/>
      <w:marTop w:val="0"/>
      <w:marBottom w:val="0"/>
      <w:divBdr>
        <w:top w:val="none" w:sz="0" w:space="0" w:color="auto"/>
        <w:left w:val="none" w:sz="0" w:space="0" w:color="auto"/>
        <w:bottom w:val="none" w:sz="0" w:space="0" w:color="auto"/>
        <w:right w:val="none" w:sz="0" w:space="0" w:color="auto"/>
      </w:divBdr>
    </w:div>
    <w:div w:id="2118675187">
      <w:bodyDiv w:val="1"/>
      <w:marLeft w:val="0"/>
      <w:marRight w:val="0"/>
      <w:marTop w:val="0"/>
      <w:marBottom w:val="0"/>
      <w:divBdr>
        <w:top w:val="none" w:sz="0" w:space="0" w:color="auto"/>
        <w:left w:val="none" w:sz="0" w:space="0" w:color="auto"/>
        <w:bottom w:val="none" w:sz="0" w:space="0" w:color="auto"/>
        <w:right w:val="none" w:sz="0" w:space="0" w:color="auto"/>
      </w:divBdr>
    </w:div>
    <w:div w:id="2124764989">
      <w:bodyDiv w:val="1"/>
      <w:marLeft w:val="0"/>
      <w:marRight w:val="0"/>
      <w:marTop w:val="0"/>
      <w:marBottom w:val="0"/>
      <w:divBdr>
        <w:top w:val="none" w:sz="0" w:space="0" w:color="auto"/>
        <w:left w:val="none" w:sz="0" w:space="0" w:color="auto"/>
        <w:bottom w:val="none" w:sz="0" w:space="0" w:color="auto"/>
        <w:right w:val="none" w:sz="0" w:space="0" w:color="auto"/>
      </w:divBdr>
    </w:div>
    <w:div w:id="2129003706">
      <w:bodyDiv w:val="1"/>
      <w:marLeft w:val="0"/>
      <w:marRight w:val="0"/>
      <w:marTop w:val="0"/>
      <w:marBottom w:val="0"/>
      <w:divBdr>
        <w:top w:val="none" w:sz="0" w:space="0" w:color="auto"/>
        <w:left w:val="none" w:sz="0" w:space="0" w:color="auto"/>
        <w:bottom w:val="none" w:sz="0" w:space="0" w:color="auto"/>
        <w:right w:val="none" w:sz="0" w:space="0" w:color="auto"/>
      </w:divBdr>
    </w:div>
    <w:div w:id="213617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12324</b:Tag>
    <b:SourceType>InternetSite</b:SourceType>
    <b:Guid>{DD4DC40D-91C5-490E-BA54-09C68AA2D032}</b:Guid>
    <b:Author>
      <b:Author>
        <b:Corporate>123 NET</b:Corporate>
      </b:Author>
    </b:Author>
    <b:Title>The Evolution of Manhole Covers in Urban Infrastructure</b:Title>
    <b:InternetSiteTitle>123.NET web site</b:InternetSiteTitle>
    <b:Year>2024</b:Year>
    <b:Month>April</b:Month>
    <b:Day>11</b:Day>
    <b:URL>https://www.123.net/blog/the-evolution-of-manhole-covers-in-urban-infrastructure/</b:URL>
    <b:RefOrder>6</b:RefOrder>
  </b:Source>
  <b:Source>
    <b:Tag>Sai25</b:Tag>
    <b:SourceType>DocumentFromInternetSite</b:SourceType>
    <b:Guid>{7465C68E-5C4D-44E3-A367-0AF5C235CBB9}</b:Guid>
    <b:Author>
      <b:Author>
        <b:Corporate>Saint Gobain</b:Corporate>
      </b:Author>
    </b:Author>
    <b:Title>PAM Saint Gobain</b:Title>
    <b:Year>2025</b:Year>
    <b:Month>January</b:Month>
    <b:Day>22</b:Day>
    <b:URL>https://www.saint-gobain-pam.co.uk/inter-ax2</b:URL>
    <b:RefOrder>1</b:RefOrder>
  </b:Source>
  <b:Source>
    <b:Tag>Xom23</b:Tag>
    <b:SourceType>InternetSite</b:SourceType>
    <b:Guid>{5BC2D1BD-D2B1-470F-A7E2-F9A0B4AD8022}</b:Guid>
    <b:Author>
      <b:Author>
        <b:Corporate>Xometry Pro</b:Corporate>
      </b:Author>
    </b:Author>
    <b:Title>Blow Moulding Technology Overview</b:Title>
    <b:InternetSiteTitle>Xometry.pro</b:InternetSiteTitle>
    <b:Year>2023</b:Year>
    <b:Month>October</b:Month>
    <b:Day>17</b:Day>
    <b:URL>https://xometry.pro/en-uk/articles/blow-moulding-overview/</b:URL>
    <b:RefOrder>4</b:RefOrder>
  </b:Source>
  <b:Source>
    <b:Tag>Ste96</b:Tag>
    <b:SourceType>Book</b:SourceType>
    <b:Guid>{4E280816-B903-4A40-A442-1E3D042E600D}</b:Guid>
    <b:Title>Principles of Engineering Manufacture</b:Title>
    <b:Year>1996</b:Year>
    <b:Author>
      <b:Author>
        <b:NameList>
          <b:Person>
            <b:Last>Black</b:Last>
            <b:Middle>C</b:Middle>
            <b:First>S</b:First>
          </b:Person>
          <b:Person>
            <b:Last>Chiles</b:Last>
            <b:First>V</b:First>
          </b:Person>
          <b:Person>
            <b:Last>Lissaman</b:Last>
            <b:Middle>J</b:Middle>
            <b:First>A</b:First>
          </b:Person>
          <b:Person>
            <b:Last>Martin</b:Last>
            <b:Middle>J</b:Middle>
            <b:First>S</b:First>
          </b:Person>
        </b:NameList>
      </b:Author>
    </b:Author>
    <b:City>London</b:City>
    <b:Publisher>Arnold</b:Publisher>
    <b:RefOrder>7</b:RefOrder>
  </b:Source>
  <b:Source>
    <b:Tag>Bol89</b:Tag>
    <b:SourceType>Book</b:SourceType>
    <b:Guid>{8E8D8106-242E-4C01-A74C-53FFABCE1B71}</b:Guid>
    <b:Author>
      <b:Author>
        <b:NameList>
          <b:Person>
            <b:Last>Bolton</b:Last>
            <b:First>W</b:First>
          </b:Person>
        </b:NameList>
      </b:Author>
    </b:Author>
    <b:Title>Engineering Materials Technology</b:Title>
    <b:Year>1989</b:Year>
    <b:City>Oxford</b:City>
    <b:Publisher>Heinemann Newnes</b:Publisher>
    <b:RefOrder>8</b:RefOrder>
  </b:Source>
  <b:Source>
    <b:Tag>Xom231</b:Tag>
    <b:SourceType>InternetSite</b:SourceType>
    <b:Guid>{0FD43B2B-082A-4411-9C76-8A8F125130F9}</b:Guid>
    <b:Title>All About Sand Casting</b:Title>
    <b:Year>2023</b:Year>
    <b:Author>
      <b:Author>
        <b:Corporate>Xometry</b:Corporate>
      </b:Author>
    </b:Author>
    <b:InternetSiteTitle>Xometry.com</b:InternetSiteTitle>
    <b:Month>August</b:Month>
    <b:Day>26</b:Day>
    <b:URL>https://www.xometry.com/resources/casting/sand-casting/</b:URL>
    <b:RefOrder>3</b:RefOrder>
  </b:Source>
  <b:Source>
    <b:Tag>Gro13</b:Tag>
    <b:SourceType>Book</b:SourceType>
    <b:Guid>{A186A527-7B46-432B-95AE-C026F1D00981}</b:Guid>
    <b:Title>Principles of Modern Manufacturing</b:Title>
    <b:Year>2013</b:Year>
    <b:Author>
      <b:Author>
        <b:NameList>
          <b:Person>
            <b:Last>Groover</b:Last>
            <b:First>Mikell</b:First>
            <b:Middle>P</b:Middle>
          </b:Person>
        </b:NameList>
      </b:Author>
    </b:Author>
    <b:City>Singapore</b:City>
    <b:Publisher>John Wiley &amp; Sons, Inc</b:Publisher>
    <b:RefOrder>9</b:RefOrder>
  </b:Source>
  <b:Source>
    <b:Tag>Cal20</b:Tag>
    <b:SourceType>Book</b:SourceType>
    <b:Guid>{A8CA6876-CBB1-4E61-901B-68F60665F35F}</b:Guid>
    <b:Author>
      <b:Author>
        <b:NameList>
          <b:Person>
            <b:Last>Callister</b:Last>
            <b:Middle>D</b:Middle>
            <b:First>William</b:First>
          </b:Person>
          <b:Person>
            <b:Last>Rethwisch</b:Last>
            <b:Middle>G</b:Middle>
            <b:First>David</b:First>
          </b:Person>
        </b:NameList>
      </b:Author>
    </b:Author>
    <b:Title>Callister's Material Science and Engineering</b:Title>
    <b:Year>2020</b:Year>
    <b:City>Asia</b:City>
    <b:Publisher>John Wiley &amp; Sons</b:Publisher>
    <b:RefOrder>10</b:RefOrder>
  </b:Source>
  <b:Source>
    <b:Tag>The25</b:Tag>
    <b:SourceType>DocumentFromInternetSite</b:SourceType>
    <b:Guid>{BEDDF4B6-A990-4922-80ED-4F6D6872910F}</b:Guid>
    <b:Title>Life Cycle Environmental Impact of PET Water Bottles</b:Title>
    <b:Year>2025</b:Year>
    <b:Author>
      <b:Author>
        <b:Corporate>The National Institute of Health</b:Corporate>
      </b:Author>
    </b:Author>
    <b:InternetSiteTitle>National Institute of Health</b:InternetSiteTitle>
    <b:Month>January</b:Month>
    <b:Day>19</b:Day>
    <b:URL>https://nems.nih.gov/Documents/PETWaterBottlesEnvironmentalImpact.pdf</b:URL>
    <b:RefOrder>11</b:RefOrder>
  </b:Source>
  <b:Source>
    <b:Tag>Ash17</b:Tag>
    <b:SourceType>Book</b:SourceType>
    <b:Guid>{FDA6E064-3CA2-4FC7-81DD-3C813731B441}</b:Guid>
    <b:Title>Materials selection in mechanical design</b:Title>
    <b:Year>2017</b:Year>
    <b:Author>
      <b:Author>
        <b:NameList>
          <b:Person>
            <b:Last>Ashby</b:Last>
            <b:First>Michael</b:First>
            <b:Middle>F</b:Middle>
          </b:Person>
        </b:NameList>
      </b:Author>
    </b:Author>
    <b:City>Oxford</b:City>
    <b:Publisher>Elsevier Ltd.</b:Publisher>
    <b:RefOrder>12</b:RefOrder>
  </b:Source>
  <b:Source>
    <b:Tag>Don24</b:Tag>
    <b:SourceType>InternetSite</b:SourceType>
    <b:Guid>{BDB9E45B-294B-495D-BFBD-68088A9B5E23}</b:Guid>
    <b:Author>
      <b:Author>
        <b:NameList>
          <b:Person>
            <b:Last>Eastlake</b:Last>
            <b:First>Donna</b:First>
          </b:Person>
        </b:NameList>
      </b:Author>
    </b:Author>
    <b:Title>www.foodnavigator.com</b:Title>
    <b:InternetSiteTitle>Are plastic bottles safe in the sun</b:InternetSiteTitle>
    <b:Year>2024</b:Year>
    <b:Month>July</b:Month>
    <b:Day>02</b:Day>
    <b:URL>https://www.foodnavigator.com/Article/2024/07/02/are-plastic-bottles-safe-in-the-sun/</b:URL>
    <b:RefOrder>2</b:RefOrder>
  </b:Source>
  <b:Source>
    <b:Tag>Sop21</b:Tag>
    <b:SourceType>DocumentFromInternetSite</b:SourceType>
    <b:Guid>{5D8CBDCB-9765-4CB3-A797-0DA8ABE6D314}</b:Guid>
    <b:Author>
      <b:Author>
        <b:NameList>
          <b:Person>
            <b:Last>Putka</b:Last>
            <b:First>Sophie</b:First>
          </b:Person>
        </b:NameList>
      </b:Author>
    </b:Author>
    <b:Title>The Best Cookware, According to Science</b:Title>
    <b:InternetSiteTitle>Discover Magazine</b:InternetSiteTitle>
    <b:Year>2021</b:Year>
    <b:Month>January</b:Month>
    <b:Day>21</b:Day>
    <b:URL>https://www.discovermagazine.com/health/the-best-cookware-according-to-science</b:URL>
    <b:RefOrder>13</b:RefOrder>
  </b:Source>
  <b:Source>
    <b:Tag>Jig25</b:Tag>
    <b:SourceType>InternetSite</b:SourceType>
    <b:Guid>{8AC5760F-E793-47D5-86B6-88B9BF6BEC74}</b:Guid>
    <b:Title>Jigger and Jolly ceramic pottery tools</b:Title>
    <b:InternetSiteTitle>Gotheborg.com</b:InternetSiteTitle>
    <b:Year>2025</b:Year>
    <b:Month>January</b:Month>
    <b:Day>23</b:Day>
    <b:URL>https://gotheborg.com/glossary/jiggerandjolly.shtml</b:URL>
    <b:Author>
      <b:Author>
        <b:Corporate>Gotheborg</b:Corporate>
      </b:Author>
    </b:Author>
    <b:RefOrder>5</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2" ma:contentTypeDescription="Create a new document." ma:contentTypeScope="" ma:versionID="7abedf78553a7632df712d4b73aefffe">
  <xsd:schema xmlns:xsd="http://www.w3.org/2001/XMLSchema" xmlns:xs="http://www.w3.org/2001/XMLSchema" xmlns:p="http://schemas.microsoft.com/office/2006/metadata/properties" xmlns:ns3="bf244c3e-e0b4-4871-bb4e-fd032a14544d" targetNamespace="http://schemas.microsoft.com/office/2006/metadata/properties" ma:root="true" ma:fieldsID="1231f96b70b4813d7d1e459b91258db6"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26404-7751-43B5-8ED2-B7AE676C551C}">
  <ds:schemaRefs>
    <ds:schemaRef ds:uri="http://schemas.microsoft.com/sharepoint/v3/contenttype/forms"/>
  </ds:schemaRefs>
</ds:datastoreItem>
</file>

<file path=customXml/itemProps2.xml><?xml version="1.0" encoding="utf-8"?>
<ds:datastoreItem xmlns:ds="http://schemas.openxmlformats.org/officeDocument/2006/customXml" ds:itemID="{BAA14E35-BB48-43CE-8E8E-6B91CE2450CE}">
  <ds:schemaRefs>
    <ds:schemaRef ds:uri="http://schemas.openxmlformats.org/officeDocument/2006/bibliography"/>
  </ds:schemaRefs>
</ds:datastoreItem>
</file>

<file path=customXml/itemProps3.xml><?xml version="1.0" encoding="utf-8"?>
<ds:datastoreItem xmlns:ds="http://schemas.openxmlformats.org/officeDocument/2006/customXml" ds:itemID="{C61BA74B-60B9-4C49-8068-CEFAB37673F3}">
  <ds:schemaRefs>
    <ds:schemaRef ds:uri="http://schemas.microsoft.com/office/2006/metadata/properties"/>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bf244c3e-e0b4-4871-bb4e-fd032a14544d"/>
    <ds:schemaRef ds:uri="http://purl.org/dc/terms/"/>
    <ds:schemaRef ds:uri="http://purl.org/dc/elements/1.1/"/>
  </ds:schemaRefs>
</ds:datastoreItem>
</file>

<file path=customXml/itemProps4.xml><?xml version="1.0" encoding="utf-8"?>
<ds:datastoreItem xmlns:ds="http://schemas.openxmlformats.org/officeDocument/2006/customXml" ds:itemID="{D63369A5-B93C-4EE7-964D-EF2C154F1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3863</Words>
  <Characters>22020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25832</CharactersWithSpaces>
  <SharedDoc>false</SharedDoc>
  <HLinks>
    <vt:vector size="168" baseType="variant">
      <vt:variant>
        <vt:i4>1835057</vt:i4>
      </vt:variant>
      <vt:variant>
        <vt:i4>170</vt:i4>
      </vt:variant>
      <vt:variant>
        <vt:i4>0</vt:i4>
      </vt:variant>
      <vt:variant>
        <vt:i4>5</vt:i4>
      </vt:variant>
      <vt:variant>
        <vt:lpwstr/>
      </vt:variant>
      <vt:variant>
        <vt:lpwstr>_Toc189316861</vt:lpwstr>
      </vt:variant>
      <vt:variant>
        <vt:i4>1835057</vt:i4>
      </vt:variant>
      <vt:variant>
        <vt:i4>164</vt:i4>
      </vt:variant>
      <vt:variant>
        <vt:i4>0</vt:i4>
      </vt:variant>
      <vt:variant>
        <vt:i4>5</vt:i4>
      </vt:variant>
      <vt:variant>
        <vt:lpwstr/>
      </vt:variant>
      <vt:variant>
        <vt:lpwstr>_Toc189316860</vt:lpwstr>
      </vt:variant>
      <vt:variant>
        <vt:i4>2031665</vt:i4>
      </vt:variant>
      <vt:variant>
        <vt:i4>158</vt:i4>
      </vt:variant>
      <vt:variant>
        <vt:i4>0</vt:i4>
      </vt:variant>
      <vt:variant>
        <vt:i4>5</vt:i4>
      </vt:variant>
      <vt:variant>
        <vt:lpwstr/>
      </vt:variant>
      <vt:variant>
        <vt:lpwstr>_Toc189316859</vt:lpwstr>
      </vt:variant>
      <vt:variant>
        <vt:i4>2031665</vt:i4>
      </vt:variant>
      <vt:variant>
        <vt:i4>152</vt:i4>
      </vt:variant>
      <vt:variant>
        <vt:i4>0</vt:i4>
      </vt:variant>
      <vt:variant>
        <vt:i4>5</vt:i4>
      </vt:variant>
      <vt:variant>
        <vt:lpwstr/>
      </vt:variant>
      <vt:variant>
        <vt:lpwstr>_Toc189316858</vt:lpwstr>
      </vt:variant>
      <vt:variant>
        <vt:i4>2031665</vt:i4>
      </vt:variant>
      <vt:variant>
        <vt:i4>146</vt:i4>
      </vt:variant>
      <vt:variant>
        <vt:i4>0</vt:i4>
      </vt:variant>
      <vt:variant>
        <vt:i4>5</vt:i4>
      </vt:variant>
      <vt:variant>
        <vt:lpwstr/>
      </vt:variant>
      <vt:variant>
        <vt:lpwstr>_Toc189316857</vt:lpwstr>
      </vt:variant>
      <vt:variant>
        <vt:i4>2031665</vt:i4>
      </vt:variant>
      <vt:variant>
        <vt:i4>140</vt:i4>
      </vt:variant>
      <vt:variant>
        <vt:i4>0</vt:i4>
      </vt:variant>
      <vt:variant>
        <vt:i4>5</vt:i4>
      </vt:variant>
      <vt:variant>
        <vt:lpwstr/>
      </vt:variant>
      <vt:variant>
        <vt:lpwstr>_Toc189316856</vt:lpwstr>
      </vt:variant>
      <vt:variant>
        <vt:i4>1638449</vt:i4>
      </vt:variant>
      <vt:variant>
        <vt:i4>131</vt:i4>
      </vt:variant>
      <vt:variant>
        <vt:i4>0</vt:i4>
      </vt:variant>
      <vt:variant>
        <vt:i4>5</vt:i4>
      </vt:variant>
      <vt:variant>
        <vt:lpwstr/>
      </vt:variant>
      <vt:variant>
        <vt:lpwstr>_Toc189316837</vt:lpwstr>
      </vt:variant>
      <vt:variant>
        <vt:i4>1310769</vt:i4>
      </vt:variant>
      <vt:variant>
        <vt:i4>122</vt:i4>
      </vt:variant>
      <vt:variant>
        <vt:i4>0</vt:i4>
      </vt:variant>
      <vt:variant>
        <vt:i4>5</vt:i4>
      </vt:variant>
      <vt:variant>
        <vt:lpwstr/>
      </vt:variant>
      <vt:variant>
        <vt:lpwstr>_Toc209787236</vt:lpwstr>
      </vt:variant>
      <vt:variant>
        <vt:i4>1310769</vt:i4>
      </vt:variant>
      <vt:variant>
        <vt:i4>116</vt:i4>
      </vt:variant>
      <vt:variant>
        <vt:i4>0</vt:i4>
      </vt:variant>
      <vt:variant>
        <vt:i4>5</vt:i4>
      </vt:variant>
      <vt:variant>
        <vt:lpwstr/>
      </vt:variant>
      <vt:variant>
        <vt:lpwstr>_Toc209787235</vt:lpwstr>
      </vt:variant>
      <vt:variant>
        <vt:i4>1310769</vt:i4>
      </vt:variant>
      <vt:variant>
        <vt:i4>110</vt:i4>
      </vt:variant>
      <vt:variant>
        <vt:i4>0</vt:i4>
      </vt:variant>
      <vt:variant>
        <vt:i4>5</vt:i4>
      </vt:variant>
      <vt:variant>
        <vt:lpwstr/>
      </vt:variant>
      <vt:variant>
        <vt:lpwstr>_Toc209787234</vt:lpwstr>
      </vt:variant>
      <vt:variant>
        <vt:i4>1310769</vt:i4>
      </vt:variant>
      <vt:variant>
        <vt:i4>104</vt:i4>
      </vt:variant>
      <vt:variant>
        <vt:i4>0</vt:i4>
      </vt:variant>
      <vt:variant>
        <vt:i4>5</vt:i4>
      </vt:variant>
      <vt:variant>
        <vt:lpwstr/>
      </vt:variant>
      <vt:variant>
        <vt:lpwstr>_Toc209787233</vt:lpwstr>
      </vt:variant>
      <vt:variant>
        <vt:i4>1310769</vt:i4>
      </vt:variant>
      <vt:variant>
        <vt:i4>98</vt:i4>
      </vt:variant>
      <vt:variant>
        <vt:i4>0</vt:i4>
      </vt:variant>
      <vt:variant>
        <vt:i4>5</vt:i4>
      </vt:variant>
      <vt:variant>
        <vt:lpwstr/>
      </vt:variant>
      <vt:variant>
        <vt:lpwstr>_Toc209787232</vt:lpwstr>
      </vt:variant>
      <vt:variant>
        <vt:i4>1310769</vt:i4>
      </vt:variant>
      <vt:variant>
        <vt:i4>92</vt:i4>
      </vt:variant>
      <vt:variant>
        <vt:i4>0</vt:i4>
      </vt:variant>
      <vt:variant>
        <vt:i4>5</vt:i4>
      </vt:variant>
      <vt:variant>
        <vt:lpwstr/>
      </vt:variant>
      <vt:variant>
        <vt:lpwstr>_Toc209787231</vt:lpwstr>
      </vt:variant>
      <vt:variant>
        <vt:i4>1310769</vt:i4>
      </vt:variant>
      <vt:variant>
        <vt:i4>86</vt:i4>
      </vt:variant>
      <vt:variant>
        <vt:i4>0</vt:i4>
      </vt:variant>
      <vt:variant>
        <vt:i4>5</vt:i4>
      </vt:variant>
      <vt:variant>
        <vt:lpwstr/>
      </vt:variant>
      <vt:variant>
        <vt:lpwstr>_Toc209787230</vt:lpwstr>
      </vt:variant>
      <vt:variant>
        <vt:i4>1376305</vt:i4>
      </vt:variant>
      <vt:variant>
        <vt:i4>80</vt:i4>
      </vt:variant>
      <vt:variant>
        <vt:i4>0</vt:i4>
      </vt:variant>
      <vt:variant>
        <vt:i4>5</vt:i4>
      </vt:variant>
      <vt:variant>
        <vt:lpwstr/>
      </vt:variant>
      <vt:variant>
        <vt:lpwstr>_Toc209787229</vt:lpwstr>
      </vt:variant>
      <vt:variant>
        <vt:i4>1376305</vt:i4>
      </vt:variant>
      <vt:variant>
        <vt:i4>74</vt:i4>
      </vt:variant>
      <vt:variant>
        <vt:i4>0</vt:i4>
      </vt:variant>
      <vt:variant>
        <vt:i4>5</vt:i4>
      </vt:variant>
      <vt:variant>
        <vt:lpwstr/>
      </vt:variant>
      <vt:variant>
        <vt:lpwstr>_Toc209787228</vt:lpwstr>
      </vt:variant>
      <vt:variant>
        <vt:i4>1376305</vt:i4>
      </vt:variant>
      <vt:variant>
        <vt:i4>68</vt:i4>
      </vt:variant>
      <vt:variant>
        <vt:i4>0</vt:i4>
      </vt:variant>
      <vt:variant>
        <vt:i4>5</vt:i4>
      </vt:variant>
      <vt:variant>
        <vt:lpwstr/>
      </vt:variant>
      <vt:variant>
        <vt:lpwstr>_Toc209787227</vt:lpwstr>
      </vt:variant>
      <vt:variant>
        <vt:i4>1376305</vt:i4>
      </vt:variant>
      <vt:variant>
        <vt:i4>62</vt:i4>
      </vt:variant>
      <vt:variant>
        <vt:i4>0</vt:i4>
      </vt:variant>
      <vt:variant>
        <vt:i4>5</vt:i4>
      </vt:variant>
      <vt:variant>
        <vt:lpwstr/>
      </vt:variant>
      <vt:variant>
        <vt:lpwstr>_Toc209787226</vt:lpwstr>
      </vt:variant>
      <vt:variant>
        <vt:i4>1376305</vt:i4>
      </vt:variant>
      <vt:variant>
        <vt:i4>56</vt:i4>
      </vt:variant>
      <vt:variant>
        <vt:i4>0</vt:i4>
      </vt:variant>
      <vt:variant>
        <vt:i4>5</vt:i4>
      </vt:variant>
      <vt:variant>
        <vt:lpwstr/>
      </vt:variant>
      <vt:variant>
        <vt:lpwstr>_Toc209787225</vt:lpwstr>
      </vt:variant>
      <vt:variant>
        <vt:i4>1376305</vt:i4>
      </vt:variant>
      <vt:variant>
        <vt:i4>50</vt:i4>
      </vt:variant>
      <vt:variant>
        <vt:i4>0</vt:i4>
      </vt:variant>
      <vt:variant>
        <vt:i4>5</vt:i4>
      </vt:variant>
      <vt:variant>
        <vt:lpwstr/>
      </vt:variant>
      <vt:variant>
        <vt:lpwstr>_Toc209787224</vt:lpwstr>
      </vt:variant>
      <vt:variant>
        <vt:i4>1376305</vt:i4>
      </vt:variant>
      <vt:variant>
        <vt:i4>44</vt:i4>
      </vt:variant>
      <vt:variant>
        <vt:i4>0</vt:i4>
      </vt:variant>
      <vt:variant>
        <vt:i4>5</vt:i4>
      </vt:variant>
      <vt:variant>
        <vt:lpwstr/>
      </vt:variant>
      <vt:variant>
        <vt:lpwstr>_Toc209787223</vt:lpwstr>
      </vt:variant>
      <vt:variant>
        <vt:i4>1376305</vt:i4>
      </vt:variant>
      <vt:variant>
        <vt:i4>38</vt:i4>
      </vt:variant>
      <vt:variant>
        <vt:i4>0</vt:i4>
      </vt:variant>
      <vt:variant>
        <vt:i4>5</vt:i4>
      </vt:variant>
      <vt:variant>
        <vt:lpwstr/>
      </vt:variant>
      <vt:variant>
        <vt:lpwstr>_Toc209787222</vt:lpwstr>
      </vt:variant>
      <vt:variant>
        <vt:i4>1376305</vt:i4>
      </vt:variant>
      <vt:variant>
        <vt:i4>32</vt:i4>
      </vt:variant>
      <vt:variant>
        <vt:i4>0</vt:i4>
      </vt:variant>
      <vt:variant>
        <vt:i4>5</vt:i4>
      </vt:variant>
      <vt:variant>
        <vt:lpwstr/>
      </vt:variant>
      <vt:variant>
        <vt:lpwstr>_Toc209787221</vt:lpwstr>
      </vt:variant>
      <vt:variant>
        <vt:i4>1376305</vt:i4>
      </vt:variant>
      <vt:variant>
        <vt:i4>26</vt:i4>
      </vt:variant>
      <vt:variant>
        <vt:i4>0</vt:i4>
      </vt:variant>
      <vt:variant>
        <vt:i4>5</vt:i4>
      </vt:variant>
      <vt:variant>
        <vt:lpwstr/>
      </vt:variant>
      <vt:variant>
        <vt:lpwstr>_Toc209787220</vt:lpwstr>
      </vt:variant>
      <vt:variant>
        <vt:i4>1441841</vt:i4>
      </vt:variant>
      <vt:variant>
        <vt:i4>20</vt:i4>
      </vt:variant>
      <vt:variant>
        <vt:i4>0</vt:i4>
      </vt:variant>
      <vt:variant>
        <vt:i4>5</vt:i4>
      </vt:variant>
      <vt:variant>
        <vt:lpwstr/>
      </vt:variant>
      <vt:variant>
        <vt:lpwstr>_Toc209787219</vt:lpwstr>
      </vt:variant>
      <vt:variant>
        <vt:i4>1441841</vt:i4>
      </vt:variant>
      <vt:variant>
        <vt:i4>14</vt:i4>
      </vt:variant>
      <vt:variant>
        <vt:i4>0</vt:i4>
      </vt:variant>
      <vt:variant>
        <vt:i4>5</vt:i4>
      </vt:variant>
      <vt:variant>
        <vt:lpwstr/>
      </vt:variant>
      <vt:variant>
        <vt:lpwstr>_Toc209787218</vt:lpwstr>
      </vt:variant>
      <vt:variant>
        <vt:i4>1441841</vt:i4>
      </vt:variant>
      <vt:variant>
        <vt:i4>8</vt:i4>
      </vt:variant>
      <vt:variant>
        <vt:i4>0</vt:i4>
      </vt:variant>
      <vt:variant>
        <vt:i4>5</vt:i4>
      </vt:variant>
      <vt:variant>
        <vt:lpwstr/>
      </vt:variant>
      <vt:variant>
        <vt:lpwstr>_Toc209787217</vt:lpwstr>
      </vt:variant>
      <vt:variant>
        <vt:i4>1441841</vt:i4>
      </vt:variant>
      <vt:variant>
        <vt:i4>2</vt:i4>
      </vt:variant>
      <vt:variant>
        <vt:i4>0</vt:i4>
      </vt:variant>
      <vt:variant>
        <vt:i4>5</vt:i4>
      </vt:variant>
      <vt:variant>
        <vt:lpwstr/>
      </vt:variant>
      <vt:variant>
        <vt:lpwstr>_Toc209787216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Williams</dc:creator>
  <cp:keywords/>
  <dc:description/>
  <cp:lastModifiedBy>Ifeoluwa Ekhator (2418900)</cp:lastModifiedBy>
  <cp:revision>2</cp:revision>
  <dcterms:created xsi:type="dcterms:W3CDTF">2026-04-27T07:41:00Z</dcterms:created>
  <dcterms:modified xsi:type="dcterms:W3CDTF">2026-04-27T07:41:00Z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4277eec0,317352b3,7beac9f</vt:lpwstr>
  </property>
  <property fmtid="{D5CDD505-2E9C-101B-9397-08002B2CF9AE}" pid="3" name="ClassificationContentMarkingHeaderFontProps">
    <vt:lpwstr>#ff8c00,10,Calibri</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2025-09-26T08:59:10Z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3a86b2e1-7722-43d5-9331-1fe3c579b3fa</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y fmtid="{D5CDD505-2E9C-101B-9397-08002B2CF9AE}" pid="13" name="ContentTypeId">
    <vt:lpwstr>0x010100885BDE7C2597694E9B52267909D130AC</vt:lpwstr>
  </property>
</Properties>
</file>