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BFEE4" w14:textId="6BDB06D1" w:rsidR="004D70BE" w:rsidRDefault="004D70BE">
      <w:pPr>
        <w:rPr>
          <w:rFonts w:ascii="Times New Roman" w:hAnsi="Times New Roman" w:cs="Times New Roman"/>
        </w:rPr>
      </w:pPr>
      <w:r>
        <w:rPr>
          <w:rFonts w:ascii="Times New Roman" w:hAnsi="Times New Roman" w:cs="Times New Roman"/>
        </w:rPr>
        <w:t>Reed Martini-Y Mabinogi Analysis Assignment 1</w:t>
      </w:r>
    </w:p>
    <w:p w14:paraId="124D4F7D" w14:textId="77777777" w:rsidR="004D70BE" w:rsidRDefault="004D70BE">
      <w:pPr>
        <w:rPr>
          <w:rFonts w:ascii="Times New Roman" w:hAnsi="Times New Roman" w:cs="Times New Roman"/>
        </w:rPr>
      </w:pPr>
    </w:p>
    <w:p w14:paraId="6CF9569A" w14:textId="37BE158B" w:rsidR="006F15DA" w:rsidRDefault="00386B47">
      <w:pPr>
        <w:rPr>
          <w:rFonts w:ascii="Times New Roman" w:hAnsi="Times New Roman" w:cs="Times New Roman"/>
        </w:rPr>
      </w:pPr>
      <w:r>
        <w:rPr>
          <w:rFonts w:ascii="Times New Roman" w:hAnsi="Times New Roman" w:cs="Times New Roman"/>
        </w:rPr>
        <w:t>The second branch of the Mabinogi is a great tale of the struggle between two nations. Matholwch, the King of Ireland, comes to the Island of the mighty in search of Branwen, the sister of Bendigeidfran, King of the Island of the Mighty. The intent of Matholwch is to marry Branwen and join the two islands together and Bendigeidfran agrees to the union. After the marriage, Efnysien, another brother of Branwen and Bendigeidfran, commits horrible acts of violence towards the horses of Matholwch without Bendigeidfran or Branwen’s knowledge or permission but nonetheless</w:t>
      </w:r>
      <w:r w:rsidR="005A744A">
        <w:rPr>
          <w:rFonts w:ascii="Times New Roman" w:hAnsi="Times New Roman" w:cs="Times New Roman"/>
        </w:rPr>
        <w:t xml:space="preserve"> this starts a series of skirmishes between the two islands. The passage that I will be analyzing in this paper takes place when the men from the Island of the Mighty cross to Ireland to fight Matholwch and are subsequently invited to a newly built house on the pretense of peace. The house is actually a trap laid for Bendigeidfran and his men wherein soldiers hide in flour sacs hoping to surprise their </w:t>
      </w:r>
      <w:r w:rsidR="007219E0">
        <w:rPr>
          <w:rFonts w:ascii="Times New Roman" w:hAnsi="Times New Roman" w:cs="Times New Roman"/>
        </w:rPr>
        <w:t>enemies,</w:t>
      </w:r>
      <w:r w:rsidR="005A744A">
        <w:rPr>
          <w:rFonts w:ascii="Times New Roman" w:hAnsi="Times New Roman" w:cs="Times New Roman"/>
        </w:rPr>
        <w:t xml:space="preserve"> but the scheme is foiled by Efnysien who kills all men hiding. </w:t>
      </w:r>
      <w:r w:rsidR="007219E0">
        <w:rPr>
          <w:rFonts w:ascii="Times New Roman" w:hAnsi="Times New Roman" w:cs="Times New Roman"/>
        </w:rPr>
        <w:t xml:space="preserve">Whether or not Matholwch was aware of the intended trap was unclear and I will discuss further some assertions as to why he may not have intended to insight additional violence with the Welshmen. </w:t>
      </w:r>
    </w:p>
    <w:p w14:paraId="48E46E7B" w14:textId="0EF804B2" w:rsidR="007219E0" w:rsidRDefault="00BF267F">
      <w:pPr>
        <w:rPr>
          <w:rFonts w:ascii="Times New Roman" w:hAnsi="Times New Roman" w:cs="Times New Roman"/>
        </w:rPr>
      </w:pPr>
      <w:r>
        <w:rPr>
          <w:rFonts w:ascii="Times New Roman" w:hAnsi="Times New Roman" w:cs="Times New Roman"/>
        </w:rPr>
        <w:tab/>
        <w:t xml:space="preserve">The kings in this branch both seem to have a rather passive nature to them. They are constantly seeking counsel and while this may not have been entirely uncommon, neither seems to assert their own dominance without first consulting with </w:t>
      </w:r>
      <w:r w:rsidR="00241265">
        <w:rPr>
          <w:rFonts w:ascii="Times New Roman" w:hAnsi="Times New Roman" w:cs="Times New Roman"/>
        </w:rPr>
        <w:t>others</w:t>
      </w:r>
      <w:r>
        <w:rPr>
          <w:rFonts w:ascii="Times New Roman" w:hAnsi="Times New Roman" w:cs="Times New Roman"/>
        </w:rPr>
        <w:t>.</w:t>
      </w:r>
      <w:r w:rsidR="00241265">
        <w:rPr>
          <w:rFonts w:ascii="Times New Roman" w:hAnsi="Times New Roman" w:cs="Times New Roman"/>
        </w:rPr>
        <w:t xml:space="preserve"> When Matholwch is leaving after his horses are maimed, Bendigeidfran sends messengers after him to propose a truce involving a replacement of Matholwch’s horses. Instead of immediately denying or accepting the offer, Matholwch “takes counsel” and </w:t>
      </w:r>
      <w:r w:rsidR="00625A16">
        <w:rPr>
          <w:rFonts w:ascii="Times New Roman" w:hAnsi="Times New Roman" w:cs="Times New Roman"/>
        </w:rPr>
        <w:t>ultimately decides to accept the offer. Although this observation may be seen as a criticism, it seems to me that seeking counsel for these kings, helps to regulate and keep things calm. Throughout the tale there are multiple escalations of tension and each time, the kings seek peace first. The opposite can be said for Efnysien who is unchecked and a constant aggravator throughout the story. He is controlled by his temper and can be pointed to as the sole reason for conflict between the two islands. I would assert that if Efnysien w</w:t>
      </w:r>
      <w:r w:rsidR="00445478">
        <w:rPr>
          <w:rFonts w:ascii="Times New Roman" w:hAnsi="Times New Roman" w:cs="Times New Roman"/>
        </w:rPr>
        <w:t>ould have</w:t>
      </w:r>
      <w:r w:rsidR="00625A16">
        <w:rPr>
          <w:rFonts w:ascii="Times New Roman" w:hAnsi="Times New Roman" w:cs="Times New Roman"/>
        </w:rPr>
        <w:t xml:space="preserve"> take</w:t>
      </w:r>
      <w:r w:rsidR="00445478">
        <w:rPr>
          <w:rFonts w:ascii="Times New Roman" w:hAnsi="Times New Roman" w:cs="Times New Roman"/>
        </w:rPr>
        <w:t>n</w:t>
      </w:r>
      <w:r w:rsidR="00625A16">
        <w:rPr>
          <w:rFonts w:ascii="Times New Roman" w:hAnsi="Times New Roman" w:cs="Times New Roman"/>
        </w:rPr>
        <w:t xml:space="preserve"> after Matholwch and Bendigeidfran and pursue</w:t>
      </w:r>
      <w:r w:rsidR="00445478">
        <w:rPr>
          <w:rFonts w:ascii="Times New Roman" w:hAnsi="Times New Roman" w:cs="Times New Roman"/>
        </w:rPr>
        <w:t>d</w:t>
      </w:r>
      <w:r w:rsidR="00625A16">
        <w:rPr>
          <w:rFonts w:ascii="Times New Roman" w:hAnsi="Times New Roman" w:cs="Times New Roman"/>
        </w:rPr>
        <w:t xml:space="preserve"> advice before acting, this tale may have been quite a bit shorter and less grim.  </w:t>
      </w:r>
    </w:p>
    <w:p w14:paraId="40F287D0" w14:textId="327E0185" w:rsidR="00A95C0E" w:rsidRPr="00A95C0E" w:rsidRDefault="00445478" w:rsidP="00A95C0E">
      <w:pPr>
        <w:rPr>
          <w:rFonts w:ascii="Times New Roman" w:hAnsi="Times New Roman" w:cs="Times New Roman"/>
        </w:rPr>
      </w:pPr>
      <w:r>
        <w:rPr>
          <w:rFonts w:ascii="Times New Roman" w:hAnsi="Times New Roman" w:cs="Times New Roman"/>
        </w:rPr>
        <w:tab/>
        <w:t xml:space="preserve">We also see in this tale that Matholwch and Bendigeidfran both make an attempt to adhere to </w:t>
      </w:r>
      <w:r w:rsidR="00BD7251">
        <w:rPr>
          <w:rFonts w:ascii="Times New Roman" w:hAnsi="Times New Roman" w:cs="Times New Roman"/>
        </w:rPr>
        <w:t>Irish political tradition</w:t>
      </w:r>
      <w:r>
        <w:rPr>
          <w:rFonts w:ascii="Times New Roman" w:hAnsi="Times New Roman" w:cs="Times New Roman"/>
        </w:rPr>
        <w:t xml:space="preserve"> particularly </w:t>
      </w:r>
      <w:r w:rsidR="00BD7251">
        <w:rPr>
          <w:rFonts w:ascii="Times New Roman" w:hAnsi="Times New Roman" w:cs="Times New Roman"/>
        </w:rPr>
        <w:t>as is pointed out by T. M. Charles-Edwards. He states, “In the middle of the eleventh century a new way of saying that a king submitted to another king became popular. A common form of it is ‘</w:t>
      </w:r>
      <w:proofErr w:type="spellStart"/>
      <w:r w:rsidR="00BD7251">
        <w:rPr>
          <w:rFonts w:ascii="Times New Roman" w:hAnsi="Times New Roman" w:cs="Times New Roman"/>
        </w:rPr>
        <w:t>tánic</w:t>
      </w:r>
      <w:proofErr w:type="spellEnd"/>
      <w:r w:rsidR="00BD7251">
        <w:rPr>
          <w:rFonts w:ascii="Times New Roman" w:hAnsi="Times New Roman" w:cs="Times New Roman"/>
        </w:rPr>
        <w:t xml:space="preserve"> </w:t>
      </w:r>
      <w:proofErr w:type="spellStart"/>
      <w:r w:rsidR="00BD7251">
        <w:rPr>
          <w:rFonts w:ascii="Times New Roman" w:hAnsi="Times New Roman" w:cs="Times New Roman"/>
        </w:rPr>
        <w:t>ina</w:t>
      </w:r>
      <w:proofErr w:type="spellEnd"/>
      <w:r w:rsidR="00BD7251">
        <w:rPr>
          <w:rFonts w:ascii="Times New Roman" w:hAnsi="Times New Roman" w:cs="Times New Roman"/>
        </w:rPr>
        <w:t xml:space="preserve"> </w:t>
      </w:r>
      <w:proofErr w:type="spellStart"/>
      <w:r w:rsidR="00BD7251">
        <w:rPr>
          <w:rFonts w:ascii="Times New Roman" w:hAnsi="Times New Roman" w:cs="Times New Roman"/>
        </w:rPr>
        <w:t>thech</w:t>
      </w:r>
      <w:proofErr w:type="spellEnd"/>
      <w:r w:rsidR="00BD7251">
        <w:rPr>
          <w:rFonts w:ascii="Times New Roman" w:hAnsi="Times New Roman" w:cs="Times New Roman"/>
        </w:rPr>
        <w:t>’, ‘he came into his house’.”</w:t>
      </w:r>
      <w:r w:rsidR="00BD7251">
        <w:rPr>
          <w:rStyle w:val="FootnoteReference"/>
          <w:rFonts w:ascii="Times New Roman" w:hAnsi="Times New Roman" w:cs="Times New Roman"/>
        </w:rPr>
        <w:footnoteReference w:id="1"/>
      </w:r>
      <w:r>
        <w:rPr>
          <w:rFonts w:ascii="Times New Roman" w:hAnsi="Times New Roman" w:cs="Times New Roman"/>
        </w:rPr>
        <w:t xml:space="preserve"> </w:t>
      </w:r>
      <w:r w:rsidR="00BD7251">
        <w:rPr>
          <w:rFonts w:ascii="Times New Roman" w:hAnsi="Times New Roman" w:cs="Times New Roman"/>
        </w:rPr>
        <w:t xml:space="preserve">He goes on to explain that when Matholwch builds a house </w:t>
      </w:r>
      <w:r w:rsidR="00B520AC">
        <w:rPr>
          <w:rFonts w:ascii="Times New Roman" w:hAnsi="Times New Roman" w:cs="Times New Roman"/>
        </w:rPr>
        <w:t xml:space="preserve">for Bendigeidfran it was a form of submission for the king. In addition to giving us some insight into the minds of the two kings, this specific custom is used as a dating mechanism by Charles-Edwards who posits that this tradition has been around since at least 1059. The tradition was not necessarily unique to Irish kings and there’s some evidence to show that Bendigeidfran may have been very aware of this custom before being presented with a house. This is outlined by Patrick Sims-Williams </w:t>
      </w:r>
      <w:r w:rsidR="00A95C0E">
        <w:rPr>
          <w:rFonts w:ascii="Times New Roman" w:hAnsi="Times New Roman" w:cs="Times New Roman"/>
        </w:rPr>
        <w:t>who writes, “</w:t>
      </w:r>
      <w:r w:rsidR="00A95C0E" w:rsidRPr="00A95C0E">
        <w:rPr>
          <w:rFonts w:ascii="Times New Roman" w:hAnsi="Times New Roman" w:cs="Times New Roman"/>
        </w:rPr>
        <w:t>Without doubt, Irish clients, including kings, were expected to build houses for their lords, as elsewhere in Europe</w:t>
      </w:r>
      <w:r w:rsidR="00A95C0E">
        <w:rPr>
          <w:rFonts w:ascii="Times New Roman" w:hAnsi="Times New Roman" w:cs="Times New Roman"/>
        </w:rPr>
        <w:t>…”</w:t>
      </w:r>
      <w:r w:rsidR="00A95C0E">
        <w:rPr>
          <w:rStyle w:val="FootnoteReference"/>
          <w:rFonts w:ascii="Times New Roman" w:hAnsi="Times New Roman" w:cs="Times New Roman"/>
        </w:rPr>
        <w:footnoteReference w:id="2"/>
      </w:r>
    </w:p>
    <w:p w14:paraId="5BD8D6D6" w14:textId="5E3B9781" w:rsidR="00445478" w:rsidRDefault="00445478" w:rsidP="00A95C0E">
      <w:pPr>
        <w:rPr>
          <w:rFonts w:ascii="Times New Roman" w:hAnsi="Times New Roman" w:cs="Times New Roman"/>
        </w:rPr>
      </w:pPr>
    </w:p>
    <w:p w14:paraId="2AA19CA3" w14:textId="77777777" w:rsidR="00A81F88" w:rsidRDefault="003C6559" w:rsidP="00A95C0E">
      <w:pPr>
        <w:rPr>
          <w:rFonts w:ascii="Times New Roman" w:hAnsi="Times New Roman" w:cs="Times New Roman"/>
        </w:rPr>
      </w:pPr>
      <w:r>
        <w:rPr>
          <w:rFonts w:ascii="Times New Roman" w:hAnsi="Times New Roman" w:cs="Times New Roman"/>
        </w:rPr>
        <w:tab/>
      </w:r>
      <w:r w:rsidR="00F30B92">
        <w:rPr>
          <w:rFonts w:ascii="Times New Roman" w:hAnsi="Times New Roman" w:cs="Times New Roman"/>
        </w:rPr>
        <w:t>A</w:t>
      </w:r>
      <w:r>
        <w:rPr>
          <w:rFonts w:ascii="Times New Roman" w:hAnsi="Times New Roman" w:cs="Times New Roman"/>
        </w:rPr>
        <w:t>nother important theme throughout the second branch of the Mabinogi, and specifically the section where Efnysien kills all the 200 Irishmen, is the theme of birth and rebirth. P. K. Ford explains that the</w:t>
      </w:r>
      <w:r w:rsidR="00F30B92">
        <w:rPr>
          <w:rFonts w:ascii="Times New Roman" w:hAnsi="Times New Roman" w:cs="Times New Roman"/>
        </w:rPr>
        <w:t xml:space="preserve"> sacs in which the Irish are hiding are referred to with the word </w:t>
      </w:r>
      <w:r w:rsidR="00F30B92">
        <w:rPr>
          <w:rFonts w:ascii="Times New Roman" w:hAnsi="Times New Roman" w:cs="Times New Roman"/>
          <w:i/>
          <w:iCs/>
        </w:rPr>
        <w:t xml:space="preserve">bol </w:t>
      </w:r>
      <w:r w:rsidR="00F30B92">
        <w:rPr>
          <w:rFonts w:ascii="Times New Roman" w:hAnsi="Times New Roman" w:cs="Times New Roman"/>
        </w:rPr>
        <w:t>or</w:t>
      </w:r>
      <w:r w:rsidR="00F30B92">
        <w:rPr>
          <w:rFonts w:ascii="Times New Roman" w:hAnsi="Times New Roman" w:cs="Times New Roman"/>
          <w:i/>
          <w:iCs/>
        </w:rPr>
        <w:t xml:space="preserve"> boly </w:t>
      </w:r>
      <w:r w:rsidR="00F30B92">
        <w:rPr>
          <w:rFonts w:ascii="Times New Roman" w:hAnsi="Times New Roman" w:cs="Times New Roman"/>
        </w:rPr>
        <w:t xml:space="preserve">in Welsh which is </w:t>
      </w:r>
      <w:r w:rsidR="00F30B92">
        <w:rPr>
          <w:rFonts w:ascii="Times New Roman" w:hAnsi="Times New Roman" w:cs="Times New Roman"/>
          <w:i/>
          <w:iCs/>
        </w:rPr>
        <w:t xml:space="preserve">bolg </w:t>
      </w:r>
      <w:r w:rsidR="00F30B92">
        <w:rPr>
          <w:rFonts w:ascii="Times New Roman" w:hAnsi="Times New Roman" w:cs="Times New Roman"/>
        </w:rPr>
        <w:t>in Irish and was commonly used to mean belly or womb.</w:t>
      </w:r>
      <w:r w:rsidR="00F30B92">
        <w:rPr>
          <w:rStyle w:val="FootnoteReference"/>
          <w:rFonts w:ascii="Times New Roman" w:hAnsi="Times New Roman" w:cs="Times New Roman"/>
        </w:rPr>
        <w:footnoteReference w:id="3"/>
      </w:r>
      <w:r w:rsidR="00167116">
        <w:rPr>
          <w:rFonts w:ascii="Times New Roman" w:hAnsi="Times New Roman" w:cs="Times New Roman"/>
        </w:rPr>
        <w:t xml:space="preserve"> Before the mass killing, Matholwch was given a cauldron of rebirth that could have very well saved the men except for their ability to speak. Efnysien is aware of this and this cauldron ends up being his ultimate downfall. Although he had foiled the Irish plan, Efnysien remains unhinged and at the dinner proceeding </w:t>
      </w:r>
      <w:r w:rsidR="00A81F88">
        <w:rPr>
          <w:rFonts w:ascii="Times New Roman" w:hAnsi="Times New Roman" w:cs="Times New Roman"/>
        </w:rPr>
        <w:t xml:space="preserve">his killings, he murders his nephew Gwern by throwing the boy into the fire. Gwern hadn’t perceivably done anything to warrant such a death other than being the product of a marriage that was not approved by his uncle. The 200 men in sacs were a result of the marriage as well albeit in a much different manner then Gwern but from this I posit that Efnysien could have simply been trying to tear down any semblance of that marriage. </w:t>
      </w:r>
    </w:p>
    <w:p w14:paraId="2F300A27" w14:textId="3B9F79A1" w:rsidR="003C6559" w:rsidRPr="00F30B92" w:rsidRDefault="00A81F88" w:rsidP="00A81F88">
      <w:pPr>
        <w:ind w:firstLine="720"/>
        <w:rPr>
          <w:rFonts w:ascii="Times New Roman" w:hAnsi="Times New Roman" w:cs="Times New Roman"/>
        </w:rPr>
      </w:pPr>
      <w:r>
        <w:rPr>
          <w:rFonts w:ascii="Times New Roman" w:hAnsi="Times New Roman" w:cs="Times New Roman"/>
        </w:rPr>
        <w:t xml:space="preserve">After Efnysien has killed his nephew, a battle breaks out causing many casualties and after the fight, the Irish attempt to put their men into the cauldron of rebirth. Noticing this, Efnysien throws himself on the bodies </w:t>
      </w:r>
      <w:r w:rsidR="008F6EBA">
        <w:rPr>
          <w:rFonts w:ascii="Times New Roman" w:hAnsi="Times New Roman" w:cs="Times New Roman"/>
        </w:rPr>
        <w:t xml:space="preserve">of the fallen so that he may break the cauldron and seal the fate of Irish. </w:t>
      </w:r>
      <w:r w:rsidR="005963BB">
        <w:rPr>
          <w:rFonts w:ascii="Times New Roman" w:hAnsi="Times New Roman" w:cs="Times New Roman"/>
        </w:rPr>
        <w:t>Efnysien succeeds in breaking the cauldron</w:t>
      </w:r>
      <w:r w:rsidR="008B4F55">
        <w:rPr>
          <w:rFonts w:ascii="Times New Roman" w:hAnsi="Times New Roman" w:cs="Times New Roman"/>
        </w:rPr>
        <w:t xml:space="preserve"> and destroying all products of his sister’s marriage</w:t>
      </w:r>
      <w:r w:rsidR="005963BB">
        <w:rPr>
          <w:rFonts w:ascii="Times New Roman" w:hAnsi="Times New Roman" w:cs="Times New Roman"/>
        </w:rPr>
        <w:t xml:space="preserve"> but kills himself in the process</w:t>
      </w:r>
      <w:r w:rsidR="008B4F55">
        <w:rPr>
          <w:rFonts w:ascii="Times New Roman" w:hAnsi="Times New Roman" w:cs="Times New Roman"/>
        </w:rPr>
        <w:t xml:space="preserve">. He may have succeeded in stopping the </w:t>
      </w:r>
      <w:proofErr w:type="gramStart"/>
      <w:r w:rsidR="008B4F55">
        <w:rPr>
          <w:rFonts w:ascii="Times New Roman" w:hAnsi="Times New Roman" w:cs="Times New Roman"/>
        </w:rPr>
        <w:t>rebirth</w:t>
      </w:r>
      <w:proofErr w:type="gramEnd"/>
      <w:r w:rsidR="008B4F55">
        <w:rPr>
          <w:rFonts w:ascii="Times New Roman" w:hAnsi="Times New Roman" w:cs="Times New Roman"/>
        </w:rPr>
        <w:t xml:space="preserve"> but he lived on in the tale as the antagonist that, “…would cause two of the most loving brother to fight.”</w:t>
      </w:r>
      <w:r w:rsidR="008B4F55">
        <w:rPr>
          <w:rStyle w:val="FootnoteReference"/>
          <w:rFonts w:ascii="Times New Roman" w:hAnsi="Times New Roman" w:cs="Times New Roman"/>
        </w:rPr>
        <w:footnoteReference w:id="4"/>
      </w:r>
      <w:r w:rsidR="005963BB">
        <w:rPr>
          <w:rFonts w:ascii="Times New Roman" w:hAnsi="Times New Roman" w:cs="Times New Roman"/>
        </w:rPr>
        <w:t xml:space="preserve"> </w:t>
      </w:r>
    </w:p>
    <w:sectPr w:rsidR="003C6559" w:rsidRPr="00F30B92" w:rsidSect="00A00A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87998E" w14:textId="77777777" w:rsidR="001D6A9D" w:rsidRDefault="001D6A9D" w:rsidP="00BD7251">
      <w:r>
        <w:separator/>
      </w:r>
    </w:p>
  </w:endnote>
  <w:endnote w:type="continuationSeparator" w:id="0">
    <w:p w14:paraId="2AD239E4" w14:textId="77777777" w:rsidR="001D6A9D" w:rsidRDefault="001D6A9D" w:rsidP="00BD72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1BE3B5" w14:textId="77777777" w:rsidR="001D6A9D" w:rsidRDefault="001D6A9D" w:rsidP="00BD7251">
      <w:r>
        <w:separator/>
      </w:r>
    </w:p>
  </w:footnote>
  <w:footnote w:type="continuationSeparator" w:id="0">
    <w:p w14:paraId="557CAD79" w14:textId="77777777" w:rsidR="001D6A9D" w:rsidRDefault="001D6A9D" w:rsidP="00BD7251">
      <w:r>
        <w:continuationSeparator/>
      </w:r>
    </w:p>
  </w:footnote>
  <w:footnote w:id="1">
    <w:p w14:paraId="6D1E91C1" w14:textId="77777777" w:rsidR="00BD7251" w:rsidRPr="00B520AC" w:rsidRDefault="00BD7251" w:rsidP="00BD7251">
      <w:pPr>
        <w:pStyle w:val="FootnoteText"/>
        <w:rPr>
          <w:rFonts w:ascii="Times New Roman" w:hAnsi="Times New Roman" w:cs="Times New Roman"/>
          <w:sz w:val="24"/>
          <w:szCs w:val="24"/>
        </w:rPr>
      </w:pPr>
      <w:r w:rsidRPr="00B520AC">
        <w:rPr>
          <w:rStyle w:val="FootnoteReference"/>
          <w:rFonts w:ascii="Times New Roman" w:hAnsi="Times New Roman" w:cs="Times New Roman"/>
          <w:sz w:val="24"/>
          <w:szCs w:val="24"/>
        </w:rPr>
        <w:footnoteRef/>
      </w:r>
      <w:r w:rsidRPr="00B520AC">
        <w:rPr>
          <w:rFonts w:ascii="Times New Roman" w:hAnsi="Times New Roman" w:cs="Times New Roman"/>
          <w:sz w:val="24"/>
          <w:szCs w:val="24"/>
        </w:rPr>
        <w:t xml:space="preserve"> </w:t>
      </w:r>
      <w:proofErr w:type="gramStart"/>
      <w:r w:rsidRPr="00B520AC">
        <w:rPr>
          <w:rFonts w:ascii="Times New Roman" w:hAnsi="Times New Roman" w:cs="Times New Roman"/>
          <w:sz w:val="24"/>
          <w:szCs w:val="24"/>
        </w:rPr>
        <w:t>T .</w:t>
      </w:r>
      <w:proofErr w:type="gramEnd"/>
      <w:r w:rsidRPr="00B520AC">
        <w:rPr>
          <w:rFonts w:ascii="Times New Roman" w:hAnsi="Times New Roman" w:cs="Times New Roman"/>
          <w:sz w:val="24"/>
          <w:szCs w:val="24"/>
        </w:rPr>
        <w:t xml:space="preserve"> </w:t>
      </w:r>
      <w:proofErr w:type="gramStart"/>
      <w:r w:rsidRPr="00B520AC">
        <w:rPr>
          <w:rFonts w:ascii="Times New Roman" w:hAnsi="Times New Roman" w:cs="Times New Roman"/>
          <w:sz w:val="24"/>
          <w:szCs w:val="24"/>
        </w:rPr>
        <w:t>M .</w:t>
      </w:r>
      <w:proofErr w:type="gramEnd"/>
      <w:r w:rsidRPr="00B520AC">
        <w:rPr>
          <w:rFonts w:ascii="Times New Roman" w:hAnsi="Times New Roman" w:cs="Times New Roman"/>
          <w:sz w:val="24"/>
          <w:szCs w:val="24"/>
        </w:rPr>
        <w:t xml:space="preserve"> Charles-Edwards, 'The Date of the Four Branches of the Mabinogi</w:t>
      </w:r>
      <w:proofErr w:type="gramStart"/>
      <w:r w:rsidRPr="00B520AC">
        <w:rPr>
          <w:rFonts w:ascii="Times New Roman" w:hAnsi="Times New Roman" w:cs="Times New Roman"/>
          <w:sz w:val="24"/>
          <w:szCs w:val="24"/>
        </w:rPr>
        <w:t>' ,</w:t>
      </w:r>
      <w:proofErr w:type="gramEnd"/>
      <w:r w:rsidRPr="00B520AC">
        <w:rPr>
          <w:rFonts w:ascii="Times New Roman" w:hAnsi="Times New Roman" w:cs="Times New Roman"/>
          <w:sz w:val="24"/>
          <w:szCs w:val="24"/>
        </w:rPr>
        <w:t xml:space="preserve"> Transactions of the </w:t>
      </w:r>
      <w:proofErr w:type="spellStart"/>
      <w:r w:rsidRPr="00B520AC">
        <w:rPr>
          <w:rFonts w:ascii="Times New Roman" w:hAnsi="Times New Roman" w:cs="Times New Roman"/>
          <w:sz w:val="24"/>
          <w:szCs w:val="24"/>
        </w:rPr>
        <w:t>Honourable</w:t>
      </w:r>
      <w:proofErr w:type="spellEnd"/>
      <w:r w:rsidRPr="00B520AC">
        <w:rPr>
          <w:rFonts w:ascii="Times New Roman" w:hAnsi="Times New Roman" w:cs="Times New Roman"/>
          <w:sz w:val="24"/>
          <w:szCs w:val="24"/>
        </w:rPr>
        <w:t xml:space="preserve"> Society of </w:t>
      </w:r>
      <w:proofErr w:type="spellStart"/>
      <w:r w:rsidRPr="00B520AC">
        <w:rPr>
          <w:rFonts w:ascii="Times New Roman" w:hAnsi="Times New Roman" w:cs="Times New Roman"/>
          <w:sz w:val="24"/>
          <w:szCs w:val="24"/>
        </w:rPr>
        <w:t>Cymmrodorion</w:t>
      </w:r>
      <w:proofErr w:type="spellEnd"/>
      <w:r w:rsidRPr="00B520AC">
        <w:rPr>
          <w:rFonts w:ascii="Times New Roman" w:hAnsi="Times New Roman" w:cs="Times New Roman"/>
          <w:sz w:val="24"/>
          <w:szCs w:val="24"/>
        </w:rPr>
        <w:t>, 1970, pp. 263-98</w:t>
      </w:r>
    </w:p>
    <w:p w14:paraId="7441A095" w14:textId="38A87ADB" w:rsidR="00BD7251" w:rsidRDefault="00BD7251" w:rsidP="00BD7251">
      <w:pPr>
        <w:pStyle w:val="FootnoteText"/>
      </w:pPr>
    </w:p>
  </w:footnote>
  <w:footnote w:id="2">
    <w:p w14:paraId="19843F0D" w14:textId="77777777" w:rsidR="00A95C0E" w:rsidRPr="00A95C0E" w:rsidRDefault="00A95C0E" w:rsidP="00A95C0E">
      <w:pPr>
        <w:pStyle w:val="FootnoteText"/>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Patrick Sims-Williams, ‘The Submission of Irish Kinds in Fact and Fiction’, </w:t>
      </w:r>
      <w:r w:rsidRPr="00A95C0E">
        <w:rPr>
          <w:rFonts w:ascii="Times New Roman" w:hAnsi="Times New Roman" w:cs="Times New Roman"/>
          <w:sz w:val="24"/>
          <w:szCs w:val="24"/>
        </w:rPr>
        <w:t xml:space="preserve">Cambridge medieval Celtic studies, 22, </w:t>
      </w:r>
      <w:proofErr w:type="gramStart"/>
      <w:r w:rsidRPr="00A95C0E">
        <w:rPr>
          <w:rFonts w:ascii="Times New Roman" w:hAnsi="Times New Roman" w:cs="Times New Roman"/>
          <w:sz w:val="24"/>
          <w:szCs w:val="24"/>
        </w:rPr>
        <w:t>Winter,  pp.</w:t>
      </w:r>
      <w:proofErr w:type="gramEnd"/>
      <w:r w:rsidRPr="00A95C0E">
        <w:rPr>
          <w:rFonts w:ascii="Times New Roman" w:hAnsi="Times New Roman" w:cs="Times New Roman"/>
          <w:sz w:val="24"/>
          <w:szCs w:val="24"/>
        </w:rPr>
        <w:t>31-61</w:t>
      </w:r>
    </w:p>
    <w:p w14:paraId="270D1C9E" w14:textId="25152383" w:rsidR="00A95C0E" w:rsidRPr="00A95C0E" w:rsidRDefault="00A95C0E" w:rsidP="00A95C0E">
      <w:pPr>
        <w:pStyle w:val="FootnoteText"/>
        <w:rPr>
          <w:rFonts w:ascii="Times New Roman" w:hAnsi="Times New Roman" w:cs="Times New Roman"/>
          <w:sz w:val="24"/>
          <w:szCs w:val="24"/>
        </w:rPr>
      </w:pPr>
    </w:p>
  </w:footnote>
  <w:footnote w:id="3">
    <w:p w14:paraId="0F917989" w14:textId="26FF16F4" w:rsidR="00F30B92" w:rsidRPr="00F30B92" w:rsidRDefault="00F30B92">
      <w:pPr>
        <w:pStyle w:val="FootnoteText"/>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 xml:space="preserve">P. K. Ford, ‘Branwen: A Study of the Celtic Affinities’, </w:t>
      </w:r>
      <w:proofErr w:type="spellStart"/>
      <w:r>
        <w:rPr>
          <w:rFonts w:ascii="Times New Roman" w:hAnsi="Times New Roman" w:cs="Times New Roman"/>
          <w:sz w:val="24"/>
          <w:szCs w:val="24"/>
        </w:rPr>
        <w:t>Studia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Celtica</w:t>
      </w:r>
      <w:proofErr w:type="spellEnd"/>
      <w:r>
        <w:rPr>
          <w:rFonts w:ascii="Times New Roman" w:hAnsi="Times New Roman" w:cs="Times New Roman"/>
          <w:sz w:val="24"/>
          <w:szCs w:val="24"/>
        </w:rPr>
        <w:t>, 22/23, 1987/88, pp. 29-41</w:t>
      </w:r>
    </w:p>
  </w:footnote>
  <w:footnote w:id="4">
    <w:p w14:paraId="7009DDB7" w14:textId="5A322BA8" w:rsidR="008B4F55" w:rsidRPr="008B4F55" w:rsidRDefault="008B4F55">
      <w:pPr>
        <w:pStyle w:val="FootnoteText"/>
        <w:rPr>
          <w:rFonts w:ascii="Times New Roman" w:hAnsi="Times New Roman" w:cs="Times New Roman"/>
          <w:sz w:val="24"/>
          <w:szCs w:val="24"/>
        </w:rPr>
      </w:pPr>
      <w:r>
        <w:rPr>
          <w:rStyle w:val="FootnoteReference"/>
        </w:rPr>
        <w:footnoteRef/>
      </w:r>
      <w:r>
        <w:t xml:space="preserve"> </w:t>
      </w:r>
      <w:proofErr w:type="spellStart"/>
      <w:r>
        <w:rPr>
          <w:rFonts w:ascii="Times New Roman" w:hAnsi="Times New Roman" w:cs="Times New Roman"/>
          <w:sz w:val="24"/>
          <w:szCs w:val="24"/>
        </w:rPr>
        <w:t>Sioned</w:t>
      </w:r>
      <w:proofErr w:type="spellEnd"/>
      <w:r>
        <w:rPr>
          <w:rFonts w:ascii="Times New Roman" w:hAnsi="Times New Roman" w:cs="Times New Roman"/>
          <w:sz w:val="24"/>
          <w:szCs w:val="24"/>
        </w:rPr>
        <w:t xml:space="preserve"> Davies, ‘The </w:t>
      </w:r>
      <w:proofErr w:type="spellStart"/>
      <w:r>
        <w:rPr>
          <w:rFonts w:ascii="Times New Roman" w:hAnsi="Times New Roman" w:cs="Times New Roman"/>
          <w:sz w:val="24"/>
          <w:szCs w:val="24"/>
        </w:rPr>
        <w:t>Mabinogion</w:t>
      </w:r>
      <w:proofErr w:type="spellEnd"/>
      <w:r>
        <w:rPr>
          <w:rFonts w:ascii="Times New Roman" w:hAnsi="Times New Roman" w:cs="Times New Roman"/>
          <w:sz w:val="24"/>
          <w:szCs w:val="24"/>
        </w:rPr>
        <w:t xml:space="preserve">’, Oxford University Press, 2007, </w:t>
      </w:r>
      <w:r w:rsidR="00A814C1">
        <w:rPr>
          <w:rFonts w:ascii="Times New Roman" w:hAnsi="Times New Roman" w:cs="Times New Roman"/>
          <w:sz w:val="24"/>
          <w:szCs w:val="24"/>
        </w:rPr>
        <w:t>pg. 22</w:t>
      </w:r>
      <w:bookmarkStart w:id="0" w:name="_GoBack"/>
      <w:bookmarkEnd w:id="0"/>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B47"/>
    <w:rsid w:val="00167116"/>
    <w:rsid w:val="001D6A9D"/>
    <w:rsid w:val="00241265"/>
    <w:rsid w:val="00386B47"/>
    <w:rsid w:val="003C6559"/>
    <w:rsid w:val="004175FA"/>
    <w:rsid w:val="00445478"/>
    <w:rsid w:val="004D70BE"/>
    <w:rsid w:val="005963BB"/>
    <w:rsid w:val="005A744A"/>
    <w:rsid w:val="00625A16"/>
    <w:rsid w:val="006F15DA"/>
    <w:rsid w:val="007219E0"/>
    <w:rsid w:val="008B4F55"/>
    <w:rsid w:val="008F6EBA"/>
    <w:rsid w:val="00A00AE8"/>
    <w:rsid w:val="00A814C1"/>
    <w:rsid w:val="00A81F88"/>
    <w:rsid w:val="00A95C0E"/>
    <w:rsid w:val="00B520AC"/>
    <w:rsid w:val="00BD7251"/>
    <w:rsid w:val="00BF267F"/>
    <w:rsid w:val="00E219E9"/>
    <w:rsid w:val="00E450E1"/>
    <w:rsid w:val="00F30B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8B521"/>
  <w15:chartTrackingRefBased/>
  <w15:docId w15:val="{109B126E-9E09-924C-8BCB-C0FA7CC95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D7251"/>
    <w:rPr>
      <w:sz w:val="20"/>
      <w:szCs w:val="20"/>
    </w:rPr>
  </w:style>
  <w:style w:type="character" w:customStyle="1" w:styleId="FootnoteTextChar">
    <w:name w:val="Footnote Text Char"/>
    <w:basedOn w:val="DefaultParagraphFont"/>
    <w:link w:val="FootnoteText"/>
    <w:uiPriority w:val="99"/>
    <w:semiHidden/>
    <w:rsid w:val="00BD7251"/>
    <w:rPr>
      <w:sz w:val="20"/>
      <w:szCs w:val="20"/>
    </w:rPr>
  </w:style>
  <w:style w:type="character" w:styleId="FootnoteReference">
    <w:name w:val="footnote reference"/>
    <w:basedOn w:val="DefaultParagraphFont"/>
    <w:uiPriority w:val="99"/>
    <w:semiHidden/>
    <w:unhideWhenUsed/>
    <w:rsid w:val="00BD725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311958">
      <w:bodyDiv w:val="1"/>
      <w:marLeft w:val="0"/>
      <w:marRight w:val="0"/>
      <w:marTop w:val="0"/>
      <w:marBottom w:val="0"/>
      <w:divBdr>
        <w:top w:val="none" w:sz="0" w:space="0" w:color="auto"/>
        <w:left w:val="none" w:sz="0" w:space="0" w:color="auto"/>
        <w:bottom w:val="none" w:sz="0" w:space="0" w:color="auto"/>
        <w:right w:val="none" w:sz="0" w:space="0" w:color="auto"/>
      </w:divBdr>
    </w:div>
    <w:div w:id="582180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BB531F2-3A1A-564C-995E-6F11789D8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2</Pages>
  <Words>779</Words>
  <Characters>4445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Reed Egg</dc:creator>
  <cp:keywords/>
  <dc:description/>
  <cp:lastModifiedBy>Reed Egg</cp:lastModifiedBy>
  <cp:revision>9</cp:revision>
  <dcterms:created xsi:type="dcterms:W3CDTF">2019-11-09T23:37:00Z</dcterms:created>
  <dcterms:modified xsi:type="dcterms:W3CDTF">2019-11-10T22:22:00Z</dcterms:modified>
</cp:coreProperties>
</file>