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AA2A3E" w14:textId="3EAF3E48" w:rsidR="004D31FA" w:rsidRDefault="00434531">
      <w:r w:rsidRPr="00434531">
        <w:t>Module: Coaching and Mentoring Skills for the Workplace</w:t>
      </w:r>
    </w:p>
    <w:p w14:paraId="0F562DA1" w14:textId="77777777" w:rsidR="00827F1B" w:rsidRDefault="00827F1B">
      <w:pPr>
        <w:pStyle w:val="p1"/>
        <w:divId w:val="1135217142"/>
      </w:pPr>
      <w:r>
        <w:rPr>
          <w:rStyle w:val="s1"/>
        </w:rPr>
        <w:t>Module code: BMSW6105</w:t>
      </w:r>
      <w:r>
        <w:rPr>
          <w:rStyle w:val="apple-converted-space"/>
          <w:rFonts w:ascii="Arial-BoldMT" w:hAnsi="Arial-BoldMT"/>
          <w:b/>
          <w:bCs/>
        </w:rPr>
        <w:t> </w:t>
      </w:r>
    </w:p>
    <w:p w14:paraId="4EB234CF" w14:textId="184B240B" w:rsidR="00434531" w:rsidRDefault="00BF616E">
      <w:r>
        <w:t>Lecturer :</w:t>
      </w:r>
      <w:r w:rsidR="008D04A9">
        <w:t xml:space="preserve"> </w:t>
      </w:r>
      <w:proofErr w:type="spellStart"/>
      <w:r w:rsidR="008D04A9">
        <w:t>Nishi</w:t>
      </w:r>
      <w:proofErr w:type="spellEnd"/>
      <w:r w:rsidR="008D04A9">
        <w:t xml:space="preserve"> </w:t>
      </w:r>
      <w:proofErr w:type="spellStart"/>
      <w:r w:rsidR="007365F4">
        <w:t>Ram</w:t>
      </w:r>
      <w:r w:rsidR="00431471">
        <w:t>surrun</w:t>
      </w:r>
      <w:proofErr w:type="spellEnd"/>
    </w:p>
    <w:p w14:paraId="7B2F74D4" w14:textId="57464925" w:rsidR="00431471" w:rsidRDefault="00F40945">
      <w:r>
        <w:t>Student : Donatas Keliauskas</w:t>
      </w:r>
    </w:p>
    <w:p w14:paraId="10B57158" w14:textId="708E2B17" w:rsidR="00F40945" w:rsidRDefault="00F40945">
      <w:r>
        <w:t xml:space="preserve">Student </w:t>
      </w:r>
      <w:r w:rsidR="00542A97">
        <w:t>id: 2120434</w:t>
      </w:r>
    </w:p>
    <w:p w14:paraId="44F52C85" w14:textId="77777777" w:rsidR="006E6DD2" w:rsidRDefault="006E6DD2" w:rsidP="006E6DD2">
      <w:r>
        <w:t>Introduction</w:t>
      </w:r>
    </w:p>
    <w:p w14:paraId="0CB9CBBA" w14:textId="77777777" w:rsidR="006E6DD2" w:rsidRDefault="006E6DD2" w:rsidP="006E6DD2"/>
    <w:p w14:paraId="4EC95724" w14:textId="77777777" w:rsidR="006E6DD2" w:rsidRDefault="006E6DD2" w:rsidP="006E6DD2">
      <w:r>
        <w:t>Coaching and mentoring are widely recognised as powerful tools for personal and professional development within workplace settings. This report provides a reflective account of my experiences in coaching and mentoring, with a focus on analysing key theories, models, and practical applications. It will explore the differences and similarities between coaching and mentoring, highlighting their unique purposes and the skills required for their effective execution. The reflective nature of this report is grounded in [chosen reflective model, e.g., Gibbs’ Reflective Cycle], which allows for a structured evaluation of experiences to derive insights and lessons.</w:t>
      </w:r>
    </w:p>
    <w:p w14:paraId="1D20DF3D" w14:textId="77777777" w:rsidR="006E6DD2" w:rsidRDefault="006E6DD2" w:rsidP="006E6DD2"/>
    <w:p w14:paraId="1120F4DD" w14:textId="77777777" w:rsidR="006E6DD2" w:rsidRDefault="006E6DD2" w:rsidP="006E6DD2">
      <w:r>
        <w:t>Coaching is typically defined as a goal-oriented process aimed at unlocking an individual’s potential to maximise their performance (</w:t>
      </w:r>
      <w:proofErr w:type="spellStart"/>
      <w:r>
        <w:t>Whitmore</w:t>
      </w:r>
      <w:proofErr w:type="spellEnd"/>
      <w:r>
        <w:t>, 2009). Mentoring, on the other hand, is often a broader developmental relationship where a more experienced individual guides a less experienced one (</w:t>
      </w:r>
      <w:proofErr w:type="spellStart"/>
      <w:r>
        <w:t>Clutterbuck</w:t>
      </w:r>
      <w:proofErr w:type="spellEnd"/>
      <w:r>
        <w:t>, 2004). While both approaches involve support and development, coaching is often short-term and task-focused, whereas mentoring tends to be long-term and relationship-focused. Key attributes of effective coaching and mentoring, such as active listening, empathy, and the ability to provide constructive feedback, will be examined with reference to relevant literature.</w:t>
      </w:r>
    </w:p>
    <w:p w14:paraId="385E83A0" w14:textId="77777777" w:rsidR="006E6DD2" w:rsidRDefault="006E6DD2" w:rsidP="006E6DD2"/>
    <w:p w14:paraId="4BDF2744" w14:textId="1CEC5397" w:rsidR="00542A97" w:rsidRDefault="006E6DD2">
      <w:r>
        <w:t>This report will critically evaluate the purposes of coaching and mentoring in workplace contexts, analyse the GROW coaching model, and reflect on two practical experiences—coaching with goal setting and mentoring with feedback provision. By synthesising theory and practice, the report aims to demonstrate how these experiences will inform my future professional practice.</w:t>
      </w:r>
    </w:p>
    <w:p w14:paraId="7279495E" w14:textId="77777777" w:rsidR="000C0549" w:rsidRDefault="000C0549" w:rsidP="000C0549">
      <w:r>
        <w:t>Critical Evaluation of the Purpose of Coaching and Mentoring in the Workplace</w:t>
      </w:r>
    </w:p>
    <w:p w14:paraId="3200876C" w14:textId="77777777" w:rsidR="000C0549" w:rsidRDefault="000C0549" w:rsidP="000C0549"/>
    <w:p w14:paraId="5957FFD7" w14:textId="77777777" w:rsidR="000C0549" w:rsidRDefault="000C0549" w:rsidP="000C0549">
      <w:r>
        <w:t xml:space="preserve">Coaching and mentoring serve essential purposes within workplace settings, contributing to employee development, organisational effectiveness, and overall </w:t>
      </w:r>
      <w:r>
        <w:lastRenderedPageBreak/>
        <w:t>workplace culture. While distinct in their approach, both processes share the overarching aim of fostering growth, enhancing skills, and supporting individuals to reach their potential. This section critically evaluates these purposes, drawing on key theories and literature to explore their application and impact.</w:t>
      </w:r>
    </w:p>
    <w:p w14:paraId="1FFED17F" w14:textId="77777777" w:rsidR="000C0549" w:rsidRDefault="000C0549" w:rsidP="000C0549"/>
    <w:p w14:paraId="0DB7A851" w14:textId="77777777" w:rsidR="000C0549" w:rsidRDefault="000C0549" w:rsidP="000C0549">
      <w:r>
        <w:t xml:space="preserve">Coaching is often described as a short-term, goal-oriented process designed to improve performance and skill development. </w:t>
      </w:r>
      <w:proofErr w:type="spellStart"/>
      <w:r>
        <w:t>Whitmore</w:t>
      </w:r>
      <w:proofErr w:type="spellEnd"/>
      <w:r>
        <w:t xml:space="preserve"> (2009) defines coaching as unlocking an individual’s potential to maximise performance, emphasising the importance of self-directed learning. In a workplace context, coaching can be used to address performance gaps, improve leadership skills, and support career progression. For example, employees transitioning to managerial roles may benefit from coaching to develop decision-making and team leadership skills. However, the effectiveness of coaching is contingent on the willingness of the </w:t>
      </w:r>
      <w:proofErr w:type="spellStart"/>
      <w:r>
        <w:t>coachee</w:t>
      </w:r>
      <w:proofErr w:type="spellEnd"/>
      <w:r>
        <w:t xml:space="preserve"> to engage actively in the process, a limitation noted by </w:t>
      </w:r>
      <w:proofErr w:type="spellStart"/>
      <w:r>
        <w:t>Parsloe</w:t>
      </w:r>
      <w:proofErr w:type="spellEnd"/>
      <w:r>
        <w:t xml:space="preserve"> and </w:t>
      </w:r>
      <w:proofErr w:type="spellStart"/>
      <w:r>
        <w:t>Leedham</w:t>
      </w:r>
      <w:proofErr w:type="spellEnd"/>
      <w:r>
        <w:t xml:space="preserve"> (2016).</w:t>
      </w:r>
    </w:p>
    <w:p w14:paraId="59C0E139" w14:textId="77777777" w:rsidR="000C0549" w:rsidRDefault="000C0549" w:rsidP="000C0549"/>
    <w:p w14:paraId="578D3194" w14:textId="77777777" w:rsidR="000C0549" w:rsidRDefault="000C0549" w:rsidP="000C0549">
      <w:r>
        <w:t xml:space="preserve">Mentoring, by contrast, is a longer-term developmental relationship. </w:t>
      </w:r>
      <w:proofErr w:type="spellStart"/>
      <w:r>
        <w:t>Clutterbuck</w:t>
      </w:r>
      <w:proofErr w:type="spellEnd"/>
      <w:r>
        <w:t xml:space="preserve"> (2004) describes mentoring as a supportive process where a more experienced individual guides a less experienced one, focusing on holistic development rather than immediate performance outcomes. Mentoring is often used to support onboarding, succession planning, and career development, particularly in industries with complex skillsets. However, mentoring relationships can become unbalanced if the mentor assumes too much control, undermining the mentee’s autonomy (</w:t>
      </w:r>
      <w:proofErr w:type="spellStart"/>
      <w:r>
        <w:t>Kram</w:t>
      </w:r>
      <w:proofErr w:type="spellEnd"/>
      <w:r>
        <w:t>, 1985).</w:t>
      </w:r>
    </w:p>
    <w:p w14:paraId="5EB3EDDB" w14:textId="77777777" w:rsidR="000C0549" w:rsidRDefault="000C0549" w:rsidP="000C0549"/>
    <w:p w14:paraId="37B8C466" w14:textId="77777777" w:rsidR="000C0549" w:rsidRDefault="000C0549" w:rsidP="000C0549">
      <w:r>
        <w:t>One critical distinction between coaching and mentoring is their underlying purpose. Coaching is typically outcome-focused, with specific, measurable objectives, whereas mentoring is process-focused, emphasising personal growth and broader career aspirations. This distinction reflects the different skills required for each approach. Coaches need to employ active listening, powerful questioning, and facilitation skills to encourage self-reflection and solution-focused thinking (Rogers, 2016). Mentors, on the other hand, must demonstrate empathy, provide constructive feedback, and draw on their own experiences to offer guidance and support.</w:t>
      </w:r>
    </w:p>
    <w:p w14:paraId="46534EBA" w14:textId="77777777" w:rsidR="000C0549" w:rsidRDefault="000C0549" w:rsidP="000C0549"/>
    <w:p w14:paraId="05000EF7" w14:textId="77777777" w:rsidR="000C0549" w:rsidRDefault="000C0549" w:rsidP="000C0549">
      <w:r>
        <w:t>In practice, both coaching and mentoring contribute to organisational goals by fostering a culture of learning and development. Coaching can improve productivity, employee engagement, and workplace satisfaction (Grant et al., 2010). Mentoring, meanwhile, supports knowledge transfer, reduces employee turnover, and enhances diversity and inclusion by nurturing talent across all levels of an organisation (</w:t>
      </w:r>
      <w:proofErr w:type="spellStart"/>
      <w:r>
        <w:t>Ragins</w:t>
      </w:r>
      <w:proofErr w:type="spellEnd"/>
      <w:r>
        <w:t xml:space="preserve"> and </w:t>
      </w:r>
      <w:proofErr w:type="spellStart"/>
      <w:r>
        <w:t>Kram</w:t>
      </w:r>
      <w:proofErr w:type="spellEnd"/>
      <w:r>
        <w:t xml:space="preserve">, </w:t>
      </w:r>
      <w:r>
        <w:lastRenderedPageBreak/>
        <w:t>2007). However, challenges such as time constraints, unclear expectations, or mismatched pairings can limit the effectiveness of both approaches.</w:t>
      </w:r>
    </w:p>
    <w:p w14:paraId="42EF59E8" w14:textId="43548F94" w:rsidR="006E6DD2" w:rsidRDefault="00FE5367">
      <w:r>
        <w:t>Overall</w:t>
      </w:r>
      <w:r w:rsidR="000C0549">
        <w:t>, coaching and mentoring fulfil distinct yet complementary purposes in workplace development. Coaching focuses on immediate skill enhancement and performance improvement, while mentoring supports long-term personal and professional growth. Both require a commitment from all parties to achieve their intended outcomes. By understanding these purposes and addressing potential challenges, organisations can leverage coaching and mentoring to create an environment that fosters continuous learning and development.</w:t>
      </w:r>
    </w:p>
    <w:p w14:paraId="01707951" w14:textId="77777777" w:rsidR="006545C7" w:rsidRDefault="006545C7" w:rsidP="006545C7">
      <w:r>
        <w:t>Critical Analysis of the GROW Model</w:t>
      </w:r>
    </w:p>
    <w:p w14:paraId="52EAC695" w14:textId="77777777" w:rsidR="006545C7" w:rsidRDefault="006545C7" w:rsidP="006545C7"/>
    <w:p w14:paraId="13D117C7" w14:textId="77777777" w:rsidR="006545C7" w:rsidRDefault="006545C7" w:rsidP="006545C7">
      <w:r>
        <w:t xml:space="preserve">The GROW model, developed by John </w:t>
      </w:r>
      <w:proofErr w:type="spellStart"/>
      <w:r>
        <w:t>Whitmore</w:t>
      </w:r>
      <w:proofErr w:type="spellEnd"/>
      <w:r>
        <w:t xml:space="preserve"> (1992), is one of the most widely used frameworks for coaching. Its simplicity, versatility, and focus on goal-oriented outcomes make it a popular choice for both novice and experienced coaches. The acronym GROW stands for Goal, Reality, Options, and Will, providing a structured approach for guiding coaching conversations. This section critically analyses the GROW model, examining its strengths, limitations, and practical applications.</w:t>
      </w:r>
    </w:p>
    <w:p w14:paraId="5789DD79" w14:textId="77777777" w:rsidR="006545C7" w:rsidRDefault="006545C7" w:rsidP="006545C7"/>
    <w:p w14:paraId="5F023CED" w14:textId="77777777" w:rsidR="006545C7" w:rsidRDefault="006545C7" w:rsidP="006545C7">
      <w:r>
        <w:t xml:space="preserve">The first stage, Goal, focuses on setting clear, specific, and measurable objectives for the coaching session. This aligns with the principles of goal-setting theory (Locke &amp; Latham, 1990), which emphasises the importance of clear and challenging goals in driving performance. By defining the desired outcome early in the process, both the coach and the </w:t>
      </w:r>
      <w:proofErr w:type="spellStart"/>
      <w:r>
        <w:t>coachee</w:t>
      </w:r>
      <w:proofErr w:type="spellEnd"/>
      <w:r>
        <w:t xml:space="preserve"> have a clear direction to follow. However, critics argue that an overly rigid focus on goals may limit the flexibility of the session, particularly when </w:t>
      </w:r>
      <w:proofErr w:type="spellStart"/>
      <w:r>
        <w:t>coachees</w:t>
      </w:r>
      <w:proofErr w:type="spellEnd"/>
      <w:r>
        <w:t xml:space="preserve"> face complex or evolving challenges (Downey, 2014).</w:t>
      </w:r>
    </w:p>
    <w:p w14:paraId="73E8455C" w14:textId="77777777" w:rsidR="006545C7" w:rsidRDefault="006545C7" w:rsidP="006545C7"/>
    <w:p w14:paraId="30B9BE87" w14:textId="77777777" w:rsidR="006545C7" w:rsidRDefault="006545C7" w:rsidP="006545C7">
      <w:r>
        <w:t xml:space="preserve">The second stage, Reality, involves assessing the current situation, identifying barriers, and understanding the </w:t>
      </w:r>
      <w:proofErr w:type="spellStart"/>
      <w:r>
        <w:t>coachee’s</w:t>
      </w:r>
      <w:proofErr w:type="spellEnd"/>
      <w:r>
        <w:t xml:space="preserve"> perspective. This stage encourages reflection and self-awareness, which are critical for personal growth. By using open-ended questions, the coach can help the </w:t>
      </w:r>
      <w:proofErr w:type="spellStart"/>
      <w:r>
        <w:t>coachee</w:t>
      </w:r>
      <w:proofErr w:type="spellEnd"/>
      <w:r>
        <w:t xml:space="preserve"> explore their thoughts and feelings without offering direct solutions. However, the effectiveness of this stage depends heavily on the coach’s ability to facilitate honest and constructive dialogue. Poor questioning or inadequate listening skills may lead to superficial insights rather than meaningful reflection.</w:t>
      </w:r>
    </w:p>
    <w:p w14:paraId="60CF0E4B" w14:textId="77777777" w:rsidR="006545C7" w:rsidRDefault="006545C7" w:rsidP="006545C7"/>
    <w:p w14:paraId="02643781" w14:textId="77777777" w:rsidR="006545C7" w:rsidRDefault="006545C7" w:rsidP="006545C7">
      <w:r>
        <w:lastRenderedPageBreak/>
        <w:t xml:space="preserve">The third stage, Options, focuses on brainstorming possible solutions and strategies. This stage is particularly effective in fostering creativity and empowering the </w:t>
      </w:r>
      <w:proofErr w:type="spellStart"/>
      <w:r>
        <w:t>coachee</w:t>
      </w:r>
      <w:proofErr w:type="spellEnd"/>
      <w:r>
        <w:t xml:space="preserve"> to take ownership of their development. The collaborative nature of this stage aligns with adult learning theories, which highlight the importance of active participation in learning processes (Knowles, 1980). However, the quality of this stage can be limited if the </w:t>
      </w:r>
      <w:proofErr w:type="spellStart"/>
      <w:r>
        <w:t>coachee</w:t>
      </w:r>
      <w:proofErr w:type="spellEnd"/>
      <w:r>
        <w:t xml:space="preserve"> struggles to generate ideas or if the coach unintentionally imposes their own solutions.</w:t>
      </w:r>
    </w:p>
    <w:p w14:paraId="59B204B0" w14:textId="77777777" w:rsidR="006545C7" w:rsidRDefault="006545C7" w:rsidP="006545C7"/>
    <w:p w14:paraId="1D6AAFF4" w14:textId="77777777" w:rsidR="006545C7" w:rsidRDefault="006545C7" w:rsidP="006545C7">
      <w:r>
        <w:t>The final stage, Will, involves creating a clear action plan and securing commitment to implement the agreed solutions. This stage transforms insights into actionable steps, bridging the gap between intention and execution. Research on goal attainment suggests that creating specific plans and committing to timelines increases the likelihood of follow-through (</w:t>
      </w:r>
      <w:proofErr w:type="spellStart"/>
      <w:r>
        <w:t>Gollwitzer</w:t>
      </w:r>
      <w:proofErr w:type="spellEnd"/>
      <w:r>
        <w:t xml:space="preserve">, 1999). Despite its strengths, this stage can fall short if the </w:t>
      </w:r>
      <w:proofErr w:type="spellStart"/>
      <w:r>
        <w:t>coachee</w:t>
      </w:r>
      <w:proofErr w:type="spellEnd"/>
      <w:r>
        <w:t xml:space="preserve"> lacks motivation or resources to implement the action plan effectively.</w:t>
      </w:r>
    </w:p>
    <w:p w14:paraId="20ECF038" w14:textId="77777777" w:rsidR="006545C7" w:rsidRDefault="006545C7" w:rsidP="006545C7"/>
    <w:p w14:paraId="3CC8603F" w14:textId="77777777" w:rsidR="006545C7" w:rsidRDefault="006545C7" w:rsidP="006545C7">
      <w:r>
        <w:t xml:space="preserve">A key advantage of the GROW model is its simplicity and adaptability across different contexts. It can be applied to a range of workplace scenarios, from performance improvement to leadership development. However, the model’s linear structure has been criticised for being overly simplistic, particularly in situations requiring deeper exploration of emotions or systemic issues. Critics like </w:t>
      </w:r>
      <w:proofErr w:type="spellStart"/>
      <w:r>
        <w:t>Passmore</w:t>
      </w:r>
      <w:proofErr w:type="spellEnd"/>
      <w:r>
        <w:t xml:space="preserve"> (2010) argue that more dynamic or iterative models may be better suited for complex challenges.</w:t>
      </w:r>
    </w:p>
    <w:p w14:paraId="6E212ACC" w14:textId="77777777" w:rsidR="006545C7" w:rsidRDefault="006545C7" w:rsidP="006545C7"/>
    <w:p w14:paraId="0A30D7E3" w14:textId="768397F2" w:rsidR="00FE5367" w:rsidRDefault="006545C7">
      <w:r>
        <w:t xml:space="preserve">The GROW model is a practical and effective coaching framework that promotes goal-oriented problem-solving and self-directed learning. While its simplicity and structure make it accessible, its effectiveness depends on the coach’s skills and the </w:t>
      </w:r>
      <w:proofErr w:type="spellStart"/>
      <w:r>
        <w:t>coachee’s</w:t>
      </w:r>
      <w:proofErr w:type="spellEnd"/>
      <w:r>
        <w:t xml:space="preserve"> engagement. For optimal results, the GROW model may need to be supplemented with additional tools or techniques in complex coaching situations.</w:t>
      </w:r>
    </w:p>
    <w:p w14:paraId="2244225B" w14:textId="77777777" w:rsidR="009F11BA" w:rsidRDefault="009F11BA" w:rsidP="009F11BA">
      <w:r>
        <w:t>Reflection on Practical 1: Coaching and Goal Setting</w:t>
      </w:r>
    </w:p>
    <w:p w14:paraId="2AE6B734" w14:textId="77777777" w:rsidR="009F11BA" w:rsidRDefault="009F11BA" w:rsidP="009F11BA"/>
    <w:p w14:paraId="700F1DEE" w14:textId="77777777" w:rsidR="009F11BA" w:rsidRDefault="009F11BA" w:rsidP="009F11BA">
      <w:r>
        <w:t>This reflection evaluates my first practical coaching experience using the GROW model (</w:t>
      </w:r>
      <w:proofErr w:type="spellStart"/>
      <w:r>
        <w:t>Whitmore</w:t>
      </w:r>
      <w:proofErr w:type="spellEnd"/>
      <w:r>
        <w:t xml:space="preserve">, 1992) as both the coaching framework and the reflective tool. The session focused on assisting a </w:t>
      </w:r>
      <w:proofErr w:type="spellStart"/>
      <w:r>
        <w:t>coachee</w:t>
      </w:r>
      <w:proofErr w:type="spellEnd"/>
      <w:r>
        <w:t xml:space="preserve"> in setting and achieving goals related to improving their productivity. The structure of the GROW model—Goal, Reality, Options, Will—allowed for a systematic approach, which I will evaluate through this reflective process.</w:t>
      </w:r>
    </w:p>
    <w:p w14:paraId="0EFC1DB6" w14:textId="77777777" w:rsidR="009F11BA" w:rsidRDefault="009F11BA" w:rsidP="009F11BA"/>
    <w:p w14:paraId="790C9852" w14:textId="77777777" w:rsidR="009F11BA" w:rsidRDefault="009F11BA" w:rsidP="009F11BA">
      <w:r>
        <w:lastRenderedPageBreak/>
        <w:t>Goal</w:t>
      </w:r>
    </w:p>
    <w:p w14:paraId="733C6D62" w14:textId="77777777" w:rsidR="009F11BA" w:rsidRDefault="009F11BA" w:rsidP="009F11BA"/>
    <w:p w14:paraId="703D4282" w14:textId="77777777" w:rsidR="009F11BA" w:rsidRDefault="009F11BA" w:rsidP="009F11BA">
      <w:r>
        <w:t xml:space="preserve">The first stage involved defining the </w:t>
      </w:r>
      <w:proofErr w:type="spellStart"/>
      <w:r>
        <w:t>coachee’s</w:t>
      </w:r>
      <w:proofErr w:type="spellEnd"/>
      <w:r>
        <w:t xml:space="preserve"> objectives. The </w:t>
      </w:r>
      <w:proofErr w:type="spellStart"/>
      <w:r>
        <w:t>coachee</w:t>
      </w:r>
      <w:proofErr w:type="spellEnd"/>
      <w:r>
        <w:t xml:space="preserve"> initially expressed a vague desire to “be more productive.” Using open-ended questions, I guided them to articulate a clearer and more specific goal: to create a daily task management system to meet deadlines more effectively. This step aligned with the principles of goal-setting theory (Locke &amp; Latham, 1990), which emphasise the importance of specificity and clarity in motivating performance. While the </w:t>
      </w:r>
      <w:proofErr w:type="spellStart"/>
      <w:r>
        <w:t>coachee</w:t>
      </w:r>
      <w:proofErr w:type="spellEnd"/>
      <w:r>
        <w:t xml:space="preserve"> ultimately set a measurable goal, I realised that I could have delved deeper into their underlying motivations to ensure their commitment.</w:t>
      </w:r>
    </w:p>
    <w:p w14:paraId="792D6371" w14:textId="77777777" w:rsidR="009F11BA" w:rsidRDefault="009F11BA" w:rsidP="009F11BA"/>
    <w:p w14:paraId="5D4CEDBF" w14:textId="77777777" w:rsidR="009F11BA" w:rsidRDefault="009F11BA" w:rsidP="009F11BA">
      <w:r>
        <w:t>Reality</w:t>
      </w:r>
    </w:p>
    <w:p w14:paraId="6B49906D" w14:textId="77777777" w:rsidR="009F11BA" w:rsidRDefault="009F11BA" w:rsidP="009F11BA"/>
    <w:p w14:paraId="00368FDA" w14:textId="77777777" w:rsidR="009F11BA" w:rsidRDefault="009F11BA" w:rsidP="009F11BA">
      <w:r>
        <w:t xml:space="preserve">In this stage, we explored the </w:t>
      </w:r>
      <w:proofErr w:type="spellStart"/>
      <w:r>
        <w:t>coachee’s</w:t>
      </w:r>
      <w:proofErr w:type="spellEnd"/>
      <w:r>
        <w:t xml:space="preserve"> current situation and challenges. They identified frequent interruptions and poor prioritisation as key barriers to productivity. Through active listening and summarising, I helped them reflect on their own behaviours and constraints. However, I noticed that I occasionally guided the conversation too quickly toward problem-solving rather than allowing the </w:t>
      </w:r>
      <w:proofErr w:type="spellStart"/>
      <w:r>
        <w:t>coachee</w:t>
      </w:r>
      <w:proofErr w:type="spellEnd"/>
      <w:r>
        <w:t xml:space="preserve"> to fully explore the nuances of their challenges. </w:t>
      </w:r>
      <w:proofErr w:type="spellStart"/>
      <w:r>
        <w:t>Whitmore</w:t>
      </w:r>
      <w:proofErr w:type="spellEnd"/>
      <w:r>
        <w:t xml:space="preserve"> (2009) advises coaches to resist the urge to offer solutions prematurely, and I recognised this as an area for improvement.</w:t>
      </w:r>
    </w:p>
    <w:p w14:paraId="48394109" w14:textId="77777777" w:rsidR="009F11BA" w:rsidRDefault="009F11BA" w:rsidP="009F11BA"/>
    <w:p w14:paraId="5780E1DE" w14:textId="77777777" w:rsidR="009F11BA" w:rsidRDefault="009F11BA" w:rsidP="009F11BA">
      <w:r>
        <w:t>Options</w:t>
      </w:r>
    </w:p>
    <w:p w14:paraId="0665E395" w14:textId="77777777" w:rsidR="009F11BA" w:rsidRDefault="009F11BA" w:rsidP="009F11BA"/>
    <w:p w14:paraId="0DD88E1E" w14:textId="77777777" w:rsidR="009F11BA" w:rsidRDefault="009F11BA" w:rsidP="009F11BA">
      <w:r>
        <w:t xml:space="preserve">This stage involved brainstorming strategies to overcome the </w:t>
      </w:r>
      <w:proofErr w:type="spellStart"/>
      <w:r>
        <w:t>coachee’s</w:t>
      </w:r>
      <w:proofErr w:type="spellEnd"/>
      <w:r>
        <w:t xml:space="preserve"> challenges. I encouraged the </w:t>
      </w:r>
      <w:proofErr w:type="spellStart"/>
      <w:r>
        <w:t>coachee</w:t>
      </w:r>
      <w:proofErr w:type="spellEnd"/>
      <w:r>
        <w:t xml:space="preserve"> to generate their own ideas, which included scheduling focused work blocks and using a task prioritisation tool. The collaborative nature of this stage fostered a sense of ownership and empowerment for the </w:t>
      </w:r>
      <w:proofErr w:type="spellStart"/>
      <w:r>
        <w:t>coachee</w:t>
      </w:r>
      <w:proofErr w:type="spellEnd"/>
      <w:r>
        <w:t xml:space="preserve">, aligning with adult learning theories (Knowles, 1980). However, I realised that I contributed more suggestions than necessary, potentially limiting the </w:t>
      </w:r>
      <w:proofErr w:type="spellStart"/>
      <w:r>
        <w:t>coachee’s</w:t>
      </w:r>
      <w:proofErr w:type="spellEnd"/>
      <w:r>
        <w:t xml:space="preserve"> opportunity to think creatively. Reflecting on this, I understand the importance of stepping back and allowing the </w:t>
      </w:r>
      <w:proofErr w:type="spellStart"/>
      <w:r>
        <w:t>coachee</w:t>
      </w:r>
      <w:proofErr w:type="spellEnd"/>
      <w:r>
        <w:t xml:space="preserve"> to take full ownership of the solutions.</w:t>
      </w:r>
    </w:p>
    <w:p w14:paraId="47D0D736" w14:textId="77777777" w:rsidR="009F11BA" w:rsidRDefault="009F11BA" w:rsidP="009F11BA"/>
    <w:p w14:paraId="31DD02F1" w14:textId="77777777" w:rsidR="009F11BA" w:rsidRDefault="009F11BA" w:rsidP="009F11BA">
      <w:r>
        <w:t>Will</w:t>
      </w:r>
    </w:p>
    <w:p w14:paraId="06C6A69B" w14:textId="77777777" w:rsidR="009F11BA" w:rsidRDefault="009F11BA" w:rsidP="009F11BA"/>
    <w:p w14:paraId="0DF22DA0" w14:textId="77777777" w:rsidR="009F11BA" w:rsidRDefault="009F11BA" w:rsidP="009F11BA">
      <w:r>
        <w:lastRenderedPageBreak/>
        <w:t xml:space="preserve">In the final stage, the </w:t>
      </w:r>
      <w:proofErr w:type="spellStart"/>
      <w:r>
        <w:t>coachee</w:t>
      </w:r>
      <w:proofErr w:type="spellEnd"/>
      <w:r>
        <w:t xml:space="preserve"> committed to implementing a prioritisation tool and dedicating uninterrupted time for critical tasks. Together, we created a clear action plan with specific steps and deadlines, which reinforced the likelihood of follow-through (</w:t>
      </w:r>
      <w:proofErr w:type="spellStart"/>
      <w:r>
        <w:t>Gollwitzer</w:t>
      </w:r>
      <w:proofErr w:type="spellEnd"/>
      <w:r>
        <w:t xml:space="preserve">, 1999). While this stage was successful, I recognised that I could have probed further into potential obstacles the </w:t>
      </w:r>
      <w:proofErr w:type="spellStart"/>
      <w:r>
        <w:t>coachee</w:t>
      </w:r>
      <w:proofErr w:type="spellEnd"/>
      <w:r>
        <w:t xml:space="preserve"> might face when executing their plan. Addressing these barriers in advance could have enhanced their confidence and readiness.</w:t>
      </w:r>
    </w:p>
    <w:p w14:paraId="1ECD1823" w14:textId="77777777" w:rsidR="009F11BA" w:rsidRDefault="009F11BA" w:rsidP="009F11BA"/>
    <w:p w14:paraId="3D23B55B" w14:textId="77777777" w:rsidR="009F11BA" w:rsidRDefault="009F11BA" w:rsidP="009F11BA">
      <w:r>
        <w:t>Evaluation and Learning</w:t>
      </w:r>
    </w:p>
    <w:p w14:paraId="1DF13835" w14:textId="77777777" w:rsidR="009F11BA" w:rsidRDefault="009F11BA" w:rsidP="009F11BA"/>
    <w:p w14:paraId="4A05FC0E" w14:textId="77777777" w:rsidR="009F11BA" w:rsidRDefault="009F11BA" w:rsidP="009F11BA">
      <w:r>
        <w:t xml:space="preserve">Overall, the GROW model provided a clear and effective framework for guiding the session. Its structure ensured that the </w:t>
      </w:r>
      <w:proofErr w:type="spellStart"/>
      <w:r>
        <w:t>coachee</w:t>
      </w:r>
      <w:proofErr w:type="spellEnd"/>
      <w:r>
        <w:t xml:space="preserve"> remained focused and goal-oriented. However, I realised the importance of balancing structure with flexibility, particularly in the Reality and Options stages. By refining my questioning techniques and resisting the urge to offer solutions, I can create more space for </w:t>
      </w:r>
      <w:proofErr w:type="spellStart"/>
      <w:r>
        <w:t>coachees</w:t>
      </w:r>
      <w:proofErr w:type="spellEnd"/>
      <w:r>
        <w:t xml:space="preserve"> to explore and reflect.</w:t>
      </w:r>
    </w:p>
    <w:p w14:paraId="62A384C4" w14:textId="77777777" w:rsidR="009F11BA" w:rsidRDefault="009F11BA" w:rsidP="009F11BA"/>
    <w:p w14:paraId="362951AF" w14:textId="77777777" w:rsidR="009F11BA" w:rsidRDefault="009F11BA" w:rsidP="009F11BA">
      <w:r>
        <w:t>Action Plan</w:t>
      </w:r>
    </w:p>
    <w:p w14:paraId="6A2F716D" w14:textId="77777777" w:rsidR="009F11BA" w:rsidRDefault="009F11BA" w:rsidP="009F11BA"/>
    <w:p w14:paraId="391F4E0C" w14:textId="77777777" w:rsidR="009F11BA" w:rsidRDefault="009F11BA" w:rsidP="009F11BA">
      <w:r>
        <w:t>For future sessions, I will:</w:t>
      </w:r>
    </w:p>
    <w:p w14:paraId="0101E7F9" w14:textId="77777777" w:rsidR="009F11BA" w:rsidRDefault="009F11BA" w:rsidP="009F11BA">
      <w:r>
        <w:tab/>
        <w:t>1.</w:t>
      </w:r>
      <w:r>
        <w:tab/>
        <w:t xml:space="preserve">Focus on deeper exploration of the </w:t>
      </w:r>
      <w:proofErr w:type="spellStart"/>
      <w:r>
        <w:t>coachee’s</w:t>
      </w:r>
      <w:proofErr w:type="spellEnd"/>
      <w:r>
        <w:t xml:space="preserve"> motivations and barriers during the Reality stage.</w:t>
      </w:r>
    </w:p>
    <w:p w14:paraId="412CE51E" w14:textId="77777777" w:rsidR="009F11BA" w:rsidRDefault="009F11BA" w:rsidP="009F11BA">
      <w:r>
        <w:tab/>
        <w:t>2.</w:t>
      </w:r>
      <w:r>
        <w:tab/>
        <w:t>Encourage greater creativity and autonomy during the Options stage by stepping back.</w:t>
      </w:r>
    </w:p>
    <w:p w14:paraId="725E8970" w14:textId="2D294C49" w:rsidR="009F11BA" w:rsidRDefault="009F11BA" w:rsidP="009F11BA">
      <w:r>
        <w:tab/>
        <w:t>3.</w:t>
      </w:r>
      <w:r>
        <w:tab/>
        <w:t xml:space="preserve">Integrate feedback from the </w:t>
      </w:r>
      <w:r w:rsidR="00B550D2">
        <w:t>coaches</w:t>
      </w:r>
      <w:r>
        <w:t xml:space="preserve"> to continuously improve my approach.</w:t>
      </w:r>
    </w:p>
    <w:p w14:paraId="2FCB7551" w14:textId="77777777" w:rsidR="009F11BA" w:rsidRDefault="009F11BA" w:rsidP="009F11BA"/>
    <w:p w14:paraId="7329C417" w14:textId="77777777" w:rsidR="00385FEB" w:rsidRDefault="009F11BA" w:rsidP="00F16FBF">
      <w:r>
        <w:t>This experience has enhanced my understanding of coaching dynamics and the practical application of the GROW model, equipping me to facilitate more effective and empowering coaching sessions in the future</w:t>
      </w:r>
    </w:p>
    <w:p w14:paraId="3A73B15E" w14:textId="5DF1146B" w:rsidR="00F16FBF" w:rsidRDefault="00F16FBF" w:rsidP="00F16FBF">
      <w:r>
        <w:t>Reflection on Practical 2: Mentoring and Providing Feedback</w:t>
      </w:r>
    </w:p>
    <w:p w14:paraId="03684575" w14:textId="77777777" w:rsidR="00F16FBF" w:rsidRDefault="00F16FBF" w:rsidP="00F16FBF"/>
    <w:p w14:paraId="523D58F8" w14:textId="77777777" w:rsidR="00F16FBF" w:rsidRDefault="00F16FBF" w:rsidP="00F16FBF">
      <w:r>
        <w:t>This reflection evaluates my second practical experience, which focused on mentoring and providing feedback, using the GROW model (</w:t>
      </w:r>
      <w:proofErr w:type="spellStart"/>
      <w:r>
        <w:t>Whitmore</w:t>
      </w:r>
      <w:proofErr w:type="spellEnd"/>
      <w:r>
        <w:t xml:space="preserve">, 1992) as the framework for </w:t>
      </w:r>
      <w:r>
        <w:lastRenderedPageBreak/>
        <w:t>both mentoring and reflection. The session aimed to guide a mentee in improving their presentation skills by setting developmental goals, exploring current challenges, brainstorming strategies, and creating an actionable plan.</w:t>
      </w:r>
    </w:p>
    <w:p w14:paraId="168AF62B" w14:textId="77777777" w:rsidR="00F16FBF" w:rsidRDefault="00F16FBF" w:rsidP="00F16FBF"/>
    <w:p w14:paraId="6C127B74" w14:textId="77777777" w:rsidR="00F16FBF" w:rsidRDefault="00F16FBF" w:rsidP="00F16FBF">
      <w:r>
        <w:t>Goal</w:t>
      </w:r>
    </w:p>
    <w:p w14:paraId="1C16F4F3" w14:textId="77777777" w:rsidR="00F16FBF" w:rsidRDefault="00F16FBF" w:rsidP="00F16FBF"/>
    <w:p w14:paraId="37BFBFA8" w14:textId="77777777" w:rsidR="00F16FBF" w:rsidRDefault="00F16FBF" w:rsidP="00F16FBF">
      <w:r>
        <w:t>In the initial stage, the mentee was encouraged to define a specific and measurable goal. They identified a desire to improve their confidence and effectiveness in delivering team presentations. Through active questioning, I helped refine this goal into a clearer objective: to deliver a confident and well-structured presentation during the next team meeting. This stage of the GROW model aligns with goal-setting theory (Locke &amp; Latham, 1990), which emphasises that specific, challenging goals enhance performance. While this process was successful, I recognised that I could have explored the mentee’s underlying motivations further to strengthen their commitment to achieving the goal.</w:t>
      </w:r>
    </w:p>
    <w:p w14:paraId="52285E68" w14:textId="77777777" w:rsidR="00F16FBF" w:rsidRDefault="00F16FBF" w:rsidP="00F16FBF"/>
    <w:p w14:paraId="71BA9578" w14:textId="77777777" w:rsidR="00F16FBF" w:rsidRDefault="00F16FBF" w:rsidP="00F16FBF">
      <w:r>
        <w:t>Reality</w:t>
      </w:r>
    </w:p>
    <w:p w14:paraId="1E0506B2" w14:textId="77777777" w:rsidR="00F16FBF" w:rsidRDefault="00F16FBF" w:rsidP="00F16FBF"/>
    <w:p w14:paraId="41DE95EF" w14:textId="77777777" w:rsidR="00F16FBF" w:rsidRDefault="00F16FBF" w:rsidP="00F16FBF">
      <w:r>
        <w:t xml:space="preserve">This stage involved discussing the mentee’s current challenges with presentations. They identified nervousness, a lack of preparation, and difficulty in structuring their content as key obstacles. Using active listening and open-ended questions, I encouraged the mentee to reflect on their experiences, which increased their self-awareness. However, I realised I could have probed further into their perceptions of past successes to build their confidence and highlight strengths they could leverage. </w:t>
      </w:r>
      <w:proofErr w:type="spellStart"/>
      <w:r>
        <w:t>Whitmore</w:t>
      </w:r>
      <w:proofErr w:type="spellEnd"/>
      <w:r>
        <w:t xml:space="preserve"> (2009) emphasises the importance of understanding both strengths and weaknesses during this stage, which I will aim to incorporate more effectively in future sessions.</w:t>
      </w:r>
    </w:p>
    <w:p w14:paraId="132ABF4E" w14:textId="77777777" w:rsidR="00F16FBF" w:rsidRDefault="00F16FBF" w:rsidP="00F16FBF"/>
    <w:p w14:paraId="69F9BFC4" w14:textId="77777777" w:rsidR="00F16FBF" w:rsidRDefault="00F16FBF" w:rsidP="00F16FBF">
      <w:r>
        <w:t>Options</w:t>
      </w:r>
    </w:p>
    <w:p w14:paraId="2D3EB764" w14:textId="77777777" w:rsidR="00F16FBF" w:rsidRDefault="00F16FBF" w:rsidP="00F16FBF"/>
    <w:p w14:paraId="58297E09" w14:textId="5A0E5476" w:rsidR="00C4251F" w:rsidRDefault="00F16FBF">
      <w:r>
        <w:t xml:space="preserve">In this stage, the mentee and I brainstormed strategies to improve their presentation skills. Suggestions included practising presentations in front of a trusted colleague, recording themselves for self-review, and using storytelling techniques to engage the audience. Encouraging the mentee to generate their own ideas helped foster a sense of ownership and empowerment, consistent with adult learning theories (Knowles, 1980). However, I occasionally found myself steering the conversation toward my own </w:t>
      </w:r>
      <w:r>
        <w:lastRenderedPageBreak/>
        <w:t>suggestions rather than letting the mentee explore their creativity fully. Reflecting on this, I understand the importance of allowing mentees to take the lead in generating solutions.</w:t>
      </w:r>
    </w:p>
    <w:p w14:paraId="088A5E10" w14:textId="77777777" w:rsidR="001843E5" w:rsidRDefault="001843E5" w:rsidP="001843E5">
      <w:r>
        <w:t>Will</w:t>
      </w:r>
    </w:p>
    <w:p w14:paraId="3F474A9A" w14:textId="77777777" w:rsidR="001843E5" w:rsidRDefault="001843E5" w:rsidP="001843E5"/>
    <w:p w14:paraId="2D05D807" w14:textId="77777777" w:rsidR="001843E5" w:rsidRDefault="001843E5" w:rsidP="001843E5">
      <w:r>
        <w:t>The session concluded with the mentee committing to practising their presentation three times before the meeting and seeking feedback from a colleague on both structure and delivery. Together, we created a timeline and specific action steps to ensure follow-through. While this stage was productive, I realised that I could have encouraged the mentee to anticipate potential challenges, such as time constraints or unexpected feedback, and plan strategies to address them. Addressing these barriers in advance could have increased their confidence and readiness.</w:t>
      </w:r>
    </w:p>
    <w:p w14:paraId="543D5577" w14:textId="77777777" w:rsidR="001843E5" w:rsidRDefault="001843E5" w:rsidP="001843E5"/>
    <w:p w14:paraId="500496AA" w14:textId="77777777" w:rsidR="001843E5" w:rsidRDefault="001843E5" w:rsidP="001843E5">
      <w:r>
        <w:t>Evaluation and Learning</w:t>
      </w:r>
    </w:p>
    <w:p w14:paraId="5B14C8D4" w14:textId="77777777" w:rsidR="001843E5" w:rsidRDefault="001843E5" w:rsidP="001843E5"/>
    <w:p w14:paraId="47695B63" w14:textId="77777777" w:rsidR="001843E5" w:rsidRDefault="001843E5" w:rsidP="001843E5">
      <w:r>
        <w:t>The GROW model provided a structured framework for mentoring and feedback, ensuring the session remained focused on the mentee’s development. However, this practical experience highlighted areas for growth in my mentoring approach, particularly in encouraging deeper self-reflection and fostering greater autonomy in solution generation.</w:t>
      </w:r>
    </w:p>
    <w:p w14:paraId="2FE3ADCC" w14:textId="77777777" w:rsidR="001843E5" w:rsidRDefault="001843E5" w:rsidP="001843E5"/>
    <w:p w14:paraId="4C8F33DD" w14:textId="77777777" w:rsidR="001843E5" w:rsidRDefault="001843E5" w:rsidP="001843E5">
      <w:r>
        <w:t>Action Plan</w:t>
      </w:r>
    </w:p>
    <w:p w14:paraId="2CC58D70" w14:textId="77777777" w:rsidR="001843E5" w:rsidRDefault="001843E5" w:rsidP="001843E5"/>
    <w:p w14:paraId="31CFC799" w14:textId="77777777" w:rsidR="001843E5" w:rsidRDefault="001843E5" w:rsidP="001843E5">
      <w:r>
        <w:t>For future mentoring sessions, I will:</w:t>
      </w:r>
    </w:p>
    <w:p w14:paraId="0B28FE1E" w14:textId="77777777" w:rsidR="001843E5" w:rsidRDefault="001843E5" w:rsidP="001843E5">
      <w:r>
        <w:tab/>
        <w:t>1.</w:t>
      </w:r>
      <w:r>
        <w:tab/>
        <w:t>Focus more on building the mentee’s confidence by exploring their past successes and strengths.</w:t>
      </w:r>
    </w:p>
    <w:p w14:paraId="3EA98DF4" w14:textId="77777777" w:rsidR="001843E5" w:rsidRDefault="001843E5" w:rsidP="001843E5">
      <w:r>
        <w:tab/>
        <w:t>2.</w:t>
      </w:r>
      <w:r>
        <w:tab/>
        <w:t>Allow more space for the mentee to generate solutions independently during the Options stage.</w:t>
      </w:r>
    </w:p>
    <w:p w14:paraId="09B7A74E" w14:textId="77777777" w:rsidR="001843E5" w:rsidRDefault="001843E5" w:rsidP="001843E5">
      <w:r>
        <w:tab/>
        <w:t>3.</w:t>
      </w:r>
      <w:r>
        <w:tab/>
        <w:t>Include a discussion on potential barriers and strategies to overcome them during the Will stage.</w:t>
      </w:r>
    </w:p>
    <w:p w14:paraId="659A10C2" w14:textId="77777777" w:rsidR="001843E5" w:rsidRDefault="001843E5" w:rsidP="001843E5"/>
    <w:p w14:paraId="44B8396E" w14:textId="6281CFDF" w:rsidR="001843E5" w:rsidRDefault="001843E5">
      <w:r>
        <w:lastRenderedPageBreak/>
        <w:t>This practical experience has deepened my understanding of mentoring dynamics and the application of the GROW model, equipping me to provide more effective and empowering mentorship in the future.</w:t>
      </w:r>
    </w:p>
    <w:p w14:paraId="34E54B3D" w14:textId="77777777" w:rsidR="00B56D86" w:rsidRDefault="00B56D86" w:rsidP="00B56D86">
      <w:r>
        <w:t>Conclusion</w:t>
      </w:r>
    </w:p>
    <w:p w14:paraId="5B842F36" w14:textId="77777777" w:rsidR="00B56D86" w:rsidRDefault="00B56D86" w:rsidP="00B56D86"/>
    <w:p w14:paraId="79141277" w14:textId="77777777" w:rsidR="00B56D86" w:rsidRDefault="00B56D86" w:rsidP="00B56D86">
      <w:r>
        <w:t xml:space="preserve">This report has provided a reflective analysis of my coaching and mentoring experiences, underpinned by theoretical frameworks and practical application. Using the GROW model as the foundation for both coaching and mentoring sessions, I gained insights into how structured approaches can facilitate goal setting, self-reflection, and actionable outcomes. Coaching, with its emphasis on performance improvement and short-term objectives, proved effective in helping a </w:t>
      </w:r>
      <w:proofErr w:type="spellStart"/>
      <w:r>
        <w:t>coachee</w:t>
      </w:r>
      <w:proofErr w:type="spellEnd"/>
      <w:r>
        <w:t xml:space="preserve"> set and achieve measurable goals. Similarly, mentoring, which focuses on holistic development, allowed me to guide a mentee through a process of self-discovery and skill enhancement while providing constructive feedback.</w:t>
      </w:r>
    </w:p>
    <w:p w14:paraId="121555FF" w14:textId="77777777" w:rsidR="00B56D86" w:rsidRDefault="00B56D86" w:rsidP="00B56D86"/>
    <w:p w14:paraId="5790C75D" w14:textId="77777777" w:rsidR="00B56D86" w:rsidRDefault="00B56D86" w:rsidP="00B56D86">
      <w:r>
        <w:t>The reflective process, guided by models such as Gibbs’ Reflective Cycle, has been instrumental in identifying my strengths and areas for growth. Key theories, including goal-setting theory and adult learning principles, highlighted the importance of clarity, collaboration, and adaptability in both practices.</w:t>
      </w:r>
    </w:p>
    <w:p w14:paraId="683D2FAC" w14:textId="77777777" w:rsidR="00B56D86" w:rsidRDefault="00B56D86" w:rsidP="00B56D86"/>
    <w:p w14:paraId="626F8545" w14:textId="0E5AC11D" w:rsidR="00497E7D" w:rsidRDefault="00B56D86">
      <w:r>
        <w:t xml:space="preserve">These experiences have reinforced the value of coaching and mentoring in workplace development, enabling me to refine my skills and enhance my future practice. Moving forward, I plan to focus on fostering greater autonomy in </w:t>
      </w:r>
      <w:proofErr w:type="spellStart"/>
      <w:r>
        <w:t>coachees</w:t>
      </w:r>
      <w:proofErr w:type="spellEnd"/>
      <w:r>
        <w:t xml:space="preserve"> and mentees, delving deeper into their motivations and barriers, and ensuring a balance between guidance and independence. This reflective journey has equipped me with the tools to continue developing as an effective coach and mentor.</w:t>
      </w:r>
    </w:p>
    <w:p w14:paraId="2487CC53" w14:textId="52FD57B3" w:rsidR="0036272F" w:rsidRDefault="0036272F">
      <w:r>
        <w:t>References:</w:t>
      </w:r>
    </w:p>
    <w:p w14:paraId="00AB1A67" w14:textId="77777777" w:rsidR="00DE0E68" w:rsidRDefault="00DE0E68" w:rsidP="00DE0E68">
      <w:r>
        <w:tab/>
        <w:t>1.</w:t>
      </w:r>
      <w:r>
        <w:tab/>
      </w:r>
      <w:proofErr w:type="spellStart"/>
      <w:r>
        <w:t>Clutterbuck</w:t>
      </w:r>
      <w:proofErr w:type="spellEnd"/>
      <w:r>
        <w:t xml:space="preserve">, D. (2004) Everyone Needs a Mentor: Fostering Talent in Your Organisation. 4th </w:t>
      </w:r>
      <w:proofErr w:type="spellStart"/>
      <w:r>
        <w:t>edn</w:t>
      </w:r>
      <w:proofErr w:type="spellEnd"/>
      <w:r>
        <w:t>. London: Chartered Institute of Personnel and Development (CIPD).</w:t>
      </w:r>
    </w:p>
    <w:p w14:paraId="3F208310" w14:textId="77777777" w:rsidR="00DE0E68" w:rsidRDefault="00DE0E68" w:rsidP="00DE0E68">
      <w:r>
        <w:tab/>
        <w:t>2.</w:t>
      </w:r>
      <w:r>
        <w:tab/>
        <w:t xml:space="preserve">Downey, M. (2014) Effective Coaching: Lessons from the Coach’s Coach. 3rd </w:t>
      </w:r>
      <w:proofErr w:type="spellStart"/>
      <w:r>
        <w:t>edn</w:t>
      </w:r>
      <w:proofErr w:type="spellEnd"/>
      <w:r>
        <w:t xml:space="preserve">. Boston: </w:t>
      </w:r>
      <w:proofErr w:type="spellStart"/>
      <w:r>
        <w:t>Cengage</w:t>
      </w:r>
      <w:proofErr w:type="spellEnd"/>
      <w:r>
        <w:t xml:space="preserve"> Learning.</w:t>
      </w:r>
    </w:p>
    <w:p w14:paraId="5D50C5A4" w14:textId="77777777" w:rsidR="00DE0E68" w:rsidRDefault="00DE0E68" w:rsidP="00DE0E68">
      <w:r>
        <w:tab/>
        <w:t>3.</w:t>
      </w:r>
      <w:r>
        <w:tab/>
        <w:t>Gibbs, G. (1988) Learning by Doing: A Guide to Teaching and Learning Methods. Oxford: Oxford Polytechnic.</w:t>
      </w:r>
    </w:p>
    <w:p w14:paraId="7EBB1F28" w14:textId="77777777" w:rsidR="00DE0E68" w:rsidRDefault="00DE0E68" w:rsidP="00DE0E68">
      <w:r>
        <w:lastRenderedPageBreak/>
        <w:tab/>
        <w:t>4.</w:t>
      </w:r>
      <w:r>
        <w:tab/>
        <w:t xml:space="preserve">Grant, A. M., </w:t>
      </w:r>
      <w:proofErr w:type="spellStart"/>
      <w:r>
        <w:t>Passmore</w:t>
      </w:r>
      <w:proofErr w:type="spellEnd"/>
      <w:r>
        <w:t xml:space="preserve">, J., </w:t>
      </w:r>
      <w:proofErr w:type="spellStart"/>
      <w:r>
        <w:t>Cavanagh</w:t>
      </w:r>
      <w:proofErr w:type="spellEnd"/>
      <w:r>
        <w:t xml:space="preserve">, M. J. and Parker, H. (2010) ‘The State of Play in Coaching Today: A Comprehensive Review of the Field’, International Review of Industrial and </w:t>
      </w:r>
      <w:proofErr w:type="spellStart"/>
      <w:r>
        <w:t>Organizational</w:t>
      </w:r>
      <w:proofErr w:type="spellEnd"/>
      <w:r>
        <w:t xml:space="preserve"> Psychology, 25, pp. 125–167.</w:t>
      </w:r>
    </w:p>
    <w:p w14:paraId="6BA74806" w14:textId="77777777" w:rsidR="00DE0E68" w:rsidRDefault="00DE0E68" w:rsidP="00DE0E68">
      <w:r>
        <w:tab/>
        <w:t>5.</w:t>
      </w:r>
      <w:r>
        <w:tab/>
      </w:r>
      <w:proofErr w:type="spellStart"/>
      <w:r>
        <w:t>Gollwitzer</w:t>
      </w:r>
      <w:proofErr w:type="spellEnd"/>
      <w:r>
        <w:t>, P. M. (1999) ‘Implementation Intentions: Strong Effects of Simple Plans’, American Psychologist, 54(7), pp. 493–503.</w:t>
      </w:r>
    </w:p>
    <w:p w14:paraId="0B83102F" w14:textId="77777777" w:rsidR="00DE0E68" w:rsidRDefault="00DE0E68" w:rsidP="00DE0E68">
      <w:r>
        <w:tab/>
        <w:t>6.</w:t>
      </w:r>
      <w:r>
        <w:tab/>
      </w:r>
      <w:proofErr w:type="spellStart"/>
      <w:r>
        <w:t>Kram</w:t>
      </w:r>
      <w:proofErr w:type="spellEnd"/>
      <w:r>
        <w:t>, K. E. (1985) Mentoring at Work: Developmental Relationships in Organisational Life. Glenview: Scott, Foresman.</w:t>
      </w:r>
    </w:p>
    <w:p w14:paraId="3E10943F" w14:textId="77777777" w:rsidR="00DE0E68" w:rsidRDefault="00DE0E68" w:rsidP="00DE0E68">
      <w:r>
        <w:tab/>
        <w:t>7.</w:t>
      </w:r>
      <w:r>
        <w:tab/>
        <w:t>Locke, E. A. and Latham, G. P. (1990) A Theory of Goal Setting and Task Performance. Englewood Cliffs: Prentice Hall.</w:t>
      </w:r>
    </w:p>
    <w:p w14:paraId="1D13FF11" w14:textId="77777777" w:rsidR="00DE0E68" w:rsidRDefault="00DE0E68" w:rsidP="00DE0E68">
      <w:r>
        <w:tab/>
        <w:t>8.</w:t>
      </w:r>
      <w:r>
        <w:tab/>
      </w:r>
      <w:proofErr w:type="spellStart"/>
      <w:r>
        <w:t>Parsloe</w:t>
      </w:r>
      <w:proofErr w:type="spellEnd"/>
      <w:r>
        <w:t xml:space="preserve">, E. and </w:t>
      </w:r>
      <w:proofErr w:type="spellStart"/>
      <w:r>
        <w:t>Leedham</w:t>
      </w:r>
      <w:proofErr w:type="spellEnd"/>
      <w:r>
        <w:t xml:space="preserve">, M. (2016) Coaching and Mentoring: Practical Techniques for Developing Learning and Performance. 3rd </w:t>
      </w:r>
      <w:proofErr w:type="spellStart"/>
      <w:r>
        <w:t>edn</w:t>
      </w:r>
      <w:proofErr w:type="spellEnd"/>
      <w:r>
        <w:t>. London: Kogan Page.</w:t>
      </w:r>
    </w:p>
    <w:p w14:paraId="232D0246" w14:textId="77777777" w:rsidR="00DE0E68" w:rsidRDefault="00DE0E68" w:rsidP="00DE0E68">
      <w:r>
        <w:tab/>
        <w:t>9.</w:t>
      </w:r>
      <w:r>
        <w:tab/>
      </w:r>
      <w:proofErr w:type="spellStart"/>
      <w:r>
        <w:t>Passmore</w:t>
      </w:r>
      <w:proofErr w:type="spellEnd"/>
      <w:r>
        <w:t xml:space="preserve">, J. (2010) Excellence in Coaching: The Industry Guide. 2nd </w:t>
      </w:r>
      <w:proofErr w:type="spellStart"/>
      <w:r>
        <w:t>edn</w:t>
      </w:r>
      <w:proofErr w:type="spellEnd"/>
      <w:r>
        <w:t>. London: Kogan Page.</w:t>
      </w:r>
    </w:p>
    <w:p w14:paraId="10BCFBC4" w14:textId="77777777" w:rsidR="00DE0E68" w:rsidRDefault="00DE0E68" w:rsidP="00DE0E68">
      <w:r>
        <w:tab/>
        <w:t>10.</w:t>
      </w:r>
      <w:r>
        <w:tab/>
      </w:r>
      <w:proofErr w:type="spellStart"/>
      <w:r>
        <w:t>Whitmore</w:t>
      </w:r>
      <w:proofErr w:type="spellEnd"/>
      <w:r>
        <w:t xml:space="preserve">, J. (2009) Coaching for Performance: GROWing Human Potential and Purpose. 4th </w:t>
      </w:r>
      <w:proofErr w:type="spellStart"/>
      <w:r>
        <w:t>edn</w:t>
      </w:r>
      <w:proofErr w:type="spellEnd"/>
      <w:r>
        <w:t xml:space="preserve">. London: Nicholas </w:t>
      </w:r>
      <w:proofErr w:type="spellStart"/>
      <w:r>
        <w:t>Brealey</w:t>
      </w:r>
      <w:proofErr w:type="spellEnd"/>
      <w:r>
        <w:t xml:space="preserve"> Publishing.</w:t>
      </w:r>
    </w:p>
    <w:p w14:paraId="771023A5" w14:textId="5400CBFA" w:rsidR="0036272F" w:rsidRDefault="0036272F"/>
    <w:sectPr w:rsidR="003627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rial-BoldMT">
    <w:altName w:val="Arial"/>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1FA"/>
    <w:rsid w:val="00045AFA"/>
    <w:rsid w:val="000C0549"/>
    <w:rsid w:val="001843E5"/>
    <w:rsid w:val="00196A96"/>
    <w:rsid w:val="00285E6C"/>
    <w:rsid w:val="0036272F"/>
    <w:rsid w:val="0037052A"/>
    <w:rsid w:val="00385FEB"/>
    <w:rsid w:val="00431471"/>
    <w:rsid w:val="00434531"/>
    <w:rsid w:val="004730F4"/>
    <w:rsid w:val="00497E7D"/>
    <w:rsid w:val="004D31FA"/>
    <w:rsid w:val="004D6E02"/>
    <w:rsid w:val="00542A97"/>
    <w:rsid w:val="005D07D3"/>
    <w:rsid w:val="006545C7"/>
    <w:rsid w:val="006E6DD2"/>
    <w:rsid w:val="006F4A80"/>
    <w:rsid w:val="007365F4"/>
    <w:rsid w:val="007F0266"/>
    <w:rsid w:val="00827F1B"/>
    <w:rsid w:val="008A0A3C"/>
    <w:rsid w:val="008D04A9"/>
    <w:rsid w:val="009F11BA"/>
    <w:rsid w:val="00B550D2"/>
    <w:rsid w:val="00B56D86"/>
    <w:rsid w:val="00BF616E"/>
    <w:rsid w:val="00C4251F"/>
    <w:rsid w:val="00DE0E68"/>
    <w:rsid w:val="00DE100B"/>
    <w:rsid w:val="00EA4211"/>
    <w:rsid w:val="00F16FBF"/>
    <w:rsid w:val="00F40945"/>
    <w:rsid w:val="00FE535D"/>
    <w:rsid w:val="00FE5367"/>
    <w:rsid w:val="00FF44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6CF09A6"/>
  <w15:chartTrackingRefBased/>
  <w15:docId w15:val="{58BA637D-4A7C-344E-9E0D-ADB65BE0E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31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D3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31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31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31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31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31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31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31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31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31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31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31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31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31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31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31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31FA"/>
    <w:rPr>
      <w:rFonts w:eastAsiaTheme="majorEastAsia" w:cstheme="majorBidi"/>
      <w:color w:val="272727" w:themeColor="text1" w:themeTint="D8"/>
    </w:rPr>
  </w:style>
  <w:style w:type="paragraph" w:styleId="Title">
    <w:name w:val="Title"/>
    <w:basedOn w:val="Normal"/>
    <w:next w:val="Normal"/>
    <w:link w:val="TitleChar"/>
    <w:uiPriority w:val="10"/>
    <w:qFormat/>
    <w:rsid w:val="004D31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31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31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31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31FA"/>
    <w:pPr>
      <w:spacing w:before="160"/>
      <w:jc w:val="center"/>
    </w:pPr>
    <w:rPr>
      <w:i/>
      <w:iCs/>
      <w:color w:val="404040" w:themeColor="text1" w:themeTint="BF"/>
    </w:rPr>
  </w:style>
  <w:style w:type="character" w:customStyle="1" w:styleId="QuoteChar">
    <w:name w:val="Quote Char"/>
    <w:basedOn w:val="DefaultParagraphFont"/>
    <w:link w:val="Quote"/>
    <w:uiPriority w:val="29"/>
    <w:rsid w:val="004D31FA"/>
    <w:rPr>
      <w:i/>
      <w:iCs/>
      <w:color w:val="404040" w:themeColor="text1" w:themeTint="BF"/>
    </w:rPr>
  </w:style>
  <w:style w:type="paragraph" w:styleId="ListParagraph">
    <w:name w:val="List Paragraph"/>
    <w:basedOn w:val="Normal"/>
    <w:uiPriority w:val="34"/>
    <w:qFormat/>
    <w:rsid w:val="004D31FA"/>
    <w:pPr>
      <w:ind w:left="720"/>
      <w:contextualSpacing/>
    </w:pPr>
  </w:style>
  <w:style w:type="character" w:styleId="IntenseEmphasis">
    <w:name w:val="Intense Emphasis"/>
    <w:basedOn w:val="DefaultParagraphFont"/>
    <w:uiPriority w:val="21"/>
    <w:qFormat/>
    <w:rsid w:val="004D31FA"/>
    <w:rPr>
      <w:i/>
      <w:iCs/>
      <w:color w:val="0F4761" w:themeColor="accent1" w:themeShade="BF"/>
    </w:rPr>
  </w:style>
  <w:style w:type="paragraph" w:styleId="IntenseQuote">
    <w:name w:val="Intense Quote"/>
    <w:basedOn w:val="Normal"/>
    <w:next w:val="Normal"/>
    <w:link w:val="IntenseQuoteChar"/>
    <w:uiPriority w:val="30"/>
    <w:qFormat/>
    <w:rsid w:val="004D31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31FA"/>
    <w:rPr>
      <w:i/>
      <w:iCs/>
      <w:color w:val="0F4761" w:themeColor="accent1" w:themeShade="BF"/>
    </w:rPr>
  </w:style>
  <w:style w:type="character" w:styleId="IntenseReference">
    <w:name w:val="Intense Reference"/>
    <w:basedOn w:val="DefaultParagraphFont"/>
    <w:uiPriority w:val="32"/>
    <w:qFormat/>
    <w:rsid w:val="004D31FA"/>
    <w:rPr>
      <w:b/>
      <w:bCs/>
      <w:smallCaps/>
      <w:color w:val="0F4761" w:themeColor="accent1" w:themeShade="BF"/>
      <w:spacing w:val="5"/>
    </w:rPr>
  </w:style>
  <w:style w:type="paragraph" w:customStyle="1" w:styleId="p1">
    <w:name w:val="p1"/>
    <w:basedOn w:val="Normal"/>
    <w:rsid w:val="00827F1B"/>
    <w:pPr>
      <w:spacing w:after="0" w:line="240" w:lineRule="auto"/>
    </w:pPr>
    <w:rPr>
      <w:rFonts w:ascii="Arial" w:hAnsi="Arial" w:cs="Arial"/>
      <w:color w:val="000000"/>
      <w:kern w:val="0"/>
      <w:sz w:val="17"/>
      <w:szCs w:val="17"/>
      <w14:ligatures w14:val="none"/>
    </w:rPr>
  </w:style>
  <w:style w:type="character" w:customStyle="1" w:styleId="s1">
    <w:name w:val="s1"/>
    <w:basedOn w:val="DefaultParagraphFont"/>
    <w:rsid w:val="00827F1B"/>
    <w:rPr>
      <w:rFonts w:ascii="Arial-BoldMT" w:hAnsi="Arial-BoldMT" w:hint="default"/>
      <w:b/>
      <w:bCs/>
      <w:i w:val="0"/>
      <w:iCs w:val="0"/>
      <w:sz w:val="17"/>
      <w:szCs w:val="17"/>
    </w:rPr>
  </w:style>
  <w:style w:type="character" w:customStyle="1" w:styleId="apple-converted-space">
    <w:name w:val="apple-converted-space"/>
    <w:basedOn w:val="DefaultParagraphFont"/>
    <w:rsid w:val="00827F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8298941">
      <w:bodyDiv w:val="1"/>
      <w:marLeft w:val="0"/>
      <w:marRight w:val="0"/>
      <w:marTop w:val="0"/>
      <w:marBottom w:val="0"/>
      <w:divBdr>
        <w:top w:val="none" w:sz="0" w:space="0" w:color="auto"/>
        <w:left w:val="none" w:sz="0" w:space="0" w:color="auto"/>
        <w:bottom w:val="none" w:sz="0" w:space="0" w:color="auto"/>
        <w:right w:val="none" w:sz="0" w:space="0" w:color="auto"/>
      </w:divBdr>
    </w:div>
    <w:div w:id="412749805">
      <w:bodyDiv w:val="1"/>
      <w:marLeft w:val="0"/>
      <w:marRight w:val="0"/>
      <w:marTop w:val="0"/>
      <w:marBottom w:val="0"/>
      <w:divBdr>
        <w:top w:val="none" w:sz="0" w:space="0" w:color="auto"/>
        <w:left w:val="none" w:sz="0" w:space="0" w:color="auto"/>
        <w:bottom w:val="none" w:sz="0" w:space="0" w:color="auto"/>
        <w:right w:val="none" w:sz="0" w:space="0" w:color="auto"/>
      </w:divBdr>
    </w:div>
    <w:div w:id="519323852">
      <w:bodyDiv w:val="1"/>
      <w:marLeft w:val="0"/>
      <w:marRight w:val="0"/>
      <w:marTop w:val="0"/>
      <w:marBottom w:val="0"/>
      <w:divBdr>
        <w:top w:val="none" w:sz="0" w:space="0" w:color="auto"/>
        <w:left w:val="none" w:sz="0" w:space="0" w:color="auto"/>
        <w:bottom w:val="none" w:sz="0" w:space="0" w:color="auto"/>
        <w:right w:val="none" w:sz="0" w:space="0" w:color="auto"/>
      </w:divBdr>
    </w:div>
    <w:div w:id="701589850">
      <w:bodyDiv w:val="1"/>
      <w:marLeft w:val="0"/>
      <w:marRight w:val="0"/>
      <w:marTop w:val="0"/>
      <w:marBottom w:val="0"/>
      <w:divBdr>
        <w:top w:val="none" w:sz="0" w:space="0" w:color="auto"/>
        <w:left w:val="none" w:sz="0" w:space="0" w:color="auto"/>
        <w:bottom w:val="none" w:sz="0" w:space="0" w:color="auto"/>
        <w:right w:val="none" w:sz="0" w:space="0" w:color="auto"/>
      </w:divBdr>
    </w:div>
    <w:div w:id="787774334">
      <w:bodyDiv w:val="1"/>
      <w:marLeft w:val="0"/>
      <w:marRight w:val="0"/>
      <w:marTop w:val="0"/>
      <w:marBottom w:val="0"/>
      <w:divBdr>
        <w:top w:val="none" w:sz="0" w:space="0" w:color="auto"/>
        <w:left w:val="none" w:sz="0" w:space="0" w:color="auto"/>
        <w:bottom w:val="none" w:sz="0" w:space="0" w:color="auto"/>
        <w:right w:val="none" w:sz="0" w:space="0" w:color="auto"/>
      </w:divBdr>
    </w:div>
    <w:div w:id="875853806">
      <w:bodyDiv w:val="1"/>
      <w:marLeft w:val="0"/>
      <w:marRight w:val="0"/>
      <w:marTop w:val="0"/>
      <w:marBottom w:val="0"/>
      <w:divBdr>
        <w:top w:val="none" w:sz="0" w:space="0" w:color="auto"/>
        <w:left w:val="none" w:sz="0" w:space="0" w:color="auto"/>
        <w:bottom w:val="none" w:sz="0" w:space="0" w:color="auto"/>
        <w:right w:val="none" w:sz="0" w:space="0" w:color="auto"/>
      </w:divBdr>
    </w:div>
    <w:div w:id="1045443935">
      <w:bodyDiv w:val="1"/>
      <w:marLeft w:val="0"/>
      <w:marRight w:val="0"/>
      <w:marTop w:val="0"/>
      <w:marBottom w:val="0"/>
      <w:divBdr>
        <w:top w:val="none" w:sz="0" w:space="0" w:color="auto"/>
        <w:left w:val="none" w:sz="0" w:space="0" w:color="auto"/>
        <w:bottom w:val="none" w:sz="0" w:space="0" w:color="auto"/>
        <w:right w:val="none" w:sz="0" w:space="0" w:color="auto"/>
      </w:divBdr>
    </w:div>
    <w:div w:id="1135217142">
      <w:bodyDiv w:val="1"/>
      <w:marLeft w:val="0"/>
      <w:marRight w:val="0"/>
      <w:marTop w:val="0"/>
      <w:marBottom w:val="0"/>
      <w:divBdr>
        <w:top w:val="none" w:sz="0" w:space="0" w:color="auto"/>
        <w:left w:val="none" w:sz="0" w:space="0" w:color="auto"/>
        <w:bottom w:val="none" w:sz="0" w:space="0" w:color="auto"/>
        <w:right w:val="none" w:sz="0" w:space="0" w:color="auto"/>
      </w:divBdr>
    </w:div>
    <w:div w:id="1149134492">
      <w:bodyDiv w:val="1"/>
      <w:marLeft w:val="0"/>
      <w:marRight w:val="0"/>
      <w:marTop w:val="0"/>
      <w:marBottom w:val="0"/>
      <w:divBdr>
        <w:top w:val="none" w:sz="0" w:space="0" w:color="auto"/>
        <w:left w:val="none" w:sz="0" w:space="0" w:color="auto"/>
        <w:bottom w:val="none" w:sz="0" w:space="0" w:color="auto"/>
        <w:right w:val="none" w:sz="0" w:space="0" w:color="auto"/>
      </w:divBdr>
    </w:div>
    <w:div w:id="1149903876">
      <w:bodyDiv w:val="1"/>
      <w:marLeft w:val="0"/>
      <w:marRight w:val="0"/>
      <w:marTop w:val="0"/>
      <w:marBottom w:val="0"/>
      <w:divBdr>
        <w:top w:val="none" w:sz="0" w:space="0" w:color="auto"/>
        <w:left w:val="none" w:sz="0" w:space="0" w:color="auto"/>
        <w:bottom w:val="none" w:sz="0" w:space="0" w:color="auto"/>
        <w:right w:val="none" w:sz="0" w:space="0" w:color="auto"/>
      </w:divBdr>
    </w:div>
    <w:div w:id="1180122629">
      <w:bodyDiv w:val="1"/>
      <w:marLeft w:val="0"/>
      <w:marRight w:val="0"/>
      <w:marTop w:val="0"/>
      <w:marBottom w:val="0"/>
      <w:divBdr>
        <w:top w:val="none" w:sz="0" w:space="0" w:color="auto"/>
        <w:left w:val="none" w:sz="0" w:space="0" w:color="auto"/>
        <w:bottom w:val="none" w:sz="0" w:space="0" w:color="auto"/>
        <w:right w:val="none" w:sz="0" w:space="0" w:color="auto"/>
      </w:divBdr>
    </w:div>
    <w:div w:id="1321999478">
      <w:bodyDiv w:val="1"/>
      <w:marLeft w:val="0"/>
      <w:marRight w:val="0"/>
      <w:marTop w:val="0"/>
      <w:marBottom w:val="0"/>
      <w:divBdr>
        <w:top w:val="none" w:sz="0" w:space="0" w:color="auto"/>
        <w:left w:val="none" w:sz="0" w:space="0" w:color="auto"/>
        <w:bottom w:val="none" w:sz="0" w:space="0" w:color="auto"/>
        <w:right w:val="none" w:sz="0" w:space="0" w:color="auto"/>
      </w:divBdr>
    </w:div>
    <w:div w:id="1322854796">
      <w:bodyDiv w:val="1"/>
      <w:marLeft w:val="0"/>
      <w:marRight w:val="0"/>
      <w:marTop w:val="0"/>
      <w:marBottom w:val="0"/>
      <w:divBdr>
        <w:top w:val="none" w:sz="0" w:space="0" w:color="auto"/>
        <w:left w:val="none" w:sz="0" w:space="0" w:color="auto"/>
        <w:bottom w:val="none" w:sz="0" w:space="0" w:color="auto"/>
        <w:right w:val="none" w:sz="0" w:space="0" w:color="auto"/>
      </w:divBdr>
    </w:div>
    <w:div w:id="1356351297">
      <w:bodyDiv w:val="1"/>
      <w:marLeft w:val="0"/>
      <w:marRight w:val="0"/>
      <w:marTop w:val="0"/>
      <w:marBottom w:val="0"/>
      <w:divBdr>
        <w:top w:val="none" w:sz="0" w:space="0" w:color="auto"/>
        <w:left w:val="none" w:sz="0" w:space="0" w:color="auto"/>
        <w:bottom w:val="none" w:sz="0" w:space="0" w:color="auto"/>
        <w:right w:val="none" w:sz="0" w:space="0" w:color="auto"/>
      </w:divBdr>
    </w:div>
    <w:div w:id="1388145181">
      <w:bodyDiv w:val="1"/>
      <w:marLeft w:val="0"/>
      <w:marRight w:val="0"/>
      <w:marTop w:val="0"/>
      <w:marBottom w:val="0"/>
      <w:divBdr>
        <w:top w:val="none" w:sz="0" w:space="0" w:color="auto"/>
        <w:left w:val="none" w:sz="0" w:space="0" w:color="auto"/>
        <w:bottom w:val="none" w:sz="0" w:space="0" w:color="auto"/>
        <w:right w:val="none" w:sz="0" w:space="0" w:color="auto"/>
      </w:divBdr>
    </w:div>
    <w:div w:id="1541359023">
      <w:bodyDiv w:val="1"/>
      <w:marLeft w:val="0"/>
      <w:marRight w:val="0"/>
      <w:marTop w:val="0"/>
      <w:marBottom w:val="0"/>
      <w:divBdr>
        <w:top w:val="none" w:sz="0" w:space="0" w:color="auto"/>
        <w:left w:val="none" w:sz="0" w:space="0" w:color="auto"/>
        <w:bottom w:val="none" w:sz="0" w:space="0" w:color="auto"/>
        <w:right w:val="none" w:sz="0" w:space="0" w:color="auto"/>
      </w:divBdr>
    </w:div>
    <w:div w:id="1633512527">
      <w:bodyDiv w:val="1"/>
      <w:marLeft w:val="0"/>
      <w:marRight w:val="0"/>
      <w:marTop w:val="0"/>
      <w:marBottom w:val="0"/>
      <w:divBdr>
        <w:top w:val="none" w:sz="0" w:space="0" w:color="auto"/>
        <w:left w:val="none" w:sz="0" w:space="0" w:color="auto"/>
        <w:bottom w:val="none" w:sz="0" w:space="0" w:color="auto"/>
        <w:right w:val="none" w:sz="0" w:space="0" w:color="auto"/>
      </w:divBdr>
    </w:div>
    <w:div w:id="1720476652">
      <w:bodyDiv w:val="1"/>
      <w:marLeft w:val="0"/>
      <w:marRight w:val="0"/>
      <w:marTop w:val="0"/>
      <w:marBottom w:val="0"/>
      <w:divBdr>
        <w:top w:val="none" w:sz="0" w:space="0" w:color="auto"/>
        <w:left w:val="none" w:sz="0" w:space="0" w:color="auto"/>
        <w:bottom w:val="none" w:sz="0" w:space="0" w:color="auto"/>
        <w:right w:val="none" w:sz="0" w:space="0" w:color="auto"/>
      </w:divBdr>
    </w:div>
    <w:div w:id="1759054746">
      <w:bodyDiv w:val="1"/>
      <w:marLeft w:val="0"/>
      <w:marRight w:val="0"/>
      <w:marTop w:val="0"/>
      <w:marBottom w:val="0"/>
      <w:divBdr>
        <w:top w:val="none" w:sz="0" w:space="0" w:color="auto"/>
        <w:left w:val="none" w:sz="0" w:space="0" w:color="auto"/>
        <w:bottom w:val="none" w:sz="0" w:space="0" w:color="auto"/>
        <w:right w:val="none" w:sz="0" w:space="0" w:color="auto"/>
      </w:divBdr>
    </w:div>
    <w:div w:id="1797405322">
      <w:bodyDiv w:val="1"/>
      <w:marLeft w:val="0"/>
      <w:marRight w:val="0"/>
      <w:marTop w:val="0"/>
      <w:marBottom w:val="0"/>
      <w:divBdr>
        <w:top w:val="none" w:sz="0" w:space="0" w:color="auto"/>
        <w:left w:val="none" w:sz="0" w:space="0" w:color="auto"/>
        <w:bottom w:val="none" w:sz="0" w:space="0" w:color="auto"/>
        <w:right w:val="none" w:sz="0" w:space="0" w:color="auto"/>
      </w:divBdr>
    </w:div>
    <w:div w:id="1800875821">
      <w:bodyDiv w:val="1"/>
      <w:marLeft w:val="0"/>
      <w:marRight w:val="0"/>
      <w:marTop w:val="0"/>
      <w:marBottom w:val="0"/>
      <w:divBdr>
        <w:top w:val="none" w:sz="0" w:space="0" w:color="auto"/>
        <w:left w:val="none" w:sz="0" w:space="0" w:color="auto"/>
        <w:bottom w:val="none" w:sz="0" w:space="0" w:color="auto"/>
        <w:right w:val="none" w:sz="0" w:space="0" w:color="auto"/>
      </w:divBdr>
    </w:div>
    <w:div w:id="1802072402">
      <w:bodyDiv w:val="1"/>
      <w:marLeft w:val="0"/>
      <w:marRight w:val="0"/>
      <w:marTop w:val="0"/>
      <w:marBottom w:val="0"/>
      <w:divBdr>
        <w:top w:val="none" w:sz="0" w:space="0" w:color="auto"/>
        <w:left w:val="none" w:sz="0" w:space="0" w:color="auto"/>
        <w:bottom w:val="none" w:sz="0" w:space="0" w:color="auto"/>
        <w:right w:val="none" w:sz="0" w:space="0" w:color="auto"/>
      </w:divBdr>
    </w:div>
    <w:div w:id="1920209952">
      <w:bodyDiv w:val="1"/>
      <w:marLeft w:val="0"/>
      <w:marRight w:val="0"/>
      <w:marTop w:val="0"/>
      <w:marBottom w:val="0"/>
      <w:divBdr>
        <w:top w:val="none" w:sz="0" w:space="0" w:color="auto"/>
        <w:left w:val="none" w:sz="0" w:space="0" w:color="auto"/>
        <w:bottom w:val="none" w:sz="0" w:space="0" w:color="auto"/>
        <w:right w:val="none" w:sz="0" w:space="0" w:color="auto"/>
      </w:divBdr>
    </w:div>
    <w:div w:id="2051303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2968</Words>
  <Characters>16920</Characters>
  <Application>Microsoft Office Word</Application>
  <DocSecurity>0</DocSecurity>
  <Lines>141</Lines>
  <Paragraphs>39</Paragraphs>
  <ScaleCrop>false</ScaleCrop>
  <Company/>
  <LinksUpToDate>false</LinksUpToDate>
  <CharactersWithSpaces>19849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Donatas Keliauskas</dc:creator>
  <cp:keywords/>
  <dc:description/>
  <cp:lastModifiedBy>Donatas Keliauskas</cp:lastModifiedBy>
  <cp:revision>2</cp:revision>
  <dcterms:created xsi:type="dcterms:W3CDTF">2024-12-22T20:20:00Z</dcterms:created>
  <dcterms:modified xsi:type="dcterms:W3CDTF">2024-12-22T20:20:00Z</dcterms:modified>
</cp:coreProperties>
</file>