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media/image7.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2CFEE" w:themeColor="accent5" w:themeTint="33">
    <v:background id="_x0000_s1025">
      <v:fill type="gradient" on="t" color2="#FFFFFF" angle="-135" focus="100%" focussize="0f,0f" focusposition="0f,0f"/>
    </v:background>
  </w:background>
  <w:body>
    <w:sdt>
      <w:sdtPr>
        <w:id w:val="-594023911"/>
        <w:docPartObj>
          <w:docPartGallery w:val="autotext"/>
        </w:docPartObj>
      </w:sdtPr>
      <w:sdtEndPr>
        <w:rPr>
          <w:rFonts w:ascii="Arial" w:hAnsi="Arial" w:cs="Arial"/>
          <w:b/>
          <w:bCs/>
        </w:rPr>
      </w:sdtEndPr>
      <w:sdtContent>
        <w:p w14:paraId="636356E8"/>
        <w:tbl>
          <w:tblPr>
            <w:tblStyle w:val="12"/>
            <w:tblpPr w:leftFromText="187" w:rightFromText="187" w:horzAnchor="margin" w:tblpXSpec="center" w:tblpY="2881"/>
            <w:tblW w:w="4000" w:type="pct"/>
            <w:tblInd w:w="0" w:type="dxa"/>
            <w:tblBorders>
              <w:top w:val="none" w:color="auto" w:sz="0" w:space="0"/>
              <w:left w:val="single" w:color="156082" w:themeColor="accent1" w:sz="12" w:space="0"/>
              <w:bottom w:val="none" w:color="auto" w:sz="0" w:space="0"/>
              <w:right w:val="none" w:color="auto" w:sz="0" w:space="0"/>
              <w:insideH w:val="none" w:color="auto" w:sz="0" w:space="0"/>
              <w:insideV w:val="none" w:color="auto" w:sz="0" w:space="0"/>
            </w:tblBorders>
            <w:tblLayout w:type="autofit"/>
            <w:tblCellMar>
              <w:top w:w="0" w:type="dxa"/>
              <w:left w:w="144" w:type="dxa"/>
              <w:bottom w:w="0" w:type="dxa"/>
              <w:right w:w="115" w:type="dxa"/>
            </w:tblCellMar>
          </w:tblPr>
          <w:tblGrid>
            <w:gridCol w:w="7405"/>
          </w:tblGrid>
          <w:tr w14:paraId="1ADD6E6E">
            <w:tblPrEx>
              <w:tblBorders>
                <w:top w:val="none" w:color="auto" w:sz="0" w:space="0"/>
                <w:left w:val="single" w:color="156082" w:themeColor="accent1" w:sz="12" w:space="0"/>
                <w:bottom w:val="none" w:color="auto" w:sz="0" w:space="0"/>
                <w:right w:val="none" w:color="auto" w:sz="0" w:space="0"/>
                <w:insideH w:val="none" w:color="auto" w:sz="0" w:space="0"/>
                <w:insideV w:val="none" w:color="auto" w:sz="0" w:space="0"/>
              </w:tblBorders>
            </w:tblPrEx>
            <w:tc>
              <w:tcPr>
                <w:tcW w:w="7672" w:type="dxa"/>
                <w:tcMar>
                  <w:top w:w="216" w:type="dxa"/>
                  <w:left w:w="115" w:type="dxa"/>
                  <w:bottom w:w="216" w:type="dxa"/>
                  <w:right w:w="115" w:type="dxa"/>
                </w:tcMar>
              </w:tcPr>
              <w:p w14:paraId="7509FA8A">
                <w:pPr>
                  <w:pStyle w:val="37"/>
                  <w:rPr>
                    <w:color w:val="104862" w:themeColor="accent1" w:themeShade="BF"/>
                    <w:sz w:val="24"/>
                  </w:rPr>
                </w:pPr>
              </w:p>
            </w:tc>
          </w:tr>
          <w:tr w14:paraId="6FEAF287">
            <w:tblPrEx>
              <w:tblBorders>
                <w:top w:val="none" w:color="auto" w:sz="0" w:space="0"/>
                <w:left w:val="single" w:color="156082" w:themeColor="accent1" w:sz="12" w:space="0"/>
                <w:bottom w:val="none" w:color="auto" w:sz="0" w:space="0"/>
                <w:right w:val="none" w:color="auto" w:sz="0" w:space="0"/>
                <w:insideH w:val="none" w:color="auto" w:sz="0" w:space="0"/>
                <w:insideV w:val="none" w:color="auto" w:sz="0" w:space="0"/>
              </w:tblBorders>
              <w:tblCellMar>
                <w:top w:w="0" w:type="dxa"/>
                <w:left w:w="144" w:type="dxa"/>
                <w:bottom w:w="0" w:type="dxa"/>
                <w:right w:w="115" w:type="dxa"/>
              </w:tblCellMar>
            </w:tblPrEx>
            <w:tc>
              <w:tcPr>
                <w:tcW w:w="7672" w:type="dxa"/>
              </w:tcPr>
              <w:p w14:paraId="3BE233D3">
                <w:pPr>
                  <w:pStyle w:val="37"/>
                  <w:spacing w:line="216" w:lineRule="auto"/>
                  <w:rPr>
                    <w:rFonts w:asciiTheme="majorHAnsi" w:hAnsiTheme="majorHAnsi" w:eastAsiaTheme="majorEastAsia" w:cstheme="majorBidi"/>
                    <w:color w:val="156082" w:themeColor="accent1"/>
                    <w:sz w:val="88"/>
                    <w:szCs w:val="88"/>
                    <w14:textFill>
                      <w14:solidFill>
                        <w14:schemeClr w14:val="accent1"/>
                      </w14:solidFill>
                    </w14:textFill>
                  </w:rPr>
                </w:pPr>
                <w:r>
                  <w:rPr>
                    <w:rFonts w:asciiTheme="majorHAnsi" w:hAnsiTheme="majorHAnsi" w:eastAsiaTheme="majorEastAsia" w:cstheme="majorBidi"/>
                    <w:color w:val="156082" w:themeColor="accent1"/>
                    <w:sz w:val="88"/>
                    <w:szCs w:val="88"/>
                    <w14:textFill>
                      <w14:solidFill>
                        <w14:schemeClr w14:val="accent1"/>
                      </w14:solidFill>
                    </w14:textFill>
                  </w:rPr>
                  <w:t xml:space="preserve">Population health and digital health promotion </w:t>
                </w:r>
              </w:p>
            </w:tc>
          </w:tr>
          <w:tr w14:paraId="43639DCB">
            <w:tblPrEx>
              <w:tblBorders>
                <w:top w:val="none" w:color="auto" w:sz="0" w:space="0"/>
                <w:left w:val="single" w:color="156082" w:themeColor="accent1" w:sz="12" w:space="0"/>
                <w:bottom w:val="none" w:color="auto" w:sz="0" w:space="0"/>
                <w:right w:val="none" w:color="auto" w:sz="0" w:space="0"/>
                <w:insideH w:val="none" w:color="auto" w:sz="0" w:space="0"/>
                <w:insideV w:val="none" w:color="auto" w:sz="0" w:space="0"/>
              </w:tblBorders>
              <w:tblCellMar>
                <w:top w:w="0" w:type="dxa"/>
                <w:left w:w="144" w:type="dxa"/>
                <w:bottom w:w="0" w:type="dxa"/>
                <w:right w:w="115" w:type="dxa"/>
              </w:tblCellMar>
            </w:tblPrEx>
            <w:sdt>
              <w:sdtPr>
                <w:rPr>
                  <w:color w:val="104862" w:themeColor="accent1" w:themeShade="BF"/>
                  <w:sz w:val="24"/>
                  <w:szCs w:val="24"/>
                </w:rPr>
                <w:alias w:val="Subtitle"/>
                <w:id w:val="13406923"/>
                <w:placeholder>
                  <w:docPart w:val="843CEFBE8EC24ECC99FDD04DC021F47F"/>
                </w:placeholder>
                <w:dataBinding w:prefixMappings="xmlns:ns0='http://schemas.openxmlformats.org/package/2006/metadata/core-properties' xmlns:ns1='http://purl.org/dc/elements/1.1/'" w:xpath="/ns0:coreProperties[1]/ns1:subject[1]" w:storeItemID="{6C3C8BC8-F283-45AE-878A-BAB7291924A1}"/>
                <w:text/>
              </w:sdtPr>
              <w:sdtEndPr>
                <w:rPr>
                  <w:color w:val="104862" w:themeColor="accent1" w:themeShade="BF"/>
                  <w:sz w:val="24"/>
                  <w:szCs w:val="24"/>
                </w:rPr>
              </w:sdtEndPr>
              <w:sdtContent>
                <w:tc>
                  <w:tcPr>
                    <w:tcW w:w="7672" w:type="dxa"/>
                    <w:tcMar>
                      <w:top w:w="216" w:type="dxa"/>
                      <w:left w:w="115" w:type="dxa"/>
                      <w:bottom w:w="216" w:type="dxa"/>
                      <w:right w:w="115" w:type="dxa"/>
                    </w:tcMar>
                  </w:tcPr>
                  <w:p w14:paraId="23670CD2">
                    <w:pPr>
                      <w:pStyle w:val="37"/>
                      <w:rPr>
                        <w:color w:val="104862" w:themeColor="accent1" w:themeShade="BF"/>
                        <w:sz w:val="24"/>
                      </w:rPr>
                    </w:pPr>
                    <w:r>
                      <w:rPr>
                        <w:color w:val="104862" w:themeColor="accent1" w:themeShade="BF"/>
                        <w:sz w:val="24"/>
                        <w:szCs w:val="24"/>
                      </w:rPr>
                      <w:t>BLOGS AND POSTURE</w:t>
                    </w:r>
                  </w:p>
                </w:tc>
              </w:sdtContent>
            </w:sdt>
          </w:tr>
        </w:tbl>
        <w:tbl>
          <w:tblPr>
            <w:tblStyle w:val="12"/>
            <w:tblpPr w:leftFromText="187" w:rightFromText="187" w:horzAnchor="margin" w:tblpXSpec="center" w:tblpYSpec="bottom"/>
            <w:tblW w:w="3857" w:type="pct"/>
            <w:tblInd w:w="0" w:type="dxa"/>
            <w:tblLayout w:type="autofit"/>
            <w:tblCellMar>
              <w:top w:w="0" w:type="dxa"/>
              <w:left w:w="108" w:type="dxa"/>
              <w:bottom w:w="0" w:type="dxa"/>
              <w:right w:w="108" w:type="dxa"/>
            </w:tblCellMar>
          </w:tblPr>
          <w:tblGrid>
            <w:gridCol w:w="7140"/>
          </w:tblGrid>
          <w:tr w14:paraId="076D585A">
            <w:tblPrEx>
              <w:tblCellMar>
                <w:top w:w="0" w:type="dxa"/>
                <w:left w:w="108" w:type="dxa"/>
                <w:bottom w:w="0" w:type="dxa"/>
                <w:right w:w="108" w:type="dxa"/>
              </w:tblCellMar>
            </w:tblPrEx>
            <w:tc>
              <w:tcPr>
                <w:tcW w:w="7221" w:type="dxa"/>
                <w:tcMar>
                  <w:top w:w="216" w:type="dxa"/>
                  <w:left w:w="115" w:type="dxa"/>
                  <w:bottom w:w="216" w:type="dxa"/>
                  <w:right w:w="115" w:type="dxa"/>
                </w:tcMar>
              </w:tcPr>
              <w:p w14:paraId="49601E0B">
                <w:pPr>
                  <w:pStyle w:val="37"/>
                  <w:rPr>
                    <w:color w:val="156082" w:themeColor="accent1"/>
                    <w14:textFill>
                      <w14:solidFill>
                        <w14:schemeClr w14:val="accent1"/>
                      </w14:solidFill>
                    </w14:textFill>
                  </w:rPr>
                </w:pPr>
              </w:p>
            </w:tc>
          </w:tr>
        </w:tbl>
        <w:p w14:paraId="6DE41E17">
          <w:pPr>
            <w:rPr>
              <w:rFonts w:ascii="Arial" w:hAnsi="Arial" w:cs="Arial"/>
              <w:b/>
              <w:bCs/>
            </w:rPr>
          </w:pPr>
          <w:bookmarkStart w:id="1" w:name="_GoBack"/>
          <w:bookmarkEnd w:id="1"/>
          <w:r>
            <w:rPr>
              <w:rFonts w:ascii="Arial" w:hAnsi="Arial" w:cs="Arial"/>
              <w:b/>
              <w:bC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5713730</wp:posOffset>
                    </wp:positionV>
                    <wp:extent cx="4634865" cy="1947545"/>
                    <wp:effectExtent l="0" t="0" r="13970" b="15240"/>
                    <wp:wrapNone/>
                    <wp:docPr id="125653727" name="Text Box 5"/>
                    <wp:cNvGraphicFramePr/>
                    <a:graphic xmlns:a="http://schemas.openxmlformats.org/drawingml/2006/main">
                      <a:graphicData uri="http://schemas.microsoft.com/office/word/2010/wordprocessingShape">
                        <wps:wsp>
                          <wps:cNvSpPr txBox="1"/>
                          <wps:spPr>
                            <a:xfrm>
                              <a:off x="0" y="0"/>
                              <a:ext cx="4634821" cy="1947462"/>
                            </a:xfrm>
                            <a:prstGeom prst="rect">
                              <a:avLst/>
                            </a:prstGeom>
                            <a:solidFill>
                              <a:schemeClr val="lt1"/>
                            </a:solidFill>
                            <a:ln w="6350">
                              <a:solidFill>
                                <a:prstClr val="black"/>
                              </a:solidFill>
                            </a:ln>
                          </wps:spPr>
                          <wps:txbx>
                            <w:txbxContent>
                              <w:p w14:paraId="33EDD1E1">
                                <w:pPr>
                                  <w:rPr>
                                    <w:rFonts w:hint="default" w:ascii="Arial" w:hAnsi="Arial" w:cs="Arial"/>
                                    <w:lang w:val="en-IN"/>
                                  </w:rPr>
                                </w:pPr>
                                <w:r>
                                  <w:rPr>
                                    <w:rFonts w:ascii="Arial" w:hAnsi="Arial" w:cs="Arial"/>
                                  </w:rPr>
                                  <w:t>Student Name:</w:t>
                                </w:r>
                                <w:r>
                                  <w:rPr>
                                    <w:rFonts w:hint="default" w:ascii="Arial" w:hAnsi="Arial" w:cs="Arial"/>
                                    <w:lang w:val="en-IN"/>
                                  </w:rPr>
                                  <w:t xml:space="preserve"> Khushi Patel</w:t>
                                </w:r>
                              </w:p>
                              <w:p w14:paraId="5721FBB5">
                                <w:pPr>
                                  <w:rPr>
                                    <w:rFonts w:hint="default" w:ascii="Arial" w:hAnsi="Arial" w:cs="Arial"/>
                                    <w:lang w:val="en-IN"/>
                                  </w:rPr>
                                </w:pPr>
                                <w:r>
                                  <w:rPr>
                                    <w:rFonts w:ascii="Arial" w:hAnsi="Arial" w:cs="Arial"/>
                                  </w:rPr>
                                  <w:t>Student Id:</w:t>
                                </w:r>
                                <w:r>
                                  <w:rPr>
                                    <w:rFonts w:hint="default" w:ascii="Arial" w:hAnsi="Arial" w:cs="Arial"/>
                                    <w:lang w:val="en-IN"/>
                                  </w:rPr>
                                  <w:t xml:space="preserve"> </w:t>
                                </w:r>
                                <w:r>
                                  <w:rPr>
                                    <w:rFonts w:hint="default" w:ascii="Arial" w:hAnsi="Arial" w:cs="Arial"/>
                                    <w:b w:val="0"/>
                                    <w:bCs w:val="0"/>
                                    <w:color w:val="000000" w:themeColor="text1"/>
                                    <w:lang w:val="en-US"/>
                                    <w14:textFill>
                                      <w14:solidFill>
                                        <w14:schemeClr w14:val="tx1"/>
                                      </w14:solidFill>
                                    </w14:textFill>
                                  </w:rPr>
                                  <w:t>2334075</w:t>
                                </w:r>
                              </w:p>
                              <w:p w14:paraId="3EE7D1BA">
                                <w:pPr>
                                  <w:rPr>
                                    <w:rFonts w:hint="default" w:ascii="Arial" w:hAnsi="Arial" w:cs="Arial"/>
                                    <w:lang w:val="en-IN"/>
                                  </w:rPr>
                                </w:pPr>
                                <w:r>
                                  <w:rPr>
                                    <w:rFonts w:ascii="Arial" w:hAnsi="Arial" w:cs="Arial"/>
                                  </w:rPr>
                                  <w:t>Module Name:</w:t>
                                </w:r>
                                <w:r>
                                  <w:rPr>
                                    <w:rFonts w:hint="default" w:ascii="Arial" w:hAnsi="Arial" w:cs="Arial"/>
                                    <w:lang w:val="en-IN"/>
                                  </w:rPr>
                                  <w:t xml:space="preserve"> Population Health and Digital Health Promotion.</w:t>
                                </w:r>
                              </w:p>
                              <w:p w14:paraId="169FC155">
                                <w:pPr>
                                  <w:rPr>
                                    <w:rFonts w:hint="default" w:ascii="Arial" w:hAnsi="Arial" w:cs="Arial"/>
                                    <w:lang w:val="en-US"/>
                                  </w:rPr>
                                </w:pPr>
                                <w:r>
                                  <w:rPr>
                                    <w:rFonts w:ascii="Arial" w:hAnsi="Arial" w:cs="Arial"/>
                                  </w:rPr>
                                  <w:t>Module Code:</w:t>
                                </w:r>
                                <w:r>
                                  <w:rPr>
                                    <w:rFonts w:hint="default" w:ascii="Arial" w:hAnsi="Arial" w:cs="Arial"/>
                                    <w:lang w:val="en-IN"/>
                                  </w:rPr>
                                  <w:t>LCHS700</w:t>
                                </w:r>
                                <w:r>
                                  <w:rPr>
                                    <w:rFonts w:hint="default" w:ascii="Arial" w:hAnsi="Arial" w:cs="Arial"/>
                                    <w:lang w:val="en-US"/>
                                  </w:rPr>
                                  <w:t>7</w:t>
                                </w:r>
                              </w:p>
                              <w:p w14:paraId="72D996E0">
                                <w:pPr>
                                  <w:rPr>
                                    <w:rFonts w:hint="default" w:ascii="Arial" w:hAnsi="Arial" w:cs="Arial"/>
                                    <w:lang w:val="en-IN"/>
                                  </w:rPr>
                                </w:pPr>
                                <w:r>
                                  <w:rPr>
                                    <w:rFonts w:ascii="Arial" w:hAnsi="Arial" w:cs="Arial"/>
                                  </w:rPr>
                                  <w:t xml:space="preserve">Program: </w:t>
                                </w:r>
                                <w:r>
                                  <w:rPr>
                                    <w:rFonts w:hint="default" w:ascii="Arial" w:hAnsi="Arial" w:cs="Arial"/>
                                    <w:lang w:val="en-IN"/>
                                  </w:rPr>
                                  <w:t>M.Sc. Public Health and Social care in Practice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5" o:spid="_x0000_s1026" o:spt="202" type="#_x0000_t202" style="position:absolute;left:0pt;margin-top:449.9pt;height:153.35pt;width:364.95pt;mso-position-horizontal:center;mso-position-horizontal-relative:margin;z-index:251662336;mso-width-relative:page;mso-height-relative:page;" fillcolor="#FFFFFF [3201]" filled="t" stroked="t" coordsize="21600,21600" o:gfxdata="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9MGSbWAAAACQEAAA8AAAAA&#10;AAAAAQAgAAAAIgAAAGRycy9kb3ducmV2LnhtbFBLAQIUABQAAAAIAIdO4kD5IssKTwIAAL8EAAAO&#10;AAAAAAAAAAEAIAAAACUBAABkcnMvZTJvRG9jLnhtbFBLBQYAAAAABgAGAFkBAADmBQAAAAA=&#10;">
                    <v:fill on="t" focussize="0,0"/>
                    <v:stroke weight="0.5pt" color="#000000" joinstyle="round"/>
                    <v:imagedata o:title=""/>
                    <o:lock v:ext="edit" aspectratio="f"/>
                    <v:textbox>
                      <w:txbxContent>
                        <w:p w14:paraId="33EDD1E1">
                          <w:pPr>
                            <w:rPr>
                              <w:rFonts w:hint="default" w:ascii="Arial" w:hAnsi="Arial" w:cs="Arial"/>
                              <w:lang w:val="en-IN"/>
                            </w:rPr>
                          </w:pPr>
                          <w:r>
                            <w:rPr>
                              <w:rFonts w:ascii="Arial" w:hAnsi="Arial" w:cs="Arial"/>
                            </w:rPr>
                            <w:t>Student Name:</w:t>
                          </w:r>
                          <w:r>
                            <w:rPr>
                              <w:rFonts w:hint="default" w:ascii="Arial" w:hAnsi="Arial" w:cs="Arial"/>
                              <w:lang w:val="en-IN"/>
                            </w:rPr>
                            <w:t xml:space="preserve"> Khushi Patel</w:t>
                          </w:r>
                        </w:p>
                        <w:p w14:paraId="5721FBB5">
                          <w:pPr>
                            <w:rPr>
                              <w:rFonts w:hint="default" w:ascii="Arial" w:hAnsi="Arial" w:cs="Arial"/>
                              <w:lang w:val="en-IN"/>
                            </w:rPr>
                          </w:pPr>
                          <w:r>
                            <w:rPr>
                              <w:rFonts w:ascii="Arial" w:hAnsi="Arial" w:cs="Arial"/>
                            </w:rPr>
                            <w:t>Student Id:</w:t>
                          </w:r>
                          <w:r>
                            <w:rPr>
                              <w:rFonts w:hint="default" w:ascii="Arial" w:hAnsi="Arial" w:cs="Arial"/>
                              <w:lang w:val="en-IN"/>
                            </w:rPr>
                            <w:t xml:space="preserve"> </w:t>
                          </w:r>
                          <w:r>
                            <w:rPr>
                              <w:rFonts w:hint="default" w:ascii="Arial" w:hAnsi="Arial" w:cs="Arial"/>
                              <w:b w:val="0"/>
                              <w:bCs w:val="0"/>
                              <w:color w:val="000000" w:themeColor="text1"/>
                              <w:lang w:val="en-US"/>
                              <w14:textFill>
                                <w14:solidFill>
                                  <w14:schemeClr w14:val="tx1"/>
                                </w14:solidFill>
                              </w14:textFill>
                            </w:rPr>
                            <w:t>2334075</w:t>
                          </w:r>
                        </w:p>
                        <w:p w14:paraId="3EE7D1BA">
                          <w:pPr>
                            <w:rPr>
                              <w:rFonts w:hint="default" w:ascii="Arial" w:hAnsi="Arial" w:cs="Arial"/>
                              <w:lang w:val="en-IN"/>
                            </w:rPr>
                          </w:pPr>
                          <w:r>
                            <w:rPr>
                              <w:rFonts w:ascii="Arial" w:hAnsi="Arial" w:cs="Arial"/>
                            </w:rPr>
                            <w:t>Module Name:</w:t>
                          </w:r>
                          <w:r>
                            <w:rPr>
                              <w:rFonts w:hint="default" w:ascii="Arial" w:hAnsi="Arial" w:cs="Arial"/>
                              <w:lang w:val="en-IN"/>
                            </w:rPr>
                            <w:t xml:space="preserve"> Population Health and Digital Health Promotion.</w:t>
                          </w:r>
                        </w:p>
                        <w:p w14:paraId="169FC155">
                          <w:pPr>
                            <w:rPr>
                              <w:rFonts w:hint="default" w:ascii="Arial" w:hAnsi="Arial" w:cs="Arial"/>
                              <w:lang w:val="en-US"/>
                            </w:rPr>
                          </w:pPr>
                          <w:r>
                            <w:rPr>
                              <w:rFonts w:ascii="Arial" w:hAnsi="Arial" w:cs="Arial"/>
                            </w:rPr>
                            <w:t>Module Code:</w:t>
                          </w:r>
                          <w:r>
                            <w:rPr>
                              <w:rFonts w:hint="default" w:ascii="Arial" w:hAnsi="Arial" w:cs="Arial"/>
                              <w:lang w:val="en-IN"/>
                            </w:rPr>
                            <w:t>LCHS700</w:t>
                          </w:r>
                          <w:r>
                            <w:rPr>
                              <w:rFonts w:hint="default" w:ascii="Arial" w:hAnsi="Arial" w:cs="Arial"/>
                              <w:lang w:val="en-US"/>
                            </w:rPr>
                            <w:t>7</w:t>
                          </w:r>
                        </w:p>
                        <w:p w14:paraId="72D996E0">
                          <w:pPr>
                            <w:rPr>
                              <w:rFonts w:hint="default" w:ascii="Arial" w:hAnsi="Arial" w:cs="Arial"/>
                              <w:lang w:val="en-IN"/>
                            </w:rPr>
                          </w:pPr>
                          <w:r>
                            <w:rPr>
                              <w:rFonts w:ascii="Arial" w:hAnsi="Arial" w:cs="Arial"/>
                            </w:rPr>
                            <w:t xml:space="preserve">Program: </w:t>
                          </w:r>
                          <w:r>
                            <w:rPr>
                              <w:rFonts w:hint="default" w:ascii="Arial" w:hAnsi="Arial" w:cs="Arial"/>
                              <w:lang w:val="en-IN"/>
                            </w:rPr>
                            <w:t>M.Sc. Public Health and Social care in Practice</w:t>
                          </w:r>
                        </w:p>
                      </w:txbxContent>
                    </v:textbox>
                  </v:shape>
                </w:pict>
              </mc:Fallback>
            </mc:AlternateContent>
          </w:r>
          <w:r>
            <w:rPr>
              <w:rFonts w:ascii="Arial" w:hAnsi="Arial" w:cs="Arial"/>
              <w:b/>
              <w:bCs/>
            </w:rPr>
            <w:br w:type="page"/>
          </w:r>
        </w:p>
      </w:sdtContent>
    </w:sdt>
    <w:p w14:paraId="4E5433C0">
      <w:pPr>
        <w:pStyle w:val="2"/>
        <w:jc w:val="center"/>
        <w:rPr>
          <w:rFonts w:ascii="Algerian" w:hAnsi="Algerian"/>
          <w:b/>
          <w:bCs/>
          <w:sz w:val="32"/>
          <w:szCs w:val="32"/>
        </w:rPr>
      </w:pPr>
      <w:r>
        <w:rPr>
          <w:rFonts w:ascii="Algerian" w:hAnsi="Algerian"/>
          <w:b/>
          <w:bCs/>
          <w:sz w:val="32"/>
          <w:szCs w:val="32"/>
        </w:rPr>
        <w:t>BLOG 1</w:t>
      </w:r>
    </w:p>
    <w:p w14:paraId="43F2C074">
      <w:pPr>
        <w:spacing w:line="360" w:lineRule="auto"/>
        <w:jc w:val="center"/>
        <w:rPr>
          <w:rFonts w:ascii="Amasis MT Pro Black" w:hAnsi="Amasis MT Pro Black" w:cs="Arial"/>
          <w:b/>
          <w:bCs/>
          <w:color w:val="80350E" w:themeColor="accent2" w:themeShade="80"/>
          <w:sz w:val="28"/>
          <w:szCs w:val="28"/>
        </w:rPr>
      </w:pPr>
      <w:r>
        <w:rPr>
          <w:rFonts w:ascii="Amasis MT Pro Black" w:hAnsi="Amasis MT Pro Black" w:cs="Arial"/>
          <w:b/>
          <w:bCs/>
          <w:color w:val="80350E" w:themeColor="accent2" w:themeShade="80"/>
          <w:sz w:val="28"/>
          <w:szCs w:val="28"/>
        </w:rPr>
        <w:t>Hear the Difference: Managing Hearing Loss with Petralex Hearing Aid App</w:t>
      </w:r>
    </w:p>
    <w:p w14:paraId="01F24DDF">
      <w:pPr>
        <w:spacing w:line="360" w:lineRule="auto"/>
        <w:jc w:val="center"/>
        <w:rPr>
          <w:rFonts w:ascii="Algerian" w:hAnsi="Algerian" w:cs="Arial"/>
          <w:b/>
          <w:bCs/>
          <w:color w:val="78206E" w:themeColor="accent5" w:themeShade="BF"/>
          <w:sz w:val="28"/>
          <w:szCs w:val="28"/>
        </w:rPr>
      </w:pPr>
      <w:r>
        <w:drawing>
          <wp:anchor distT="0" distB="0" distL="114300" distR="114300" simplePos="0" relativeHeight="251659264" behindDoc="0" locked="0" layoutInCell="1" allowOverlap="1">
            <wp:simplePos x="0" y="0"/>
            <wp:positionH relativeFrom="margin">
              <wp:align>right</wp:align>
            </wp:positionH>
            <wp:positionV relativeFrom="paragraph">
              <wp:posOffset>460375</wp:posOffset>
            </wp:positionV>
            <wp:extent cx="5730240" cy="1744980"/>
            <wp:effectExtent l="0" t="0" r="3810" b="7620"/>
            <wp:wrapSquare wrapText="bothSides"/>
            <wp:docPr id="1154687325" name="Picture 3" descr="When Do You Need a Hearing Aid? Understanding Hearing Loss Levels | Mt.  Laurel, N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87325" name="Picture 3" descr="When Do You Need a Hearing Aid? Understanding Hearing Loss Levels | Mt.  Laurel, NJ"/>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730240" cy="1744980"/>
                    </a:xfrm>
                    <a:prstGeom prst="rect">
                      <a:avLst/>
                    </a:prstGeom>
                    <a:noFill/>
                    <a:ln>
                      <a:noFill/>
                    </a:ln>
                  </pic:spPr>
                </pic:pic>
              </a:graphicData>
            </a:graphic>
          </wp:anchor>
        </w:drawing>
      </w:r>
      <w:r>
        <w:rPr>
          <w:rFonts w:ascii="Algerian" w:hAnsi="Algerian" w:cs="Arial"/>
          <w:b/>
          <w:bCs/>
          <w:color w:val="78206E" w:themeColor="accent5" w:themeShade="BF"/>
          <w:sz w:val="28"/>
          <w:szCs w:val="28"/>
        </w:rPr>
        <w:t>Understanding Hearing Loss</w:t>
      </w:r>
    </w:p>
    <w:p w14:paraId="6CDE3C03">
      <w:pPr>
        <w:spacing w:line="360" w:lineRule="auto"/>
        <w:jc w:val="center"/>
        <w:rPr>
          <w:rFonts w:ascii="Arial" w:hAnsi="Arial" w:cs="Arial"/>
        </w:rPr>
      </w:pPr>
      <w:r>
        <w:rPr>
          <w:rFonts w:ascii="Arial" w:hAnsi="Arial" w:cs="Arial"/>
        </w:rPr>
        <w:t>(Penn Medicine Becker ENT, 2024)</w:t>
      </w:r>
    </w:p>
    <w:p w14:paraId="372FD273">
      <w:pPr>
        <w:spacing w:line="360" w:lineRule="auto"/>
        <w:jc w:val="both"/>
        <w:rPr>
          <w:rFonts w:ascii="Arial" w:hAnsi="Arial" w:cs="Arial"/>
          <w:b/>
          <w:bCs/>
        </w:rPr>
      </w:pPr>
      <w:r>
        <w:fldChar w:fldCharType="begin"/>
      </w:r>
      <w:r>
        <w:instrText xml:space="preserve"> HYPERLINK "https://www.who.int/news-room/fact-sheets/detail/deafness-and-hearing-loss" </w:instrText>
      </w:r>
      <w:r>
        <w:fldChar w:fldCharType="separate"/>
      </w:r>
      <w:r>
        <w:rPr>
          <w:rStyle w:val="13"/>
          <w:rFonts w:ascii="Arial" w:hAnsi="Arial" w:cs="Arial"/>
        </w:rPr>
        <w:t>Hearing loss</w:t>
      </w:r>
      <w:r>
        <w:rPr>
          <w:rStyle w:val="13"/>
          <w:rFonts w:ascii="Arial" w:hAnsi="Arial" w:cs="Arial"/>
        </w:rPr>
        <w:fldChar w:fldCharType="end"/>
      </w:r>
      <w:r>
        <w:rPr>
          <w:rFonts w:ascii="Arial" w:hAnsi="Arial" w:cs="Arial"/>
        </w:rPr>
        <w:t>, a condition affecting the ability to perceive sounds ranges from mild to profound. It can occur due to ageing, exposure to loud noises, infections, or genetic factors. People with hearing loss often face communication difficulties, affecting their quality of life (Lieu et al, 2020). Approximately 11 million people in the UK experience hearing loss, equating to 1 in 6 adults (British Academic of Audiologist, 2024).</w:t>
      </w:r>
    </w:p>
    <w:p w14:paraId="5849BA4D">
      <w:pPr>
        <w:spacing w:line="360" w:lineRule="auto"/>
        <w:jc w:val="both"/>
        <w:rPr>
          <w:rFonts w:ascii="Algerian" w:hAnsi="Algerian" w:cs="Arial"/>
          <w:b/>
          <w:bCs/>
          <w:color w:val="78206E" w:themeColor="accent5" w:themeShade="BF"/>
          <w:sz w:val="28"/>
          <w:szCs w:val="28"/>
        </w:rPr>
      </w:pPr>
      <w:r>
        <w:rPr>
          <w:rFonts w:ascii="Algerian" w:hAnsi="Algerian" w:cs="Arial"/>
          <w:b/>
          <w:bCs/>
          <w:color w:val="78206E" w:themeColor="accent5" w:themeShade="BF"/>
          <w:sz w:val="28"/>
          <w:szCs w:val="28"/>
        </w:rPr>
        <w:t>Petralex Hearing Aid App: A Technological Solution</w:t>
      </w:r>
    </w:p>
    <w:p w14:paraId="1F7D0194">
      <w:pPr>
        <w:spacing w:line="360" w:lineRule="auto"/>
        <w:jc w:val="both"/>
        <w:rPr>
          <w:rFonts w:ascii="Arial" w:hAnsi="Arial" w:cs="Arial"/>
        </w:rPr>
      </w:pPr>
      <w:r>
        <w:fldChar w:fldCharType="begin"/>
      </w:r>
      <w:r>
        <w:instrText xml:space="preserve"> HYPERLINK "https://petralex.pro/en" </w:instrText>
      </w:r>
      <w:r>
        <w:fldChar w:fldCharType="separate"/>
      </w:r>
      <w:r>
        <w:rPr>
          <w:rStyle w:val="13"/>
          <w:rFonts w:ascii="Arial" w:hAnsi="Arial" w:cs="Arial"/>
        </w:rPr>
        <w:t>Petralex Hearing Aid</w:t>
      </w:r>
      <w:r>
        <w:rPr>
          <w:rStyle w:val="13"/>
          <w:rFonts w:ascii="Arial" w:hAnsi="Arial" w:cs="Arial"/>
        </w:rPr>
        <w:fldChar w:fldCharType="end"/>
      </w:r>
      <w:r>
        <w:rPr>
          <w:rFonts w:ascii="Arial" w:hAnsi="Arial" w:cs="Arial"/>
        </w:rPr>
        <w:t xml:space="preserve"> is a mobile application designed to assist individuals with hearing loss. It leverages smartphone capabilities to amplify sound, offering an accessible alternative to traditional hearing aids (Koo et al, 2022).</w:t>
      </w:r>
    </w:p>
    <w:p w14:paraId="0C0FC412">
      <w:pPr>
        <w:spacing w:line="360" w:lineRule="auto"/>
        <w:jc w:val="both"/>
        <w:rPr>
          <w:rFonts w:ascii="Arial" w:hAnsi="Arial" w:cs="Arial"/>
        </w:rPr>
      </w:pPr>
      <w:r>
        <w:drawing>
          <wp:inline distT="0" distB="0" distL="0" distR="0">
            <wp:extent cx="5715635" cy="1967865"/>
            <wp:effectExtent l="0" t="0" r="0" b="0"/>
            <wp:docPr id="432946022" name="Picture 1" descr="Petralex Hearing Aid App - Hear without any limits - Newz Hook | Disability  News - Changing Attitudes towards Dis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46022" name="Picture 1" descr="Petralex Hearing Aid App - Hear without any limits - Newz Hook | Disability  News - Changing Attitudes towards Disabi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9659" cy="1976529"/>
                    </a:xfrm>
                    <a:prstGeom prst="rect">
                      <a:avLst/>
                    </a:prstGeom>
                    <a:noFill/>
                    <a:ln>
                      <a:noFill/>
                    </a:ln>
                  </pic:spPr>
                </pic:pic>
              </a:graphicData>
            </a:graphic>
          </wp:inline>
        </w:drawing>
      </w:r>
    </w:p>
    <w:p w14:paraId="42D4A38C">
      <w:pPr>
        <w:spacing w:line="360" w:lineRule="auto"/>
        <w:jc w:val="center"/>
        <w:rPr>
          <w:rFonts w:ascii="Arial" w:hAnsi="Arial" w:cs="Arial"/>
        </w:rPr>
      </w:pPr>
      <w:r>
        <w:rPr>
          <w:rFonts w:ascii="Arial" w:hAnsi="Arial" w:cs="Arial"/>
        </w:rPr>
        <w:t>(News Hook, 2022)</w:t>
      </w:r>
    </w:p>
    <w:p w14:paraId="19B249EF">
      <w:pPr>
        <w:spacing w:line="360" w:lineRule="auto"/>
        <w:jc w:val="both"/>
        <w:rPr>
          <w:rFonts w:ascii="Arial" w:hAnsi="Arial" w:cs="Arial"/>
          <w:b/>
          <w:bCs/>
          <w:color w:val="196B24" w:themeColor="accent3"/>
          <w:u w:val="single"/>
          <w14:textFill>
            <w14:solidFill>
              <w14:schemeClr w14:val="accent3"/>
            </w14:solidFill>
          </w14:textFill>
        </w:rPr>
      </w:pPr>
      <w:r>
        <w:rPr>
          <w:rFonts w:ascii="Arial" w:hAnsi="Arial" w:cs="Arial"/>
          <w:b/>
          <w:bCs/>
          <w:color w:val="196B24" w:themeColor="accent3"/>
          <w:u w:val="single"/>
          <w14:textFill>
            <w14:solidFill>
              <w14:schemeClr w14:val="accent3"/>
            </w14:solidFill>
          </w14:textFill>
        </w:rPr>
        <w:t>Key Features of the Petralex Hearing Aid App</w:t>
      </w:r>
    </w:p>
    <w:p w14:paraId="67CB0E05">
      <w:pPr>
        <w:numPr>
          <w:ilvl w:val="0"/>
          <w:numId w:val="1"/>
        </w:numPr>
        <w:spacing w:line="360" w:lineRule="auto"/>
        <w:jc w:val="both"/>
        <w:rPr>
          <w:rFonts w:ascii="Arial" w:hAnsi="Arial" w:cs="Arial"/>
        </w:rPr>
      </w:pPr>
      <w:r>
        <w:rPr>
          <w:rFonts w:ascii="Arial" w:hAnsi="Arial" w:cs="Arial"/>
          <w:b/>
          <w:bCs/>
        </w:rPr>
        <w:t>Custom Sound Profiles</w:t>
      </w:r>
      <w:r>
        <w:rPr>
          <w:rFonts w:ascii="Arial" w:hAnsi="Arial" w:cs="Arial"/>
        </w:rPr>
        <w:t>: Adapts to individual hearing levels through a quick hearing test (Nguyen et al, 2022).</w:t>
      </w:r>
    </w:p>
    <w:p w14:paraId="73E5B87E">
      <w:pPr>
        <w:numPr>
          <w:ilvl w:val="0"/>
          <w:numId w:val="1"/>
        </w:numPr>
        <w:spacing w:line="360" w:lineRule="auto"/>
        <w:jc w:val="both"/>
        <w:rPr>
          <w:rFonts w:ascii="Arial" w:hAnsi="Arial" w:cs="Arial"/>
        </w:rPr>
      </w:pPr>
      <w:r>
        <w:rPr>
          <w:rFonts w:ascii="Arial" w:hAnsi="Arial" w:cs="Arial"/>
          <w:b/>
          <w:bCs/>
        </w:rPr>
        <w:t>Real-Time Sound Amplification</w:t>
      </w:r>
      <w:r>
        <w:rPr>
          <w:rFonts w:ascii="Arial" w:hAnsi="Arial" w:cs="Arial"/>
        </w:rPr>
        <w:t>: Enhances environmental sounds to improve clarity (Koo et al, 2022).</w:t>
      </w:r>
    </w:p>
    <w:p w14:paraId="4EE3C271">
      <w:pPr>
        <w:numPr>
          <w:ilvl w:val="0"/>
          <w:numId w:val="1"/>
        </w:numPr>
        <w:spacing w:line="360" w:lineRule="auto"/>
        <w:jc w:val="both"/>
        <w:rPr>
          <w:rFonts w:ascii="Arial" w:hAnsi="Arial" w:cs="Arial"/>
        </w:rPr>
      </w:pPr>
      <w:r>
        <w:rPr>
          <w:rFonts w:ascii="Arial" w:hAnsi="Arial" w:cs="Arial"/>
          <w:b/>
          <w:bCs/>
        </w:rPr>
        <w:t>Noise Reduction</w:t>
      </w:r>
      <w:r>
        <w:rPr>
          <w:rFonts w:ascii="Arial" w:hAnsi="Arial" w:cs="Arial"/>
        </w:rPr>
        <w:t>: Filters background noise for clear conversations in noisy settings (Koo et al, 2022).</w:t>
      </w:r>
    </w:p>
    <w:p w14:paraId="12A74EE2">
      <w:pPr>
        <w:numPr>
          <w:ilvl w:val="0"/>
          <w:numId w:val="1"/>
        </w:numPr>
        <w:spacing w:line="360" w:lineRule="auto"/>
        <w:jc w:val="both"/>
        <w:rPr>
          <w:rFonts w:ascii="Arial" w:hAnsi="Arial" w:cs="Arial"/>
        </w:rPr>
      </w:pPr>
      <w:r>
        <w:rPr>
          <w:rFonts w:ascii="Arial" w:hAnsi="Arial" w:cs="Arial"/>
          <w:b/>
          <w:bCs/>
        </w:rPr>
        <w:t>Bluetooth Connectivity</w:t>
      </w:r>
      <w:r>
        <w:rPr>
          <w:rFonts w:ascii="Arial" w:hAnsi="Arial" w:cs="Arial"/>
        </w:rPr>
        <w:t>: Supports wireless devices for seamless audio streaming (Koo et al, 2022).</w:t>
      </w:r>
    </w:p>
    <w:p w14:paraId="374912A7">
      <w:pPr>
        <w:numPr>
          <w:ilvl w:val="0"/>
          <w:numId w:val="1"/>
        </w:numPr>
        <w:spacing w:line="360" w:lineRule="auto"/>
        <w:jc w:val="both"/>
        <w:rPr>
          <w:rFonts w:ascii="Arial" w:hAnsi="Arial" w:cs="Arial"/>
        </w:rPr>
      </w:pPr>
      <w:r>
        <w:rPr>
          <w:rFonts w:ascii="Arial" w:hAnsi="Arial" w:cs="Arial"/>
          <w:b/>
          <w:bCs/>
        </w:rPr>
        <w:t>Hearing Aid Mode</w:t>
      </w:r>
      <w:r>
        <w:rPr>
          <w:rFonts w:ascii="Arial" w:hAnsi="Arial" w:cs="Arial"/>
        </w:rPr>
        <w:t>: Converts your smartphone into a virtual hearing aid (Nguyen et al, 2022).</w:t>
      </w:r>
    </w:p>
    <w:p w14:paraId="3FA89465">
      <w:pPr>
        <w:spacing w:line="360" w:lineRule="auto"/>
        <w:jc w:val="both"/>
        <w:rPr>
          <w:rFonts w:ascii="Arial" w:hAnsi="Arial" w:cs="Arial"/>
          <w:b/>
          <w:bCs/>
          <w:color w:val="196B24" w:themeColor="accent3"/>
          <w:u w:val="single"/>
          <w14:textFill>
            <w14:solidFill>
              <w14:schemeClr w14:val="accent3"/>
            </w14:solidFill>
          </w14:textFill>
        </w:rPr>
      </w:pPr>
      <w:r>
        <w:rPr>
          <w:rFonts w:ascii="Arial" w:hAnsi="Arial" w:cs="Arial"/>
          <w:b/>
          <w:bCs/>
          <w:color w:val="196B24" w:themeColor="accent3"/>
          <w:u w:val="single"/>
          <w14:textFill>
            <w14:solidFill>
              <w14:schemeClr w14:val="accent3"/>
            </w14:solidFill>
          </w14:textFill>
        </w:rPr>
        <w:t>Advantages of Petralex Hearing Aid</w:t>
      </w:r>
    </w:p>
    <w:p w14:paraId="4151CA7F">
      <w:pPr>
        <w:numPr>
          <w:ilvl w:val="0"/>
          <w:numId w:val="2"/>
        </w:numPr>
        <w:spacing w:line="360" w:lineRule="auto"/>
        <w:jc w:val="both"/>
        <w:rPr>
          <w:rFonts w:ascii="Arial" w:hAnsi="Arial" w:cs="Arial"/>
        </w:rPr>
      </w:pPr>
      <w:r>
        <w:rPr>
          <w:rFonts w:ascii="Arial" w:hAnsi="Arial" w:cs="Arial"/>
          <w:b/>
          <w:bCs/>
        </w:rPr>
        <w:t>Cost-Effective</w:t>
      </w:r>
      <w:r>
        <w:rPr>
          <w:rFonts w:ascii="Arial" w:hAnsi="Arial" w:cs="Arial"/>
        </w:rPr>
        <w:t>: A budget-friendly option compared to traditional hearing aids (Jo et al, 2023).</w:t>
      </w:r>
    </w:p>
    <w:p w14:paraId="79D241E0">
      <w:pPr>
        <w:numPr>
          <w:ilvl w:val="0"/>
          <w:numId w:val="2"/>
        </w:numPr>
        <w:spacing w:line="360" w:lineRule="auto"/>
        <w:jc w:val="both"/>
        <w:rPr>
          <w:rFonts w:ascii="Arial" w:hAnsi="Arial" w:cs="Arial"/>
        </w:rPr>
      </w:pPr>
      <w:r>
        <w:rPr>
          <w:rFonts w:ascii="Arial" w:hAnsi="Arial" w:cs="Arial"/>
          <w:b/>
          <w:bCs/>
        </w:rPr>
        <w:t>User-Friendly Interface</w:t>
      </w:r>
      <w:r>
        <w:rPr>
          <w:rFonts w:ascii="Arial" w:hAnsi="Arial" w:cs="Arial"/>
        </w:rPr>
        <w:t>: Simple navigation suitable for all age groups (Jo et al, 2023).</w:t>
      </w:r>
    </w:p>
    <w:p w14:paraId="1236231E">
      <w:pPr>
        <w:numPr>
          <w:ilvl w:val="0"/>
          <w:numId w:val="2"/>
        </w:numPr>
        <w:spacing w:line="360" w:lineRule="auto"/>
        <w:jc w:val="both"/>
        <w:rPr>
          <w:rFonts w:ascii="Arial" w:hAnsi="Arial" w:cs="Arial"/>
        </w:rPr>
      </w:pPr>
      <w:r>
        <w:rPr>
          <w:rFonts w:ascii="Arial" w:hAnsi="Arial" w:cs="Arial"/>
          <w:b/>
          <w:bCs/>
        </w:rPr>
        <w:t>Accessibility</w:t>
      </w:r>
      <w:r>
        <w:rPr>
          <w:rFonts w:ascii="Arial" w:hAnsi="Arial" w:cs="Arial"/>
        </w:rPr>
        <w:t>: Available on iOS and Android devices (Al-Khafaji et al, 2023).</w:t>
      </w:r>
    </w:p>
    <w:p w14:paraId="41EDE960">
      <w:pPr>
        <w:numPr>
          <w:ilvl w:val="0"/>
          <w:numId w:val="2"/>
        </w:numPr>
        <w:spacing w:line="360" w:lineRule="auto"/>
        <w:jc w:val="both"/>
        <w:rPr>
          <w:rFonts w:ascii="Arial" w:hAnsi="Arial" w:cs="Arial"/>
        </w:rPr>
      </w:pPr>
      <w:r>
        <w:rPr>
          <w:rFonts w:ascii="Arial" w:hAnsi="Arial" w:cs="Arial"/>
          <w:b/>
          <w:bCs/>
        </w:rPr>
        <w:t>Customisable</w:t>
      </w:r>
      <w:r>
        <w:rPr>
          <w:rFonts w:ascii="Arial" w:hAnsi="Arial" w:cs="Arial"/>
        </w:rPr>
        <w:t>: Personalized settings ensure a tailored hearing experience (Jo et al., 2023).</w:t>
      </w:r>
    </w:p>
    <w:p w14:paraId="5F1ED98C">
      <w:pPr>
        <w:spacing w:line="360" w:lineRule="auto"/>
        <w:jc w:val="both"/>
        <w:rPr>
          <w:rFonts w:ascii="Arial" w:hAnsi="Arial" w:cs="Arial"/>
          <w:b/>
          <w:bCs/>
          <w:color w:val="196B24" w:themeColor="accent3"/>
          <w:u w:val="single"/>
          <w14:textFill>
            <w14:solidFill>
              <w14:schemeClr w14:val="accent3"/>
            </w14:solidFill>
          </w14:textFill>
        </w:rPr>
      </w:pPr>
      <w:r>
        <w:rPr>
          <w:rFonts w:ascii="Arial" w:hAnsi="Arial" w:cs="Arial"/>
          <w:b/>
          <w:bCs/>
          <w:color w:val="196B24" w:themeColor="accent3"/>
          <w:u w:val="single"/>
          <w14:textFill>
            <w14:solidFill>
              <w14:schemeClr w14:val="accent3"/>
            </w14:solidFill>
          </w14:textFill>
        </w:rPr>
        <w:t>Limitations of the App</w:t>
      </w:r>
    </w:p>
    <w:p w14:paraId="3D8CA940">
      <w:pPr>
        <w:numPr>
          <w:ilvl w:val="0"/>
          <w:numId w:val="3"/>
        </w:numPr>
        <w:spacing w:line="360" w:lineRule="auto"/>
        <w:jc w:val="both"/>
        <w:rPr>
          <w:rFonts w:ascii="Arial" w:hAnsi="Arial" w:cs="Arial"/>
        </w:rPr>
      </w:pPr>
      <w:r>
        <w:rPr>
          <w:rFonts w:ascii="Arial" w:hAnsi="Arial" w:cs="Arial"/>
          <w:b/>
          <w:bCs/>
        </w:rPr>
        <w:t>Dependent on Smartphone Quality</w:t>
      </w:r>
      <w:r>
        <w:rPr>
          <w:rFonts w:ascii="Arial" w:hAnsi="Arial" w:cs="Arial"/>
        </w:rPr>
        <w:t>: Requires a device with a good microphone and speaker (Al-Khafaji et al, 2023).</w:t>
      </w:r>
    </w:p>
    <w:p w14:paraId="5845CA79">
      <w:pPr>
        <w:numPr>
          <w:ilvl w:val="0"/>
          <w:numId w:val="3"/>
        </w:numPr>
        <w:spacing w:line="360" w:lineRule="auto"/>
        <w:jc w:val="both"/>
        <w:rPr>
          <w:rFonts w:ascii="Arial" w:hAnsi="Arial" w:cs="Arial"/>
        </w:rPr>
      </w:pPr>
      <w:r>
        <w:rPr>
          <w:rFonts w:ascii="Arial" w:hAnsi="Arial" w:cs="Arial"/>
          <w:b/>
          <w:bCs/>
        </w:rPr>
        <w:t>Battery Drain</w:t>
      </w:r>
      <w:r>
        <w:rPr>
          <w:rFonts w:ascii="Arial" w:hAnsi="Arial" w:cs="Arial"/>
        </w:rPr>
        <w:t>: Prolonged use can quickly deplete a phone battery (Al-Khafaji et al, 2023).</w:t>
      </w:r>
    </w:p>
    <w:p w14:paraId="08757614">
      <w:pPr>
        <w:numPr>
          <w:ilvl w:val="0"/>
          <w:numId w:val="3"/>
        </w:numPr>
        <w:spacing w:line="360" w:lineRule="auto"/>
        <w:jc w:val="both"/>
        <w:rPr>
          <w:rFonts w:ascii="Arial" w:hAnsi="Arial" w:cs="Arial"/>
        </w:rPr>
      </w:pPr>
      <w:r>
        <w:rPr>
          <w:rFonts w:ascii="Arial" w:hAnsi="Arial" w:cs="Arial"/>
          <w:b/>
          <w:bCs/>
        </w:rPr>
        <w:t>Limited Professional Oversight</w:t>
      </w:r>
      <w:r>
        <w:rPr>
          <w:rFonts w:ascii="Arial" w:hAnsi="Arial" w:cs="Arial"/>
        </w:rPr>
        <w:t>: May not address complex hearing issues (Jo et al, 2023).</w:t>
      </w:r>
    </w:p>
    <w:p w14:paraId="32C7538D">
      <w:pPr>
        <w:spacing w:line="360" w:lineRule="auto"/>
        <w:ind w:left="720"/>
        <w:jc w:val="both"/>
        <w:rPr>
          <w:rFonts w:ascii="Arial" w:hAnsi="Arial" w:cs="Arial"/>
        </w:rPr>
      </w:pPr>
    </w:p>
    <w:p w14:paraId="1D3F82E2">
      <w:pPr>
        <w:spacing w:line="360" w:lineRule="auto"/>
        <w:jc w:val="both"/>
        <w:rPr>
          <w:rFonts w:ascii="Arial" w:hAnsi="Arial" w:cs="Arial"/>
          <w:b/>
          <w:bCs/>
          <w:color w:val="196B24" w:themeColor="accent3"/>
          <w:u w:val="single"/>
          <w14:textFill>
            <w14:solidFill>
              <w14:schemeClr w14:val="accent3"/>
            </w14:solidFill>
          </w14:textFill>
        </w:rPr>
      </w:pPr>
      <w:r>
        <w:rPr>
          <w:rFonts w:ascii="Arial" w:hAnsi="Arial" w:cs="Arial"/>
          <w:b/>
          <w:bCs/>
          <w:color w:val="196B24" w:themeColor="accent3"/>
          <w:u w:val="single"/>
          <w14:textFill>
            <w14:solidFill>
              <w14:schemeClr w14:val="accent3"/>
            </w14:solidFill>
          </w14:textFill>
        </w:rPr>
        <w:t>Overcoming Challenges: Suggested Solutions</w:t>
      </w:r>
    </w:p>
    <w:p w14:paraId="288CD29F">
      <w:pPr>
        <w:numPr>
          <w:ilvl w:val="0"/>
          <w:numId w:val="4"/>
        </w:numPr>
        <w:spacing w:line="360" w:lineRule="auto"/>
        <w:jc w:val="both"/>
        <w:rPr>
          <w:rFonts w:ascii="Arial" w:hAnsi="Arial" w:cs="Arial"/>
        </w:rPr>
      </w:pPr>
      <w:r>
        <w:rPr>
          <w:rFonts w:ascii="Arial" w:hAnsi="Arial" w:cs="Arial"/>
          <w:b/>
          <w:bCs/>
        </w:rPr>
        <w:t>External Microphone Support</w:t>
      </w:r>
      <w:r>
        <w:rPr>
          <w:rFonts w:ascii="Arial" w:hAnsi="Arial" w:cs="Arial"/>
        </w:rPr>
        <w:t>: Adding compatibility with high-quality external mics can improve sound input (Al-Khafaji et al, 2023).</w:t>
      </w:r>
    </w:p>
    <w:p w14:paraId="3D78F248">
      <w:pPr>
        <w:numPr>
          <w:ilvl w:val="0"/>
          <w:numId w:val="4"/>
        </w:numPr>
        <w:spacing w:line="360" w:lineRule="auto"/>
        <w:jc w:val="both"/>
        <w:rPr>
          <w:rFonts w:ascii="Arial" w:hAnsi="Arial" w:cs="Arial"/>
        </w:rPr>
      </w:pPr>
      <w:r>
        <w:rPr>
          <w:rFonts w:ascii="Arial" w:hAnsi="Arial" w:cs="Arial"/>
          <w:b/>
          <w:bCs/>
        </w:rPr>
        <w:t>Battery Optimisation</w:t>
      </w:r>
      <w:r>
        <w:rPr>
          <w:rFonts w:ascii="Arial" w:hAnsi="Arial" w:cs="Arial"/>
        </w:rPr>
        <w:t>: Incorporate power-saving modes to extend device usage (Al-Khafaji et al., 2023).</w:t>
      </w:r>
    </w:p>
    <w:p w14:paraId="0D459999">
      <w:pPr>
        <w:numPr>
          <w:ilvl w:val="0"/>
          <w:numId w:val="4"/>
        </w:numPr>
        <w:spacing w:line="360" w:lineRule="auto"/>
        <w:jc w:val="both"/>
        <w:rPr>
          <w:rFonts w:ascii="Arial" w:hAnsi="Arial" w:cs="Arial"/>
        </w:rPr>
      </w:pPr>
      <w:r>
        <w:rPr>
          <w:rFonts w:ascii="Arial" w:hAnsi="Arial" w:cs="Arial"/>
          <w:b/>
          <w:bCs/>
        </w:rPr>
        <w:t>Integration with Audiologists</w:t>
      </w:r>
      <w:r>
        <w:rPr>
          <w:rFonts w:ascii="Arial" w:hAnsi="Arial" w:cs="Arial"/>
        </w:rPr>
        <w:t>: Allow app data sharing with hearing care professionals for better diagnosis (Jo et al., 2023).</w:t>
      </w:r>
    </w:p>
    <w:p w14:paraId="390D0641">
      <w:pPr>
        <w:pStyle w:val="2"/>
        <w:jc w:val="center"/>
        <w:rPr>
          <w:rFonts w:ascii="Algerian" w:hAnsi="Algerian"/>
          <w:b/>
          <w:bCs/>
          <w:color w:val="156082" w:themeColor="accent1"/>
          <w:sz w:val="32"/>
          <w:szCs w:val="32"/>
          <w14:textFill>
            <w14:solidFill>
              <w14:schemeClr w14:val="accent1"/>
            </w14:solidFill>
          </w14:textFill>
        </w:rPr>
      </w:pPr>
      <w:r>
        <w:rPr>
          <w:rFonts w:ascii="Algerian" w:hAnsi="Algerian"/>
          <w:b/>
          <w:bCs/>
          <w:color w:val="156082" w:themeColor="accent1"/>
          <w:sz w:val="32"/>
          <w:szCs w:val="32"/>
          <w14:textFill>
            <w14:solidFill>
              <w14:schemeClr w14:val="accent1"/>
            </w14:solidFill>
          </w14:textFill>
        </w:rPr>
        <w:t>BLOG 2</w:t>
      </w:r>
    </w:p>
    <w:p w14:paraId="5EEB63F0">
      <w:pPr>
        <w:spacing w:line="360" w:lineRule="auto"/>
        <w:jc w:val="center"/>
        <w:rPr>
          <w:rFonts w:ascii="Amasis MT Pro Black" w:hAnsi="Amasis MT Pro Black" w:cs="Arial"/>
          <w:b/>
          <w:bCs/>
          <w:color w:val="80350E" w:themeColor="accent2" w:themeShade="80"/>
          <w:sz w:val="28"/>
          <w:szCs w:val="28"/>
        </w:rPr>
      </w:pPr>
      <w:r>
        <w:rPr>
          <w:rFonts w:ascii="Amasis MT Pro Black" w:hAnsi="Amasis MT Pro Black" w:cs="Arial"/>
          <w:b/>
          <w:bCs/>
          <w:color w:val="80350E" w:themeColor="accent2" w:themeShade="80"/>
          <w:sz w:val="28"/>
          <w:szCs w:val="28"/>
        </w:rPr>
        <w:t>Empowering Lives: HIV Management Simplified with MyHIVCare App in the UK</w:t>
      </w:r>
    </w:p>
    <w:p w14:paraId="0765DE36">
      <w:pPr>
        <w:spacing w:line="360" w:lineRule="auto"/>
        <w:jc w:val="both"/>
        <w:rPr>
          <w:rFonts w:ascii="Arial" w:hAnsi="Arial" w:cs="Arial"/>
        </w:rPr>
      </w:pPr>
      <w:r>
        <w:drawing>
          <wp:anchor distT="0" distB="0" distL="114300" distR="114300" simplePos="0" relativeHeight="251660288" behindDoc="0" locked="0" layoutInCell="1" allowOverlap="1">
            <wp:simplePos x="0" y="0"/>
            <wp:positionH relativeFrom="column">
              <wp:posOffset>4297680</wp:posOffset>
            </wp:positionH>
            <wp:positionV relativeFrom="paragraph">
              <wp:posOffset>8890</wp:posOffset>
            </wp:positionV>
            <wp:extent cx="1889760" cy="1722120"/>
            <wp:effectExtent l="0" t="0" r="0" b="0"/>
            <wp:wrapSquare wrapText="bothSides"/>
            <wp:docPr id="2138947029" name="Picture 1" descr="HIV lifecycle | aids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47029" name="Picture 1" descr="HIV lifecycle | aids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89760" cy="1722120"/>
                    </a:xfrm>
                    <a:prstGeom prst="rect">
                      <a:avLst/>
                    </a:prstGeom>
                    <a:noFill/>
                    <a:ln>
                      <a:noFill/>
                    </a:ln>
                  </pic:spPr>
                </pic:pic>
              </a:graphicData>
            </a:graphic>
          </wp:anchor>
        </w:drawing>
      </w:r>
      <w:r>
        <w:rPr>
          <w:rFonts w:ascii="Arial" w:hAnsi="Arial" w:cs="Arial"/>
        </w:rPr>
        <w:t>HIV (Human Immunodeficiency Virus) remains a critical global health issue (Assefa and Gilks, 2020). By leveraging technology, innovative apps like myHIVCare are transforming how people manage their health, providing accessible, personalised, and empowering solutions. Here's a closer look at HIV, its prevalence in the UK, and how myHIVCare is making a difference.</w:t>
      </w:r>
    </w:p>
    <w:p w14:paraId="0CCFE844">
      <w:pPr>
        <w:spacing w:line="360" w:lineRule="auto"/>
        <w:jc w:val="right"/>
        <w:rPr>
          <w:rFonts w:ascii="Arial" w:hAnsi="Arial" w:cs="Arial"/>
        </w:rPr>
      </w:pPr>
      <w:r>
        <w:rPr>
          <w:rFonts w:ascii="Arial" w:hAnsi="Arial" w:cs="Arial"/>
        </w:rPr>
        <w:t>(Zekerie Redzheb, 2024)</w:t>
      </w:r>
    </w:p>
    <w:p w14:paraId="018C7B5A">
      <w:pPr>
        <w:spacing w:line="360" w:lineRule="auto"/>
        <w:rPr>
          <w:rFonts w:ascii="Cooper Black" w:hAnsi="Cooper Black" w:cs="Arial"/>
          <w:color w:val="FF33CC"/>
          <w:sz w:val="28"/>
          <w:szCs w:val="28"/>
        </w:rPr>
      </w:pPr>
      <w:r>
        <w:rPr>
          <w:rFonts w:ascii="Cooper Black" w:hAnsi="Cooper Black" w:cs="Arial"/>
          <w:color w:val="FF33CC"/>
          <w:sz w:val="28"/>
          <w:szCs w:val="28"/>
        </w:rPr>
        <w:t>What is HIV?</w:t>
      </w:r>
    </w:p>
    <w:p w14:paraId="261845C7">
      <w:pPr>
        <w:spacing w:line="360" w:lineRule="auto"/>
      </w:pPr>
      <w:r>
        <w:drawing>
          <wp:inline distT="0" distB="0" distL="0" distR="0">
            <wp:extent cx="5731510" cy="1814830"/>
            <wp:effectExtent l="0" t="0" r="2540" b="0"/>
            <wp:docPr id="668810439" name="Picture 2" descr="About HIV | HIV | C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810439" name="Picture 2" descr="About HIV | HIV | CD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54953" cy="1822263"/>
                    </a:xfrm>
                    <a:prstGeom prst="rect">
                      <a:avLst/>
                    </a:prstGeom>
                    <a:noFill/>
                    <a:ln>
                      <a:noFill/>
                    </a:ln>
                  </pic:spPr>
                </pic:pic>
              </a:graphicData>
            </a:graphic>
          </wp:inline>
        </w:drawing>
      </w:r>
    </w:p>
    <w:p w14:paraId="0C39A6E2">
      <w:pPr>
        <w:spacing w:line="360" w:lineRule="auto"/>
        <w:jc w:val="center"/>
        <w:rPr>
          <w:rFonts w:ascii="Arial" w:hAnsi="Arial" w:cs="Arial"/>
        </w:rPr>
      </w:pPr>
      <w:r>
        <w:rPr>
          <w:rFonts w:ascii="Arial" w:hAnsi="Arial" w:cs="Arial"/>
        </w:rPr>
        <w:t>(CDC, 2024)</w:t>
      </w:r>
    </w:p>
    <w:p w14:paraId="6A0A5FEF">
      <w:pPr>
        <w:spacing w:line="360" w:lineRule="auto"/>
        <w:jc w:val="both"/>
        <w:rPr>
          <w:rFonts w:ascii="Arial" w:hAnsi="Arial" w:cs="Arial"/>
          <w:b/>
          <w:bCs/>
        </w:rPr>
      </w:pPr>
      <w:r>
        <w:rPr>
          <w:rFonts w:ascii="Arial" w:hAnsi="Arial" w:cs="Arial"/>
        </w:rPr>
        <w:br w:type="textWrapping"/>
      </w:r>
      <w:r>
        <w:fldChar w:fldCharType="begin"/>
      </w:r>
      <w:r>
        <w:instrText xml:space="preserve"> HYPERLINK "https://www.who.int/news-room/fact-sheets/detail/hiv-aids?gad_source=1&amp;gclid=CjwKCAiArva5BhBiEiwA-oTnXUjKfTQWURmweREnQxS05djGGtnFCQtfayAg4sb4AsfM6LeOWiPp1BoCes0QAvD_BwE" </w:instrText>
      </w:r>
      <w:r>
        <w:fldChar w:fldCharType="separate"/>
      </w:r>
      <w:r>
        <w:rPr>
          <w:rStyle w:val="13"/>
          <w:rFonts w:ascii="Arial" w:hAnsi="Arial" w:cs="Arial"/>
        </w:rPr>
        <w:t>HIV</w:t>
      </w:r>
      <w:r>
        <w:rPr>
          <w:rStyle w:val="13"/>
          <w:rFonts w:ascii="Arial" w:hAnsi="Arial" w:cs="Arial"/>
        </w:rPr>
        <w:fldChar w:fldCharType="end"/>
      </w:r>
      <w:r>
        <w:rPr>
          <w:rFonts w:ascii="Arial" w:hAnsi="Arial" w:cs="Arial"/>
        </w:rPr>
        <w:t xml:space="preserve"> is a virus that attacks the immune system, specifically targeting </w:t>
      </w:r>
      <w:r>
        <w:fldChar w:fldCharType="begin"/>
      </w:r>
      <w:r>
        <w:instrText xml:space="preserve"> HYPERLINK "https://clinicalinfo.hiv.gov/en/glossary/cd4-t-lymphocyte" \l ":~:text=CD4%20Cell%2C%20Helper%20T%20Cell,cells)%2C%20to%20fight%20infection." </w:instrText>
      </w:r>
      <w:r>
        <w:fldChar w:fldCharType="separate"/>
      </w:r>
      <w:r>
        <w:rPr>
          <w:rStyle w:val="13"/>
          <w:rFonts w:ascii="Arial" w:hAnsi="Arial" w:cs="Arial"/>
        </w:rPr>
        <w:t>CD4 cells (T cells)</w:t>
      </w:r>
      <w:r>
        <w:rPr>
          <w:rStyle w:val="13"/>
          <w:rFonts w:ascii="Arial" w:hAnsi="Arial" w:cs="Arial"/>
        </w:rPr>
        <w:fldChar w:fldCharType="end"/>
      </w:r>
      <w:r>
        <w:rPr>
          <w:rFonts w:ascii="Arial" w:hAnsi="Arial" w:cs="Arial"/>
        </w:rPr>
        <w:t>, which are crucial for fighting infections. Untreated, it can lead to AIDS (acquired immunodeficiency syndrome) (Assefa and Gilks, 2020).</w:t>
      </w:r>
      <w:r>
        <w:rPr>
          <w:rFonts w:ascii="Arial" w:hAnsi="Arial" w:cs="Arial"/>
          <w:b/>
          <w:bCs/>
        </w:rPr>
        <w:t xml:space="preserve"> </w:t>
      </w:r>
      <w:r>
        <w:rPr>
          <w:rFonts w:ascii="Arial" w:hAnsi="Arial" w:cs="Arial"/>
        </w:rPr>
        <w:t>Around 38,680 people in the UK were living with HIV in 2022 (Gov.UK, 2024).</w:t>
      </w:r>
      <w:r>
        <w:rPr>
          <w:rFonts w:ascii="Arial" w:hAnsi="Arial" w:cs="Arial"/>
          <w:b/>
          <w:bCs/>
        </w:rPr>
        <w:t xml:space="preserve"> </w:t>
      </w:r>
      <w:r>
        <w:rPr>
          <w:rFonts w:ascii="Arial" w:hAnsi="Arial" w:cs="Arial"/>
        </w:rPr>
        <w:t>Early diagnosis and regular monitoring remain essential in reducing transmission and improving quality of life (Assefa and Gilks, 2020).</w:t>
      </w:r>
      <w:r>
        <w:rPr>
          <w:rFonts w:ascii="Arial" w:hAnsi="Arial" w:cs="Arial"/>
          <w:b/>
          <w:bCs/>
        </w:rPr>
        <w:t xml:space="preserve"> </w:t>
      </w:r>
    </w:p>
    <w:p w14:paraId="2B0F3502">
      <w:pPr>
        <w:spacing w:line="360" w:lineRule="auto"/>
        <w:jc w:val="both"/>
        <w:rPr>
          <w:rFonts w:ascii="Algerian" w:hAnsi="Algerian" w:cs="Arial"/>
          <w:b/>
          <w:bCs/>
          <w:color w:val="FF0000"/>
          <w:lang w:eastAsia="en-GB"/>
        </w:rPr>
      </w:pPr>
      <w:r>
        <w:rPr>
          <w:rFonts w:ascii="Algerian" w:hAnsi="Algerian" w:cs="Arial"/>
          <w:b/>
          <w:bCs/>
          <w:color w:val="FF0000"/>
          <w:lang w:eastAsia="en-GB"/>
        </w:rPr>
        <w:t>MyHIVCare App</w:t>
      </w:r>
    </w:p>
    <w:p w14:paraId="017157C3">
      <w:pPr>
        <w:spacing w:line="360" w:lineRule="auto"/>
        <w:jc w:val="both"/>
        <w:rPr>
          <w:rFonts w:ascii="Arial" w:hAnsi="Arial" w:cs="Arial"/>
          <w:lang w:eastAsia="en-GB"/>
        </w:rPr>
      </w:pPr>
      <w:r>
        <w:rPr>
          <w:rFonts w:ascii="Arial" w:hAnsi="Arial" w:cs="Arial"/>
          <w:lang w:eastAsia="en-GB"/>
        </w:rPr>
        <w:t>Developed to support people living with HIV, MyHIVCare is a new mobile app designed to improve disease management and streamline communication with healthcare providers.</w:t>
      </w:r>
    </w:p>
    <w:p w14:paraId="744072A2">
      <w:pPr>
        <w:spacing w:line="360" w:lineRule="auto"/>
        <w:jc w:val="both"/>
        <w:rPr>
          <w:rFonts w:ascii="Arial" w:hAnsi="Arial" w:cs="Arial"/>
          <w:b/>
          <w:bCs/>
          <w:lang w:eastAsia="en-GB"/>
        </w:rPr>
      </w:pPr>
      <w:r>
        <w:drawing>
          <wp:anchor distT="0" distB="0" distL="114300" distR="114300" simplePos="0" relativeHeight="251661312" behindDoc="0" locked="0" layoutInCell="1" allowOverlap="1">
            <wp:simplePos x="0" y="0"/>
            <wp:positionH relativeFrom="column">
              <wp:posOffset>4864735</wp:posOffset>
            </wp:positionH>
            <wp:positionV relativeFrom="paragraph">
              <wp:posOffset>219075</wp:posOffset>
            </wp:positionV>
            <wp:extent cx="1123315" cy="1151255"/>
            <wp:effectExtent l="304800" t="209550" r="286385" b="239395"/>
            <wp:wrapSquare wrapText="bothSides"/>
            <wp:docPr id="1045641403" name="Picture 4" descr="Hiv Icon&quot; Images – Browse 71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641403" name="Picture 4" descr="Hiv Icon&quot; Images – Browse 71 Stock Photos, Vectors, and Video | Adobe 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123315" cy="1151255"/>
                    </a:xfrm>
                    <a:prstGeom prst="rect">
                      <a:avLst/>
                    </a:prstGeom>
                    <a:solidFill>
                      <a:srgbClr val="FFFFFF">
                        <a:shade val="85000"/>
                      </a:srgbClr>
                    </a:solidFill>
                    <a:ln w="190500" cap="sq">
                      <a:solidFill>
                        <a:srgbClr val="FFFFFF"/>
                      </a:solidFill>
                      <a:miter lim="800000"/>
                      <a:headEnd/>
                      <a:tailEnd/>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Pr>
          <w:rFonts w:ascii="Arial" w:hAnsi="Arial" w:cs="Arial"/>
          <w:b/>
          <w:bCs/>
          <w:highlight w:val="cyan"/>
          <w:lang w:eastAsia="en-GB"/>
        </w:rPr>
        <w:t>Features of MyHIVCare App</w:t>
      </w:r>
    </w:p>
    <w:p w14:paraId="677AA3CA">
      <w:pPr>
        <w:numPr>
          <w:ilvl w:val="0"/>
          <w:numId w:val="5"/>
        </w:numPr>
        <w:spacing w:line="360" w:lineRule="auto"/>
        <w:jc w:val="both"/>
        <w:rPr>
          <w:rFonts w:ascii="Arial" w:hAnsi="Arial" w:cs="Arial"/>
          <w:lang w:eastAsia="en-GB"/>
        </w:rPr>
      </w:pPr>
      <w:r>
        <w:rPr>
          <w:rFonts w:ascii="Arial" w:hAnsi="Arial" w:cs="Arial"/>
          <w:b/>
          <w:bCs/>
          <w:lang w:eastAsia="en-GB"/>
        </w:rPr>
        <w:t>Health Record Management:</w:t>
      </w:r>
      <w:r>
        <w:rPr>
          <w:rFonts w:ascii="Arial" w:hAnsi="Arial" w:cs="Arial"/>
          <w:lang w:eastAsia="en-GB"/>
        </w:rPr>
        <w:t xml:space="preserve"> Track appointments, medication schedules, and test results in one place (</w:t>
      </w:r>
      <w:r>
        <w:rPr>
          <w:rFonts w:ascii="Arial" w:hAnsi="Arial" w:cs="Arial"/>
        </w:rPr>
        <w:t>Mehraeen</w:t>
      </w:r>
      <w:r>
        <w:rPr>
          <w:rFonts w:ascii="Arial" w:hAnsi="Arial" w:cs="Arial"/>
          <w:lang w:eastAsia="en-GB"/>
        </w:rPr>
        <w:t xml:space="preserve"> et al, 2022). </w:t>
      </w:r>
    </w:p>
    <w:p w14:paraId="66EA7A2F">
      <w:pPr>
        <w:numPr>
          <w:ilvl w:val="0"/>
          <w:numId w:val="5"/>
        </w:numPr>
        <w:spacing w:line="360" w:lineRule="auto"/>
        <w:jc w:val="both"/>
        <w:rPr>
          <w:rFonts w:ascii="Arial" w:hAnsi="Arial" w:cs="Arial"/>
          <w:lang w:eastAsia="en-GB"/>
        </w:rPr>
      </w:pPr>
      <w:r>
        <w:rPr>
          <w:rFonts w:ascii="Arial" w:hAnsi="Arial" w:cs="Arial"/>
          <w:b/>
          <w:bCs/>
          <w:lang w:eastAsia="en-GB"/>
        </w:rPr>
        <w:t>Medication Reminders:</w:t>
      </w:r>
      <w:r>
        <w:rPr>
          <w:rFonts w:ascii="Arial" w:hAnsi="Arial" w:cs="Arial"/>
          <w:lang w:eastAsia="en-GB"/>
        </w:rPr>
        <w:t xml:space="preserve"> Timely alerts to ensure adherence to </w:t>
      </w:r>
      <w:r>
        <w:fldChar w:fldCharType="begin"/>
      </w:r>
      <w:r>
        <w:instrText xml:space="preserve"> HYPERLINK "https://www.paho.org/en/topics/antiretroviral-therapy" \l ":~:text=Antiretroviral%20therapy%20(ART)%20is%20treatment,HAART)%20that%20suppress%20HIV%20replication." </w:instrText>
      </w:r>
      <w:r>
        <w:fldChar w:fldCharType="separate"/>
      </w:r>
      <w:r>
        <w:rPr>
          <w:rStyle w:val="13"/>
          <w:rFonts w:ascii="Arial" w:hAnsi="Arial" w:cs="Arial"/>
          <w:lang w:eastAsia="en-GB"/>
        </w:rPr>
        <w:t>ART medication</w:t>
      </w:r>
      <w:r>
        <w:rPr>
          <w:rStyle w:val="13"/>
          <w:rFonts w:ascii="Arial" w:hAnsi="Arial" w:cs="Arial"/>
          <w:lang w:eastAsia="en-GB"/>
        </w:rPr>
        <w:fldChar w:fldCharType="end"/>
      </w:r>
      <w:r>
        <w:rPr>
          <w:rFonts w:ascii="Arial" w:hAnsi="Arial" w:cs="Arial"/>
          <w:lang w:eastAsia="en-GB"/>
        </w:rPr>
        <w:t xml:space="preserve"> (</w:t>
      </w:r>
      <w:r>
        <w:rPr>
          <w:rFonts w:ascii="Arial" w:hAnsi="Arial" w:cs="Arial"/>
        </w:rPr>
        <w:t>Mehraeen</w:t>
      </w:r>
      <w:r>
        <w:rPr>
          <w:rFonts w:ascii="Arial" w:hAnsi="Arial" w:cs="Arial"/>
          <w:lang w:eastAsia="en-GB"/>
        </w:rPr>
        <w:t xml:space="preserve"> et al, 2022).</w:t>
      </w:r>
    </w:p>
    <w:p w14:paraId="4C5E5C4D">
      <w:pPr>
        <w:numPr>
          <w:ilvl w:val="0"/>
          <w:numId w:val="5"/>
        </w:numPr>
        <w:spacing w:line="360" w:lineRule="auto"/>
        <w:jc w:val="both"/>
        <w:rPr>
          <w:rFonts w:ascii="Arial" w:hAnsi="Arial" w:cs="Arial"/>
          <w:lang w:eastAsia="en-GB"/>
        </w:rPr>
      </w:pPr>
      <w:r>
        <w:rPr>
          <w:rFonts w:ascii="Arial" w:hAnsi="Arial" w:cs="Arial"/>
          <w:b/>
          <w:bCs/>
          <w:lang w:eastAsia="en-GB"/>
        </w:rPr>
        <w:t>Symptom Tracker:</w:t>
      </w:r>
      <w:r>
        <w:rPr>
          <w:rFonts w:ascii="Arial" w:hAnsi="Arial" w:cs="Arial"/>
          <w:lang w:eastAsia="en-GB"/>
        </w:rPr>
        <w:t xml:space="preserve"> Long symptoms to provide healthcare providers with accurate insights (Hightow-Weidman et al, 2022).</w:t>
      </w:r>
    </w:p>
    <w:p w14:paraId="5B07E025">
      <w:pPr>
        <w:numPr>
          <w:ilvl w:val="0"/>
          <w:numId w:val="5"/>
        </w:numPr>
        <w:spacing w:line="360" w:lineRule="auto"/>
        <w:jc w:val="both"/>
        <w:rPr>
          <w:rFonts w:ascii="Arial" w:hAnsi="Arial" w:cs="Arial"/>
          <w:lang w:eastAsia="en-GB"/>
        </w:rPr>
      </w:pPr>
      <w:r>
        <w:rPr>
          <w:rFonts w:ascii="Arial" w:hAnsi="Arial" w:cs="Arial"/>
          <w:b/>
          <w:bCs/>
          <w:lang w:eastAsia="en-GB"/>
        </w:rPr>
        <w:t>Secure Messaging:</w:t>
      </w:r>
      <w:r>
        <w:rPr>
          <w:rFonts w:ascii="Arial" w:hAnsi="Arial" w:cs="Arial"/>
          <w:lang w:eastAsia="en-GB"/>
        </w:rPr>
        <w:t xml:space="preserve"> Direct communication with doctors for personalised advice (Hightow-Weidman et al, 2022).</w:t>
      </w:r>
    </w:p>
    <w:p w14:paraId="582ED40A">
      <w:pPr>
        <w:numPr>
          <w:ilvl w:val="0"/>
          <w:numId w:val="5"/>
        </w:numPr>
        <w:spacing w:line="360" w:lineRule="auto"/>
        <w:jc w:val="both"/>
        <w:rPr>
          <w:rFonts w:ascii="Arial" w:hAnsi="Arial" w:cs="Arial"/>
          <w:lang w:eastAsia="en-GB"/>
        </w:rPr>
      </w:pPr>
      <w:r>
        <w:rPr>
          <w:rFonts w:ascii="Arial" w:hAnsi="Arial" w:cs="Arial"/>
          <w:b/>
          <w:bCs/>
          <w:lang w:eastAsia="en-GB"/>
        </w:rPr>
        <w:t>Educational Resources:</w:t>
      </w:r>
      <w:r>
        <w:rPr>
          <w:rFonts w:ascii="Arial" w:hAnsi="Arial" w:cs="Arial"/>
          <w:lang w:eastAsia="en-GB"/>
        </w:rPr>
        <w:t xml:space="preserve"> Access reliable HIV-related information tailored to the user’s condition (Hightow-Weidman et al, 2022).</w:t>
      </w:r>
    </w:p>
    <w:p w14:paraId="1789735B">
      <w:pPr>
        <w:spacing w:line="360" w:lineRule="auto"/>
        <w:jc w:val="both"/>
        <w:rPr>
          <w:rFonts w:ascii="Arial" w:hAnsi="Arial" w:cs="Arial"/>
          <w:b/>
          <w:bCs/>
          <w:lang w:eastAsia="en-GB"/>
        </w:rPr>
      </w:pPr>
      <w:r>
        <w:rPr>
          <w:rFonts w:ascii="Arial" w:hAnsi="Arial" w:cs="Arial"/>
          <w:b/>
          <w:bCs/>
          <w:highlight w:val="cyan"/>
          <w:lang w:eastAsia="en-GB"/>
        </w:rPr>
        <w:t>Advantages of the App</w:t>
      </w:r>
    </w:p>
    <w:p w14:paraId="0F1B16DE">
      <w:pPr>
        <w:numPr>
          <w:ilvl w:val="0"/>
          <w:numId w:val="6"/>
        </w:numPr>
        <w:spacing w:line="360" w:lineRule="auto"/>
        <w:jc w:val="both"/>
        <w:rPr>
          <w:rFonts w:ascii="Arial" w:hAnsi="Arial" w:cs="Arial"/>
          <w:lang w:eastAsia="en-GB"/>
        </w:rPr>
      </w:pPr>
      <w:r>
        <w:rPr>
          <w:rFonts w:ascii="Arial" w:hAnsi="Arial" w:cs="Arial"/>
          <w:lang w:eastAsia="en-GB"/>
        </w:rPr>
        <w:t>Enhances treatment adherence, a critical factor for viral suppression (</w:t>
      </w:r>
      <w:r>
        <w:rPr>
          <w:rFonts w:ascii="Arial" w:hAnsi="Arial" w:cs="Arial"/>
        </w:rPr>
        <w:t>Mehraeen</w:t>
      </w:r>
      <w:r>
        <w:rPr>
          <w:rFonts w:ascii="Arial" w:hAnsi="Arial" w:cs="Arial"/>
          <w:lang w:eastAsia="en-GB"/>
        </w:rPr>
        <w:t xml:space="preserve"> et al, 2022).</w:t>
      </w:r>
    </w:p>
    <w:p w14:paraId="1D490DF4">
      <w:pPr>
        <w:numPr>
          <w:ilvl w:val="0"/>
          <w:numId w:val="6"/>
        </w:numPr>
        <w:spacing w:line="360" w:lineRule="auto"/>
        <w:jc w:val="both"/>
        <w:rPr>
          <w:rFonts w:ascii="Arial" w:hAnsi="Arial" w:cs="Arial"/>
          <w:lang w:eastAsia="en-GB"/>
        </w:rPr>
      </w:pPr>
      <w:r>
        <w:rPr>
          <w:rFonts w:ascii="Arial" w:hAnsi="Arial" w:cs="Arial"/>
          <w:lang w:eastAsia="en-GB"/>
        </w:rPr>
        <w:t>Promotes patient empowerment through education and self-management tools (</w:t>
      </w:r>
      <w:r>
        <w:rPr>
          <w:rFonts w:ascii="Arial" w:hAnsi="Arial" w:cs="Arial"/>
        </w:rPr>
        <w:t>Mehraeen</w:t>
      </w:r>
      <w:r>
        <w:rPr>
          <w:rFonts w:ascii="Arial" w:hAnsi="Arial" w:cs="Arial"/>
          <w:lang w:eastAsia="en-GB"/>
        </w:rPr>
        <w:t xml:space="preserve"> et al, 2022).</w:t>
      </w:r>
    </w:p>
    <w:p w14:paraId="16A9122D">
      <w:pPr>
        <w:numPr>
          <w:ilvl w:val="0"/>
          <w:numId w:val="6"/>
        </w:numPr>
        <w:spacing w:line="360" w:lineRule="auto"/>
        <w:jc w:val="both"/>
        <w:rPr>
          <w:rFonts w:ascii="Arial" w:hAnsi="Arial" w:cs="Arial"/>
          <w:lang w:eastAsia="en-GB"/>
        </w:rPr>
      </w:pPr>
      <w:r>
        <w:rPr>
          <w:rFonts w:ascii="Arial" w:hAnsi="Arial" w:cs="Arial"/>
          <w:lang w:eastAsia="en-GB"/>
        </w:rPr>
        <w:t>Reduces healthcare system burden by enabling remote monitoring (Mumtaz et al, 2022).</w:t>
      </w:r>
    </w:p>
    <w:p w14:paraId="6F2AF53A">
      <w:pPr>
        <w:numPr>
          <w:ilvl w:val="0"/>
          <w:numId w:val="6"/>
        </w:numPr>
        <w:spacing w:line="360" w:lineRule="auto"/>
        <w:jc w:val="both"/>
        <w:rPr>
          <w:rFonts w:ascii="Arial" w:hAnsi="Arial" w:cs="Arial"/>
          <w:lang w:eastAsia="en-GB"/>
        </w:rPr>
      </w:pPr>
      <w:r>
        <w:rPr>
          <w:rFonts w:ascii="Arial" w:hAnsi="Arial" w:cs="Arial"/>
          <w:lang w:eastAsia="en-GB"/>
        </w:rPr>
        <w:t>Supports stigma-free communication via private, secure channels (Hightow-Weidman et al, 2022).</w:t>
      </w:r>
    </w:p>
    <w:p w14:paraId="5E0EAAB4">
      <w:pPr>
        <w:spacing w:line="360" w:lineRule="auto"/>
        <w:jc w:val="both"/>
        <w:rPr>
          <w:rFonts w:ascii="Arial" w:hAnsi="Arial" w:cs="Arial"/>
          <w:b/>
          <w:bCs/>
          <w:lang w:eastAsia="en-GB"/>
        </w:rPr>
      </w:pPr>
      <w:r>
        <w:rPr>
          <w:rFonts w:ascii="Arial" w:hAnsi="Arial" w:cs="Arial"/>
          <w:b/>
          <w:bCs/>
          <w:highlight w:val="cyan"/>
          <w:lang w:eastAsia="en-GB"/>
        </w:rPr>
        <w:t>Limitations and Challenges</w:t>
      </w:r>
    </w:p>
    <w:p w14:paraId="73B7A64F">
      <w:pPr>
        <w:numPr>
          <w:ilvl w:val="0"/>
          <w:numId w:val="7"/>
        </w:numPr>
        <w:spacing w:line="360" w:lineRule="auto"/>
        <w:jc w:val="both"/>
        <w:rPr>
          <w:rFonts w:ascii="Arial" w:hAnsi="Arial" w:cs="Arial"/>
          <w:lang w:eastAsia="en-GB"/>
        </w:rPr>
      </w:pPr>
      <w:r>
        <w:rPr>
          <w:rFonts w:ascii="Arial" w:hAnsi="Arial" w:cs="Arial"/>
          <w:lang w:eastAsia="en-GB"/>
        </w:rPr>
        <w:t>Limited availability of internet access among some users (</w:t>
      </w:r>
      <w:r>
        <w:rPr>
          <w:rFonts w:ascii="Arial" w:hAnsi="Arial" w:cs="Arial"/>
        </w:rPr>
        <w:t>Mehraeen</w:t>
      </w:r>
      <w:r>
        <w:rPr>
          <w:rFonts w:ascii="Arial" w:hAnsi="Arial" w:cs="Arial"/>
          <w:lang w:eastAsia="en-GB"/>
        </w:rPr>
        <w:t xml:space="preserve"> et al, 2022).</w:t>
      </w:r>
    </w:p>
    <w:p w14:paraId="67742C9E">
      <w:pPr>
        <w:numPr>
          <w:ilvl w:val="0"/>
          <w:numId w:val="7"/>
        </w:numPr>
        <w:spacing w:line="360" w:lineRule="auto"/>
        <w:jc w:val="both"/>
        <w:rPr>
          <w:rFonts w:ascii="Arial" w:hAnsi="Arial" w:cs="Arial"/>
          <w:lang w:eastAsia="en-GB"/>
        </w:rPr>
      </w:pPr>
      <w:r>
        <w:rPr>
          <w:rFonts w:ascii="Arial" w:hAnsi="Arial" w:cs="Arial"/>
          <w:lang w:eastAsia="en-GB"/>
        </w:rPr>
        <w:t>Digital literacy gaps could hinder usage among older populations (</w:t>
      </w:r>
      <w:r>
        <w:rPr>
          <w:rFonts w:ascii="Arial" w:hAnsi="Arial" w:cs="Arial"/>
        </w:rPr>
        <w:t>Mehraeen</w:t>
      </w:r>
      <w:r>
        <w:rPr>
          <w:rFonts w:ascii="Arial" w:hAnsi="Arial" w:cs="Arial"/>
          <w:lang w:eastAsia="en-GB"/>
        </w:rPr>
        <w:t xml:space="preserve"> et al, 2022).</w:t>
      </w:r>
    </w:p>
    <w:p w14:paraId="6EE0966B">
      <w:pPr>
        <w:numPr>
          <w:ilvl w:val="0"/>
          <w:numId w:val="7"/>
        </w:numPr>
        <w:spacing w:line="360" w:lineRule="auto"/>
        <w:jc w:val="both"/>
        <w:rPr>
          <w:rFonts w:ascii="Arial" w:hAnsi="Arial" w:cs="Arial"/>
          <w:lang w:eastAsia="en-GB"/>
        </w:rPr>
      </w:pPr>
      <w:r>
        <w:rPr>
          <w:rFonts w:ascii="Arial" w:hAnsi="Arial" w:cs="Arial"/>
          <w:lang w:eastAsia="en-GB"/>
        </w:rPr>
        <w:t>Potential concerns about data privacy (Hightow-Weidman et al, 2022).</w:t>
      </w:r>
    </w:p>
    <w:p w14:paraId="38F76BBA">
      <w:pPr>
        <w:spacing w:line="360" w:lineRule="auto"/>
        <w:jc w:val="both"/>
        <w:rPr>
          <w:rFonts w:ascii="Arial" w:hAnsi="Arial" w:cs="Arial"/>
          <w:b/>
          <w:bCs/>
          <w:lang w:eastAsia="en-GB"/>
        </w:rPr>
      </w:pPr>
      <w:r>
        <w:rPr>
          <w:rFonts w:ascii="Arial" w:hAnsi="Arial" w:cs="Arial"/>
          <w:b/>
          <w:bCs/>
          <w:highlight w:val="cyan"/>
          <w:lang w:eastAsia="en-GB"/>
        </w:rPr>
        <w:t>Solutions to Overcome Challenges</w:t>
      </w:r>
    </w:p>
    <w:p w14:paraId="06EC84EF">
      <w:pPr>
        <w:numPr>
          <w:ilvl w:val="0"/>
          <w:numId w:val="8"/>
        </w:numPr>
        <w:spacing w:line="360" w:lineRule="auto"/>
        <w:jc w:val="both"/>
        <w:rPr>
          <w:rFonts w:ascii="Arial" w:hAnsi="Arial" w:cs="Arial"/>
          <w:lang w:eastAsia="en-GB"/>
        </w:rPr>
      </w:pPr>
      <w:r>
        <w:rPr>
          <w:rFonts w:ascii="Arial" w:hAnsi="Arial" w:cs="Arial"/>
          <w:b/>
          <w:bCs/>
          <w:lang w:eastAsia="en-GB"/>
        </w:rPr>
        <w:t>Offline Access:</w:t>
      </w:r>
      <w:r>
        <w:rPr>
          <w:rFonts w:ascii="Arial" w:hAnsi="Arial" w:cs="Arial"/>
          <w:lang w:eastAsia="en-GB"/>
        </w:rPr>
        <w:t xml:space="preserve"> Develop features to allow offline data logging (Mumtaz et al, 2022).</w:t>
      </w:r>
    </w:p>
    <w:p w14:paraId="3AB46771">
      <w:pPr>
        <w:numPr>
          <w:ilvl w:val="0"/>
          <w:numId w:val="8"/>
        </w:numPr>
        <w:spacing w:line="360" w:lineRule="auto"/>
        <w:jc w:val="both"/>
        <w:rPr>
          <w:rFonts w:ascii="Arial" w:hAnsi="Arial" w:cs="Arial"/>
          <w:lang w:eastAsia="en-GB"/>
        </w:rPr>
      </w:pPr>
      <w:r>
        <w:rPr>
          <w:rFonts w:ascii="Arial" w:hAnsi="Arial" w:cs="Arial"/>
          <w:b/>
          <w:bCs/>
          <w:lang w:eastAsia="en-GB"/>
        </w:rPr>
        <w:t>User-Friendly Design:</w:t>
      </w:r>
      <w:r>
        <w:rPr>
          <w:rFonts w:ascii="Arial" w:hAnsi="Arial" w:cs="Arial"/>
          <w:lang w:eastAsia="en-GB"/>
        </w:rPr>
        <w:t xml:space="preserve"> Simplify the interface for diverse age groups and skill levels (Mumtaz et al, 2022).</w:t>
      </w:r>
    </w:p>
    <w:p w14:paraId="35F130BE">
      <w:pPr>
        <w:numPr>
          <w:ilvl w:val="0"/>
          <w:numId w:val="8"/>
        </w:numPr>
        <w:spacing w:line="360" w:lineRule="auto"/>
        <w:jc w:val="both"/>
        <w:rPr>
          <w:rFonts w:ascii="Arial" w:hAnsi="Arial" w:cs="Arial"/>
          <w:lang w:eastAsia="en-GB"/>
        </w:rPr>
      </w:pPr>
      <w:r>
        <w:rPr>
          <w:rFonts w:ascii="Arial" w:hAnsi="Arial" w:cs="Arial"/>
          <w:b/>
          <w:bCs/>
          <w:lang w:eastAsia="en-GB"/>
        </w:rPr>
        <w:t>Transparent Data Policies:</w:t>
      </w:r>
      <w:r>
        <w:rPr>
          <w:rFonts w:ascii="Arial" w:hAnsi="Arial" w:cs="Arial"/>
          <w:lang w:eastAsia="en-GB"/>
        </w:rPr>
        <w:t xml:space="preserve"> Reinforce trust by adhering to strict privacy regulations (Mumtaz et al, 2022).</w:t>
      </w:r>
    </w:p>
    <w:p w14:paraId="6B46B156">
      <w:pPr>
        <w:spacing w:line="360" w:lineRule="auto"/>
        <w:jc w:val="both"/>
        <w:rPr>
          <w:rFonts w:ascii="Arial" w:hAnsi="Arial" w:cs="Arial"/>
          <w:b/>
          <w:bCs/>
        </w:rPr>
      </w:pPr>
    </w:p>
    <w:p w14:paraId="48D457D4">
      <w:pPr>
        <w:spacing w:line="360" w:lineRule="auto"/>
        <w:jc w:val="both"/>
        <w:rPr>
          <w:rFonts w:ascii="Arial" w:hAnsi="Arial" w:cs="Arial"/>
          <w:b/>
          <w:bCs/>
        </w:rPr>
      </w:pPr>
    </w:p>
    <w:p w14:paraId="78D8350D">
      <w:pPr>
        <w:spacing w:line="360" w:lineRule="auto"/>
        <w:jc w:val="both"/>
        <w:rPr>
          <w:rFonts w:ascii="Arial" w:hAnsi="Arial" w:cs="Arial"/>
          <w:b/>
          <w:bCs/>
        </w:rPr>
      </w:pPr>
    </w:p>
    <w:p w14:paraId="3219AC1B">
      <w:pPr>
        <w:spacing w:line="360" w:lineRule="auto"/>
        <w:jc w:val="both"/>
        <w:rPr>
          <w:rFonts w:ascii="Arial" w:hAnsi="Arial" w:cs="Arial"/>
          <w:b/>
          <w:bCs/>
        </w:rPr>
      </w:pPr>
    </w:p>
    <w:p w14:paraId="0F87D932">
      <w:pPr>
        <w:spacing w:line="360" w:lineRule="auto"/>
        <w:jc w:val="both"/>
        <w:rPr>
          <w:rFonts w:ascii="Arial" w:hAnsi="Arial" w:cs="Arial"/>
          <w:b/>
          <w:bCs/>
        </w:rPr>
      </w:pPr>
    </w:p>
    <w:p w14:paraId="575A13D3">
      <w:pPr>
        <w:spacing w:line="360" w:lineRule="auto"/>
        <w:jc w:val="both"/>
        <w:rPr>
          <w:rFonts w:ascii="Arial" w:hAnsi="Arial" w:cs="Arial"/>
          <w:b/>
          <w:bCs/>
        </w:rPr>
      </w:pPr>
    </w:p>
    <w:p w14:paraId="562D9E13">
      <w:pPr>
        <w:spacing w:line="360" w:lineRule="auto"/>
        <w:jc w:val="both"/>
        <w:rPr>
          <w:rFonts w:ascii="Arial" w:hAnsi="Arial" w:cs="Arial"/>
          <w:b/>
          <w:bCs/>
        </w:rPr>
      </w:pPr>
    </w:p>
    <w:p w14:paraId="7FA00D18">
      <w:pPr>
        <w:spacing w:line="360" w:lineRule="auto"/>
        <w:jc w:val="both"/>
        <w:rPr>
          <w:rFonts w:ascii="Arial" w:hAnsi="Arial" w:cs="Arial"/>
          <w:b/>
          <w:bCs/>
        </w:rPr>
      </w:pPr>
    </w:p>
    <w:p w14:paraId="7852792C">
      <w:pPr>
        <w:spacing w:line="360" w:lineRule="auto"/>
        <w:jc w:val="both"/>
        <w:rPr>
          <w:rFonts w:ascii="Arial" w:hAnsi="Arial" w:cs="Arial"/>
          <w:b/>
          <w:bCs/>
        </w:rPr>
      </w:pPr>
    </w:p>
    <w:p w14:paraId="528D6E3F">
      <w:pPr>
        <w:spacing w:line="360" w:lineRule="auto"/>
        <w:jc w:val="both"/>
        <w:rPr>
          <w:rFonts w:ascii="Arial" w:hAnsi="Arial" w:cs="Arial"/>
          <w:b/>
          <w:bCs/>
        </w:rPr>
      </w:pPr>
      <w:r>
        <w:rPr>
          <w:rFonts w:ascii="Arial" w:hAnsi="Arial" w:cs="Arial"/>
          <w:b/>
          <w:bCs/>
        </w:rPr>
        <w:t>References:</w:t>
      </w:r>
    </w:p>
    <w:p w14:paraId="7849AD8B">
      <w:pPr>
        <w:spacing w:line="360" w:lineRule="auto"/>
        <w:jc w:val="both"/>
        <w:rPr>
          <w:rFonts w:ascii="Arial" w:hAnsi="Arial" w:cs="Arial"/>
        </w:rPr>
      </w:pPr>
      <w:r>
        <w:rPr>
          <w:rFonts w:ascii="Arial" w:hAnsi="Arial" w:cs="Arial"/>
        </w:rPr>
        <w:t>Abdelk Al-Khafaji, A. and Jaber Hashim Al-Jawfi, A., (2023). Problems of People with Hearing Disabilities from Their Teachers’ Point of View. </w:t>
      </w:r>
      <w:r>
        <w:rPr>
          <w:rFonts w:ascii="Arial" w:hAnsi="Arial" w:cs="Arial"/>
          <w:i/>
          <w:iCs/>
        </w:rPr>
        <w:t>Sustainability Education Globe</w:t>
      </w:r>
      <w:r>
        <w:rPr>
          <w:rFonts w:ascii="Arial" w:hAnsi="Arial" w:cs="Arial"/>
        </w:rPr>
        <w:t>, </w:t>
      </w:r>
      <w:r>
        <w:rPr>
          <w:rFonts w:ascii="Arial" w:hAnsi="Arial" w:cs="Arial"/>
          <w:i/>
          <w:iCs/>
        </w:rPr>
        <w:t>1</w:t>
      </w:r>
      <w:r>
        <w:rPr>
          <w:rFonts w:ascii="Arial" w:hAnsi="Arial" w:cs="Arial"/>
        </w:rPr>
        <w:t>(1), pp.100-117.</w:t>
      </w:r>
    </w:p>
    <w:p w14:paraId="14DA661C">
      <w:pPr>
        <w:spacing w:line="360" w:lineRule="auto"/>
        <w:jc w:val="both"/>
        <w:rPr>
          <w:rFonts w:ascii="Arial" w:hAnsi="Arial" w:cs="Arial"/>
        </w:rPr>
      </w:pPr>
      <w:r>
        <w:rPr>
          <w:rFonts w:ascii="Arial" w:hAnsi="Arial" w:cs="Arial"/>
        </w:rPr>
        <w:t>Assefa, Y. and Gilks, C.F., (2020). Ending the epidemic of HIV/AIDS by 2030: Will there be an endgame to HIV, or an endemic HIV requiring an integrated health systems response in many countries?. </w:t>
      </w:r>
      <w:r>
        <w:rPr>
          <w:rFonts w:ascii="Arial" w:hAnsi="Arial" w:cs="Arial"/>
          <w:i/>
          <w:iCs/>
        </w:rPr>
        <w:t>International Journal of Infectious Diseases</w:t>
      </w:r>
      <w:r>
        <w:rPr>
          <w:rFonts w:ascii="Arial" w:hAnsi="Arial" w:cs="Arial"/>
        </w:rPr>
        <w:t>, </w:t>
      </w:r>
      <w:r>
        <w:rPr>
          <w:rFonts w:ascii="Arial" w:hAnsi="Arial" w:cs="Arial"/>
          <w:i/>
          <w:iCs/>
        </w:rPr>
        <w:t>100</w:t>
      </w:r>
      <w:r>
        <w:rPr>
          <w:rFonts w:ascii="Arial" w:hAnsi="Arial" w:cs="Arial"/>
        </w:rPr>
        <w:t>, pp.273-277.</w:t>
      </w:r>
    </w:p>
    <w:p w14:paraId="29517AD1">
      <w:pPr>
        <w:spacing w:line="360" w:lineRule="auto"/>
        <w:jc w:val="both"/>
        <w:rPr>
          <w:rFonts w:ascii="Arial" w:hAnsi="Arial" w:cs="Arial"/>
        </w:rPr>
      </w:pPr>
      <w:r>
        <w:rPr>
          <w:rFonts w:ascii="Arial" w:hAnsi="Arial" w:cs="Arial"/>
        </w:rPr>
        <w:t xml:space="preserve">British Academic of Audiologist, (2024), Facts about hearing loss and deafness, </w:t>
      </w:r>
      <w:r>
        <w:fldChar w:fldCharType="begin"/>
      </w:r>
      <w:r>
        <w:instrText xml:space="preserve"> HYPERLINK "https://www.baaudiology.org/about/media-centre/facts-about-hearing-loss-and-deafness/" </w:instrText>
      </w:r>
      <w:r>
        <w:fldChar w:fldCharType="separate"/>
      </w:r>
      <w:r>
        <w:rPr>
          <w:rStyle w:val="13"/>
          <w:rFonts w:ascii="Arial" w:hAnsi="Arial" w:cs="Arial"/>
        </w:rPr>
        <w:t>https://www.baaudiology.org/about/media-centre/facts-about-hearing-loss-and-deafness/</w:t>
      </w:r>
      <w:r>
        <w:rPr>
          <w:rStyle w:val="13"/>
          <w:rFonts w:ascii="Arial" w:hAnsi="Arial" w:cs="Arial"/>
        </w:rPr>
        <w:fldChar w:fldCharType="end"/>
      </w:r>
    </w:p>
    <w:p w14:paraId="2CA3533F">
      <w:pPr>
        <w:spacing w:line="360" w:lineRule="auto"/>
        <w:jc w:val="both"/>
        <w:rPr>
          <w:rFonts w:ascii="Arial" w:hAnsi="Arial" w:cs="Arial"/>
        </w:rPr>
      </w:pPr>
      <w:r>
        <w:rPr>
          <w:rFonts w:ascii="Arial" w:hAnsi="Arial" w:cs="Arial"/>
        </w:rPr>
        <w:t xml:space="preserve">Gov. UK (2024), Annual epidemiological spotlight on HIV London: 2022 data, </w:t>
      </w:r>
      <w:r>
        <w:fldChar w:fldCharType="begin"/>
      </w:r>
      <w:r>
        <w:instrText xml:space="preserve"> HYPERLINK "https://www.gov.uk/government/publications/hiv-london-annual-data-spotlight/annual-epidemiological-spotlight-on-hiv-in-london-2022-data" </w:instrText>
      </w:r>
      <w:r>
        <w:fldChar w:fldCharType="separate"/>
      </w:r>
      <w:r>
        <w:rPr>
          <w:rStyle w:val="13"/>
          <w:rFonts w:ascii="Arial" w:hAnsi="Arial" w:cs="Arial"/>
        </w:rPr>
        <w:t>https://www.gov.uk/government/publications/hiv-london-annual-data-spotlight/annual-epidemiological-spotlight-on-hiv-in-london-2022-data</w:t>
      </w:r>
      <w:r>
        <w:rPr>
          <w:rStyle w:val="13"/>
          <w:rFonts w:ascii="Arial" w:hAnsi="Arial" w:cs="Arial"/>
        </w:rPr>
        <w:fldChar w:fldCharType="end"/>
      </w:r>
    </w:p>
    <w:p w14:paraId="3A99D840">
      <w:pPr>
        <w:spacing w:line="360" w:lineRule="auto"/>
        <w:jc w:val="both"/>
        <w:rPr>
          <w:rFonts w:ascii="Arial" w:hAnsi="Arial" w:cs="Arial"/>
        </w:rPr>
      </w:pPr>
      <w:r>
        <w:rPr>
          <w:rFonts w:ascii="Arial" w:hAnsi="Arial" w:cs="Arial"/>
        </w:rPr>
        <w:t>Hightow-Weidman, L.B., Muessig, K., Soberano, Z., Rosso, M.T., Currie, A., Larsen, M.A., Knudtson, K. and Vecchio, A., (2022). Tough talks virtual simulation HIV disclosure intervention for young men who have sex with men: development and usability testing. </w:t>
      </w:r>
      <w:r>
        <w:rPr>
          <w:rFonts w:ascii="Arial" w:hAnsi="Arial" w:cs="Arial"/>
          <w:i/>
          <w:iCs/>
        </w:rPr>
        <w:t>JMIR Formative Research</w:t>
      </w:r>
      <w:r>
        <w:rPr>
          <w:rFonts w:ascii="Arial" w:hAnsi="Arial" w:cs="Arial"/>
        </w:rPr>
        <w:t>, </w:t>
      </w:r>
      <w:r>
        <w:rPr>
          <w:rFonts w:ascii="Arial" w:hAnsi="Arial" w:cs="Arial"/>
          <w:i/>
          <w:iCs/>
        </w:rPr>
        <w:t>6</w:t>
      </w:r>
      <w:r>
        <w:rPr>
          <w:rFonts w:ascii="Arial" w:hAnsi="Arial" w:cs="Arial"/>
        </w:rPr>
        <w:t>(9), p.e38354.</w:t>
      </w:r>
    </w:p>
    <w:p w14:paraId="1790C848">
      <w:pPr>
        <w:spacing w:line="360" w:lineRule="auto"/>
        <w:jc w:val="both"/>
        <w:rPr>
          <w:rFonts w:ascii="Arial" w:hAnsi="Arial" w:cs="Arial"/>
        </w:rPr>
      </w:pPr>
      <w:r>
        <w:rPr>
          <w:rFonts w:ascii="Arial" w:hAnsi="Arial" w:cs="Arial"/>
        </w:rPr>
        <w:t>Jo, S., Park, M.K., Seo, J.H., Lee, K.E., Han, J.S., Lim, J.H., Lee, J.H. and Oh, S.H., (2023). Feasibility of a Smartphone-Based Hearing Aid App for Mild-to-Moderate Hearing Loss: Prospective Multicenter Randomized Controlled Trial. </w:t>
      </w:r>
      <w:r>
        <w:rPr>
          <w:rFonts w:ascii="Arial" w:hAnsi="Arial" w:cs="Arial"/>
          <w:i/>
          <w:iCs/>
        </w:rPr>
        <w:t>JMIR mHealth and uHealth</w:t>
      </w:r>
      <w:r>
        <w:rPr>
          <w:rFonts w:ascii="Arial" w:hAnsi="Arial" w:cs="Arial"/>
        </w:rPr>
        <w:t>, </w:t>
      </w:r>
      <w:r>
        <w:rPr>
          <w:rFonts w:ascii="Arial" w:hAnsi="Arial" w:cs="Arial"/>
          <w:i/>
          <w:iCs/>
        </w:rPr>
        <w:t>11</w:t>
      </w:r>
      <w:r>
        <w:rPr>
          <w:rFonts w:ascii="Arial" w:hAnsi="Arial" w:cs="Arial"/>
        </w:rPr>
        <w:t>, p.e46911.</w:t>
      </w:r>
    </w:p>
    <w:p w14:paraId="3DE5BBDC">
      <w:pPr>
        <w:spacing w:line="360" w:lineRule="auto"/>
        <w:jc w:val="both"/>
        <w:rPr>
          <w:rFonts w:ascii="Arial" w:hAnsi="Arial" w:cs="Arial"/>
        </w:rPr>
      </w:pPr>
      <w:r>
        <w:rPr>
          <w:rFonts w:ascii="Arial" w:hAnsi="Arial" w:cs="Arial"/>
        </w:rPr>
        <w:t>Koo, M., Nguyen, W., Lee, J.H., Oh, S.H. and Park, M.K., (2022). Behavioral evaluation of 3 smartphone-based hearing aid apps for patients with mild hearing loss: an exploratory pilot study. </w:t>
      </w:r>
      <w:r>
        <w:rPr>
          <w:rFonts w:ascii="Arial" w:hAnsi="Arial" w:cs="Arial"/>
          <w:i/>
          <w:iCs/>
        </w:rPr>
        <w:t>The Journal of International Advanced Otology</w:t>
      </w:r>
      <w:r>
        <w:rPr>
          <w:rFonts w:ascii="Arial" w:hAnsi="Arial" w:cs="Arial"/>
        </w:rPr>
        <w:t>, </w:t>
      </w:r>
      <w:r>
        <w:rPr>
          <w:rFonts w:ascii="Arial" w:hAnsi="Arial" w:cs="Arial"/>
          <w:i/>
          <w:iCs/>
        </w:rPr>
        <w:t>18</w:t>
      </w:r>
      <w:r>
        <w:rPr>
          <w:rFonts w:ascii="Arial" w:hAnsi="Arial" w:cs="Arial"/>
        </w:rPr>
        <w:t>(5), p.399.</w:t>
      </w:r>
    </w:p>
    <w:p w14:paraId="6E683095">
      <w:pPr>
        <w:spacing w:line="360" w:lineRule="auto"/>
        <w:jc w:val="both"/>
        <w:rPr>
          <w:rFonts w:ascii="Arial" w:hAnsi="Arial" w:cs="Arial"/>
        </w:rPr>
      </w:pPr>
      <w:bookmarkStart w:id="0" w:name="_Hlk183363435"/>
      <w:r>
        <w:rPr>
          <w:rFonts w:ascii="Arial" w:hAnsi="Arial" w:cs="Arial"/>
        </w:rPr>
        <w:t>Lieu, J.E., Kenna, M., Anne, S. and Davidson, L., (2020). Hearing loss in children: a review. </w:t>
      </w:r>
      <w:r>
        <w:rPr>
          <w:rFonts w:ascii="Arial" w:hAnsi="Arial" w:cs="Arial"/>
          <w:i/>
          <w:iCs/>
        </w:rPr>
        <w:t>Jama</w:t>
      </w:r>
      <w:r>
        <w:rPr>
          <w:rFonts w:ascii="Arial" w:hAnsi="Arial" w:cs="Arial"/>
        </w:rPr>
        <w:t>, </w:t>
      </w:r>
      <w:r>
        <w:rPr>
          <w:rFonts w:ascii="Arial" w:hAnsi="Arial" w:cs="Arial"/>
          <w:i/>
          <w:iCs/>
        </w:rPr>
        <w:t>324</w:t>
      </w:r>
      <w:r>
        <w:rPr>
          <w:rFonts w:ascii="Arial" w:hAnsi="Arial" w:cs="Arial"/>
        </w:rPr>
        <w:t>(21), pp.2195-2205.</w:t>
      </w:r>
    </w:p>
    <w:bookmarkEnd w:id="0"/>
    <w:p w14:paraId="739EF3E7">
      <w:pPr>
        <w:spacing w:line="360" w:lineRule="auto"/>
        <w:jc w:val="both"/>
        <w:rPr>
          <w:rFonts w:ascii="Arial" w:hAnsi="Arial" w:cs="Arial"/>
        </w:rPr>
      </w:pPr>
      <w:r>
        <w:rPr>
          <w:rFonts w:ascii="Arial" w:hAnsi="Arial" w:cs="Arial"/>
        </w:rPr>
        <w:t>Mehraeen, E., SeyedAlinaghi, S., Pashaei, Z., Mirzapour, P., Barzegary, A., Vahedi, F., Qaderi, K., TANTUOYIR, M., Nazeri, Z., Karimi, A. and Mehrtak, M., (2022). Mobile applications in HIV self-management: a systematic review of scientific literature. </w:t>
      </w:r>
      <w:r>
        <w:rPr>
          <w:rFonts w:ascii="Arial" w:hAnsi="Arial" w:cs="Arial"/>
          <w:i/>
          <w:iCs/>
        </w:rPr>
        <w:t>AIDS Rev</w:t>
      </w:r>
      <w:r>
        <w:rPr>
          <w:rFonts w:ascii="Arial" w:hAnsi="Arial" w:cs="Arial"/>
        </w:rPr>
        <w:t>, </w:t>
      </w:r>
      <w:r>
        <w:rPr>
          <w:rFonts w:ascii="Arial" w:hAnsi="Arial" w:cs="Arial"/>
          <w:i/>
          <w:iCs/>
        </w:rPr>
        <w:t>24</w:t>
      </w:r>
      <w:r>
        <w:rPr>
          <w:rFonts w:ascii="Arial" w:hAnsi="Arial" w:cs="Arial"/>
        </w:rPr>
        <w:t>(1), pp.24-31.</w:t>
      </w:r>
    </w:p>
    <w:p w14:paraId="41CD917B">
      <w:pPr>
        <w:spacing w:line="360" w:lineRule="auto"/>
        <w:jc w:val="both"/>
        <w:rPr>
          <w:rFonts w:ascii="Arial" w:hAnsi="Arial" w:cs="Arial"/>
        </w:rPr>
      </w:pPr>
      <w:r>
        <w:rPr>
          <w:rFonts w:ascii="Arial" w:hAnsi="Arial" w:cs="Arial"/>
        </w:rPr>
        <w:t>Mumtaz, H., Riaz, M.H., Wajid, H., Saqib, M., Zeeshan, M.H., Khan, S.E., Chauhan, Y.R., Sohail, H. and Vohra, L.I., (2023). Current challenges and potential solutions to the use of digital health technologies in evidence generation: a narrative review. </w:t>
      </w:r>
      <w:r>
        <w:rPr>
          <w:rFonts w:ascii="Arial" w:hAnsi="Arial" w:cs="Arial"/>
          <w:i/>
          <w:iCs/>
        </w:rPr>
        <w:t>Frontiers in Digital Health</w:t>
      </w:r>
      <w:r>
        <w:rPr>
          <w:rFonts w:ascii="Arial" w:hAnsi="Arial" w:cs="Arial"/>
        </w:rPr>
        <w:t>, </w:t>
      </w:r>
      <w:r>
        <w:rPr>
          <w:rFonts w:ascii="Arial" w:hAnsi="Arial" w:cs="Arial"/>
          <w:i/>
          <w:iCs/>
        </w:rPr>
        <w:t>5</w:t>
      </w:r>
      <w:r>
        <w:rPr>
          <w:rFonts w:ascii="Arial" w:hAnsi="Arial" w:cs="Arial"/>
        </w:rPr>
        <w:t>, p.1203945.</w:t>
      </w:r>
    </w:p>
    <w:p w14:paraId="308F8719">
      <w:pPr>
        <w:spacing w:line="360" w:lineRule="auto"/>
        <w:jc w:val="both"/>
        <w:rPr>
          <w:rFonts w:ascii="Arial" w:hAnsi="Arial" w:cs="Arial"/>
        </w:rPr>
      </w:pPr>
      <w:r>
        <w:rPr>
          <w:rFonts w:ascii="Arial" w:hAnsi="Arial" w:cs="Arial"/>
        </w:rPr>
        <w:t>Nguyen, W., Koo, M., Lee, J.H., Oh, S.H. and Park, M.K., (2022). Electroacoustic evaluation of smartphone-based hearing aid applications. </w:t>
      </w:r>
      <w:r>
        <w:rPr>
          <w:rFonts w:ascii="Arial" w:hAnsi="Arial" w:cs="Arial"/>
          <w:i/>
          <w:iCs/>
        </w:rPr>
        <w:t>Clinical and Experimental Otorhinolaryngology</w:t>
      </w:r>
      <w:r>
        <w:rPr>
          <w:rFonts w:ascii="Arial" w:hAnsi="Arial" w:cs="Arial"/>
        </w:rPr>
        <w:t>, </w:t>
      </w:r>
      <w:r>
        <w:rPr>
          <w:rFonts w:ascii="Arial" w:hAnsi="Arial" w:cs="Arial"/>
          <w:i/>
          <w:iCs/>
        </w:rPr>
        <w:t>15</w:t>
      </w:r>
      <w:r>
        <w:rPr>
          <w:rFonts w:ascii="Arial" w:hAnsi="Arial" w:cs="Arial"/>
        </w:rPr>
        <w:t>(2), pp.135-143.</w:t>
      </w:r>
    </w:p>
    <w:p w14:paraId="37802F84">
      <w:pPr>
        <w:spacing w:line="360" w:lineRule="auto"/>
        <w:jc w:val="both"/>
        <w:rPr>
          <w:rFonts w:ascii="Arial" w:hAnsi="Arial" w:cs="Arial"/>
        </w:rPr>
      </w:pPr>
    </w:p>
    <w:p w14:paraId="1640960A">
      <w:pPr>
        <w:spacing w:line="360" w:lineRule="auto"/>
        <w:jc w:val="both"/>
        <w:rPr>
          <w:rFonts w:ascii="Arial" w:hAnsi="Arial" w:cs="Arial"/>
        </w:rPr>
      </w:pPr>
    </w:p>
    <w:p w14:paraId="1F52ED69">
      <w:pPr>
        <w:spacing w:line="360" w:lineRule="auto"/>
        <w:jc w:val="both"/>
        <w:rPr>
          <w:rFonts w:ascii="Arial" w:hAnsi="Arial" w:cs="Arial"/>
        </w:rPr>
      </w:pPr>
    </w:p>
    <w:p w14:paraId="543868B4">
      <w:pPr>
        <w:spacing w:line="360" w:lineRule="auto"/>
        <w:jc w:val="both"/>
        <w:rPr>
          <w:rFonts w:ascii="Arial" w:hAnsi="Arial" w:cs="Arial"/>
        </w:rPr>
      </w:pPr>
    </w:p>
    <w:p w14:paraId="41B4184B">
      <w:pPr>
        <w:spacing w:line="360" w:lineRule="auto"/>
        <w:jc w:val="both"/>
        <w:rPr>
          <w:rFonts w:ascii="Arial" w:hAnsi="Arial" w:cs="Arial"/>
        </w:rPr>
      </w:pPr>
    </w:p>
    <w:p w14:paraId="77D56DA1">
      <w:pPr>
        <w:spacing w:line="360" w:lineRule="auto"/>
        <w:jc w:val="both"/>
        <w:rPr>
          <w:rFonts w:ascii="Arial" w:hAnsi="Arial" w:cs="Arial"/>
        </w:rPr>
      </w:pPr>
    </w:p>
    <w:p w14:paraId="75BA49AF">
      <w:pPr>
        <w:spacing w:line="360" w:lineRule="auto"/>
        <w:jc w:val="both"/>
        <w:rPr>
          <w:rFonts w:ascii="Arial" w:hAnsi="Arial" w:cs="Arial"/>
        </w:rPr>
      </w:pPr>
    </w:p>
    <w:p w14:paraId="3573B339">
      <w:pPr>
        <w:spacing w:line="360" w:lineRule="auto"/>
        <w:jc w:val="both"/>
        <w:rPr>
          <w:rFonts w:ascii="Arial" w:hAnsi="Arial" w:cs="Arial"/>
        </w:rPr>
      </w:pPr>
    </w:p>
    <w:p w14:paraId="0A767CCF">
      <w:pPr>
        <w:spacing w:line="360" w:lineRule="auto"/>
        <w:jc w:val="both"/>
        <w:rPr>
          <w:rFonts w:ascii="Arial" w:hAnsi="Arial" w:cs="Arial"/>
        </w:rPr>
      </w:pPr>
    </w:p>
    <w:p w14:paraId="2B705815">
      <w:pPr>
        <w:spacing w:line="360" w:lineRule="auto"/>
        <w:jc w:val="both"/>
        <w:rPr>
          <w:rFonts w:ascii="Arial" w:hAnsi="Arial" w:cs="Arial"/>
        </w:rPr>
      </w:pPr>
    </w:p>
    <w:p w14:paraId="01B6A223">
      <w:pPr>
        <w:spacing w:line="360" w:lineRule="auto"/>
        <w:jc w:val="both"/>
        <w:rPr>
          <w:rFonts w:ascii="Arial" w:hAnsi="Arial" w:cs="Arial"/>
        </w:rPr>
      </w:pPr>
    </w:p>
    <w:p w14:paraId="237C2865">
      <w:pPr>
        <w:spacing w:line="360" w:lineRule="auto"/>
        <w:jc w:val="both"/>
        <w:rPr>
          <w:rFonts w:ascii="Arial" w:hAnsi="Arial" w:cs="Arial"/>
        </w:rPr>
      </w:pPr>
    </w:p>
    <w:p w14:paraId="775E621B">
      <w:pPr>
        <w:spacing w:line="360" w:lineRule="auto"/>
        <w:jc w:val="both"/>
        <w:rPr>
          <w:rFonts w:ascii="Arial" w:hAnsi="Arial" w:cs="Arial"/>
        </w:rPr>
      </w:pPr>
    </w:p>
    <w:p w14:paraId="7A4577D2">
      <w:pPr>
        <w:spacing w:line="360" w:lineRule="auto"/>
        <w:jc w:val="both"/>
        <w:rPr>
          <w:rFonts w:ascii="Arial" w:hAnsi="Arial" w:cs="Arial"/>
        </w:rPr>
      </w:pPr>
    </w:p>
    <w:p w14:paraId="25E18181">
      <w:pPr>
        <w:spacing w:line="360" w:lineRule="auto"/>
        <w:jc w:val="both"/>
        <w:rPr>
          <w:rFonts w:ascii="Arial" w:hAnsi="Arial" w:cs="Arial"/>
        </w:rPr>
      </w:pPr>
    </w:p>
    <w:p w14:paraId="35CCAC01">
      <w:pPr>
        <w:spacing w:line="360" w:lineRule="auto"/>
        <w:jc w:val="both"/>
        <w:rPr>
          <w:rFonts w:ascii="Arial" w:hAnsi="Arial" w:cs="Arial"/>
        </w:rPr>
      </w:pPr>
    </w:p>
    <w:p w14:paraId="072F6314">
      <w:pPr>
        <w:spacing w:line="360" w:lineRule="auto"/>
        <w:jc w:val="both"/>
        <w:rPr>
          <w:rFonts w:ascii="Arial" w:hAnsi="Arial" w:cs="Arial"/>
        </w:rPr>
      </w:pPr>
    </w:p>
    <w:p w14:paraId="41A30F0D">
      <w:pPr>
        <w:spacing w:line="360" w:lineRule="auto"/>
        <w:jc w:val="both"/>
        <w:rPr>
          <w:rFonts w:ascii="Arial" w:hAnsi="Arial" w:cs="Arial"/>
          <w:b/>
          <w:bCs/>
        </w:rPr>
      </w:pPr>
      <w:r>
        <w:rPr>
          <w:rFonts w:ascii="Arial" w:hAnsi="Arial" w:cs="Arial"/>
          <w:b/>
          <w:bCs/>
        </w:rPr>
        <w:t xml:space="preserve">Posture: </w:t>
      </w:r>
    </w:p>
    <w:p w14:paraId="3C19C911">
      <w:pPr>
        <w:spacing w:line="360" w:lineRule="auto"/>
        <w:jc w:val="both"/>
        <w:rPr>
          <w:rFonts w:ascii="Arial" w:hAnsi="Arial" w:cs="Arial"/>
        </w:rPr>
      </w:pPr>
      <w:r>
        <w:drawing>
          <wp:inline distT="0" distB="0" distL="0" distR="0">
            <wp:extent cx="5731510" cy="8279130"/>
            <wp:effectExtent l="0" t="0" r="2540" b="7620"/>
            <wp:docPr id="21279172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17243" name="Graphic 1"/>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8279130"/>
                    </a:xfrm>
                    <a:prstGeom prst="rect">
                      <a:avLst/>
                    </a:prstGeom>
                  </pic:spPr>
                </pic:pic>
              </a:graphicData>
            </a:graphic>
          </wp:inline>
        </w:drawing>
      </w:r>
    </w:p>
    <w:sectPr>
      <w:pgSz w:w="11906" w:h="16838"/>
      <w:pgMar w:top="1440" w:right="1440" w:bottom="1440" w:left="1440" w:header="708" w:footer="708" w:gutter="0"/>
      <w:pgBorders w:offsetFrom="page">
        <w:top w:val="thinThickMediumGap" w:color="275317" w:themeColor="accent6" w:themeShade="80" w:sz="24" w:space="24"/>
        <w:left w:val="thinThickMediumGap" w:color="275317" w:themeColor="accent6" w:themeShade="80" w:sz="24" w:space="24"/>
        <w:bottom w:val="thickThinMediumGap" w:color="275317" w:themeColor="accent6" w:themeShade="80" w:sz="24" w:space="24"/>
        <w:right w:val="thickThinMediumGap" w:color="275317" w:themeColor="accent6" w:themeShade="80" w:sz="24" w:space="24"/>
      </w:pgBorders>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imSun"/>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lgerian">
    <w:panose1 w:val="04020705040A02060702"/>
    <w:charset w:val="00"/>
    <w:family w:val="decorative"/>
    <w:pitch w:val="default"/>
    <w:sig w:usb0="00000003" w:usb1="00000000" w:usb2="00000000" w:usb3="00000000" w:csb0="20000001" w:csb1="00000000"/>
  </w:font>
  <w:font w:name="Amasis MT Pro Black">
    <w:altName w:val="Segoe Print"/>
    <w:panose1 w:val="00000000000000000000"/>
    <w:charset w:val="00"/>
    <w:family w:val="roman"/>
    <w:pitch w:val="default"/>
    <w:sig w:usb0="00000000" w:usb1="00000000" w:usb2="00000000" w:usb3="00000000" w:csb0="00000093" w:csb1="00000000"/>
  </w:font>
  <w:font w:name="Symbol">
    <w:panose1 w:val="05050102010706020507"/>
    <w:charset w:val="02"/>
    <w:family w:val="roman"/>
    <w:pitch w:val="default"/>
    <w:sig w:usb0="00000000" w:usb1="00000000" w:usb2="00000000" w:usb3="00000000" w:csb0="80000000" w:csb1="00000000"/>
  </w:font>
  <w:font w:name="Cooper Black">
    <w:panose1 w:val="0208090404030B020404"/>
    <w:charset w:val="00"/>
    <w:family w:val="roman"/>
    <w:pitch w:val="default"/>
    <w:sig w:usb0="00000003"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D32298"/>
    <w:multiLevelType w:val="multilevel"/>
    <w:tmpl w:val="09D322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26851A4"/>
    <w:multiLevelType w:val="multilevel"/>
    <w:tmpl w:val="126851A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12B30161"/>
    <w:multiLevelType w:val="multilevel"/>
    <w:tmpl w:val="12B3016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C4D6839"/>
    <w:multiLevelType w:val="multilevel"/>
    <w:tmpl w:val="1C4D683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28992252"/>
    <w:multiLevelType w:val="multilevel"/>
    <w:tmpl w:val="289922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4FB34777"/>
    <w:multiLevelType w:val="multilevel"/>
    <w:tmpl w:val="4FB3477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583A718E"/>
    <w:multiLevelType w:val="multilevel"/>
    <w:tmpl w:val="583A718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668959FE"/>
    <w:multiLevelType w:val="multilevel"/>
    <w:tmpl w:val="668959F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4"/>
  </w:num>
  <w:num w:numId="2">
    <w:abstractNumId w:val="0"/>
  </w:num>
  <w:num w:numId="3">
    <w:abstractNumId w:val="1"/>
  </w:num>
  <w:num w:numId="4">
    <w:abstractNumId w:val="6"/>
  </w:num>
  <w:num w:numId="5">
    <w:abstractNumId w:val="5"/>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130"/>
    <w:rsid w:val="000A3E38"/>
    <w:rsid w:val="000C17C8"/>
    <w:rsid w:val="00132F22"/>
    <w:rsid w:val="00155F81"/>
    <w:rsid w:val="001A0804"/>
    <w:rsid w:val="001A7727"/>
    <w:rsid w:val="001C0871"/>
    <w:rsid w:val="001C102A"/>
    <w:rsid w:val="001C3F00"/>
    <w:rsid w:val="0020153D"/>
    <w:rsid w:val="00204941"/>
    <w:rsid w:val="00256FB3"/>
    <w:rsid w:val="00297DE6"/>
    <w:rsid w:val="002B0984"/>
    <w:rsid w:val="002B4130"/>
    <w:rsid w:val="002E6DBD"/>
    <w:rsid w:val="003265CE"/>
    <w:rsid w:val="00365763"/>
    <w:rsid w:val="00446B17"/>
    <w:rsid w:val="00450FC1"/>
    <w:rsid w:val="00451285"/>
    <w:rsid w:val="00481F07"/>
    <w:rsid w:val="00483D00"/>
    <w:rsid w:val="0049138F"/>
    <w:rsid w:val="004B7F0E"/>
    <w:rsid w:val="005313EA"/>
    <w:rsid w:val="005A4F22"/>
    <w:rsid w:val="005B3501"/>
    <w:rsid w:val="005C7DC7"/>
    <w:rsid w:val="0061102E"/>
    <w:rsid w:val="00650225"/>
    <w:rsid w:val="006B3CC5"/>
    <w:rsid w:val="006F068B"/>
    <w:rsid w:val="008A1380"/>
    <w:rsid w:val="008A55B1"/>
    <w:rsid w:val="009336B3"/>
    <w:rsid w:val="009436C5"/>
    <w:rsid w:val="009C628F"/>
    <w:rsid w:val="00A72D5C"/>
    <w:rsid w:val="00B55576"/>
    <w:rsid w:val="00B8160B"/>
    <w:rsid w:val="00B8384C"/>
    <w:rsid w:val="00B91796"/>
    <w:rsid w:val="00BE47F3"/>
    <w:rsid w:val="00BE7232"/>
    <w:rsid w:val="00C135C4"/>
    <w:rsid w:val="00C87EA6"/>
    <w:rsid w:val="00C95599"/>
    <w:rsid w:val="00CB2267"/>
    <w:rsid w:val="00CC040F"/>
    <w:rsid w:val="00CD4298"/>
    <w:rsid w:val="00CF2049"/>
    <w:rsid w:val="00CF3B05"/>
    <w:rsid w:val="00D02ABA"/>
    <w:rsid w:val="00D146F8"/>
    <w:rsid w:val="00D4530B"/>
    <w:rsid w:val="00DD060F"/>
    <w:rsid w:val="00E1229D"/>
    <w:rsid w:val="00E12ECB"/>
    <w:rsid w:val="00E215D5"/>
    <w:rsid w:val="00EC73BE"/>
    <w:rsid w:val="00ED1FDC"/>
    <w:rsid w:val="00F83301"/>
    <w:rsid w:val="00F9515B"/>
    <w:rsid w:val="00FB23F6"/>
    <w:rsid w:val="21F85703"/>
    <w:rsid w:val="4919520E"/>
    <w:rsid w:val="495E3939"/>
    <w:rsid w:val="533308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1"/>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Hyperlink"/>
    <w:basedOn w:val="11"/>
    <w:unhideWhenUsed/>
    <w:qFormat/>
    <w:uiPriority w:val="99"/>
    <w:rPr>
      <w:color w:val="467886" w:themeColor="hyperlink"/>
      <w:u w:val="single"/>
      <w14:textFill>
        <w14:solidFill>
          <w14:schemeClr w14:val="hlink"/>
        </w14:solidFill>
      </w14:textFill>
    </w:rPr>
  </w:style>
  <w:style w:type="paragraph" w:styleId="14">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15">
    <w:name w:val="Strong"/>
    <w:basedOn w:val="11"/>
    <w:qFormat/>
    <w:uiPriority w:val="22"/>
    <w:rPr>
      <w:b/>
      <w:bCs/>
    </w:rPr>
  </w:style>
  <w:style w:type="paragraph" w:styleId="16">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8">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9">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20">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1">
    <w:name w:val="Heading 4 Char"/>
    <w:basedOn w:val="11"/>
    <w:link w:val="5"/>
    <w:uiPriority w:val="9"/>
    <w:rPr>
      <w:rFonts w:eastAsiaTheme="majorEastAsia" w:cstheme="majorBidi"/>
      <w:i/>
      <w:iCs/>
      <w:color w:val="104862" w:themeColor="accent1" w:themeShade="BF"/>
    </w:rPr>
  </w:style>
  <w:style w:type="character" w:customStyle="1" w:styleId="22">
    <w:name w:val="Heading 5 Char"/>
    <w:basedOn w:val="11"/>
    <w:link w:val="6"/>
    <w:semiHidden/>
    <w:qFormat/>
    <w:uiPriority w:val="9"/>
    <w:rPr>
      <w:rFonts w:eastAsiaTheme="majorEastAsia" w:cstheme="majorBidi"/>
      <w:color w:val="104862" w:themeColor="accent1" w:themeShade="BF"/>
    </w:rPr>
  </w:style>
  <w:style w:type="character" w:customStyle="1" w:styleId="23">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itle Char"/>
    <w:basedOn w:val="11"/>
    <w:link w:val="17"/>
    <w:qFormat/>
    <w:uiPriority w:val="10"/>
    <w:rPr>
      <w:rFonts w:asciiTheme="majorHAnsi" w:hAnsiTheme="majorHAnsi" w:eastAsiaTheme="majorEastAsia" w:cstheme="majorBidi"/>
      <w:spacing w:val="-10"/>
      <w:kern w:val="28"/>
      <w:sz w:val="56"/>
      <w:szCs w:val="56"/>
    </w:rPr>
  </w:style>
  <w:style w:type="character" w:customStyle="1" w:styleId="28">
    <w:name w:val="Subtitle Ch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Quote Char"/>
    <w:basedOn w:val="11"/>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4">
    <w:name w:val="Intense Quote Char"/>
    <w:basedOn w:val="11"/>
    <w:link w:val="33"/>
    <w:qFormat/>
    <w:uiPriority w:val="30"/>
    <w:rPr>
      <w:i/>
      <w:iCs/>
      <w:color w:val="104862" w:themeColor="accent1" w:themeShade="BF"/>
    </w:rPr>
  </w:style>
  <w:style w:type="character" w:customStyle="1" w:styleId="35">
    <w:name w:val="Intense Reference"/>
    <w:basedOn w:val="11"/>
    <w:qFormat/>
    <w:uiPriority w:val="32"/>
    <w:rPr>
      <w:b/>
      <w:bCs/>
      <w:smallCaps/>
      <w:color w:val="104862" w:themeColor="accent1" w:themeShade="BF"/>
      <w:spacing w:val="5"/>
    </w:rPr>
  </w:style>
  <w:style w:type="character" w:customStyle="1" w:styleId="36">
    <w:name w:val="Unresolved Mention"/>
    <w:basedOn w:val="11"/>
    <w:semiHidden/>
    <w:unhideWhenUsed/>
    <w:qFormat/>
    <w:uiPriority w:val="99"/>
    <w:rPr>
      <w:color w:val="605E5C"/>
      <w:shd w:val="clear" w:color="auto" w:fill="E1DFDD"/>
    </w:rPr>
  </w:style>
  <w:style w:type="paragraph" w:styleId="37">
    <w:name w:val="No Spacing"/>
    <w:link w:val="38"/>
    <w:qFormat/>
    <w:uiPriority w:val="1"/>
    <w:pPr>
      <w:spacing w:after="0" w:line="240" w:lineRule="auto"/>
    </w:pPr>
    <w:rPr>
      <w:rFonts w:asciiTheme="minorHAnsi" w:hAnsiTheme="minorHAnsi" w:eastAsiaTheme="minorEastAsia" w:cstheme="minorBidi"/>
      <w:kern w:val="0"/>
      <w:sz w:val="22"/>
      <w:szCs w:val="22"/>
      <w:lang w:val="en-GB" w:eastAsia="en-GB" w:bidi="ar-SA"/>
      <w14:ligatures w14:val="none"/>
    </w:rPr>
  </w:style>
  <w:style w:type="character" w:customStyle="1" w:styleId="38">
    <w:name w:val="No Spacing Char"/>
    <w:basedOn w:val="11"/>
    <w:link w:val="37"/>
    <w:uiPriority w:val="1"/>
    <w:rPr>
      <w:rFonts w:eastAsiaTheme="minorEastAsia"/>
      <w:kern w:val="0"/>
      <w:sz w:val="22"/>
      <w:szCs w:val="22"/>
      <w:lang w:eastAsia="en-GB"/>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sv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43CEFBE8EC24ECC99FDD04DC021F47F"/>
        <w:style w:val=""/>
        <w:category>
          <w:name w:val="General"/>
          <w:gallery w:val="placeholder"/>
        </w:category>
        <w:types>
          <w:type w:val="bbPlcHdr"/>
        </w:types>
        <w:behaviors>
          <w:behavior w:val="content"/>
        </w:behaviors>
        <w:description w:val=""/>
        <w:guid w:val="{6C42ACC9-400E-4116-9C83-2CB7740C7DDB}"/>
      </w:docPartPr>
      <w:docPartBody>
        <w:p w14:paraId="56FF61CF">
          <w:pPr>
            <w:pStyle w:val="4"/>
          </w:pPr>
          <w:r>
            <w:rPr>
              <w:color w:val="104862" w:themeColor="accent1" w:themeShade="BF"/>
            </w:rPr>
            <w:t>[Document subtitle]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7D8"/>
    <w:rsid w:val="001A7727"/>
    <w:rsid w:val="004D62D5"/>
    <w:rsid w:val="005017D8"/>
    <w:rsid w:val="005D043E"/>
    <w:rsid w:val="00DD060F"/>
    <w:rsid w:val="00FB78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en-GB"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843CEFBE8EC24ECC99FDD04DC021F47F"/>
    <w:qFormat/>
    <w:uiPriority w:val="0"/>
    <w:pPr>
      <w:spacing w:after="160" w:line="278" w:lineRule="auto"/>
    </w:pPr>
    <w:rPr>
      <w:rFonts w:asciiTheme="minorHAnsi" w:hAnsiTheme="minorHAnsi" w:eastAsiaTheme="minorEastAsia" w:cstheme="minorBidi"/>
      <w:kern w:val="2"/>
      <w:sz w:val="24"/>
      <w:szCs w:val="24"/>
      <w:lang w:val="en-GB" w:eastAsia="en-GB"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1095</Words>
  <Characters>6813</Characters>
  <Lines>181</Lines>
  <Paragraphs>70</Paragraphs>
  <TotalTime>0</TotalTime>
  <ScaleCrop>false</ScaleCrop>
  <LinksUpToDate>false</LinksUpToDate>
  <CharactersWithSpaces>7873</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2024-11-20T17:29:00Z</dcterms:created>
  <dc:creator>Asus</dc:creator>
  <cp:lastModifiedBy>Asus</cp:lastModifiedBy>
  <dcterms:modified xsi:type="dcterms:W3CDTF">2024-11-25T09:02:50Z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57ef638c6497f653abbc32cff00dd9feb47d7872a356f8bfa47f2e870b9a97c0</vt:lpwstr>
  </property>
  <property fmtid="{D5CDD505-2E9C-101B-9397-08002B2CF9AE}" pid="3" name="KSOProductBuildVer">
    <vt:lpwstr>1033-12.2.0.18911</vt:lpwstr>
  </property>
  <property fmtid="{D5CDD505-2E9C-101B-9397-08002B2CF9AE}" pid="4" name="ICV">
    <vt:lpwstr>EEB43D15BE084465853CCB6BD9EC50AF_12</vt:lpwstr>
  </property>
</Properties>
</file>