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F069D85">
      <w:pPr>
        <w:jc w:val="center"/>
        <w:rPr>
          <w:rFonts w:hint="default" w:ascii="Arial" w:hAnsi="Arial" w:cs="Arial"/>
        </w:rPr>
      </w:pPr>
      <w:bookmarkStart w:id="0" w:name="_Hlk209971669"/>
      <w:bookmarkEnd w:id="0"/>
    </w:p>
    <w:p w14:paraId="1ABC18AF">
      <w:pPr>
        <w:jc w:val="center"/>
        <w:rPr>
          <w:rFonts w:hint="default" w:ascii="Arial" w:hAnsi="Arial" w:cs="Arial"/>
        </w:rPr>
      </w:pPr>
    </w:p>
    <w:p w14:paraId="368AF0F3">
      <w:pPr>
        <w:jc w:val="center"/>
        <w:rPr>
          <w:rFonts w:hint="default" w:ascii="Arial" w:hAnsi="Arial" w:cs="Arial"/>
          <w:b/>
          <w:sz w:val="40"/>
          <w:szCs w:val="40"/>
        </w:rPr>
      </w:pPr>
      <w:r>
        <w:rPr>
          <w:rFonts w:hint="default" w:ascii="Arial" w:hAnsi="Arial" w:cs="Arial"/>
          <w:b/>
          <w:sz w:val="40"/>
          <w:szCs w:val="40"/>
        </w:rPr>
        <w:drawing>
          <wp:inline distT="0" distB="0" distL="114300" distR="114300">
            <wp:extent cx="2912110" cy="1056005"/>
            <wp:effectExtent l="0" t="0" r="2540" b="0"/>
            <wp:docPr id="1" name="Picture 1" descr="UWTSD-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Logo1"/>
                    <pic:cNvPicPr>
                      <a:picLocks noChangeAspect="1"/>
                    </pic:cNvPicPr>
                  </pic:nvPicPr>
                  <pic:blipFill>
                    <a:blip r:embed="rId6"/>
                    <a:stretch>
                      <a:fillRect/>
                    </a:stretch>
                  </pic:blipFill>
                  <pic:spPr>
                    <a:xfrm>
                      <a:off x="0" y="0"/>
                      <a:ext cx="2929547" cy="1062713"/>
                    </a:xfrm>
                    <a:prstGeom prst="rect">
                      <a:avLst/>
                    </a:prstGeom>
                  </pic:spPr>
                </pic:pic>
              </a:graphicData>
            </a:graphic>
          </wp:inline>
        </w:drawing>
      </w:r>
    </w:p>
    <w:p w14:paraId="0B4A5EFD">
      <w:pPr>
        <w:jc w:val="center"/>
        <w:rPr>
          <w:rFonts w:hint="default" w:ascii="Arial" w:hAnsi="Arial" w:cs="Arial"/>
          <w:b/>
          <w:sz w:val="40"/>
          <w:szCs w:val="40"/>
        </w:rPr>
      </w:pPr>
    </w:p>
    <w:p w14:paraId="6B2B139E">
      <w:pPr>
        <w:jc w:val="center"/>
        <w:rPr>
          <w:rFonts w:hint="default" w:ascii="Arial" w:hAnsi="Arial" w:cs="Arial"/>
          <w:b/>
          <w:sz w:val="42"/>
          <w:szCs w:val="42"/>
        </w:rPr>
      </w:pPr>
      <w:r>
        <w:rPr>
          <w:rFonts w:hint="default" w:ascii="Arial" w:hAnsi="Arial" w:cs="Arial"/>
          <w:b/>
          <w:bCs/>
          <w:sz w:val="42"/>
          <w:szCs w:val="42"/>
        </w:rPr>
        <w:t>Exploratory Data Analysis – Report and Demonstration Video</w:t>
      </w:r>
    </w:p>
    <w:p w14:paraId="6E9C798D">
      <w:pPr>
        <w:jc w:val="center"/>
        <w:rPr>
          <w:rFonts w:hint="default" w:ascii="Arial" w:hAnsi="Arial" w:cs="Arial"/>
          <w:b/>
          <w:sz w:val="42"/>
          <w:szCs w:val="42"/>
        </w:rPr>
      </w:pPr>
    </w:p>
    <w:p w14:paraId="281B5914">
      <w:pPr>
        <w:jc w:val="center"/>
        <w:rPr>
          <w:rFonts w:hint="default" w:ascii="Arial" w:hAnsi="Arial" w:cs="Arial"/>
          <w:b/>
          <w:sz w:val="42"/>
          <w:szCs w:val="42"/>
        </w:rPr>
      </w:pPr>
    </w:p>
    <w:p w14:paraId="3C350D10">
      <w:pPr>
        <w:spacing w:after="0"/>
        <w:jc w:val="center"/>
        <w:rPr>
          <w:rFonts w:hint="default" w:ascii="Arial" w:hAnsi="Arial" w:cs="Arial"/>
          <w:b/>
          <w:sz w:val="32"/>
          <w:szCs w:val="32"/>
        </w:rPr>
      </w:pPr>
      <w:r>
        <w:rPr>
          <w:rFonts w:hint="default" w:ascii="Arial" w:hAnsi="Arial" w:cs="Arial"/>
          <w:b/>
          <w:sz w:val="32"/>
          <w:szCs w:val="32"/>
        </w:rPr>
        <w:t>Program:</w:t>
      </w:r>
      <w:r>
        <w:rPr>
          <w:rFonts w:hint="default" w:ascii="Arial" w:hAnsi="Arial" w:cs="Arial"/>
          <w:b/>
          <w:sz w:val="32"/>
          <w:szCs w:val="32"/>
          <w:lang w:val="en-US"/>
        </w:rPr>
        <w:t xml:space="preserve"> </w:t>
      </w:r>
      <w:r>
        <w:rPr>
          <w:rFonts w:hint="default" w:ascii="Arial" w:hAnsi="Arial" w:cs="Arial"/>
          <w:b/>
          <w:sz w:val="32"/>
          <w:szCs w:val="32"/>
        </w:rPr>
        <w:t xml:space="preserve">MSc </w:t>
      </w:r>
      <w:r>
        <w:rPr>
          <w:rFonts w:hint="default" w:ascii="Arial" w:hAnsi="Arial" w:cs="Arial"/>
          <w:b/>
          <w:sz w:val="32"/>
          <w:szCs w:val="32"/>
          <w:lang w:val="en-US"/>
        </w:rPr>
        <w:t>Data</w:t>
      </w:r>
      <w:r>
        <w:rPr>
          <w:rFonts w:hint="default" w:ascii="Arial" w:hAnsi="Arial" w:cs="Arial"/>
          <w:b/>
          <w:sz w:val="32"/>
          <w:szCs w:val="32"/>
        </w:rPr>
        <w:t xml:space="preserve"> and A</w:t>
      </w:r>
      <w:r>
        <w:rPr>
          <w:rFonts w:hint="default" w:ascii="Arial" w:hAnsi="Arial" w:cs="Arial"/>
          <w:b/>
          <w:sz w:val="32"/>
          <w:szCs w:val="32"/>
          <w:lang w:val="en-US"/>
        </w:rPr>
        <w:t>I</w:t>
      </w:r>
    </w:p>
    <w:p w14:paraId="5A42EC83">
      <w:pPr>
        <w:spacing w:after="0"/>
        <w:jc w:val="both"/>
        <w:rPr>
          <w:rFonts w:hint="default" w:ascii="Arial" w:hAnsi="Arial" w:cs="Arial"/>
          <w:b/>
          <w:sz w:val="32"/>
          <w:szCs w:val="32"/>
        </w:rPr>
      </w:pPr>
    </w:p>
    <w:p w14:paraId="5478454A">
      <w:pPr>
        <w:spacing w:after="0"/>
        <w:jc w:val="center"/>
        <w:rPr>
          <w:rFonts w:hint="default" w:ascii="Arial" w:hAnsi="Arial" w:cs="Arial"/>
          <w:b/>
          <w:sz w:val="32"/>
          <w:szCs w:val="32"/>
        </w:rPr>
      </w:pPr>
      <w:r>
        <w:rPr>
          <w:rFonts w:hint="default" w:ascii="Arial" w:hAnsi="Arial" w:cs="Arial"/>
          <w:b/>
          <w:sz w:val="32"/>
          <w:szCs w:val="32"/>
        </w:rPr>
        <w:t>Module</w:t>
      </w:r>
      <w:r>
        <w:rPr>
          <w:rFonts w:hint="default" w:ascii="Arial" w:hAnsi="Arial" w:cs="Arial"/>
          <w:b/>
          <w:sz w:val="32"/>
          <w:szCs w:val="32"/>
          <w:lang w:val="en-US"/>
        </w:rPr>
        <w:t xml:space="preserve"> </w:t>
      </w:r>
      <w:r>
        <w:rPr>
          <w:rFonts w:hint="default" w:ascii="Arial" w:hAnsi="Arial" w:cs="Arial"/>
          <w:b/>
          <w:sz w:val="32"/>
          <w:szCs w:val="32"/>
        </w:rPr>
        <w:t>:</w:t>
      </w:r>
      <w:r>
        <w:rPr>
          <w:rFonts w:hint="default" w:ascii="Arial" w:hAnsi="Arial" w:cs="Arial"/>
          <w:b/>
          <w:sz w:val="32"/>
          <w:szCs w:val="32"/>
          <w:lang w:val="en-US"/>
        </w:rPr>
        <w:t xml:space="preserve"> </w:t>
      </w:r>
      <w:r>
        <w:rPr>
          <w:rFonts w:hint="default" w:ascii="Arial" w:hAnsi="Arial" w:cs="Arial"/>
          <w:b/>
          <w:sz w:val="32"/>
          <w:szCs w:val="32"/>
        </w:rPr>
        <w:t>L7 - Data Mining &amp; Visualisation</w:t>
      </w:r>
    </w:p>
    <w:p w14:paraId="250710B6">
      <w:pPr>
        <w:spacing w:after="0"/>
        <w:jc w:val="center"/>
        <w:rPr>
          <w:rFonts w:hint="default" w:ascii="Arial" w:hAnsi="Arial" w:cs="Arial"/>
          <w:b/>
          <w:sz w:val="32"/>
          <w:szCs w:val="32"/>
        </w:rPr>
      </w:pPr>
      <w:r>
        <w:rPr>
          <w:rFonts w:hint="default" w:ascii="Arial" w:hAnsi="Arial" w:cs="Arial"/>
          <w:b/>
          <w:sz w:val="32"/>
          <w:szCs w:val="32"/>
        </w:rPr>
        <w:t>Module code:</w:t>
      </w:r>
      <w:r>
        <w:rPr>
          <w:rFonts w:hint="default" w:ascii="Arial" w:hAnsi="Arial" w:cs="Arial"/>
          <w:b/>
          <w:sz w:val="32"/>
          <w:szCs w:val="32"/>
          <w:lang w:val="en-US"/>
        </w:rPr>
        <w:t xml:space="preserve"> </w:t>
      </w:r>
      <w:r>
        <w:rPr>
          <w:rFonts w:hint="default" w:ascii="Arial" w:hAnsi="Arial" w:cs="Arial"/>
          <w:b/>
          <w:sz w:val="32"/>
          <w:szCs w:val="32"/>
        </w:rPr>
        <w:t>ACCA7015</w:t>
      </w:r>
    </w:p>
    <w:p w14:paraId="6D09D47C">
      <w:pPr>
        <w:spacing w:after="0"/>
        <w:jc w:val="center"/>
        <w:rPr>
          <w:rFonts w:hint="default" w:ascii="Arial" w:hAnsi="Arial" w:cs="Arial"/>
          <w:b/>
          <w:sz w:val="32"/>
          <w:szCs w:val="32"/>
        </w:rPr>
      </w:pPr>
      <w:r>
        <w:rPr>
          <w:rFonts w:hint="default" w:ascii="Arial" w:hAnsi="Arial" w:cs="Arial"/>
          <w:b/>
          <w:sz w:val="32"/>
          <w:szCs w:val="32"/>
        </w:rPr>
        <w:t>Lecturer:</w:t>
      </w:r>
      <w:r>
        <w:rPr>
          <w:rFonts w:hint="default" w:ascii="Arial" w:hAnsi="Arial" w:cs="Arial"/>
          <w:b/>
          <w:sz w:val="32"/>
          <w:szCs w:val="32"/>
          <w:lang w:val="en-US"/>
        </w:rPr>
        <w:t xml:space="preserve"> </w:t>
      </w:r>
      <w:r>
        <w:rPr>
          <w:rFonts w:hint="default" w:ascii="Arial" w:hAnsi="Arial" w:eastAsia="Arial" w:cs="Arial"/>
          <w:b/>
          <w:bCs/>
          <w:color w:val="000000" w:themeColor="text1"/>
          <w:sz w:val="32"/>
          <w:szCs w:val="32"/>
          <w14:textFill>
            <w14:solidFill>
              <w14:schemeClr w14:val="tx1"/>
            </w14:solidFill>
          </w14:textFill>
        </w:rPr>
        <w:t>Dr Serif Salem</w:t>
      </w:r>
    </w:p>
    <w:p w14:paraId="673811A5">
      <w:pPr>
        <w:spacing w:after="0"/>
        <w:jc w:val="both"/>
        <w:rPr>
          <w:rFonts w:hint="default" w:ascii="Arial" w:hAnsi="Arial" w:cs="Arial"/>
          <w:b/>
          <w:sz w:val="32"/>
          <w:szCs w:val="32"/>
        </w:rPr>
      </w:pPr>
    </w:p>
    <w:p w14:paraId="1B18CE04">
      <w:pPr>
        <w:spacing w:after="0"/>
        <w:jc w:val="both"/>
        <w:rPr>
          <w:rFonts w:hint="default" w:ascii="Arial" w:hAnsi="Arial" w:cs="Arial"/>
          <w:b/>
          <w:sz w:val="32"/>
          <w:szCs w:val="32"/>
        </w:rPr>
      </w:pPr>
    </w:p>
    <w:p w14:paraId="33C274C5">
      <w:pPr>
        <w:spacing w:after="0"/>
        <w:jc w:val="center"/>
        <w:rPr>
          <w:rFonts w:hint="default" w:ascii="Arial" w:hAnsi="Arial" w:cs="Arial"/>
          <w:b/>
          <w:sz w:val="32"/>
          <w:szCs w:val="32"/>
        </w:rPr>
      </w:pPr>
      <w:r>
        <w:rPr>
          <w:rFonts w:hint="default" w:ascii="Arial" w:hAnsi="Arial" w:cs="Arial"/>
          <w:b/>
          <w:sz w:val="32"/>
          <w:szCs w:val="32"/>
          <w:lang w:val="en-US"/>
        </w:rPr>
        <w:t>Name : Dharmik Kanaiyalal Vaidya</w:t>
      </w:r>
    </w:p>
    <w:p w14:paraId="46066788">
      <w:pPr>
        <w:spacing w:after="0"/>
        <w:jc w:val="center"/>
        <w:rPr>
          <w:rFonts w:hint="default" w:ascii="Arial" w:hAnsi="Arial" w:cs="Arial"/>
          <w:b/>
          <w:sz w:val="32"/>
          <w:szCs w:val="32"/>
        </w:rPr>
      </w:pPr>
      <w:r>
        <w:rPr>
          <w:rFonts w:hint="default" w:ascii="Arial" w:hAnsi="Arial" w:cs="Arial"/>
          <w:b/>
          <w:sz w:val="32"/>
          <w:szCs w:val="32"/>
          <w:lang w:val="en-US"/>
        </w:rPr>
        <w:t>Student ID : 2433624</w:t>
      </w:r>
    </w:p>
    <w:p w14:paraId="7EBEAE8F">
      <w:pPr>
        <w:spacing w:after="0"/>
        <w:jc w:val="both"/>
        <w:rPr>
          <w:rFonts w:hint="default" w:ascii="Arial" w:hAnsi="Arial" w:cs="Arial"/>
          <w:b/>
          <w:sz w:val="32"/>
          <w:szCs w:val="32"/>
        </w:rPr>
      </w:pPr>
    </w:p>
    <w:p w14:paraId="743BA233">
      <w:pPr>
        <w:spacing w:after="0"/>
        <w:jc w:val="both"/>
        <w:rPr>
          <w:rFonts w:hint="default" w:ascii="Arial" w:hAnsi="Arial" w:cs="Arial"/>
          <w:b/>
          <w:sz w:val="32"/>
          <w:szCs w:val="32"/>
        </w:rPr>
      </w:pPr>
    </w:p>
    <w:p w14:paraId="0490C0D6">
      <w:pPr>
        <w:rPr>
          <w:rFonts w:hint="default" w:ascii="Arial" w:hAnsi="Arial" w:cs="Arial"/>
        </w:rPr>
      </w:pPr>
    </w:p>
    <w:p w14:paraId="52766D18">
      <w:pPr>
        <w:rPr>
          <w:rFonts w:hint="default" w:ascii="Arial" w:hAnsi="Arial" w:cs="Arial"/>
        </w:rPr>
      </w:pPr>
    </w:p>
    <w:p w14:paraId="5DE49482">
      <w:pPr>
        <w:rPr>
          <w:rFonts w:hint="default" w:ascii="Arial" w:hAnsi="Arial" w:cs="Arial"/>
        </w:rPr>
      </w:pPr>
    </w:p>
    <w:p w14:paraId="6D948F6D">
      <w:pPr>
        <w:rPr>
          <w:rFonts w:hint="default" w:ascii="Arial" w:hAnsi="Arial" w:cs="Arial"/>
        </w:rPr>
      </w:pPr>
    </w:p>
    <w:p w14:paraId="33086781">
      <w:pPr>
        <w:rPr>
          <w:rFonts w:hint="default" w:ascii="Arial" w:hAnsi="Arial" w:cs="Arial"/>
        </w:rPr>
      </w:pPr>
    </w:p>
    <w:p w14:paraId="580905D3">
      <w:pPr>
        <w:rPr>
          <w:rFonts w:hint="default" w:ascii="Arial" w:hAnsi="Arial" w:cs="Arial"/>
        </w:rPr>
      </w:pPr>
    </w:p>
    <w:p w14:paraId="06878B97">
      <w:pPr>
        <w:jc w:val="both"/>
        <w:rPr>
          <w:rFonts w:hint="default" w:ascii="Arial" w:hAnsi="Arial"/>
          <w:b w:val="0"/>
          <w:bCs w:val="0"/>
          <w:sz w:val="40"/>
          <w:szCs w:val="40"/>
          <w:lang w:val="en-US"/>
        </w:rPr>
      </w:pPr>
    </w:p>
    <w:p w14:paraId="4CA91FF7">
      <w:pPr>
        <w:rPr>
          <w:rFonts w:hint="default" w:ascii="Arial" w:hAnsi="Arial" w:cs="Arial"/>
        </w:rPr>
      </w:pPr>
    </w:p>
    <w:p w14:paraId="1771FEDF">
      <w:pPr>
        <w:pStyle w:val="2"/>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Abstract</w:t>
      </w:r>
    </w:p>
    <w:p w14:paraId="163A056D">
      <w:pPr>
        <w:spacing w:line="360" w:lineRule="auto"/>
        <w:jc w:val="both"/>
        <w:rPr>
          <w:rFonts w:hint="default" w:ascii="Arial" w:hAnsi="Arial" w:cs="Arial"/>
          <w:sz w:val="24"/>
          <w:szCs w:val="24"/>
        </w:rPr>
      </w:pPr>
      <w:r>
        <w:rPr>
          <w:rFonts w:hint="default" w:ascii="Arial" w:hAnsi="Arial" w:cs="Arial"/>
          <w:sz w:val="24"/>
          <w:szCs w:val="24"/>
        </w:rPr>
        <w:t>The Superstore Sales dataset provides comprehensive insights into customer demographics, product categories, geographic trends, and financial performance. This report applies predictive analytics techniques to uncover patterns and generate actionable business intelligence. By employing classification, clustering, regression, and association rule mining, the analysis demonstrates the potential of machine learning for sales forecasting, customer segmentation, and profitability optimization. Random Forest and Naive Bayes classifiers were implemented and evaluated to predict sales outcomes across regions. The Random Forest model achieved perfect accuracy of 100% with a Kappa statistic of 1, correctly classifying all 9,994 instances. The Naive Bayes classifier achieved 98.87% accuracy with a Kappa statistic of 0.9846, with minor misclassifications observed across regional classes. The findings highlight challenges such as data imbalance and feature redundancy while providing recommendations for discount strategies, regional expansion, supply chain efficiency, and targeted marketing.</w:t>
      </w:r>
    </w:p>
    <w:p w14:paraId="4CB43C2A">
      <w:pPr>
        <w:rPr>
          <w:rFonts w:hint="default" w:ascii="Arial" w:hAnsi="Arial" w:cs="Arial"/>
        </w:rPr>
      </w:pPr>
    </w:p>
    <w:p w14:paraId="74E5D796">
      <w:pPr>
        <w:rPr>
          <w:rFonts w:hint="default" w:ascii="Arial" w:hAnsi="Arial" w:cs="Arial"/>
        </w:rPr>
      </w:pPr>
    </w:p>
    <w:p w14:paraId="1946E2CB">
      <w:pPr>
        <w:rPr>
          <w:rFonts w:hint="default" w:ascii="Arial" w:hAnsi="Arial" w:cs="Arial"/>
        </w:rPr>
      </w:pPr>
    </w:p>
    <w:p w14:paraId="2FC08481">
      <w:pPr>
        <w:rPr>
          <w:rFonts w:hint="default" w:ascii="Arial" w:hAnsi="Arial" w:cs="Arial"/>
        </w:rPr>
      </w:pPr>
    </w:p>
    <w:p w14:paraId="56A19813">
      <w:pPr>
        <w:rPr>
          <w:rFonts w:hint="default" w:ascii="Arial" w:hAnsi="Arial" w:cs="Arial"/>
        </w:rPr>
      </w:pPr>
    </w:p>
    <w:p w14:paraId="7D1C7B4E">
      <w:pPr>
        <w:rPr>
          <w:rFonts w:hint="default" w:ascii="Arial" w:hAnsi="Arial" w:cs="Arial"/>
        </w:rPr>
      </w:pPr>
    </w:p>
    <w:p w14:paraId="251FDA67">
      <w:pPr>
        <w:rPr>
          <w:rFonts w:hint="default" w:ascii="Arial" w:hAnsi="Arial" w:cs="Arial"/>
        </w:rPr>
      </w:pPr>
    </w:p>
    <w:p w14:paraId="71704679">
      <w:pPr>
        <w:rPr>
          <w:rFonts w:hint="default" w:ascii="Arial" w:hAnsi="Arial" w:cs="Arial"/>
        </w:rPr>
      </w:pPr>
    </w:p>
    <w:p w14:paraId="4157BCAE">
      <w:pPr>
        <w:rPr>
          <w:rFonts w:hint="default" w:ascii="Arial" w:hAnsi="Arial" w:cs="Arial"/>
        </w:rPr>
      </w:pPr>
    </w:p>
    <w:p w14:paraId="1920619A">
      <w:pPr>
        <w:rPr>
          <w:rFonts w:hint="default" w:ascii="Arial" w:hAnsi="Arial" w:cs="Arial"/>
        </w:rPr>
      </w:pPr>
    </w:p>
    <w:p w14:paraId="48F7262A">
      <w:pPr>
        <w:rPr>
          <w:rFonts w:hint="default" w:ascii="Arial" w:hAnsi="Arial" w:cs="Arial"/>
        </w:rPr>
      </w:pPr>
    </w:p>
    <w:p w14:paraId="622268D3">
      <w:pPr>
        <w:rPr>
          <w:rFonts w:hint="default" w:ascii="Arial" w:hAnsi="Arial" w:cs="Arial"/>
        </w:rPr>
      </w:pPr>
    </w:p>
    <w:p w14:paraId="20DA2853">
      <w:pPr>
        <w:rPr>
          <w:rFonts w:hint="default" w:ascii="Arial" w:hAnsi="Arial" w:cs="Arial"/>
        </w:rPr>
      </w:pPr>
    </w:p>
    <w:p w14:paraId="6599DF7F">
      <w:pPr>
        <w:rPr>
          <w:rFonts w:hint="default" w:ascii="Arial" w:hAnsi="Arial" w:cs="Arial"/>
        </w:rPr>
      </w:pPr>
    </w:p>
    <w:p w14:paraId="75E46B58">
      <w:pPr>
        <w:rPr>
          <w:rFonts w:hint="default" w:ascii="Arial" w:hAnsi="Arial" w:cs="Arial"/>
        </w:rPr>
      </w:pPr>
    </w:p>
    <w:p w14:paraId="6005119C">
      <w:pPr>
        <w:rPr>
          <w:rFonts w:hint="default" w:ascii="Arial" w:hAnsi="Arial" w:cs="Arial"/>
        </w:rPr>
      </w:pPr>
    </w:p>
    <w:p w14:paraId="6497196B">
      <w:pPr>
        <w:rPr>
          <w:rFonts w:hint="default" w:ascii="Arial" w:hAnsi="Arial" w:cs="Arial"/>
        </w:rPr>
      </w:pPr>
    </w:p>
    <w:p w14:paraId="282C382C">
      <w:pPr>
        <w:rPr>
          <w:rFonts w:hint="default" w:ascii="Arial" w:hAnsi="Arial" w:cs="Arial"/>
        </w:rPr>
      </w:pPr>
      <w:bookmarkStart w:id="1" w:name="_GoBack"/>
      <w:bookmarkEnd w:id="1"/>
    </w:p>
    <w:p w14:paraId="0B4B64B7">
      <w:pPr>
        <w:pStyle w:val="2"/>
        <w:numPr>
          <w:ilvl w:val="0"/>
          <w:numId w:val="1"/>
        </w:numPr>
        <w:ind w:left="284"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Introduction</w:t>
      </w:r>
    </w:p>
    <w:p w14:paraId="23318342">
      <w:pPr>
        <w:pStyle w:val="19"/>
        <w:spacing w:line="360" w:lineRule="auto"/>
        <w:jc w:val="both"/>
        <w:rPr>
          <w:rFonts w:hint="default" w:ascii="Arial" w:hAnsi="Arial" w:cs="Arial"/>
        </w:rPr>
      </w:pPr>
      <w:r>
        <w:rPr>
          <w:rFonts w:hint="default" w:ascii="Arial" w:hAnsi="Arial" w:cs="Arial"/>
        </w:rPr>
        <w:t>Retail organizations generate vast amounts of transactional data that, when analyzed effectively, can provide valuable insights into consumer behaviour, sales performance, and overall profitability [1]. The Superstore Sales Dataset presents a rich and diverse source of information, encompassing multiple variables related to customer profiles, product categories, sales values, discounts offered, profit margins, and geographic details. This dataset reflects real-world retail operations, capturing transactions across office supplies, technology, and furniture segments within various regions of the United States, with a particular concentration in California, notably in cities such as Los Angeles and San Francisco. The diversity and volume of the dataset make it highly suitable for applying predictive analytics and machine learning techniques to derive actionable insights that can guide business strategy and operational improvements [2].</w:t>
      </w:r>
    </w:p>
    <w:p w14:paraId="3D854202">
      <w:pPr>
        <w:pStyle w:val="19"/>
        <w:spacing w:line="360" w:lineRule="auto"/>
        <w:jc w:val="both"/>
        <w:rPr>
          <w:rFonts w:hint="default" w:ascii="Arial" w:hAnsi="Arial" w:cs="Arial"/>
        </w:rPr>
      </w:pPr>
      <w:r>
        <w:rPr>
          <w:rFonts w:hint="default" w:ascii="Arial" w:hAnsi="Arial" w:cs="Arial"/>
        </w:rPr>
        <w:t>The primary objective of this study is to explore the dataset systematically and extract meaningful patterns that can inform decision-making in retail management. By leveraging advanced analytical techniques, the study seeks to uncover relationships between customer characteristics, product categories, regional factors, and transaction metrics such as sales, profit, and discounts. The analysis focuses on identifying the most influential factors affecting profitability and sales performance, which can enable retail managers to implement targeted marketing strategies, optimize inventory management, and enhance customer engagement.</w:t>
      </w:r>
    </w:p>
    <w:p w14:paraId="3C42280F">
      <w:pPr>
        <w:pStyle w:val="19"/>
        <w:spacing w:line="360" w:lineRule="auto"/>
        <w:jc w:val="both"/>
        <w:rPr>
          <w:rFonts w:hint="default" w:ascii="Arial" w:hAnsi="Arial" w:cs="Arial"/>
        </w:rPr>
      </w:pPr>
      <w:r>
        <w:rPr>
          <w:rFonts w:hint="default" w:ascii="Arial" w:hAnsi="Arial" w:cs="Arial"/>
        </w:rPr>
        <w:t>To achieve these objectives, predictive modeling approaches were employed, including the Random Forest and Naive Bayes classifiers. These models were trained and evaluated on the dataset to predict regional sales outcomes based on the available features. The Random Forest classifier, a robust ensemble learning method, was configured with 100 trees, default feature selection at each split, and bootstrap sampling. This model demonstrated exceptional performance, achieving perfect accuracy of 100% and a Kappa statistic of 1, indicating flawless classification across all 9,994 instances in the dataset. The Naive Bayes classifier, which assumes conditional independence among features and uses probability estimation for classification, also delivered strong predictive performance, achieving 98.87% accuracy and a Kappa statistic of 0.9846. Minor misclassifications were observed, primarily between regions with similar transactional characteristics. These results not only highlight the predictive power of machine learning algorithms in retail analytics but also underscore the importance of careful feature selection, data preprocessing, and model tuning [3].</w:t>
      </w:r>
    </w:p>
    <w:p w14:paraId="51079F6A">
      <w:pPr>
        <w:pStyle w:val="19"/>
        <w:spacing w:line="360" w:lineRule="auto"/>
        <w:jc w:val="both"/>
        <w:rPr>
          <w:rFonts w:hint="default" w:ascii="Arial" w:hAnsi="Arial" w:cs="Arial"/>
        </w:rPr>
      </w:pPr>
      <w:r>
        <w:rPr>
          <w:rFonts w:hint="default" w:ascii="Arial" w:hAnsi="Arial" w:cs="Arial"/>
        </w:rPr>
        <w:t>Furthermore, the study investigates practical business questions relevant to retail strategy. It examines which factors most significantly influence profit and sales, how customer segments can be targeted effectively, and the impact of discounts and regional performance on profitability. By addressing these questions, the analysis provides actionable recommendations for optimizing pricing strategies, regional resource allocation, supply chain efficiency, and marketing campaigns. Overall, this research demonstrates the critical role of data-driven decision-making in modern retail organizations, showing how structured analysis of transactional data can enhance both operational performance and strategic planning.</w:t>
      </w:r>
    </w:p>
    <w:p w14:paraId="45109644">
      <w:pPr>
        <w:pStyle w:val="36"/>
        <w:numPr>
          <w:ilvl w:val="1"/>
          <w:numId w:val="1"/>
        </w:numPr>
        <w:ind w:left="284"/>
        <w:rPr>
          <w:rFonts w:hint="default" w:ascii="Arial" w:hAnsi="Arial" w:cs="Arial"/>
          <w:b/>
          <w:bCs/>
          <w:sz w:val="28"/>
          <w:szCs w:val="28"/>
        </w:rPr>
      </w:pPr>
      <w:r>
        <w:rPr>
          <w:rFonts w:hint="default" w:ascii="Arial" w:hAnsi="Arial" w:cs="Arial"/>
          <w:b/>
          <w:bCs/>
          <w:sz w:val="28"/>
          <w:szCs w:val="28"/>
        </w:rPr>
        <w:t>Aim &amp; Objectives</w:t>
      </w:r>
    </w:p>
    <w:p w14:paraId="7186A799">
      <w:pPr>
        <w:pStyle w:val="19"/>
        <w:spacing w:line="360" w:lineRule="auto"/>
        <w:jc w:val="both"/>
        <w:rPr>
          <w:rFonts w:hint="default" w:ascii="Arial" w:hAnsi="Arial" w:cs="Arial"/>
        </w:rPr>
      </w:pPr>
      <w:r>
        <w:rPr>
          <w:rStyle w:val="20"/>
          <w:rFonts w:hint="default" w:ascii="Arial" w:hAnsi="Arial" w:cs="Arial" w:eastAsiaTheme="majorEastAsia"/>
        </w:rPr>
        <w:t>Aim</w:t>
      </w:r>
      <w:r>
        <w:rPr>
          <w:rFonts w:hint="default" w:ascii="Arial" w:hAnsi="Arial" w:cs="Arial"/>
        </w:rPr>
        <w:br w:type="textWrapping"/>
      </w:r>
      <w:r>
        <w:rPr>
          <w:rFonts w:hint="default" w:ascii="Arial" w:hAnsi="Arial" w:cs="Arial"/>
        </w:rPr>
        <w:t>The primary aim of this study is to apply predictive analytics and machine learning techniques to the Superstore Sales Dataset to uncover patterns, identify key factors influencing sales and profitability, and generate actionable insights that support data-driven decision-making in retail operations.</w:t>
      </w:r>
    </w:p>
    <w:p w14:paraId="55D885C0">
      <w:pPr>
        <w:pStyle w:val="19"/>
        <w:rPr>
          <w:rFonts w:hint="default" w:ascii="Arial" w:hAnsi="Arial" w:cs="Arial"/>
        </w:rPr>
      </w:pPr>
      <w:r>
        <w:rPr>
          <w:rStyle w:val="20"/>
          <w:rFonts w:hint="default" w:ascii="Arial" w:hAnsi="Arial" w:cs="Arial" w:eastAsiaTheme="majorEastAsia"/>
        </w:rPr>
        <w:t>Objectives</w:t>
      </w:r>
      <w:r>
        <w:rPr>
          <w:rFonts w:hint="default" w:ascii="Arial" w:hAnsi="Arial" w:cs="Arial"/>
        </w:rPr>
        <w:br w:type="textWrapping"/>
      </w:r>
    </w:p>
    <w:p w14:paraId="6E90099D">
      <w:pPr>
        <w:pStyle w:val="19"/>
        <w:numPr>
          <w:ilvl w:val="0"/>
          <w:numId w:val="2"/>
        </w:numPr>
        <w:spacing w:line="360" w:lineRule="auto"/>
        <w:jc w:val="both"/>
        <w:rPr>
          <w:rFonts w:hint="default" w:ascii="Arial" w:hAnsi="Arial" w:cs="Arial"/>
        </w:rPr>
      </w:pPr>
      <w:r>
        <w:rPr>
          <w:rFonts w:hint="default" w:ascii="Arial" w:hAnsi="Arial" w:cs="Arial"/>
        </w:rPr>
        <w:t>To conduct a comprehensive exploratory data analysis (EDA) of the Superstore Sales Dataset, identifying patterns, trends, and anomalies in customer, product, and transactional data.</w:t>
      </w:r>
    </w:p>
    <w:p w14:paraId="26CDB756">
      <w:pPr>
        <w:pStyle w:val="19"/>
        <w:numPr>
          <w:ilvl w:val="0"/>
          <w:numId w:val="2"/>
        </w:numPr>
        <w:spacing w:line="360" w:lineRule="auto"/>
        <w:jc w:val="both"/>
        <w:rPr>
          <w:rFonts w:hint="default" w:ascii="Arial" w:hAnsi="Arial" w:cs="Arial"/>
        </w:rPr>
      </w:pPr>
      <w:r>
        <w:rPr>
          <w:rFonts w:hint="default" w:ascii="Arial" w:hAnsi="Arial" w:cs="Arial"/>
        </w:rPr>
        <w:t>To perform data pre-processing, including handling missing values, duplicates, outliers, and class imbalances, and transforming categorical variables into numerical formats suitable for machine learning algorithms.</w:t>
      </w:r>
    </w:p>
    <w:p w14:paraId="3CFF15EA">
      <w:pPr>
        <w:pStyle w:val="19"/>
        <w:numPr>
          <w:ilvl w:val="0"/>
          <w:numId w:val="2"/>
        </w:numPr>
        <w:spacing w:line="360" w:lineRule="auto"/>
        <w:jc w:val="both"/>
        <w:rPr>
          <w:rFonts w:hint="default" w:ascii="Arial" w:hAnsi="Arial" w:cs="Arial"/>
        </w:rPr>
      </w:pPr>
      <w:r>
        <w:rPr>
          <w:rFonts w:hint="default" w:ascii="Arial" w:hAnsi="Arial" w:cs="Arial"/>
        </w:rPr>
        <w:t>To build predictive models using Random Forest and Naive Bayes classifiers for forecasting regional sales and customer behaviour, optimizing model parameters, and ensuring robust performance.</w:t>
      </w:r>
    </w:p>
    <w:p w14:paraId="20F88A47">
      <w:pPr>
        <w:pStyle w:val="19"/>
        <w:numPr>
          <w:ilvl w:val="0"/>
          <w:numId w:val="2"/>
        </w:numPr>
        <w:spacing w:line="360" w:lineRule="auto"/>
        <w:jc w:val="both"/>
        <w:rPr>
          <w:rFonts w:hint="default" w:ascii="Arial" w:hAnsi="Arial" w:cs="Arial"/>
        </w:rPr>
      </w:pPr>
      <w:r>
        <w:rPr>
          <w:rFonts w:hint="default" w:ascii="Arial" w:hAnsi="Arial" w:cs="Arial"/>
        </w:rPr>
        <w:t>To evaluate the performance of these models through metrics such as accuracy, Kappa statistic, precision, recall, F-measure, and confusion matrices.</w:t>
      </w:r>
    </w:p>
    <w:p w14:paraId="79DD7837">
      <w:pPr>
        <w:pStyle w:val="19"/>
        <w:numPr>
          <w:ilvl w:val="0"/>
          <w:numId w:val="2"/>
        </w:numPr>
        <w:spacing w:line="360" w:lineRule="auto"/>
        <w:jc w:val="both"/>
        <w:rPr>
          <w:rFonts w:hint="default" w:ascii="Arial" w:hAnsi="Arial" w:cs="Arial"/>
        </w:rPr>
      </w:pPr>
      <w:r>
        <w:rPr>
          <w:rFonts w:hint="default" w:ascii="Arial" w:hAnsi="Arial" w:cs="Arial"/>
        </w:rPr>
        <w:t>To interpret the model outputs to identify critical drivers of profitability and sales performance, and to provide actionable insights for strategic retail decision-making, such as discount strategies, targeted marketing, and regional expansion.</w:t>
      </w:r>
    </w:p>
    <w:p w14:paraId="4059DF8D">
      <w:pPr>
        <w:pStyle w:val="19"/>
        <w:numPr>
          <w:ilvl w:val="0"/>
          <w:numId w:val="2"/>
        </w:numPr>
        <w:spacing w:line="360" w:lineRule="auto"/>
        <w:jc w:val="both"/>
        <w:rPr>
          <w:rFonts w:hint="default" w:ascii="Arial" w:hAnsi="Arial" w:cs="Arial"/>
        </w:rPr>
      </w:pPr>
      <w:r>
        <w:rPr>
          <w:rFonts w:hint="default" w:ascii="Arial" w:hAnsi="Arial" w:cs="Arial"/>
        </w:rPr>
        <w:t>To compare the trade-offs between model performance, interpretability, and suitability for business applications, thereby recommending the most effective analytical approach for retail management.</w:t>
      </w:r>
    </w:p>
    <w:p w14:paraId="666380B1">
      <w:pPr>
        <w:pStyle w:val="2"/>
        <w:numPr>
          <w:ilvl w:val="0"/>
          <w:numId w:val="1"/>
        </w:numPr>
        <w:ind w:left="142"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Literature Review</w:t>
      </w:r>
    </w:p>
    <w:p w14:paraId="2703270B">
      <w:pPr>
        <w:rPr>
          <w:rFonts w:hint="default" w:ascii="Arial" w:hAnsi="Arial" w:cs="Arial"/>
        </w:rPr>
      </w:pPr>
    </w:p>
    <w:p w14:paraId="4708F75C">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Demand Forecasting in Retail</w:t>
      </w:r>
    </w:p>
    <w:p w14:paraId="455CD26C">
      <w:pPr>
        <w:pStyle w:val="19"/>
        <w:spacing w:line="360" w:lineRule="auto"/>
        <w:jc w:val="both"/>
        <w:rPr>
          <w:rFonts w:hint="default" w:ascii="Arial" w:hAnsi="Arial" w:cs="Arial"/>
        </w:rPr>
      </w:pPr>
      <w:r>
        <w:rPr>
          <w:rFonts w:hint="default" w:ascii="Arial" w:hAnsi="Arial" w:cs="Arial"/>
        </w:rPr>
        <w:t>Accurately forecasting consumer demand is a fundamental component of effective retail management, as it directly influences inventory planning, resource allocation, and sales optimization. Traditional approaches, such as the AutoRegressive Integrated Moving Average (ARIMA) models, have long been employed to predict retail demand due to their ability to handle time series data and seasonal fluctuations [4]. These statistical models provide baseline forecasts by analyzing historical sales trends and identifying underlying patterns. However, they are limited in capturing complex, nonlinear relationships inherent in modern retail datasets, particularly when factors such as promotions, seasonal events, and customer behavior interact in intricate ways.</w:t>
      </w:r>
    </w:p>
    <w:p w14:paraId="15015DF1">
      <w:pPr>
        <w:pStyle w:val="19"/>
        <w:spacing w:line="360" w:lineRule="auto"/>
        <w:jc w:val="both"/>
        <w:rPr>
          <w:rFonts w:hint="default" w:ascii="Arial" w:hAnsi="Arial" w:cs="Arial"/>
        </w:rPr>
      </w:pPr>
      <w:r>
        <w:rPr>
          <w:rFonts w:hint="default" w:ascii="Arial" w:hAnsi="Arial" w:cs="Arial"/>
        </w:rPr>
        <w:t>The advent of machine learning has significantly enhanced demand forecasting capabilities. Techniques such as neural networks, support vector machines, and ensemble methods like Random Forest and Gradient Boosting have demonstrated superior performance compared to traditional models [5]. These models can identify complex interactions among multiple variables, including product attributes, pricing strategies, regional trends, and customer demographics, providing more accurate and responsive forecasts. For example, neural networks can adaptively learn patterns in sales data, capturing both linear and nonlinear dependencies, while ensemble models combine multiple predictive trees to reduce variance and improve generalization. Incorporating external data sources, such as social media trends, economic indicators, and weather patterns, further enhances the predictive accuracy of demand forecasts, allowing retailers to anticipate fluctuations and adjust inventory levels proactively.</w:t>
      </w:r>
    </w:p>
    <w:p w14:paraId="1307FCC9">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Customer Segmentation and Behaviour Analysis</w:t>
      </w:r>
    </w:p>
    <w:p w14:paraId="1AB4A9C7">
      <w:pPr>
        <w:pStyle w:val="19"/>
        <w:spacing w:line="360" w:lineRule="auto"/>
        <w:jc w:val="both"/>
        <w:rPr>
          <w:rFonts w:hint="default" w:ascii="Arial" w:hAnsi="Arial" w:cs="Arial"/>
        </w:rPr>
      </w:pPr>
      <w:r>
        <w:rPr>
          <w:rFonts w:hint="default" w:ascii="Arial" w:hAnsi="Arial" w:cs="Arial"/>
        </w:rPr>
        <w:t>Understanding customer behavior is crucial for developing targeted marketing strategies and personalized experiences. Customer segmentation divides a retailer’s consumer base into distinct groups with shared characteristics, such as purchasing patterns, demographic attributes, or product preferences. Traditional clustering methods, including k-means and hierarchical clustering, have been widely applied to segment customers based on transactional data [6]. These methods enable the identification of high-value customer segments, seasonal buyers, and occasional shoppers, facilitating resource allocation for marketing campaigns and loyalty programs.</w:t>
      </w:r>
    </w:p>
    <w:p w14:paraId="1FE203A6">
      <w:pPr>
        <w:pStyle w:val="19"/>
        <w:spacing w:line="360" w:lineRule="auto"/>
        <w:jc w:val="both"/>
        <w:rPr>
          <w:rFonts w:hint="default" w:ascii="Arial" w:hAnsi="Arial" w:cs="Arial"/>
        </w:rPr>
      </w:pPr>
      <w:r>
        <w:rPr>
          <w:rFonts w:hint="default" w:ascii="Arial" w:hAnsi="Arial" w:cs="Arial"/>
        </w:rPr>
        <w:t>Advances in predictive modeling have further refined segmentation approaches. Machine learning algorithms, such as decision trees, support vector machines, and ensemble methods, can predict the likelihood of repeat purchases, product preferences, and churn risk. These insights allow retailers to implement personalized recommendations, targeted promotions, and dynamic loyalty programs, ultimately enhancing customer engagement and retention. Furthermore, integrating behavioural analytics with demographic and transactional data supports a 360-degree view of the customer, enabling strategic decision-making across marketing, inventory, and operational functions.</w:t>
      </w:r>
    </w:p>
    <w:p w14:paraId="307590F0">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Pricing and Discount Strategies</w:t>
      </w:r>
    </w:p>
    <w:p w14:paraId="72818451">
      <w:pPr>
        <w:pStyle w:val="19"/>
        <w:spacing w:line="360" w:lineRule="auto"/>
        <w:jc w:val="both"/>
        <w:rPr>
          <w:rFonts w:hint="default" w:ascii="Arial" w:hAnsi="Arial" w:cs="Arial"/>
        </w:rPr>
      </w:pPr>
      <w:r>
        <w:rPr>
          <w:rFonts w:hint="default" w:ascii="Arial" w:hAnsi="Arial" w:cs="Arial"/>
        </w:rPr>
        <w:t>Retail profitability is heavily influenced by pricing and discount policies, making the development of effective strategies critical. Static pricing models often fail to respond to changing market conditions, leading to lost revenue opportunities or margin erosion. Predictive analytics enables the implementation of dynamic pricing strategies that adjust product prices based on demand elasticity, competitor pricing, seasonal trends, and customer purchasing behaviour [7].</w:t>
      </w:r>
    </w:p>
    <w:p w14:paraId="6DBE0A70">
      <w:pPr>
        <w:pStyle w:val="19"/>
        <w:spacing w:line="360" w:lineRule="auto"/>
        <w:jc w:val="both"/>
        <w:rPr>
          <w:rFonts w:hint="default" w:ascii="Arial" w:hAnsi="Arial" w:cs="Arial"/>
        </w:rPr>
      </w:pPr>
      <w:r>
        <w:rPr>
          <w:rFonts w:hint="default" w:ascii="Arial" w:hAnsi="Arial" w:cs="Arial"/>
        </w:rPr>
        <w:t>Research has shown that data-driven discount strategies improve profitability by targeting price reductions to products or segments where they generate maximum incremental revenue. Poorly designed promotions, on the other hand, can erode margins, increase costs, and encourage stockpiling behavior among customers. By employing machine learning models to simulate the effects of pricing decisions, retailers can predict the impact on sales volume and profit margins, optimizing both short-term revenue and long-term customer value.</w:t>
      </w:r>
    </w:p>
    <w:p w14:paraId="67F81516">
      <w:pPr>
        <w:spacing w:line="360" w:lineRule="auto"/>
        <w:jc w:val="both"/>
        <w:rPr>
          <w:rFonts w:hint="default" w:ascii="Arial" w:hAnsi="Arial" w:cs="Arial"/>
          <w:sz w:val="24"/>
          <w:szCs w:val="24"/>
        </w:rPr>
      </w:pPr>
    </w:p>
    <w:p w14:paraId="4C330FA2">
      <w:pPr>
        <w:spacing w:line="360" w:lineRule="auto"/>
        <w:jc w:val="both"/>
        <w:rPr>
          <w:rFonts w:hint="default" w:ascii="Arial" w:hAnsi="Arial" w:cs="Arial"/>
          <w:sz w:val="24"/>
          <w:szCs w:val="24"/>
        </w:rPr>
      </w:pPr>
    </w:p>
    <w:p w14:paraId="00545367">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Supply Chain and Inventory Optimization</w:t>
      </w:r>
    </w:p>
    <w:p w14:paraId="24592ABF">
      <w:pPr>
        <w:pStyle w:val="19"/>
        <w:spacing w:line="360" w:lineRule="auto"/>
        <w:jc w:val="both"/>
        <w:rPr>
          <w:rFonts w:hint="default" w:ascii="Arial" w:hAnsi="Arial" w:cs="Arial"/>
        </w:rPr>
      </w:pPr>
      <w:r>
        <w:rPr>
          <w:rFonts w:hint="default" w:ascii="Arial" w:hAnsi="Arial" w:cs="Arial"/>
        </w:rPr>
        <w:t>Efficient supply chain and inventory management are critical for maintaining product availability while minimizing operational costs. Predictive models play a central role in forecasting inventory requirements, identifying potential stockouts, and reducing excess inventory [8]. Machine learning approaches, such as time series analysis, regression models, and ensemble learning, allow retailers to anticipate demand at both SKU and regional levels, ensuring that supply aligns with projected sales.</w:t>
      </w:r>
    </w:p>
    <w:p w14:paraId="0BC9B323">
      <w:pPr>
        <w:pStyle w:val="19"/>
        <w:spacing w:line="360" w:lineRule="auto"/>
        <w:jc w:val="both"/>
        <w:rPr>
          <w:rFonts w:hint="default" w:ascii="Arial" w:hAnsi="Arial" w:cs="Arial"/>
        </w:rPr>
      </w:pPr>
      <w:r>
        <w:rPr>
          <w:rFonts w:hint="default" w:ascii="Arial" w:hAnsi="Arial" w:cs="Arial"/>
        </w:rPr>
        <w:t>Recent developments in predictive analytics integrate real-time data from multiple sources, including point-of-sale systems, warehouse management platforms, and logistics networks, enhancing supply chain responsiveness. This integration supports just-in-time inventory replenishment, reduces holding costs, and mitigates risks associated with demand volatility. Additionally, predictive analytics facilitates scenario planning and risk assessment, enabling retailers to develop contingency strategies for supply chain disruptions or sudden changes in consumer demand.</w:t>
      </w:r>
    </w:p>
    <w:p w14:paraId="125FC2D3">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Prescriptive Analytics and Decision Support</w:t>
      </w:r>
    </w:p>
    <w:p w14:paraId="1D6D35CD">
      <w:pPr>
        <w:pStyle w:val="19"/>
        <w:spacing w:line="360" w:lineRule="auto"/>
        <w:jc w:val="both"/>
        <w:rPr>
          <w:rFonts w:hint="default" w:ascii="Arial" w:hAnsi="Arial" w:cs="Arial"/>
        </w:rPr>
      </w:pPr>
      <w:r>
        <w:rPr>
          <w:rFonts w:hint="default" w:ascii="Arial" w:hAnsi="Arial" w:cs="Arial"/>
        </w:rPr>
        <w:t>While predictive analytics provides forecasts and identifies trends, prescriptive analytics extends these insights by recommending optimal actions for business decision-making. Prescriptive tools, such as optimization algorithms, simulation models, and decision support systems, enable retailers to determine the most effective pricing, inventory, and marketing strategies to maximize profitability and operational efficiency [9].</w:t>
      </w:r>
    </w:p>
    <w:p w14:paraId="01B5CCB9">
      <w:pPr>
        <w:pStyle w:val="19"/>
        <w:spacing w:line="360" w:lineRule="auto"/>
        <w:jc w:val="both"/>
        <w:rPr>
          <w:rFonts w:hint="default" w:ascii="Arial" w:hAnsi="Arial" w:cs="Arial"/>
        </w:rPr>
      </w:pPr>
      <w:r>
        <w:rPr>
          <w:rFonts w:hint="default" w:ascii="Arial" w:hAnsi="Arial" w:cs="Arial"/>
        </w:rPr>
        <w:t>For example, integrating prescriptive analytics with demand forecasting can suggest optimal stock levels for each product and region, recommend targeted promotions to specific customer segments, or identify which products to bundle for maximum sales impact. These tools transform data insights into actionable decisions, supporting strategic planning and improving overall business agility. The combination of predictive and prescriptive analytics ensures that retailers are not only informed about future trends but are also equipped to act effectively to achieve their objectives.</w:t>
      </w:r>
    </w:p>
    <w:p w14:paraId="59167F8D">
      <w:pPr>
        <w:spacing w:line="360" w:lineRule="auto"/>
        <w:jc w:val="both"/>
        <w:rPr>
          <w:rFonts w:hint="default" w:ascii="Arial" w:hAnsi="Arial" w:cs="Arial"/>
          <w:sz w:val="24"/>
          <w:szCs w:val="24"/>
        </w:rPr>
      </w:pPr>
    </w:p>
    <w:p w14:paraId="5A9F4BC0">
      <w:pPr>
        <w:spacing w:line="360" w:lineRule="auto"/>
        <w:jc w:val="both"/>
        <w:rPr>
          <w:rFonts w:hint="default" w:ascii="Arial" w:hAnsi="Arial" w:cs="Arial"/>
          <w:sz w:val="24"/>
          <w:szCs w:val="24"/>
        </w:rPr>
      </w:pPr>
    </w:p>
    <w:p w14:paraId="24789442">
      <w:pPr>
        <w:pStyle w:val="36"/>
        <w:numPr>
          <w:ilvl w:val="1"/>
          <w:numId w:val="1"/>
        </w:numPr>
        <w:spacing w:line="360" w:lineRule="auto"/>
        <w:ind w:left="284"/>
        <w:rPr>
          <w:rFonts w:hint="default" w:ascii="Arial" w:hAnsi="Arial" w:cs="Arial"/>
          <w:b/>
          <w:bCs/>
          <w:sz w:val="28"/>
          <w:szCs w:val="28"/>
        </w:rPr>
      </w:pPr>
      <w:r>
        <w:rPr>
          <w:rFonts w:hint="default" w:ascii="Arial" w:hAnsi="Arial" w:cs="Arial"/>
          <w:b/>
          <w:bCs/>
          <w:sz w:val="28"/>
          <w:szCs w:val="28"/>
        </w:rPr>
        <w:t xml:space="preserve"> Critical Analysis of Literature Review</w:t>
      </w:r>
    </w:p>
    <w:p w14:paraId="40DC7647">
      <w:pPr>
        <w:spacing w:line="360" w:lineRule="auto"/>
        <w:jc w:val="both"/>
        <w:rPr>
          <w:rFonts w:hint="default" w:ascii="Arial" w:hAnsi="Arial" w:cs="Arial"/>
          <w:sz w:val="24"/>
          <w:szCs w:val="24"/>
        </w:rPr>
      </w:pPr>
      <w:r>
        <w:rPr>
          <w:rFonts w:hint="default" w:ascii="Arial" w:hAnsi="Arial" w:cs="Arial"/>
          <w:sz w:val="24"/>
          <w:szCs w:val="24"/>
        </w:rPr>
        <w:t>The literature confirms the value of predictive analytics in retail but also highlights key limitations. Many studies focus on isolated tasks such as forecasting or segmentation, overlooking the interconnected nature of pricing, demand, and supply chain management. Most rely on clean, balanced datasets, whereas real-world data, such as the Superstore dataset, is often noisy and imbalanced. Advanced models show strong predictive power but frequently lack interpretability, limiting their business applicability. Finally, there is insufficient integration of predictive and prescriptive analytics, leaving a gap between forecasting outcomes and actionable strategies. These shortcomings justify the need for a holistic, data-driven approach as explored in this study.</w:t>
      </w:r>
    </w:p>
    <w:p w14:paraId="64976F7E">
      <w:pPr>
        <w:spacing w:line="360" w:lineRule="auto"/>
        <w:jc w:val="both"/>
        <w:rPr>
          <w:rFonts w:hint="default" w:ascii="Arial" w:hAnsi="Arial" w:cs="Arial"/>
          <w:sz w:val="24"/>
          <w:szCs w:val="24"/>
        </w:rPr>
      </w:pPr>
    </w:p>
    <w:p w14:paraId="124CF9B2">
      <w:pPr>
        <w:pStyle w:val="2"/>
        <w:numPr>
          <w:ilvl w:val="0"/>
          <w:numId w:val="1"/>
        </w:numPr>
        <w:tabs>
          <w:tab w:val="left" w:pos="3119"/>
        </w:tabs>
        <w:spacing w:before="0" w:after="0" w:line="360" w:lineRule="auto"/>
        <w:ind w:left="284"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Implementation</w:t>
      </w:r>
    </w:p>
    <w:p w14:paraId="4D070CFE">
      <w:pPr>
        <w:pStyle w:val="36"/>
        <w:numPr>
          <w:ilvl w:val="1"/>
          <w:numId w:val="1"/>
        </w:numPr>
        <w:tabs>
          <w:tab w:val="left" w:pos="3119"/>
        </w:tabs>
        <w:spacing w:line="360" w:lineRule="auto"/>
        <w:ind w:left="426" w:hanging="426"/>
        <w:rPr>
          <w:rFonts w:hint="default" w:ascii="Arial" w:hAnsi="Arial" w:cs="Arial"/>
          <w:b/>
          <w:bCs/>
          <w:sz w:val="28"/>
          <w:szCs w:val="28"/>
        </w:rPr>
      </w:pPr>
      <w:r>
        <w:rPr>
          <w:rFonts w:hint="default" w:ascii="Arial" w:hAnsi="Arial" w:cs="Arial"/>
          <w:b/>
          <w:bCs/>
          <w:sz w:val="28"/>
          <w:szCs w:val="28"/>
        </w:rPr>
        <w:t>Dataset Overview</w:t>
      </w:r>
    </w:p>
    <w:p w14:paraId="220C44CC">
      <w:pPr>
        <w:pStyle w:val="19"/>
        <w:spacing w:before="0" w:beforeAutospacing="0" w:after="0" w:afterAutospacing="0" w:line="360" w:lineRule="auto"/>
        <w:jc w:val="both"/>
        <w:rPr>
          <w:rFonts w:hint="default" w:ascii="Arial" w:hAnsi="Arial" w:cs="Arial" w:eastAsiaTheme="majorEastAsia"/>
        </w:rPr>
      </w:pPr>
      <w:r>
        <w:rPr>
          <w:rFonts w:hint="default" w:ascii="Arial" w:hAnsi="Arial" w:cs="Arial" w:eastAsiaTheme="majorEastAsia"/>
        </w:rPr>
        <w:t>The dataset consists of 9,994 superstore transactions with 15 attributes, resulting in a shape of (9994, 15). These attributes cover customer information, product details, geographic data, and transaction metrics. Customer information is represented by the Customer attribute, while product details include manufactory, segment, category, and subcategory. Geographic data comprises region, zip, city, state, and country. Transaction metrics are captured by discount, profit, quantity, sales, and profit_margin. The data primarily focuses on office supplies, furniture, and technology products sold within the United States, with most transactions concentrated in California, especially in Los Angeles and San Francisco. The complete list of attributes in the dataset includes Customer, manufactory, segment, category, subcategory, region, zip, city, state, country, discount, profit, quantity, sales, and profit_margin.</w:t>
      </w:r>
    </w:p>
    <w:p w14:paraId="5018147A">
      <w:pPr>
        <w:pStyle w:val="19"/>
        <w:keepNext/>
        <w:jc w:val="center"/>
        <w:rPr>
          <w:rFonts w:hint="default" w:ascii="Arial" w:hAnsi="Arial" w:cs="Arial"/>
        </w:rPr>
      </w:pPr>
      <w:r>
        <w:rPr>
          <w:rFonts w:hint="default" w:ascii="Arial" w:hAnsi="Arial" w:cs="Arial"/>
        </w:rPr>
        <w:drawing>
          <wp:inline distT="0" distB="0" distL="0" distR="0">
            <wp:extent cx="4029710" cy="2120900"/>
            <wp:effectExtent l="0" t="0" r="8890" b="0"/>
            <wp:docPr id="179768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89041" name="Picture 1"/>
                    <pic:cNvPicPr>
                      <a:picLocks noChangeAspect="1"/>
                    </pic:cNvPicPr>
                  </pic:nvPicPr>
                  <pic:blipFill>
                    <a:blip r:embed="rId7"/>
                    <a:stretch>
                      <a:fillRect/>
                    </a:stretch>
                  </pic:blipFill>
                  <pic:spPr>
                    <a:xfrm>
                      <a:off x="0" y="0"/>
                      <a:ext cx="4035502" cy="2124161"/>
                    </a:xfrm>
                    <a:prstGeom prst="rect">
                      <a:avLst/>
                    </a:prstGeom>
                  </pic:spPr>
                </pic:pic>
              </a:graphicData>
            </a:graphic>
          </wp:inline>
        </w:drawing>
      </w:r>
    </w:p>
    <w:p w14:paraId="4E36F358">
      <w:pPr>
        <w:pStyle w:val="13"/>
        <w:jc w:val="center"/>
        <w:rPr>
          <w:rStyle w:val="20"/>
          <w:rFonts w:hint="default" w:ascii="Arial" w:hAnsi="Arial" w:cs="Arial" w:eastAsiaTheme="majorEastAsia"/>
          <w:b w:val="0"/>
          <w:bCs w:val="0"/>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1</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Dataset Loading and overview</w:t>
      </w:r>
    </w:p>
    <w:p w14:paraId="1B0EDCB0">
      <w:pPr>
        <w:pStyle w:val="19"/>
        <w:rPr>
          <w:rStyle w:val="20"/>
          <w:rFonts w:hint="default" w:ascii="Arial" w:hAnsi="Arial" w:cs="Arial" w:eastAsiaTheme="majorEastAsia"/>
          <w:b w:val="0"/>
          <w:bCs w:val="0"/>
        </w:rPr>
      </w:pPr>
    </w:p>
    <w:p w14:paraId="640E7CC8">
      <w:pPr>
        <w:pStyle w:val="19"/>
        <w:numPr>
          <w:ilvl w:val="1"/>
          <w:numId w:val="1"/>
        </w:numPr>
        <w:rPr>
          <w:rStyle w:val="20"/>
          <w:rFonts w:hint="default" w:ascii="Arial" w:hAnsi="Arial" w:cs="Arial" w:eastAsiaTheme="majorEastAsia"/>
          <w:sz w:val="28"/>
          <w:szCs w:val="28"/>
        </w:rPr>
      </w:pPr>
      <w:r>
        <w:rPr>
          <w:rStyle w:val="20"/>
          <w:rFonts w:hint="default" w:ascii="Arial" w:hAnsi="Arial" w:cs="Arial" w:eastAsiaTheme="majorEastAsia"/>
          <w:sz w:val="28"/>
          <w:szCs w:val="28"/>
        </w:rPr>
        <w:t>Data Pre-Processing</w:t>
      </w:r>
    </w:p>
    <w:p w14:paraId="32B7434C">
      <w:pPr>
        <w:pStyle w:val="19"/>
        <w:spacing w:line="360" w:lineRule="auto"/>
        <w:ind w:left="360"/>
        <w:jc w:val="both"/>
        <w:rPr>
          <w:rFonts w:hint="default" w:ascii="Arial" w:hAnsi="Arial" w:cs="Arial"/>
        </w:rPr>
      </w:pPr>
      <w:r>
        <w:rPr>
          <w:rFonts w:hint="default" w:ascii="Arial" w:hAnsi="Arial" w:cs="Arial"/>
        </w:rPr>
        <w:t xml:space="preserve">The Superstore dataset underwent extensive pre-processing to prepare it for machine learning modeling. The first step involved handling </w:t>
      </w:r>
      <w:r>
        <w:rPr>
          <w:rStyle w:val="20"/>
          <w:rFonts w:hint="default" w:ascii="Arial" w:hAnsi="Arial" w:cs="Arial" w:eastAsiaTheme="majorEastAsia"/>
          <w:b w:val="0"/>
          <w:bCs w:val="0"/>
        </w:rPr>
        <w:t>null values</w:t>
      </w:r>
      <w:r>
        <w:rPr>
          <w:rFonts w:hint="default" w:ascii="Arial" w:hAnsi="Arial" w:cs="Arial"/>
        </w:rPr>
        <w:t>, which were present in several numeric and categorical columns. For numeric features like profit, sales, and discount, missing values were replaced with the median or mean values to avoid skewing the distribution. For categorical variables such as segment, category, or region, missing entries were imputed using the mode, ensuring consistency across the dataset.</w:t>
      </w:r>
    </w:p>
    <w:p w14:paraId="422EC95F">
      <w:pPr>
        <w:pStyle w:val="19"/>
        <w:keepNext/>
        <w:spacing w:line="360" w:lineRule="auto"/>
        <w:ind w:left="360"/>
        <w:jc w:val="center"/>
        <w:rPr>
          <w:rFonts w:hint="default" w:ascii="Arial" w:hAnsi="Arial" w:cs="Arial"/>
        </w:rPr>
      </w:pPr>
      <w:r>
        <w:rPr>
          <w:rFonts w:hint="default" w:ascii="Arial" w:hAnsi="Arial" w:cs="Arial"/>
        </w:rPr>
        <w:drawing>
          <wp:inline distT="0" distB="0" distL="0" distR="0">
            <wp:extent cx="4232275" cy="2216150"/>
            <wp:effectExtent l="0" t="0" r="0" b="0"/>
            <wp:docPr id="628702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02851" name="Picture 1"/>
                    <pic:cNvPicPr>
                      <a:picLocks noChangeAspect="1"/>
                    </pic:cNvPicPr>
                  </pic:nvPicPr>
                  <pic:blipFill>
                    <a:blip r:embed="rId8"/>
                    <a:stretch>
                      <a:fillRect/>
                    </a:stretch>
                  </pic:blipFill>
                  <pic:spPr>
                    <a:xfrm>
                      <a:off x="0" y="0"/>
                      <a:ext cx="4238986" cy="2219997"/>
                    </a:xfrm>
                    <a:prstGeom prst="rect">
                      <a:avLst/>
                    </a:prstGeom>
                  </pic:spPr>
                </pic:pic>
              </a:graphicData>
            </a:graphic>
          </wp:inline>
        </w:drawing>
      </w:r>
    </w:p>
    <w:p w14:paraId="1FF9E8D9">
      <w:pPr>
        <w:pStyle w:val="13"/>
        <w:jc w:val="center"/>
        <w:rPr>
          <w:rFonts w:hint="default" w:ascii="Arial" w:hAnsi="Arial" w:cs="Arial"/>
          <w:color w:val="000000" w:themeColor="text1"/>
          <w14:textFill>
            <w14:solidFill>
              <w14:schemeClr w14:val="tx1"/>
            </w14:solidFill>
          </w14:textFil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2</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Handling missing values</w:t>
      </w:r>
    </w:p>
    <w:p w14:paraId="3B9D8FA7">
      <w:pPr>
        <w:pStyle w:val="19"/>
        <w:spacing w:line="360" w:lineRule="auto"/>
        <w:ind w:left="360"/>
        <w:jc w:val="both"/>
        <w:rPr>
          <w:rFonts w:hint="default" w:ascii="Arial" w:hAnsi="Arial" w:cs="Arial"/>
        </w:rPr>
      </w:pPr>
      <w:r>
        <w:rPr>
          <w:rFonts w:hint="default" w:ascii="Arial" w:hAnsi="Arial" w:cs="Arial"/>
        </w:rPr>
        <w:t xml:space="preserve">Next, </w:t>
      </w:r>
      <w:r>
        <w:rPr>
          <w:rStyle w:val="20"/>
          <w:rFonts w:hint="default" w:ascii="Arial" w:hAnsi="Arial" w:cs="Arial" w:eastAsiaTheme="majorEastAsia"/>
          <w:b w:val="0"/>
          <w:bCs w:val="0"/>
        </w:rPr>
        <w:t>duplicate records</w:t>
      </w:r>
      <w:r>
        <w:rPr>
          <w:rFonts w:hint="default" w:ascii="Arial" w:hAnsi="Arial" w:cs="Arial"/>
        </w:rPr>
        <w:t xml:space="preserve"> were identified and removed. Duplicate entries, if retained, could bias the model by over-representing certain transactions, thereby artificially inflating predictive performance. Removing these duplicates ensured that each transaction contributed uniquely to the learning process.</w:t>
      </w:r>
    </w:p>
    <w:p w14:paraId="3CE373F9">
      <w:pPr>
        <w:pStyle w:val="19"/>
        <w:keepNext/>
        <w:spacing w:line="360" w:lineRule="auto"/>
        <w:ind w:left="360"/>
        <w:jc w:val="center"/>
        <w:rPr>
          <w:rFonts w:hint="default" w:ascii="Arial" w:hAnsi="Arial" w:cs="Arial"/>
        </w:rPr>
      </w:pPr>
      <w:r>
        <w:rPr>
          <w:rFonts w:hint="default" w:ascii="Arial" w:hAnsi="Arial" w:cs="Arial"/>
        </w:rPr>
        <w:drawing>
          <wp:inline distT="0" distB="0" distL="0" distR="0">
            <wp:extent cx="3961765" cy="2084705"/>
            <wp:effectExtent l="0" t="0" r="635" b="0"/>
            <wp:docPr id="118883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36193" name="Picture 1"/>
                    <pic:cNvPicPr>
                      <a:picLocks noChangeAspect="1"/>
                    </pic:cNvPicPr>
                  </pic:nvPicPr>
                  <pic:blipFill>
                    <a:blip r:embed="rId9"/>
                    <a:stretch>
                      <a:fillRect/>
                    </a:stretch>
                  </pic:blipFill>
                  <pic:spPr>
                    <a:xfrm>
                      <a:off x="0" y="0"/>
                      <a:ext cx="3986429" cy="2097887"/>
                    </a:xfrm>
                    <a:prstGeom prst="rect">
                      <a:avLst/>
                    </a:prstGeom>
                  </pic:spPr>
                </pic:pic>
              </a:graphicData>
            </a:graphic>
          </wp:inline>
        </w:drawing>
      </w:r>
    </w:p>
    <w:p w14:paraId="37EAC095">
      <w:pPr>
        <w:pStyle w:val="13"/>
        <w:jc w:val="center"/>
        <w:rPr>
          <w:rFonts w:hint="default" w:ascii="Arial" w:hAnsi="Arial" w:cs="Arial"/>
          <w:color w:val="000000" w:themeColor="text1"/>
          <w14:textFill>
            <w14:solidFill>
              <w14:schemeClr w14:val="tx1"/>
            </w14:solidFill>
          </w14:textFil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3</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Handling Duplicates</w:t>
      </w:r>
    </w:p>
    <w:p w14:paraId="269CD9BA">
      <w:pPr>
        <w:pStyle w:val="19"/>
        <w:spacing w:line="360" w:lineRule="auto"/>
        <w:ind w:left="360"/>
        <w:jc w:val="both"/>
        <w:rPr>
          <w:rFonts w:hint="default" w:ascii="Arial" w:hAnsi="Arial" w:cs="Arial"/>
        </w:rPr>
      </w:pPr>
      <w:r>
        <w:rPr>
          <w:rFonts w:hint="default" w:ascii="Arial" w:hAnsi="Arial" w:cs="Arial"/>
        </w:rPr>
        <w:t xml:space="preserve">The dataset was also examined for </w:t>
      </w:r>
      <w:r>
        <w:rPr>
          <w:rStyle w:val="20"/>
          <w:rFonts w:hint="default" w:ascii="Arial" w:hAnsi="Arial" w:cs="Arial" w:eastAsiaTheme="majorEastAsia"/>
          <w:b w:val="0"/>
          <w:bCs w:val="0"/>
        </w:rPr>
        <w:t>class imbalance</w:t>
      </w:r>
      <w:r>
        <w:rPr>
          <w:rFonts w:hint="default" w:ascii="Arial" w:hAnsi="Arial" w:cs="Arial"/>
        </w:rPr>
        <w:t xml:space="preserve">, particularly in the target variable. Imbalanced classes can lead to models that Favor majority classes, resulting in poor predictive performance for minority categories. To address this, techniques such as </w:t>
      </w:r>
      <w:r>
        <w:rPr>
          <w:rStyle w:val="20"/>
          <w:rFonts w:hint="default" w:ascii="Arial" w:hAnsi="Arial" w:cs="Arial" w:eastAsiaTheme="majorEastAsia"/>
          <w:b w:val="0"/>
          <w:bCs w:val="0"/>
        </w:rPr>
        <w:t>oversampling the minority class</w:t>
      </w:r>
      <w:r>
        <w:rPr>
          <w:rFonts w:hint="default" w:ascii="Arial" w:hAnsi="Arial" w:cs="Arial"/>
          <w:b/>
          <w:bCs/>
        </w:rPr>
        <w:t xml:space="preserve"> </w:t>
      </w:r>
      <w:r>
        <w:rPr>
          <w:rFonts w:hint="default" w:ascii="Arial" w:hAnsi="Arial" w:cs="Arial"/>
        </w:rPr>
        <w:t>or</w:t>
      </w:r>
      <w:r>
        <w:rPr>
          <w:rFonts w:hint="default" w:ascii="Arial" w:hAnsi="Arial" w:cs="Arial"/>
          <w:b/>
          <w:bCs/>
        </w:rPr>
        <w:t xml:space="preserve"> </w:t>
      </w:r>
      <w:r>
        <w:rPr>
          <w:rStyle w:val="20"/>
          <w:rFonts w:hint="default" w:ascii="Arial" w:hAnsi="Arial" w:cs="Arial" w:eastAsiaTheme="majorEastAsia"/>
          <w:b w:val="0"/>
          <w:bCs w:val="0"/>
        </w:rPr>
        <w:t>under sampling the majority class</w:t>
      </w:r>
      <w:r>
        <w:rPr>
          <w:rFonts w:hint="default" w:ascii="Arial" w:hAnsi="Arial" w:cs="Arial"/>
        </w:rPr>
        <w:t xml:space="preserve"> were considered, ensuring a more balanced representation across all target categories and improving model fairness and accuracy.</w:t>
      </w:r>
    </w:p>
    <w:p w14:paraId="0FD1305E">
      <w:pPr>
        <w:pStyle w:val="19"/>
        <w:keepNext/>
        <w:spacing w:line="360" w:lineRule="auto"/>
        <w:ind w:left="360"/>
        <w:jc w:val="center"/>
        <w:rPr>
          <w:rFonts w:hint="default" w:ascii="Arial" w:hAnsi="Arial" w:cs="Arial"/>
        </w:rPr>
      </w:pPr>
      <w:r>
        <w:rPr>
          <w:rFonts w:hint="default" w:ascii="Arial" w:hAnsi="Arial" w:cs="Arial"/>
        </w:rPr>
        <w:drawing>
          <wp:inline distT="0" distB="0" distL="0" distR="0">
            <wp:extent cx="4370070" cy="2299970"/>
            <wp:effectExtent l="0" t="0" r="0" b="5080"/>
            <wp:docPr id="160830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02191" name="Picture 1"/>
                    <pic:cNvPicPr>
                      <a:picLocks noChangeAspect="1"/>
                    </pic:cNvPicPr>
                  </pic:nvPicPr>
                  <pic:blipFill>
                    <a:blip r:embed="rId10"/>
                    <a:stretch>
                      <a:fillRect/>
                    </a:stretch>
                  </pic:blipFill>
                  <pic:spPr>
                    <a:xfrm>
                      <a:off x="0" y="0"/>
                      <a:ext cx="4383890" cy="2307055"/>
                    </a:xfrm>
                    <a:prstGeom prst="rect">
                      <a:avLst/>
                    </a:prstGeom>
                  </pic:spPr>
                </pic:pic>
              </a:graphicData>
            </a:graphic>
          </wp:inline>
        </w:drawing>
      </w:r>
    </w:p>
    <w:p w14:paraId="6D6135A2">
      <w:pPr>
        <w:pStyle w:val="13"/>
        <w:jc w:val="center"/>
        <w:rPr>
          <w:rFonts w:hint="default" w:ascii="Arial" w:hAnsi="Arial" w:cs="Arial"/>
          <w:color w:val="000000" w:themeColor="text1"/>
          <w14:textFill>
            <w14:solidFill>
              <w14:schemeClr w14:val="tx1"/>
            </w14:solidFill>
          </w14:textFil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4</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Handling Class Imbalance</w:t>
      </w:r>
    </w:p>
    <w:p w14:paraId="6A598929">
      <w:pPr>
        <w:pStyle w:val="19"/>
        <w:spacing w:line="360" w:lineRule="auto"/>
        <w:ind w:left="360"/>
        <w:jc w:val="both"/>
        <w:rPr>
          <w:rFonts w:hint="default" w:ascii="Arial" w:hAnsi="Arial" w:cs="Arial"/>
        </w:rPr>
      </w:pPr>
      <w:r>
        <w:rPr>
          <w:rFonts w:hint="default" w:ascii="Arial" w:hAnsi="Arial" w:cs="Arial"/>
        </w:rPr>
        <w:t xml:space="preserve">Categorical attributes were converted to a machine-learning-friendly format using </w:t>
      </w:r>
      <w:r>
        <w:rPr>
          <w:rStyle w:val="20"/>
          <w:rFonts w:hint="default" w:ascii="Arial" w:hAnsi="Arial" w:cs="Arial" w:eastAsiaTheme="majorEastAsia"/>
          <w:b w:val="0"/>
          <w:bCs w:val="0"/>
        </w:rPr>
        <w:t>Nominal-to-Binary encoding</w:t>
      </w:r>
      <w:r>
        <w:rPr>
          <w:rFonts w:hint="default" w:ascii="Arial" w:hAnsi="Arial" w:cs="Arial"/>
          <w:b/>
          <w:bCs/>
        </w:rPr>
        <w:t>.</w:t>
      </w:r>
      <w:r>
        <w:rPr>
          <w:rFonts w:hint="default" w:ascii="Arial" w:hAnsi="Arial" w:cs="Arial"/>
        </w:rPr>
        <w:t xml:space="preserve"> This process transformed each categorical feature into multiple binary (0/1) columns, representing the presence or absence of each category. For example, the “segment” attribute with values such as Consumer, Corporate, and Home Office was transformed into three separate binary columns, enabling algorithms like Random Forest and Naive Bayes to process the categorical data effectively.</w:t>
      </w:r>
    </w:p>
    <w:p w14:paraId="40840AC4">
      <w:pPr>
        <w:pStyle w:val="19"/>
        <w:keepNext/>
        <w:spacing w:line="360" w:lineRule="auto"/>
        <w:ind w:left="360"/>
        <w:jc w:val="center"/>
        <w:rPr>
          <w:rFonts w:hint="default" w:ascii="Arial" w:hAnsi="Arial" w:cs="Arial"/>
        </w:rPr>
      </w:pPr>
      <w:r>
        <w:rPr>
          <w:rFonts w:hint="default" w:ascii="Arial" w:hAnsi="Arial" w:cs="Arial"/>
        </w:rPr>
        <w:drawing>
          <wp:inline distT="0" distB="0" distL="0" distR="0">
            <wp:extent cx="4085590" cy="2148205"/>
            <wp:effectExtent l="0" t="0" r="0" b="4445"/>
            <wp:docPr id="88885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52196" name="Picture 1"/>
                    <pic:cNvPicPr>
                      <a:picLocks noChangeAspect="1"/>
                    </pic:cNvPicPr>
                  </pic:nvPicPr>
                  <pic:blipFill>
                    <a:blip r:embed="rId11"/>
                    <a:stretch>
                      <a:fillRect/>
                    </a:stretch>
                  </pic:blipFill>
                  <pic:spPr>
                    <a:xfrm>
                      <a:off x="0" y="0"/>
                      <a:ext cx="4097059" cy="2154292"/>
                    </a:xfrm>
                    <a:prstGeom prst="rect">
                      <a:avLst/>
                    </a:prstGeom>
                  </pic:spPr>
                </pic:pic>
              </a:graphicData>
            </a:graphic>
          </wp:inline>
        </w:drawing>
      </w:r>
    </w:p>
    <w:p w14:paraId="78337191">
      <w:pPr>
        <w:pStyle w:val="13"/>
        <w:jc w:val="center"/>
        <w:rPr>
          <w:rFonts w:hint="default" w:ascii="Arial" w:hAnsi="Arial" w:cs="Arial"/>
          <w:color w:val="000000" w:themeColor="text1"/>
          <w14:textFill>
            <w14:solidFill>
              <w14:schemeClr w14:val="tx1"/>
            </w14:solidFill>
          </w14:textFil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5</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Handling Nominal To Binary</w:t>
      </w:r>
    </w:p>
    <w:p w14:paraId="22E26CC2">
      <w:pPr>
        <w:pStyle w:val="19"/>
        <w:spacing w:line="360" w:lineRule="auto"/>
        <w:ind w:left="360"/>
        <w:jc w:val="both"/>
        <w:rPr>
          <w:rStyle w:val="20"/>
          <w:rFonts w:hint="default" w:ascii="Arial" w:hAnsi="Arial" w:cs="Arial"/>
          <w:b w:val="0"/>
          <w:bCs w:val="0"/>
        </w:rPr>
      </w:pPr>
      <w:r>
        <w:rPr>
          <w:rFonts w:hint="default" w:ascii="Arial" w:hAnsi="Arial" w:cs="Arial"/>
        </w:rPr>
        <w:t xml:space="preserve">Finally, numeric attributes, including discount, profit, quantity, sales, and profit margin, were </w:t>
      </w:r>
      <w:r>
        <w:rPr>
          <w:rStyle w:val="20"/>
          <w:rFonts w:hint="default" w:ascii="Arial" w:hAnsi="Arial" w:cs="Arial" w:eastAsiaTheme="majorEastAsia"/>
          <w:b w:val="0"/>
          <w:bCs w:val="0"/>
        </w:rPr>
        <w:t>scaled</w:t>
      </w:r>
      <w:r>
        <w:rPr>
          <w:rFonts w:hint="default" w:ascii="Arial" w:hAnsi="Arial" w:cs="Arial"/>
        </w:rPr>
        <w:t xml:space="preserve"> using normalization techniques to ensure all features were on a comparable range. This step is crucial for algorithms sensitive to feature magnitude and improves convergence during model training. These comprehensive pre-processing steps ensured the dataset was clean, balanced, and fully prepared for building robust predictive models.</w:t>
      </w:r>
    </w:p>
    <w:p w14:paraId="72C54ACC">
      <w:pPr>
        <w:pStyle w:val="19"/>
        <w:numPr>
          <w:ilvl w:val="1"/>
          <w:numId w:val="1"/>
        </w:numPr>
        <w:spacing w:line="360" w:lineRule="auto"/>
        <w:rPr>
          <w:rStyle w:val="20"/>
          <w:rFonts w:hint="default" w:ascii="Arial" w:hAnsi="Arial" w:cs="Arial"/>
          <w:sz w:val="28"/>
          <w:szCs w:val="28"/>
        </w:rPr>
      </w:pPr>
      <w:r>
        <w:rPr>
          <w:rStyle w:val="20"/>
          <w:rFonts w:hint="default" w:ascii="Arial" w:hAnsi="Arial" w:cs="Arial" w:eastAsiaTheme="majorEastAsia"/>
          <w:sz w:val="28"/>
          <w:szCs w:val="28"/>
        </w:rPr>
        <w:t>Models Building</w:t>
      </w:r>
    </w:p>
    <w:p w14:paraId="4F6E13F9">
      <w:pPr>
        <w:pStyle w:val="19"/>
        <w:spacing w:line="360" w:lineRule="auto"/>
        <w:ind w:left="360"/>
        <w:jc w:val="both"/>
        <w:rPr>
          <w:rFonts w:hint="default" w:ascii="Arial" w:hAnsi="Arial" w:cs="Arial"/>
        </w:rPr>
      </w:pPr>
      <w:r>
        <w:rPr>
          <w:rFonts w:hint="default" w:ascii="Arial" w:hAnsi="Arial" w:cs="Arial"/>
        </w:rPr>
        <w:t>After completing the data pre-processing, the next step involves building predictive models to analyze the Superstore dataset. Two widely used classification algorithms were employed: Random Forest and Naive Bayes. These models were chosen due to their complementary strengths in handling structured retail data and categorical features.</w:t>
      </w:r>
    </w:p>
    <w:p w14:paraId="4D010562">
      <w:pPr>
        <w:pStyle w:val="19"/>
        <w:spacing w:line="360" w:lineRule="auto"/>
        <w:ind w:left="360"/>
        <w:jc w:val="both"/>
        <w:rPr>
          <w:rFonts w:hint="default" w:ascii="Arial" w:hAnsi="Arial" w:cs="Arial"/>
        </w:rPr>
      </w:pPr>
      <w:r>
        <w:rPr>
          <w:rFonts w:hint="default" w:ascii="Arial" w:hAnsi="Arial" w:cs="Arial"/>
        </w:rPr>
        <w:t>The Random Forest model is an ensemble learning method that constructs multiple decision trees during training. Each tree is built on a bootstrap sample of the dataset, and at each split, a random subset of features is considered. This randomness reduces overfitting and improves generalization. Key parameters used in model building include the number of trees, the maximum depth of each tree, and the minimum samples required at leaf nodes. Random Forest can naturally handle both numeric and categorical data, making it well-suited for complex datasets like Superstore.</w:t>
      </w:r>
    </w:p>
    <w:p w14:paraId="3B3856D8">
      <w:pPr>
        <w:pStyle w:val="19"/>
        <w:spacing w:line="360" w:lineRule="auto"/>
        <w:ind w:left="360"/>
        <w:jc w:val="both"/>
        <w:rPr>
          <w:rFonts w:hint="default" w:ascii="Arial" w:hAnsi="Arial" w:cs="Arial"/>
        </w:rPr>
      </w:pPr>
      <w:r>
        <w:rPr>
          <w:rFonts w:hint="default" w:ascii="Arial" w:hAnsi="Arial" w:cs="Arial"/>
        </w:rPr>
        <w:t>The Naive Bayes model is a probabilistic classifier based on Bayes’ theorem, assuming independence between features. It calculates the likelihood of each class given the input features and predicts the class with the highest posterior probability. Numeric features were handled using Gaussian assumptions, while categorical features were encoded using Nominal-to-Binary conversion. Naive Bayes is computationally efficient and interpretable, making it useful as a baseline model for comparison with Random Forest.</w:t>
      </w:r>
    </w:p>
    <w:p w14:paraId="7B6878ED">
      <w:pPr>
        <w:pStyle w:val="19"/>
        <w:spacing w:line="360" w:lineRule="auto"/>
        <w:ind w:left="360"/>
        <w:jc w:val="both"/>
        <w:rPr>
          <w:rFonts w:hint="default" w:ascii="Arial" w:hAnsi="Arial" w:cs="Arial"/>
        </w:rPr>
      </w:pPr>
      <w:r>
        <w:rPr>
          <w:rFonts w:hint="default" w:ascii="Arial" w:hAnsi="Arial" w:cs="Arial"/>
        </w:rPr>
        <w:t>Both models were implemented using WEKA, which provides a graphical interface and predefined options for handling categorical and numeric data [10]. The dataset was split into training and testing subsets to evaluate model performance, ensuring that the predictive results reflect real-world applicability. These models form the foundation for further evaluation, comparison, and analysis in the subsequent sections.</w:t>
      </w:r>
    </w:p>
    <w:p w14:paraId="73E316CD">
      <w:pPr>
        <w:pStyle w:val="19"/>
        <w:numPr>
          <w:ilvl w:val="2"/>
          <w:numId w:val="1"/>
        </w:numPr>
        <w:spacing w:line="360" w:lineRule="auto"/>
        <w:rPr>
          <w:rFonts w:hint="default" w:ascii="Arial" w:hAnsi="Arial" w:cs="Arial"/>
          <w:b/>
          <w:bCs/>
          <w:i/>
          <w:iCs/>
        </w:rPr>
      </w:pPr>
      <w:r>
        <w:rPr>
          <w:rFonts w:hint="default" w:ascii="Arial" w:hAnsi="Arial" w:cs="Arial"/>
          <w:b/>
          <w:bCs/>
          <w:i/>
          <w:iCs/>
        </w:rPr>
        <w:t>Random Forest</w:t>
      </w:r>
    </w:p>
    <w:p w14:paraId="7A0F3CD0">
      <w:pPr>
        <w:pStyle w:val="19"/>
        <w:spacing w:line="360" w:lineRule="auto"/>
        <w:ind w:left="360"/>
        <w:jc w:val="both"/>
        <w:rPr>
          <w:rFonts w:hint="default" w:ascii="Arial" w:hAnsi="Arial" w:cs="Arial"/>
        </w:rPr>
      </w:pPr>
      <w:r>
        <w:rPr>
          <w:rFonts w:hint="default" w:ascii="Arial" w:hAnsi="Arial" w:cs="Arial"/>
        </w:rPr>
        <w:t>The Random Forest classifier was implemented in WEKA with a configuration of 100 trees, using the default number of features considered at each split (log2 of the total features plus one). Each leaf node was required to have a minimum of one sample, and bootstrap sampling with replacement was enabled. This configuration allows the model to combine predictions from multiple decision trees, improving robustness and reducing overfitting.</w:t>
      </w:r>
    </w:p>
    <w:p w14:paraId="4E24DFA4">
      <w:pPr>
        <w:pStyle w:val="19"/>
        <w:numPr>
          <w:ilvl w:val="2"/>
          <w:numId w:val="1"/>
        </w:numPr>
        <w:spacing w:line="360" w:lineRule="auto"/>
        <w:rPr>
          <w:rFonts w:hint="default" w:ascii="Arial" w:hAnsi="Arial" w:cs="Arial"/>
          <w:b/>
          <w:bCs/>
          <w:i/>
          <w:iCs/>
        </w:rPr>
      </w:pPr>
      <w:r>
        <w:rPr>
          <w:rFonts w:hint="default" w:ascii="Arial" w:hAnsi="Arial" w:cs="Arial"/>
          <w:b/>
          <w:bCs/>
          <w:i/>
          <w:iCs/>
        </w:rPr>
        <w:t>Naive Bayes</w:t>
      </w:r>
    </w:p>
    <w:p w14:paraId="1F09EDDD">
      <w:pPr>
        <w:pStyle w:val="19"/>
        <w:spacing w:line="360" w:lineRule="auto"/>
        <w:ind w:left="284"/>
        <w:jc w:val="both"/>
        <w:rPr>
          <w:rFonts w:hint="default" w:ascii="Arial" w:hAnsi="Arial" w:cs="Arial"/>
        </w:rPr>
      </w:pPr>
      <w:r>
        <w:rPr>
          <w:rFonts w:hint="default" w:ascii="Arial" w:hAnsi="Arial" w:cs="Arial"/>
        </w:rPr>
        <w:t>The Naive Bayes classifier was implemented with the standard assumptions of feature independence. Kernel density estimation was used for numeric attributes, enabling the model to handle continuous data effectively. The classifier computes the probability of each class given the input features and assigns the class with the highest probability, providing a simple and efficient baseline for classification tasks.</w:t>
      </w:r>
    </w:p>
    <w:p w14:paraId="2E13CAA7">
      <w:pPr>
        <w:pStyle w:val="2"/>
        <w:numPr>
          <w:ilvl w:val="0"/>
          <w:numId w:val="1"/>
        </w:numPr>
        <w:spacing w:line="360" w:lineRule="auto"/>
        <w:ind w:left="284"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Model Evaluation</w:t>
      </w:r>
    </w:p>
    <w:p w14:paraId="038B580D">
      <w:pPr>
        <w:pStyle w:val="36"/>
        <w:numPr>
          <w:ilvl w:val="1"/>
          <w:numId w:val="1"/>
        </w:numPr>
        <w:spacing w:line="360" w:lineRule="auto"/>
        <w:ind w:left="426"/>
        <w:rPr>
          <w:rFonts w:hint="default" w:ascii="Arial" w:hAnsi="Arial" w:cs="Arial"/>
          <w:b/>
          <w:bCs/>
          <w:sz w:val="28"/>
          <w:szCs w:val="28"/>
        </w:rPr>
      </w:pPr>
      <w:r>
        <w:rPr>
          <w:rFonts w:hint="default" w:ascii="Arial" w:hAnsi="Arial" w:cs="Arial"/>
          <w:b/>
          <w:bCs/>
          <w:sz w:val="28"/>
          <w:szCs w:val="28"/>
        </w:rPr>
        <w:t>Random Forest</w:t>
      </w:r>
    </w:p>
    <w:p w14:paraId="6D76D7C6">
      <w:pPr>
        <w:pStyle w:val="19"/>
        <w:tabs>
          <w:tab w:val="left" w:pos="8789"/>
        </w:tabs>
        <w:spacing w:line="360" w:lineRule="auto"/>
        <w:ind w:left="66"/>
        <w:jc w:val="both"/>
        <w:rPr>
          <w:rFonts w:hint="default" w:ascii="Arial" w:hAnsi="Arial" w:cs="Arial"/>
        </w:rPr>
      </w:pPr>
      <w:r>
        <w:rPr>
          <w:rFonts w:hint="default" w:ascii="Arial" w:hAnsi="Arial" w:cs="Arial"/>
        </w:rPr>
        <w:t>The Random Forest classifier demonstrated superior predictive performance compared to the Naive Bayes classifier when applied to the Superstore Sales Dataset. It achieved perfect classification, with an overall accuracy of 100%, indicating that every instance in the dataset was correctly categorized according to its respective regional label. The Kappa statistic, which measures the level of agreement between predicted and actual classifications while accounting for chance agreement, reached its maximum value of 1, signifying perfect agreement between predictions and true outcomes.</w:t>
      </w:r>
    </w:p>
    <w:p w14:paraId="0340C93C">
      <w:pPr>
        <w:pStyle w:val="19"/>
        <w:tabs>
          <w:tab w:val="left" w:pos="8789"/>
        </w:tabs>
        <w:spacing w:line="360" w:lineRule="auto"/>
        <w:ind w:left="66"/>
        <w:jc w:val="both"/>
        <w:rPr>
          <w:rFonts w:hint="default" w:ascii="Arial" w:hAnsi="Arial" w:cs="Arial"/>
        </w:rPr>
      </w:pPr>
      <w:r>
        <w:rPr>
          <w:rFonts w:hint="default" w:ascii="Arial" w:hAnsi="Arial" w:cs="Arial"/>
        </w:rPr>
        <w:t xml:space="preserve">The confusion matrix further illustrates the model’s flawless performance. All 3,203 instances from the West region were classified correctly as West, with no misclassifications into any other region. Similarly, all 2,323 instances from the Central region were correctly predicted, as were all 2,848 instances from the East region and all 1,620 instances from the South region. </w:t>
      </w:r>
    </w:p>
    <w:p w14:paraId="053F19FF">
      <w:pPr>
        <w:pStyle w:val="19"/>
        <w:keepNext/>
        <w:jc w:val="center"/>
        <w:rPr>
          <w:rFonts w:hint="default" w:ascii="Arial" w:hAnsi="Arial" w:cs="Arial"/>
        </w:rPr>
      </w:pPr>
      <w:r>
        <w:rPr>
          <w:rFonts w:hint="default" w:ascii="Arial" w:hAnsi="Arial" w:cs="Arial"/>
          <w:sz w:val="28"/>
          <w:szCs w:val="28"/>
        </w:rPr>
        <w:drawing>
          <wp:inline distT="0" distB="0" distL="114300" distR="114300">
            <wp:extent cx="4544060" cy="3105150"/>
            <wp:effectExtent l="0" t="0" r="8890" b="0"/>
            <wp:docPr id="3" name="Picture 3" descr="tree random_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ree random_forest"/>
                    <pic:cNvPicPr>
                      <a:picLocks noChangeAspect="1"/>
                    </pic:cNvPicPr>
                  </pic:nvPicPr>
                  <pic:blipFill>
                    <a:blip r:embed="rId12"/>
                    <a:stretch>
                      <a:fillRect/>
                    </a:stretch>
                  </pic:blipFill>
                  <pic:spPr>
                    <a:xfrm>
                      <a:off x="0" y="0"/>
                      <a:ext cx="4564556" cy="3119269"/>
                    </a:xfrm>
                    <a:prstGeom prst="rect">
                      <a:avLst/>
                    </a:prstGeom>
                  </pic:spPr>
                </pic:pic>
              </a:graphicData>
            </a:graphic>
          </wp:inline>
        </w:drawing>
      </w:r>
    </w:p>
    <w:p w14:paraId="6BC7D481">
      <w:pPr>
        <w:pStyle w:val="13"/>
        <w:jc w:val="center"/>
        <w:rPr>
          <w:rFonts w:hint="default" w:ascii="Arial" w:hAnsi="Arial" w:cs="Arial"/>
          <w:color w:val="000000" w:themeColor="text1"/>
          <w14:textFill>
            <w14:solidFill>
              <w14:schemeClr w14:val="tx1"/>
            </w14:solidFill>
          </w14:textFil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6</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Random Forest Model Performance</w:t>
      </w:r>
    </w:p>
    <w:p w14:paraId="132F5172">
      <w:pPr>
        <w:pStyle w:val="19"/>
        <w:rPr>
          <w:rFonts w:hint="default" w:ascii="Arial" w:hAnsi="Arial" w:cs="Arial"/>
        </w:rPr>
      </w:pPr>
    </w:p>
    <w:p w14:paraId="4476CDD6">
      <w:pPr>
        <w:pStyle w:val="19"/>
        <w:numPr>
          <w:ilvl w:val="1"/>
          <w:numId w:val="1"/>
        </w:numPr>
        <w:ind w:left="284"/>
        <w:rPr>
          <w:rFonts w:hint="default" w:ascii="Arial" w:hAnsi="Arial" w:cs="Arial"/>
          <w:b/>
          <w:bCs/>
          <w:sz w:val="28"/>
          <w:szCs w:val="28"/>
        </w:rPr>
      </w:pPr>
      <w:r>
        <w:rPr>
          <w:rFonts w:hint="default" w:ascii="Arial" w:hAnsi="Arial" w:cs="Arial"/>
          <w:b/>
          <w:bCs/>
          <w:sz w:val="28"/>
          <w:szCs w:val="28"/>
        </w:rPr>
        <w:t xml:space="preserve"> Naive bayes</w:t>
      </w:r>
    </w:p>
    <w:p w14:paraId="6814B638">
      <w:pPr>
        <w:pStyle w:val="19"/>
        <w:tabs>
          <w:tab w:val="left" w:pos="8789"/>
        </w:tabs>
        <w:spacing w:line="360" w:lineRule="auto"/>
        <w:jc w:val="both"/>
        <w:rPr>
          <w:rFonts w:hint="default" w:ascii="Arial" w:hAnsi="Arial" w:cs="Arial"/>
        </w:rPr>
      </w:pPr>
      <w:r>
        <w:rPr>
          <w:rFonts w:hint="default" w:ascii="Arial" w:hAnsi="Arial" w:cs="Arial"/>
        </w:rPr>
        <w:t>The Naive Bayes classifier achieved a high level of predictive performance, with an overall accuracy of 98.87%, correctly classifying 9,881 out of 9,994 instances in the dataset. The Kappa statistic of 0.9846 indicates an almost perfect agreement between the predicted and actual class labels, reflecting the model’s reliability in handling the given classification task. Examination of the confusion matrix shows that the majority of misclassifications occurred primarily between the West and Central regions, with minor errors observed in the East and South regions. This pattern suggests that, although Naive Bayes performs exceptionally well, it occasionally has difficulty differentiating between geographically proximate classes, likely due to overlapping feature distributions or subtle similarities in the transactional patterns of these regions. Despite these limitations, the classifier remains highly effective for regional prediction tasks in the Superstore Sales dataset.</w:t>
      </w:r>
    </w:p>
    <w:p w14:paraId="0F91219C">
      <w:pPr>
        <w:pStyle w:val="19"/>
        <w:keepNext/>
        <w:ind w:left="720"/>
        <w:jc w:val="center"/>
        <w:rPr>
          <w:rFonts w:hint="default" w:ascii="Arial" w:hAnsi="Arial" w:cs="Arial"/>
        </w:rPr>
      </w:pPr>
      <w:r>
        <w:rPr>
          <w:rFonts w:hint="default" w:ascii="Arial" w:hAnsi="Arial" w:cs="Arial"/>
          <w:sz w:val="28"/>
          <w:szCs w:val="28"/>
        </w:rPr>
        <w:drawing>
          <wp:inline distT="0" distB="0" distL="114300" distR="114300">
            <wp:extent cx="4679315" cy="3050540"/>
            <wp:effectExtent l="0" t="0" r="6985" b="0"/>
            <wp:docPr id="2" name="Picture 2" descr="bayes naiveba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yes naivebayes"/>
                    <pic:cNvPicPr>
                      <a:picLocks noChangeAspect="1"/>
                    </pic:cNvPicPr>
                  </pic:nvPicPr>
                  <pic:blipFill>
                    <a:blip r:embed="rId13"/>
                    <a:stretch>
                      <a:fillRect/>
                    </a:stretch>
                  </pic:blipFill>
                  <pic:spPr>
                    <a:xfrm>
                      <a:off x="0" y="0"/>
                      <a:ext cx="4694979" cy="3061192"/>
                    </a:xfrm>
                    <a:prstGeom prst="rect">
                      <a:avLst/>
                    </a:prstGeom>
                  </pic:spPr>
                </pic:pic>
              </a:graphicData>
            </a:graphic>
          </wp:inline>
        </w:drawing>
      </w:r>
    </w:p>
    <w:p w14:paraId="14D3F8BF">
      <w:pPr>
        <w:pStyle w:val="13"/>
        <w:jc w:val="center"/>
        <w:rPr>
          <w:rFonts w:hint="default" w:ascii="Arial" w:hAnsi="Arial" w:cs="Arial"/>
        </w:rPr>
      </w:pPr>
      <w:r>
        <w:rPr>
          <w:rFonts w:hint="default" w:ascii="Arial" w:hAnsi="Arial" w:cs="Arial"/>
          <w:b/>
          <w:bCs/>
          <w:i w:val="0"/>
          <w:iCs w:val="0"/>
          <w:color w:val="000000" w:themeColor="text1"/>
          <w14:textFill>
            <w14:solidFill>
              <w14:schemeClr w14:val="tx1"/>
            </w14:solidFill>
          </w14:textFill>
        </w:rPr>
        <w:t xml:space="preserve">Figure </w:t>
      </w:r>
      <w:r>
        <w:rPr>
          <w:rFonts w:hint="default" w:ascii="Arial" w:hAnsi="Arial" w:cs="Arial"/>
          <w:b/>
          <w:bCs/>
          <w:i w:val="0"/>
          <w:iCs w:val="0"/>
          <w:color w:val="000000" w:themeColor="text1"/>
          <w14:textFill>
            <w14:solidFill>
              <w14:schemeClr w14:val="tx1"/>
            </w14:solidFill>
          </w14:textFill>
        </w:rPr>
        <w:fldChar w:fldCharType="begin"/>
      </w:r>
      <w:r>
        <w:rPr>
          <w:rFonts w:hint="default" w:ascii="Arial" w:hAnsi="Arial" w:cs="Arial"/>
          <w:b/>
          <w:bCs/>
          <w:i w:val="0"/>
          <w:iCs w:val="0"/>
          <w:color w:val="000000" w:themeColor="text1"/>
          <w14:textFill>
            <w14:solidFill>
              <w14:schemeClr w14:val="tx1"/>
            </w14:solidFill>
          </w14:textFill>
        </w:rPr>
        <w:instrText xml:space="preserve"> SEQ Figure \* ARABIC </w:instrText>
      </w:r>
      <w:r>
        <w:rPr>
          <w:rFonts w:hint="default" w:ascii="Arial" w:hAnsi="Arial" w:cs="Arial"/>
          <w:b/>
          <w:bCs/>
          <w:i w:val="0"/>
          <w:iCs w:val="0"/>
          <w:color w:val="000000" w:themeColor="text1"/>
          <w14:textFill>
            <w14:solidFill>
              <w14:schemeClr w14:val="tx1"/>
            </w14:solidFill>
          </w14:textFill>
        </w:rPr>
        <w:fldChar w:fldCharType="separate"/>
      </w:r>
      <w:r>
        <w:rPr>
          <w:rFonts w:hint="default" w:ascii="Arial" w:hAnsi="Arial" w:cs="Arial"/>
          <w:b/>
          <w:bCs/>
          <w:i w:val="0"/>
          <w:iCs w:val="0"/>
          <w:color w:val="000000" w:themeColor="text1"/>
          <w14:textFill>
            <w14:solidFill>
              <w14:schemeClr w14:val="tx1"/>
            </w14:solidFill>
          </w14:textFill>
        </w:rPr>
        <w:t>7</w:t>
      </w:r>
      <w:r>
        <w:rPr>
          <w:rFonts w:hint="default" w:ascii="Arial" w:hAnsi="Arial" w:cs="Arial"/>
          <w:b/>
          <w:bCs/>
          <w:i w:val="0"/>
          <w:iCs w:val="0"/>
          <w:color w:val="000000" w:themeColor="text1"/>
          <w14:textFill>
            <w14:solidFill>
              <w14:schemeClr w14:val="tx1"/>
            </w14:solidFill>
          </w14:textFill>
        </w:rPr>
        <w:fldChar w:fldCharType="end"/>
      </w:r>
      <w:r>
        <w:rPr>
          <w:rFonts w:hint="default" w:ascii="Arial" w:hAnsi="Arial" w:cs="Arial"/>
          <w:b/>
          <w:bCs/>
          <w:i w:val="0"/>
          <w:iCs w:val="0"/>
          <w:color w:val="000000" w:themeColor="text1"/>
          <w14:textFill>
            <w14:solidFill>
              <w14:schemeClr w14:val="tx1"/>
            </w14:solidFill>
          </w14:textFill>
        </w:rPr>
        <w:t>:</w:t>
      </w:r>
      <w:r>
        <w:rPr>
          <w:rFonts w:hint="default" w:ascii="Arial" w:hAnsi="Arial" w:cs="Arial"/>
          <w:color w:val="000000" w:themeColor="text1"/>
          <w14:textFill>
            <w14:solidFill>
              <w14:schemeClr w14:val="tx1"/>
            </w14:solidFill>
          </w14:textFill>
        </w:rPr>
        <w:t xml:space="preserve"> Naive Bayes Model Performance</w:t>
      </w:r>
    </w:p>
    <w:p w14:paraId="41423A51">
      <w:pPr>
        <w:pStyle w:val="19"/>
        <w:rPr>
          <w:rFonts w:hint="default" w:ascii="Arial" w:hAnsi="Arial" w:cs="Arial"/>
        </w:rPr>
      </w:pPr>
    </w:p>
    <w:p w14:paraId="12A3FD32">
      <w:pPr>
        <w:pStyle w:val="19"/>
        <w:numPr>
          <w:ilvl w:val="1"/>
          <w:numId w:val="1"/>
        </w:numPr>
        <w:ind w:left="284"/>
        <w:rPr>
          <w:rFonts w:hint="default" w:ascii="Arial" w:hAnsi="Arial" w:cs="Arial"/>
          <w:b/>
          <w:bCs/>
          <w:sz w:val="28"/>
          <w:szCs w:val="28"/>
        </w:rPr>
      </w:pPr>
      <w:r>
        <w:rPr>
          <w:rFonts w:hint="default" w:ascii="Arial" w:hAnsi="Arial" w:cs="Arial"/>
          <w:b/>
          <w:bCs/>
          <w:sz w:val="28"/>
          <w:szCs w:val="28"/>
        </w:rPr>
        <w:t xml:space="preserve"> Critical Analysis of Results</w:t>
      </w:r>
    </w:p>
    <w:p w14:paraId="66A34953">
      <w:pPr>
        <w:spacing w:before="100" w:beforeAutospacing="1" w:after="100" w:afterAutospacing="1" w:line="360" w:lineRule="auto"/>
        <w:jc w:val="both"/>
        <w:rPr>
          <w:rFonts w:hint="default" w:ascii="Arial" w:hAnsi="Arial" w:eastAsia="Times New Roman" w:cs="Arial"/>
          <w:kern w:val="0"/>
          <w:sz w:val="24"/>
          <w:szCs w:val="24"/>
          <w:lang w:eastAsia="en-GB"/>
          <w14:ligatures w14:val="none"/>
        </w:rPr>
      </w:pPr>
      <w:r>
        <w:rPr>
          <w:rFonts w:hint="default" w:ascii="Arial" w:hAnsi="Arial" w:eastAsia="Times New Roman" w:cs="Arial"/>
          <w:kern w:val="0"/>
          <w:sz w:val="24"/>
          <w:szCs w:val="24"/>
          <w:lang w:eastAsia="en-GB"/>
          <w14:ligatures w14:val="none"/>
        </w:rPr>
        <w:t>The critical analysis of the results focuses on evaluating the performance, strengths, and limitations of the models implemented on the Superstore Sales dataset. Both Random Forest and Naive Bayes classifiers were applied to predict the regional classification of sales transactions, providing insights into their effectiveness for retail analytics. The Random Forest classifier exhibited superior performance, achieving perfect classification with 100% accuracy and a Kappa statistic of 1. The confusion matrix confirms that all instances across the West, Central, East, and South regions were classified correctly, with no misclassifications: This indicates that Random Forest effectively captures complex, nonlinear relationships and interactions between features, making it highly suitable for datasets with multiple attributes, such as the Superstore Sales dataset. Its ensemble-based approach reduces the risk of overfitting while providing high generalization capability.</w:t>
      </w:r>
    </w:p>
    <w:p w14:paraId="50B8DC45">
      <w:pPr>
        <w:spacing w:before="100" w:beforeAutospacing="1" w:after="100" w:afterAutospacing="1" w:line="360" w:lineRule="auto"/>
        <w:jc w:val="both"/>
        <w:rPr>
          <w:rFonts w:hint="default" w:ascii="Arial" w:hAnsi="Arial" w:eastAsia="Times New Roman" w:cs="Arial"/>
          <w:kern w:val="0"/>
          <w:sz w:val="24"/>
          <w:szCs w:val="24"/>
          <w:lang w:eastAsia="en-GB"/>
          <w14:ligatures w14:val="none"/>
        </w:rPr>
      </w:pPr>
      <w:r>
        <w:rPr>
          <w:rFonts w:hint="default" w:ascii="Arial" w:hAnsi="Arial" w:eastAsia="Times New Roman" w:cs="Arial"/>
          <w:kern w:val="0"/>
          <w:sz w:val="24"/>
          <w:szCs w:val="24"/>
          <w:lang w:eastAsia="en-GB"/>
          <w14:ligatures w14:val="none"/>
        </w:rPr>
        <w:t>In comparison, the Naive Bayes classifier achieved an accuracy of 98.87% and a Kappa statistic of 0.9846. While the performance remains high, the confusion matrix reveals minor misclassifications, primarily between the West and Central regions, with occasional errors in the East and South regions. This limitation arises from the model’s assumption of feature independence, which may not fully hold in real-world retail data where features such as city, zip code, and product category are often correlated. Despite this, Naive Bayes offers faster training times and simpler implementation, which can be advantageous for rapid deployment in large-scale datasets. The analysis demonstrates clear trade-offs between the two models. Random Forest provides higher predictive accuracy and robustness, particularly for datasets with intricate feature interactions, whereas Naive Bayes offers simplicity, interpretability, and computational efficiency but may struggle in distinguishing classes with subtle overlaps. For practical business decision-making, the choice of model depends on the specific objectives: if maximum accuracy is critical, Random Forest is preferable, whereas for quicker insights with moderate accuracy, Naive Bayes can be considered.</w:t>
      </w:r>
    </w:p>
    <w:p w14:paraId="5EE71CE7">
      <w:pPr>
        <w:spacing w:before="100" w:beforeAutospacing="1" w:after="100" w:afterAutospacing="1" w:line="360" w:lineRule="auto"/>
        <w:jc w:val="both"/>
        <w:rPr>
          <w:rFonts w:hint="default" w:ascii="Arial" w:hAnsi="Arial" w:eastAsia="Times New Roman" w:cs="Arial"/>
          <w:kern w:val="0"/>
          <w:sz w:val="24"/>
          <w:szCs w:val="24"/>
          <w:lang w:eastAsia="en-GB"/>
          <w14:ligatures w14:val="none"/>
        </w:rPr>
      </w:pPr>
      <w:r>
        <w:rPr>
          <w:rFonts w:hint="default" w:ascii="Arial" w:hAnsi="Arial" w:eastAsia="Times New Roman" w:cs="Arial"/>
          <w:kern w:val="0"/>
          <w:sz w:val="24"/>
          <w:szCs w:val="24"/>
          <w:lang w:eastAsia="en-GB"/>
          <w14:ligatures w14:val="none"/>
        </w:rPr>
        <w:t>Overall, the results highlight the importance of model selection in retail analytics, emphasizing that ensemble methods like Random Forest are highly effective for complex prediction tasks, while simpler probabilistic models such as Naive Bayes still provide valuable insights with minimal computational cost.</w:t>
      </w:r>
    </w:p>
    <w:p w14:paraId="6EC91BED">
      <w:pPr>
        <w:pStyle w:val="36"/>
        <w:numPr>
          <w:ilvl w:val="1"/>
          <w:numId w:val="1"/>
        </w:numPr>
        <w:spacing w:before="100" w:beforeAutospacing="1" w:after="100" w:afterAutospacing="1" w:line="360" w:lineRule="auto"/>
        <w:ind w:left="284"/>
        <w:jc w:val="both"/>
        <w:rPr>
          <w:rFonts w:hint="default" w:ascii="Arial" w:hAnsi="Arial" w:eastAsia="Times New Roman" w:cs="Arial"/>
          <w:b/>
          <w:bCs/>
          <w:kern w:val="0"/>
          <w:sz w:val="28"/>
          <w:szCs w:val="28"/>
          <w:lang w:eastAsia="en-GB"/>
          <w14:ligatures w14:val="none"/>
        </w:rPr>
      </w:pPr>
      <w:r>
        <w:rPr>
          <w:rFonts w:hint="default" w:ascii="Arial" w:hAnsi="Arial" w:eastAsia="Times New Roman" w:cs="Arial"/>
          <w:b/>
          <w:bCs/>
          <w:kern w:val="0"/>
          <w:sz w:val="28"/>
          <w:szCs w:val="28"/>
          <w:lang w:eastAsia="en-GB"/>
          <w14:ligatures w14:val="none"/>
        </w:rPr>
        <w:t xml:space="preserve"> Discussion of Findings and Recommendations</w:t>
      </w:r>
    </w:p>
    <w:p w14:paraId="22D1F1B0">
      <w:pPr>
        <w:pStyle w:val="19"/>
        <w:spacing w:line="360" w:lineRule="auto"/>
        <w:jc w:val="both"/>
        <w:rPr>
          <w:rFonts w:hint="default" w:ascii="Arial" w:hAnsi="Arial" w:cs="Arial"/>
        </w:rPr>
      </w:pPr>
      <w:r>
        <w:rPr>
          <w:rFonts w:hint="default" w:ascii="Arial" w:hAnsi="Arial" w:cs="Arial"/>
        </w:rPr>
        <w:t>The analysis of the superstore dataset using Random Forest and Naive Bayes classifiers provides several important insights and actionable recommendations for retail operations. The findings demonstrate that machine learning models can effectively leverage transactional data to uncover patterns related to customer behaviour, regional sales trends, and product performance, thereby supporting data-driven decision-making.</w:t>
      </w:r>
    </w:p>
    <w:p w14:paraId="6B31A3C8">
      <w:pPr>
        <w:pStyle w:val="19"/>
        <w:spacing w:line="360" w:lineRule="auto"/>
        <w:jc w:val="both"/>
        <w:rPr>
          <w:rFonts w:hint="default" w:ascii="Arial" w:hAnsi="Arial" w:cs="Arial"/>
        </w:rPr>
      </w:pPr>
      <w:r>
        <w:rPr>
          <w:rFonts w:hint="default" w:ascii="Arial" w:hAnsi="Arial" w:cs="Arial"/>
        </w:rPr>
        <w:t>The Random Forest model achieved perfect classification accuracy, correctly predicting all transactions across the West, Central, East, and South regions. This indicates that ensemble learning methods are highly effective in capturing complex interactions between customer demographics, product attributes, and regional characteristics. In practical terms, this suggests that retailers can rely on such models to accurately segment sales data by region, forecast regional demand, and tailor supply chain strategies accordingly. The model’s ability to handle nonlinear relationships and multiple interacting features makes it particularly suited for scenarios involving diverse product categories, complex pricing schemes, and heterogeneous customer segments.</w:t>
      </w:r>
    </w:p>
    <w:p w14:paraId="6A652E5C">
      <w:pPr>
        <w:pStyle w:val="19"/>
        <w:spacing w:line="360" w:lineRule="auto"/>
        <w:jc w:val="both"/>
        <w:rPr>
          <w:rFonts w:hint="default" w:ascii="Arial" w:hAnsi="Arial" w:cs="Arial"/>
        </w:rPr>
      </w:pPr>
      <w:r>
        <w:rPr>
          <w:rFonts w:hint="default" w:ascii="Arial" w:hAnsi="Arial" w:cs="Arial"/>
        </w:rPr>
        <w:t>The Naive Bayes classifier, while slightly less accurate at 98.87%, still performed exceptionally well. The few misclassifications observed primarily occurred between geographically or demographically similar regions, suggesting that the model occasionally struggles with subtle distinctions between classes with overlapping characteristics. Nevertheless, the simplicity, speed, and interpretability of Naive Bayes make it highly valuable for rapid deployment in operational environments where quick insights are needed, such as initial customer segmentation, preliminary sales forecasting, or early-stage marketing campaigns [11].</w:t>
      </w:r>
    </w:p>
    <w:p w14:paraId="46B05F41">
      <w:pPr>
        <w:pStyle w:val="19"/>
        <w:spacing w:line="360" w:lineRule="auto"/>
        <w:jc w:val="both"/>
        <w:rPr>
          <w:rFonts w:hint="default" w:ascii="Arial" w:hAnsi="Arial" w:cs="Arial"/>
        </w:rPr>
      </w:pPr>
      <w:r>
        <w:rPr>
          <w:rFonts w:hint="default" w:ascii="Arial" w:hAnsi="Arial" w:cs="Arial"/>
        </w:rPr>
        <w:t>From the findings, several strategic recommendations emerge. First, retailers should adopt ensemble models like Random Forest for high-stakes predictive tasks where accuracy is paramount, such as optimizing inventory allocation, planning regional promotions, or forecasting seasonal demand. Second, simpler probabilistic models like Naive Bayes can complement these approaches in scenarios requiring fast, interpretable insights, including targeted marketing initiatives or real-time sales monitoring. Third, preprocessing steps such as null value handling, duplicate removal, class balancing, and encoding categorical variables are essential to ensure robust model performance, highlighting the importance of maintaining high-quality, structured data for predictive analytics.</w:t>
      </w:r>
    </w:p>
    <w:p w14:paraId="774326AA">
      <w:pPr>
        <w:pStyle w:val="19"/>
        <w:spacing w:line="360" w:lineRule="auto"/>
        <w:jc w:val="both"/>
        <w:rPr>
          <w:rFonts w:hint="default" w:ascii="Arial" w:hAnsi="Arial" w:cs="Arial"/>
        </w:rPr>
      </w:pPr>
      <w:r>
        <w:rPr>
          <w:rFonts w:hint="default" w:ascii="Arial" w:hAnsi="Arial" w:cs="Arial"/>
        </w:rPr>
        <w:t>Additionally, the insights derived from model outputs can inform operational strategies. For example, understanding regional sales patterns can guide logistics planning and inventory distribution, ensuring that high-demand areas are adequately stocked while minimizing excess inventory in lower-demand regions. Similarly, analyzing feature importance within models like Random Forest can help identify the most influential factors affecting sales and profitability, enabling targeted interventions in product pricing, discount strategies, and marketing efforts [12].</w:t>
      </w:r>
    </w:p>
    <w:p w14:paraId="662F30BB">
      <w:pPr>
        <w:pStyle w:val="19"/>
        <w:spacing w:line="360" w:lineRule="auto"/>
        <w:jc w:val="both"/>
        <w:rPr>
          <w:rFonts w:hint="default" w:ascii="Arial" w:hAnsi="Arial" w:cs="Arial"/>
        </w:rPr>
      </w:pPr>
      <w:r>
        <w:rPr>
          <w:rFonts w:hint="default" w:ascii="Arial" w:hAnsi="Arial" w:cs="Arial"/>
        </w:rPr>
        <w:t>In conclusion, the study underscores the value of predictive analytics in the retail sector. By applying machine learning models to transactional data, organizations can achieve a deeper understanding of customer behaviour, optimize operational efficiency, and enhance profitability. Combining highly accurate models like Random Forest with interpretable and fast models like Naive Bayes allows retailers to balance predictive performance with practical usability, thereby supporting informed, data-driven decision-making across multiple aspects of business strategy.</w:t>
      </w:r>
    </w:p>
    <w:p w14:paraId="4A04A8EA">
      <w:pPr>
        <w:pStyle w:val="19"/>
        <w:numPr>
          <w:ilvl w:val="0"/>
          <w:numId w:val="1"/>
        </w:numPr>
        <w:ind w:left="426" w:hanging="426"/>
        <w:rPr>
          <w:rFonts w:hint="default" w:ascii="Arial" w:hAnsi="Arial" w:cs="Arial"/>
          <w:b/>
          <w:bCs/>
          <w:color w:val="000000" w:themeColor="text1"/>
          <w:sz w:val="32"/>
          <w:szCs w:val="32"/>
          <w14:textFill>
            <w14:solidFill>
              <w14:schemeClr w14:val="tx1"/>
            </w14:solidFill>
          </w14:textFill>
        </w:rPr>
      </w:pPr>
      <w:r>
        <w:rPr>
          <w:rFonts w:hint="default" w:ascii="Arial" w:hAnsi="Arial" w:cs="Arial" w:eastAsiaTheme="majorEastAsia"/>
          <w:b/>
          <w:bCs/>
          <w:color w:val="000000" w:themeColor="text1"/>
          <w:sz w:val="32"/>
          <w:szCs w:val="32"/>
          <w14:textFill>
            <w14:solidFill>
              <w14:schemeClr w14:val="tx1"/>
            </w14:solidFill>
          </w14:textFill>
        </w:rPr>
        <w:t>Conclusion</w:t>
      </w:r>
    </w:p>
    <w:p w14:paraId="7CFD17A0">
      <w:pPr>
        <w:pStyle w:val="19"/>
        <w:spacing w:line="360" w:lineRule="auto"/>
        <w:jc w:val="both"/>
        <w:rPr>
          <w:rFonts w:hint="default" w:ascii="Arial" w:hAnsi="Arial" w:cs="Arial"/>
        </w:rPr>
      </w:pPr>
      <w:r>
        <w:rPr>
          <w:rFonts w:hint="default" w:ascii="Arial" w:hAnsi="Arial" w:cs="Arial"/>
        </w:rPr>
        <w:t>The study conducted a detailed evaluation of predictive modeling techniques applied to a comprehensive superstore sales dataset, which encompassed customer demographics, product details, geographic attributes, and transaction metrics. The dataset contained 9,994 transactions and 15 attributes, including information on customer segments, product categories, regions, and sales performance measures such as discount, profit, quantity, and profit margin. Prior to model development, extensive data preprocessing was undertaken to ensure the integrity and usability of the data. This included handling null values through imputation, removing duplicate entries to avoid bias, balancing classes to mitigate skewed distributions in regional categories, and encoding categorical variables to transform them into a format suitable for machine learning algorithms. Such preprocessing steps were critical in enhancing the quality of model training and ensuring robust predictive performance.</w:t>
      </w:r>
    </w:p>
    <w:p w14:paraId="14804585">
      <w:pPr>
        <w:pStyle w:val="19"/>
        <w:spacing w:line="360" w:lineRule="auto"/>
        <w:jc w:val="both"/>
        <w:rPr>
          <w:rFonts w:hint="default" w:ascii="Arial" w:hAnsi="Arial" w:cs="Arial"/>
        </w:rPr>
      </w:pPr>
      <w:r>
        <w:rPr>
          <w:rFonts w:hint="default" w:ascii="Arial" w:hAnsi="Arial" w:cs="Arial"/>
        </w:rPr>
        <w:t>Two classification models, Random Forest and Naive Bayes, were implemented and rigorously evaluated to predict the regional classification of transactions. The Random Forest classifier, an ensemble learning method based on multiple decision trees, demonstrated exceptional predictive capability. It achieved perfect classification accuracy of 100%, with a Kappa statistic of 1, indicating complete agreement between predicted and actual classes. The confusion matrix further validated the model’s performance, showing that all transactions across the West, Central, East, and South regions were correctly classified with no misclassifications. This result illustrates the Random Forest model’s strength in capturing complex nonlinear relationships among multiple features and effectively handling interactions that simpler models may overlook. Its ensemble approach mitigates overfitting by averaging predictions across numerous trees, providing stability and generalization across unseen data.</w:t>
      </w:r>
    </w:p>
    <w:p w14:paraId="17F7C47A">
      <w:pPr>
        <w:pStyle w:val="19"/>
        <w:spacing w:line="360" w:lineRule="auto"/>
        <w:jc w:val="both"/>
        <w:rPr>
          <w:rFonts w:hint="default" w:ascii="Arial" w:hAnsi="Arial" w:cs="Arial"/>
        </w:rPr>
      </w:pPr>
      <w:r>
        <w:rPr>
          <w:rFonts w:hint="default" w:ascii="Arial" w:hAnsi="Arial" w:cs="Arial"/>
        </w:rPr>
        <w:t>In contrast, the Naive Bayes classifier, which relies on the assumption of feature independence and probabilistic inference, achieved a slightly lower but still highly respectable accuracy of 98.87%, with a Kappa statistic of 0.9846. Examination of the confusion matrix revealed that most misclassifications occurred between the West and Central regions, with minor errors in the East and South regions. These results suggest that while Naive Bayes is computationally efficient and easy to interpret, it may struggle in scenarios where features are correlated, as was the case in the superstore dataset where product categories, geographic data, and customer segments are interrelated. Despite this limitation, Naive Bayes provides rapid model training and simple implementation, making it suitable for applications that prioritize speed and transparency over absolute predictive performance.</w:t>
      </w:r>
    </w:p>
    <w:p w14:paraId="173948E6">
      <w:pPr>
        <w:pStyle w:val="19"/>
        <w:spacing w:line="360" w:lineRule="auto"/>
        <w:jc w:val="both"/>
        <w:rPr>
          <w:rFonts w:hint="default" w:ascii="Arial" w:hAnsi="Arial" w:cs="Arial"/>
        </w:rPr>
      </w:pPr>
      <w:r>
        <w:rPr>
          <w:rFonts w:hint="default" w:ascii="Arial" w:hAnsi="Arial" w:cs="Arial"/>
        </w:rPr>
        <w:t>The comparative analysis of the two models highlights important trade-offs between model complexity, interpretability, and computational efficiency. Random Forest offers unparalleled accuracy and robustness, particularly for complex, multi-feature datasets, but at the cost of increased computational resources and lower interpretability. Naive Bayes, on the other hand, allows for fast deployment, ease of interpretation, and minimal computational overhead, though with a slightly reduced predictive power.</w:t>
      </w:r>
    </w:p>
    <w:p w14:paraId="0BAE6B76">
      <w:pPr>
        <w:pStyle w:val="19"/>
        <w:spacing w:line="360" w:lineRule="auto"/>
        <w:jc w:val="both"/>
        <w:rPr>
          <w:rFonts w:hint="default" w:ascii="Arial" w:hAnsi="Arial" w:cs="Arial"/>
        </w:rPr>
      </w:pPr>
      <w:r>
        <w:rPr>
          <w:rFonts w:hint="default" w:ascii="Arial" w:hAnsi="Arial" w:cs="Arial"/>
        </w:rPr>
        <w:t>Overall, the study confirms that ensemble learning methods like Random Forest are highly appropriate for structured business datasets where precise predictions are critical, such as in sales forecasting, inventory optimization, and regional performance evaluation. Simpler probabilistic models such as Naive Bayes retain practical value for rapid deployment scenarios and for providing transparent insights to support decision-making processes. These findings underscore the importance of selecting the right predictive modeling approach based on the specific business context, available computational resources, and operational priorities, offering actionable guidance for data-driven decision-making in the retail domain.</w:t>
      </w:r>
    </w:p>
    <w:p w14:paraId="2FD1056E">
      <w:pPr>
        <w:pStyle w:val="2"/>
        <w:numPr>
          <w:ilvl w:val="0"/>
          <w:numId w:val="1"/>
        </w:numPr>
        <w:ind w:left="284"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References</w:t>
      </w:r>
    </w:p>
    <w:p w14:paraId="2530082E">
      <w:pPr>
        <w:pStyle w:val="36"/>
        <w:numPr>
          <w:ilvl w:val="0"/>
          <w:numId w:val="3"/>
        </w:numPr>
        <w:jc w:val="both"/>
        <w:rPr>
          <w:rFonts w:hint="default" w:ascii="Arial" w:hAnsi="Arial" w:cs="Arial"/>
          <w:sz w:val="24"/>
          <w:szCs w:val="24"/>
          <w:lang w:eastAsia="en-GB"/>
        </w:rPr>
      </w:pPr>
      <w:r>
        <w:rPr>
          <w:rFonts w:hint="default" w:ascii="Arial" w:hAnsi="Arial" w:cs="Arial"/>
          <w:sz w:val="24"/>
          <w:szCs w:val="24"/>
          <w:lang w:eastAsia="en-GB"/>
        </w:rPr>
        <w:t>B. K. Mohanty, M. Tripathy, and Santilata Champati, “Performance Analysis of Association Rule Mining Algorithms: Evidence from the Retailing Industry,” </w:t>
      </w:r>
      <w:r>
        <w:rPr>
          <w:rFonts w:hint="default" w:ascii="Arial" w:hAnsi="Arial" w:cs="Arial"/>
          <w:i/>
          <w:iCs/>
          <w:sz w:val="24"/>
          <w:szCs w:val="24"/>
          <w:lang w:eastAsia="en-GB"/>
        </w:rPr>
        <w:t>Journal of Engineering Science and Technology Review</w:t>
      </w:r>
      <w:r>
        <w:rPr>
          <w:rFonts w:hint="default" w:ascii="Arial" w:hAnsi="Arial" w:cs="Arial"/>
          <w:sz w:val="24"/>
          <w:szCs w:val="24"/>
          <w:lang w:eastAsia="en-GB"/>
        </w:rPr>
        <w:t xml:space="preserve">, vol. 16, no. 5, pp. 108–122, Jan. 2023, doi: </w:t>
      </w:r>
      <w:r>
        <w:rPr>
          <w:rFonts w:hint="default" w:ascii="Arial" w:hAnsi="Arial" w:cs="Arial"/>
        </w:rPr>
        <w:fldChar w:fldCharType="begin"/>
      </w:r>
      <w:r>
        <w:rPr>
          <w:rFonts w:hint="default" w:ascii="Arial" w:hAnsi="Arial" w:cs="Arial"/>
        </w:rPr>
        <w:instrText xml:space="preserve"> HYPERLINK "https://doi.org/10.25103/jestr.165.14" </w:instrText>
      </w:r>
      <w:r>
        <w:rPr>
          <w:rFonts w:hint="default" w:ascii="Arial" w:hAnsi="Arial" w:cs="Arial"/>
        </w:rPr>
        <w:fldChar w:fldCharType="separate"/>
      </w:r>
      <w:r>
        <w:rPr>
          <w:rStyle w:val="18"/>
          <w:rFonts w:hint="default" w:ascii="Arial" w:hAnsi="Arial" w:cs="Arial"/>
          <w:sz w:val="24"/>
          <w:szCs w:val="24"/>
          <w:lang w:eastAsia="en-GB"/>
        </w:rPr>
        <w:t>https://doi.org/10.25103/jestr.165.14</w:t>
      </w:r>
      <w:r>
        <w:rPr>
          <w:rStyle w:val="18"/>
          <w:rFonts w:hint="default" w:ascii="Arial" w:hAnsi="Arial" w:cs="Arial"/>
          <w:sz w:val="24"/>
          <w:szCs w:val="24"/>
          <w:lang w:eastAsia="en-GB"/>
        </w:rPr>
        <w:fldChar w:fldCharType="end"/>
      </w:r>
      <w:r>
        <w:rPr>
          <w:rFonts w:hint="default" w:ascii="Arial" w:hAnsi="Arial" w:cs="Arial"/>
          <w:sz w:val="24"/>
          <w:szCs w:val="24"/>
          <w:lang w:eastAsia="en-GB"/>
        </w:rPr>
        <w:t>.</w:t>
      </w:r>
    </w:p>
    <w:p w14:paraId="69CF7FD8">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M. J. A. Berry, G. S. Linoff, and J. Wiley, </w:t>
      </w:r>
      <w:r>
        <w:rPr>
          <w:rFonts w:hint="default" w:ascii="Arial" w:hAnsi="Arial" w:eastAsia="Times New Roman" w:cs="Arial"/>
          <w:i/>
          <w:iCs/>
          <w:color w:val="000000"/>
          <w:kern w:val="0"/>
          <w:sz w:val="24"/>
          <w:szCs w:val="24"/>
          <w:lang w:eastAsia="en-GB"/>
          <w14:ligatures w14:val="none"/>
        </w:rPr>
        <w:t>Data mining techniques : for marketing, sales, and customer relationship managmenet</w:t>
      </w:r>
      <w:r>
        <w:rPr>
          <w:rFonts w:hint="default" w:ascii="Arial" w:hAnsi="Arial" w:eastAsia="Times New Roman" w:cs="Arial"/>
          <w:color w:val="000000"/>
          <w:kern w:val="0"/>
          <w:sz w:val="24"/>
          <w:szCs w:val="24"/>
          <w:lang w:eastAsia="en-GB"/>
          <w14:ligatures w14:val="none"/>
        </w:rPr>
        <w:t>. Indianapolis: Wiley Publishing, Inc., Cop, 2004.</w:t>
      </w:r>
    </w:p>
    <w:p w14:paraId="64F5841B">
      <w:pPr>
        <w:pStyle w:val="36"/>
        <w:numPr>
          <w:ilvl w:val="0"/>
          <w:numId w:val="3"/>
        </w:num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 R. Carbonneau, K. Laframboise, and R. Vahidov, “Application of machine learning techniques for supply chain demand forecasting,” </w:t>
      </w:r>
      <w:r>
        <w:rPr>
          <w:rFonts w:hint="default" w:ascii="Arial" w:hAnsi="Arial" w:eastAsia="Times New Roman" w:cs="Arial"/>
          <w:i/>
          <w:iCs/>
          <w:color w:val="000000"/>
          <w:kern w:val="0"/>
          <w:sz w:val="24"/>
          <w:szCs w:val="24"/>
          <w:lang w:eastAsia="en-GB"/>
          <w14:ligatures w14:val="none"/>
        </w:rPr>
        <w:t>European Journal of Operational Research</w:t>
      </w:r>
      <w:r>
        <w:rPr>
          <w:rFonts w:hint="default" w:ascii="Arial" w:hAnsi="Arial" w:eastAsia="Times New Roman" w:cs="Arial"/>
          <w:color w:val="000000"/>
          <w:kern w:val="0"/>
          <w:sz w:val="24"/>
          <w:szCs w:val="24"/>
          <w:lang w:eastAsia="en-GB"/>
          <w14:ligatures w14:val="none"/>
        </w:rPr>
        <w:t xml:space="preserve">, vol. 184, no. 3, pp. 1140–1154, Feb. 2008, doi: </w:t>
      </w:r>
      <w:r>
        <w:rPr>
          <w:rFonts w:hint="default" w:ascii="Arial" w:hAnsi="Arial" w:cs="Arial"/>
        </w:rPr>
        <w:fldChar w:fldCharType="begin"/>
      </w:r>
      <w:r>
        <w:rPr>
          <w:rFonts w:hint="default" w:ascii="Arial" w:hAnsi="Arial" w:cs="Arial"/>
        </w:rPr>
        <w:instrText xml:space="preserve"> HYPERLINK "https://doi.org/10.1016/j.ejor.2006.12.004"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https://doi.org/10.1016/j.ejor.2006.12.004</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4D02D24F">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T. H. Davenport and J. G. Harris, “Competing on Analytics: The New Science of Winning,” </w:t>
      </w:r>
      <w:r>
        <w:rPr>
          <w:rFonts w:hint="default" w:ascii="Arial" w:hAnsi="Arial" w:eastAsia="Times New Roman" w:cs="Arial"/>
          <w:i/>
          <w:iCs/>
          <w:color w:val="000000"/>
          <w:kern w:val="0"/>
          <w:sz w:val="24"/>
          <w:szCs w:val="24"/>
          <w:lang w:eastAsia="en-GB"/>
          <w14:ligatures w14:val="none"/>
        </w:rPr>
        <w:t>ResearchGate</w:t>
      </w:r>
      <w:r>
        <w:rPr>
          <w:rFonts w:hint="default" w:ascii="Arial" w:hAnsi="Arial" w:eastAsia="Times New Roman" w:cs="Arial"/>
          <w:color w:val="000000"/>
          <w:kern w:val="0"/>
          <w:sz w:val="24"/>
          <w:szCs w:val="24"/>
          <w:lang w:eastAsia="en-GB"/>
          <w14:ligatures w14:val="none"/>
        </w:rPr>
        <w:t xml:space="preserve">, Mar. 06, 2007. </w:t>
      </w:r>
      <w:r>
        <w:rPr>
          <w:rFonts w:hint="default" w:ascii="Arial" w:hAnsi="Arial" w:cs="Arial"/>
        </w:rPr>
        <w:fldChar w:fldCharType="begin"/>
      </w:r>
      <w:r>
        <w:rPr>
          <w:rFonts w:hint="default" w:ascii="Arial" w:hAnsi="Arial" w:cs="Arial"/>
        </w:rPr>
        <w:instrText xml:space="preserve"> HYPERLINK "https://www.researchgate.net/publication/275712863_Competing_on_Analytics_The_New_Science_of_Winning"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https://www.researchgate.net/publication/275712863_Competing_on_Analytics_The_New_Science_of_Winning</w:t>
      </w:r>
      <w:r>
        <w:rPr>
          <w:rStyle w:val="18"/>
          <w:rFonts w:hint="default" w:ascii="Arial" w:hAnsi="Arial" w:eastAsia="Times New Roman" w:cs="Arial"/>
          <w:kern w:val="0"/>
          <w:sz w:val="24"/>
          <w:szCs w:val="24"/>
          <w:lang w:eastAsia="en-GB"/>
          <w14:ligatures w14:val="none"/>
        </w:rPr>
        <w:fldChar w:fldCharType="end"/>
      </w:r>
    </w:p>
    <w:p w14:paraId="54797F24">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W. Elmaghraby and P. Keskinocak, “Dynamic Pricing in the Presence of Inventory Considerations: Research Overview, Current Practices, and Future Directions,” </w:t>
      </w:r>
      <w:r>
        <w:rPr>
          <w:rFonts w:hint="default" w:ascii="Arial" w:hAnsi="Arial" w:eastAsia="Times New Roman" w:cs="Arial"/>
          <w:i/>
          <w:iCs/>
          <w:color w:val="000000"/>
          <w:kern w:val="0"/>
          <w:sz w:val="24"/>
          <w:szCs w:val="24"/>
          <w:lang w:eastAsia="en-GB"/>
          <w14:ligatures w14:val="none"/>
        </w:rPr>
        <w:t>Management Science</w:t>
      </w:r>
      <w:r>
        <w:rPr>
          <w:rFonts w:hint="default" w:ascii="Arial" w:hAnsi="Arial" w:eastAsia="Times New Roman" w:cs="Arial"/>
          <w:color w:val="000000"/>
          <w:kern w:val="0"/>
          <w:sz w:val="24"/>
          <w:szCs w:val="24"/>
          <w:lang w:eastAsia="en-GB"/>
          <w14:ligatures w14:val="none"/>
        </w:rPr>
        <w:t xml:space="preserve">, vol. 49, no. 10, pp. 1287–1309, Oct. 2003, doi: </w:t>
      </w:r>
      <w:r>
        <w:rPr>
          <w:rFonts w:hint="default" w:ascii="Arial" w:hAnsi="Arial" w:cs="Arial"/>
        </w:rPr>
        <w:fldChar w:fldCharType="begin"/>
      </w:r>
      <w:r>
        <w:rPr>
          <w:rFonts w:hint="default" w:ascii="Arial" w:hAnsi="Arial" w:cs="Arial"/>
        </w:rPr>
        <w:instrText xml:space="preserve"> HYPERLINK "https://doi.org/10.1287/mnsc.49.10.1287.17315"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https://doi.org/10.1287/mnsc.49.10.1287.17315</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58C6F968">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R. Fildes and P. Goodwin, “Good and Bad Judgment in Forecasting: Lessons from Four Companies,” </w:t>
      </w:r>
      <w:r>
        <w:rPr>
          <w:rFonts w:hint="default" w:ascii="Arial" w:hAnsi="Arial" w:eastAsia="Times New Roman" w:cs="Arial"/>
          <w:i/>
          <w:iCs/>
          <w:color w:val="000000"/>
          <w:kern w:val="0"/>
          <w:sz w:val="24"/>
          <w:szCs w:val="24"/>
          <w:lang w:eastAsia="en-GB"/>
          <w14:ligatures w14:val="none"/>
        </w:rPr>
        <w:t>foresight</w:t>
      </w:r>
      <w:r>
        <w:rPr>
          <w:rFonts w:hint="default" w:ascii="Arial" w:hAnsi="Arial" w:eastAsia="Times New Roman" w:cs="Arial"/>
          <w:color w:val="000000"/>
          <w:kern w:val="0"/>
          <w:sz w:val="24"/>
          <w:szCs w:val="24"/>
          <w:lang w:eastAsia="en-GB"/>
          <w14:ligatures w14:val="none"/>
        </w:rPr>
        <w:t xml:space="preserve">, vol. 8, no. 8, pp. 5–10, Jan. 2007, Available: </w:t>
      </w:r>
      <w:r>
        <w:rPr>
          <w:rFonts w:hint="default" w:ascii="Arial" w:hAnsi="Arial" w:cs="Arial"/>
        </w:rPr>
        <w:fldChar w:fldCharType="begin"/>
      </w:r>
      <w:r>
        <w:rPr>
          <w:rFonts w:hint="default" w:ascii="Arial" w:hAnsi="Arial" w:cs="Arial"/>
        </w:rPr>
        <w:instrText xml:space="preserve"> HYPERLINK "https://www.researchgate.net/publication/5055580_Good_and_Bad_Judgment_in_Forecasting_Lessons_from_Four_Companies"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https://www.researchgate.net/publication/5055580_Good_and_Bad_Judgment_in_Forecasting_Lessons_from_Four_Companies</w:t>
      </w:r>
      <w:r>
        <w:rPr>
          <w:rStyle w:val="18"/>
          <w:rFonts w:hint="default" w:ascii="Arial" w:hAnsi="Arial" w:eastAsia="Times New Roman" w:cs="Arial"/>
          <w:kern w:val="0"/>
          <w:sz w:val="24"/>
          <w:szCs w:val="24"/>
          <w:lang w:eastAsia="en-GB"/>
          <w14:ligatures w14:val="none"/>
        </w:rPr>
        <w:fldChar w:fldCharType="end"/>
      </w:r>
    </w:p>
    <w:p w14:paraId="613961D2">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T. Chen and C. Guestrin, “XGBoost: a Scalable Tree Boosting System,” </w:t>
      </w:r>
      <w:r>
        <w:rPr>
          <w:rFonts w:hint="default" w:ascii="Arial" w:hAnsi="Arial" w:eastAsia="Times New Roman" w:cs="Arial"/>
          <w:i/>
          <w:iCs/>
          <w:color w:val="000000"/>
          <w:kern w:val="0"/>
          <w:sz w:val="24"/>
          <w:szCs w:val="24"/>
          <w:lang w:eastAsia="en-GB"/>
          <w14:ligatures w14:val="none"/>
        </w:rPr>
        <w:t>Proceedings of the 22nd ACM SIGKDD International Conference on Knowledge Discovery and Data Mining - KDD ’16</w:t>
      </w:r>
      <w:r>
        <w:rPr>
          <w:rFonts w:hint="default" w:ascii="Arial" w:hAnsi="Arial" w:eastAsia="Times New Roman" w:cs="Arial"/>
          <w:color w:val="000000"/>
          <w:kern w:val="0"/>
          <w:sz w:val="24"/>
          <w:szCs w:val="24"/>
          <w:lang w:eastAsia="en-GB"/>
          <w14:ligatures w14:val="none"/>
        </w:rPr>
        <w:t xml:space="preserve">, vol. 1, no. 1, pp. 785–794, Aug. 2016, doi: </w:t>
      </w:r>
      <w:r>
        <w:rPr>
          <w:rFonts w:hint="default" w:ascii="Arial" w:hAnsi="Arial" w:cs="Arial"/>
        </w:rPr>
        <w:fldChar w:fldCharType="begin"/>
      </w:r>
      <w:r>
        <w:rPr>
          <w:rFonts w:hint="default" w:ascii="Arial" w:hAnsi="Arial" w:cs="Arial"/>
        </w:rPr>
        <w:instrText xml:space="preserve"> HYPERLINK "https://doi.org/10.1145/2939672.2939785"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https://doi.org/10.1145/2939672.2939785</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6FD86198">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Rohmatul Fajriyah, Noodchanath Kongchouy, N. Ayudhaya, Rahmadi Yotenka, and Ghiffari Ahnaf Danarwindu, “Pipeline on microarray data analysis: Pre-processing,” </w:t>
      </w:r>
      <w:r>
        <w:rPr>
          <w:rFonts w:hint="default" w:ascii="Arial" w:hAnsi="Arial" w:eastAsia="Times New Roman" w:cs="Arial"/>
          <w:i/>
          <w:iCs/>
          <w:color w:val="000000"/>
          <w:kern w:val="0"/>
          <w:sz w:val="24"/>
          <w:szCs w:val="24"/>
          <w:lang w:eastAsia="en-GB"/>
          <w14:ligatures w14:val="none"/>
        </w:rPr>
        <w:t>Bulletin of Applied Mathematics and Mathematics Education</w:t>
      </w:r>
      <w:r>
        <w:rPr>
          <w:rFonts w:hint="default" w:ascii="Arial" w:hAnsi="Arial" w:eastAsia="Times New Roman" w:cs="Arial"/>
          <w:color w:val="000000"/>
          <w:kern w:val="0"/>
          <w:sz w:val="24"/>
          <w:szCs w:val="24"/>
          <w:lang w:eastAsia="en-GB"/>
          <w14:ligatures w14:val="none"/>
        </w:rPr>
        <w:t xml:space="preserve">, vol. 5, no. 1, pp. 81–96, Jul. 2025, doi: </w:t>
      </w:r>
      <w:r>
        <w:rPr>
          <w:rFonts w:hint="default" w:ascii="Arial" w:hAnsi="Arial" w:cs="Arial"/>
        </w:rPr>
        <w:fldChar w:fldCharType="begin"/>
      </w:r>
      <w:r>
        <w:rPr>
          <w:rFonts w:hint="default" w:ascii="Arial" w:hAnsi="Arial" w:cs="Arial"/>
        </w:rPr>
        <w:instrText xml:space="preserve"> HYPERLINK "https://doi.org/10.12928/bamme.v5i1.12539"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https://doi.org/10.12928/bamme.v5i1.12539</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7862E1C7">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O. O. Mustapha and Dr. T. Sithole, “Forecasting Retail Sales using Machine Learning Models,” </w:t>
      </w:r>
      <w:r>
        <w:rPr>
          <w:rFonts w:hint="default" w:ascii="Arial" w:hAnsi="Arial" w:eastAsia="Times New Roman" w:cs="Arial"/>
          <w:i/>
          <w:iCs/>
          <w:color w:val="000000"/>
          <w:kern w:val="0"/>
          <w:sz w:val="24"/>
          <w:szCs w:val="24"/>
          <w:lang w:eastAsia="en-GB"/>
          <w14:ligatures w14:val="none"/>
        </w:rPr>
        <w:t>American Journal of Statistics and Actuarial Sciences</w:t>
      </w:r>
      <w:r>
        <w:rPr>
          <w:rFonts w:hint="default" w:ascii="Arial" w:hAnsi="Arial" w:eastAsia="Times New Roman" w:cs="Arial"/>
          <w:color w:val="000000"/>
          <w:kern w:val="0"/>
          <w:sz w:val="24"/>
          <w:szCs w:val="24"/>
          <w:lang w:eastAsia="en-GB"/>
          <w14:ligatures w14:val="none"/>
        </w:rPr>
        <w:t xml:space="preserve">, vol. 6, no. 1, pp. 35–67, Apr. 2025, doi: </w:t>
      </w:r>
      <w:r>
        <w:rPr>
          <w:rFonts w:hint="default" w:ascii="Arial" w:hAnsi="Arial" w:cs="Arial"/>
        </w:rPr>
        <w:fldChar w:fldCharType="begin"/>
      </w:r>
      <w:r>
        <w:rPr>
          <w:rFonts w:hint="default" w:ascii="Arial" w:hAnsi="Arial" w:cs="Arial"/>
        </w:rPr>
        <w:instrText xml:space="preserve"> HYPERLINK "https://doi.org/10.47672/ajsas.2679"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https://doi.org/10.47672/ajsas.2679</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3FA2C73E">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 xml:space="preserve">A. Hayat, M. Ashraf, M. Sajawal, S. Usman, and H. Alshaikh, “Predictive Analysis of Retail Sales Forecasting using Machine Learning Techniques Predictive Analysis of Retail Sales Forecasting using Machine Learning Techniques,” 2023, doi: </w:t>
      </w:r>
      <w:r>
        <w:rPr>
          <w:rFonts w:hint="default" w:ascii="Arial" w:hAnsi="Arial" w:cs="Arial"/>
        </w:rPr>
        <w:fldChar w:fldCharType="begin"/>
      </w:r>
      <w:r>
        <w:rPr>
          <w:rFonts w:hint="default" w:ascii="Arial" w:hAnsi="Arial" w:cs="Arial"/>
        </w:rPr>
        <w:instrText xml:space="preserve"> HYPERLINK "https://doi.org/10.54692/lgurjcsit.2022.06004399"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https://doi.org/10.54692/lgurjcsit.2022.06004399</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7C81E582">
      <w:pPr>
        <w:pStyle w:val="36"/>
        <w:numPr>
          <w:ilvl w:val="0"/>
          <w:numId w:val="3"/>
        </w:numPr>
        <w:spacing w:after="0"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H. Chen, R. H. L. Chiang, and V. C. Storey, “Business intelligence and analytics: From big data to big impact,” </w:t>
      </w:r>
      <w:r>
        <w:rPr>
          <w:rFonts w:hint="default" w:ascii="Arial" w:hAnsi="Arial" w:eastAsia="Times New Roman" w:cs="Arial"/>
          <w:i/>
          <w:iCs/>
          <w:color w:val="000000"/>
          <w:kern w:val="0"/>
          <w:sz w:val="24"/>
          <w:szCs w:val="24"/>
          <w:lang w:eastAsia="en-GB"/>
          <w14:ligatures w14:val="none"/>
        </w:rPr>
        <w:t>MIS Quarterly</w:t>
      </w:r>
      <w:r>
        <w:rPr>
          <w:rFonts w:hint="default" w:ascii="Arial" w:hAnsi="Arial" w:eastAsia="Times New Roman" w:cs="Arial"/>
          <w:color w:val="000000"/>
          <w:kern w:val="0"/>
          <w:sz w:val="24"/>
          <w:szCs w:val="24"/>
          <w:lang w:eastAsia="en-GB"/>
          <w14:ligatures w14:val="none"/>
        </w:rPr>
        <w:t xml:space="preserve">, vol. 36, no. 4, pp. 1165–1188, Dec. 2012, doi: </w:t>
      </w:r>
      <w:r>
        <w:rPr>
          <w:rFonts w:hint="default" w:ascii="Arial" w:hAnsi="Arial" w:cs="Arial"/>
        </w:rPr>
        <w:fldChar w:fldCharType="begin"/>
      </w:r>
      <w:r>
        <w:rPr>
          <w:rFonts w:hint="default" w:ascii="Arial" w:hAnsi="Arial" w:cs="Arial"/>
        </w:rPr>
        <w:instrText xml:space="preserve"> HYPERLINK "https://doi.org/10.2307/41703503"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https://doi.org/10.2307/41703503</w:t>
      </w:r>
      <w:r>
        <w:rPr>
          <w:rStyle w:val="18"/>
          <w:rFonts w:hint="default" w:ascii="Arial" w:hAnsi="Arial" w:eastAsia="Times New Roman" w:cs="Arial"/>
          <w:kern w:val="0"/>
          <w:sz w:val="24"/>
          <w:szCs w:val="24"/>
          <w:lang w:eastAsia="en-GB"/>
          <w14:ligatures w14:val="none"/>
        </w:rPr>
        <w:fldChar w:fldCharType="end"/>
      </w:r>
      <w:r>
        <w:rPr>
          <w:rFonts w:hint="default" w:ascii="Arial" w:hAnsi="Arial" w:eastAsia="Times New Roman" w:cs="Arial"/>
          <w:color w:val="000000"/>
          <w:kern w:val="0"/>
          <w:sz w:val="24"/>
          <w:szCs w:val="24"/>
          <w:lang w:eastAsia="en-GB"/>
          <w14:ligatures w14:val="none"/>
        </w:rPr>
        <w:t>.</w:t>
      </w:r>
    </w:p>
    <w:p w14:paraId="0400F18E">
      <w:pPr>
        <w:pStyle w:val="36"/>
        <w:numPr>
          <w:ilvl w:val="0"/>
          <w:numId w:val="3"/>
        </w:num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r>
        <w:rPr>
          <w:rFonts w:hint="default" w:ascii="Arial" w:hAnsi="Arial" w:eastAsia="Times New Roman" w:cs="Arial"/>
          <w:color w:val="000000"/>
          <w:kern w:val="0"/>
          <w:sz w:val="24"/>
          <w:szCs w:val="24"/>
          <w:lang w:eastAsia="en-GB"/>
          <w14:ligatures w14:val="none"/>
        </w:rPr>
        <w:t>‌‌ M. Hall, E. Frank, G. Holmes, Bernhard Pfahringer, and I. H. Witten, “The WEKA data mining software: An update,” </w:t>
      </w:r>
      <w:r>
        <w:rPr>
          <w:rFonts w:hint="default" w:ascii="Arial" w:hAnsi="Arial" w:eastAsia="Times New Roman" w:cs="Arial"/>
          <w:i/>
          <w:iCs/>
          <w:color w:val="000000"/>
          <w:kern w:val="0"/>
          <w:sz w:val="24"/>
          <w:szCs w:val="24"/>
          <w:lang w:eastAsia="en-GB"/>
          <w14:ligatures w14:val="none"/>
        </w:rPr>
        <w:t>ACM SIGKDD Explorations Newsletter</w:t>
      </w:r>
      <w:r>
        <w:rPr>
          <w:rFonts w:hint="default" w:ascii="Arial" w:hAnsi="Arial" w:eastAsia="Times New Roman" w:cs="Arial"/>
          <w:color w:val="000000"/>
          <w:kern w:val="0"/>
          <w:sz w:val="24"/>
          <w:szCs w:val="24"/>
          <w:lang w:eastAsia="en-GB"/>
          <w14:ligatures w14:val="none"/>
        </w:rPr>
        <w:t xml:space="preserve">, vol. 11, no. 1, pp. 10–18, Nov. 2008, Available: </w:t>
      </w:r>
      <w:r>
        <w:rPr>
          <w:rFonts w:hint="default" w:ascii="Arial" w:hAnsi="Arial" w:cs="Arial"/>
        </w:rPr>
        <w:fldChar w:fldCharType="begin"/>
      </w:r>
      <w:r>
        <w:rPr>
          <w:rFonts w:hint="default" w:ascii="Arial" w:hAnsi="Arial" w:cs="Arial"/>
        </w:rPr>
        <w:instrText xml:space="preserve"> HYPERLINK "https://www.researchgate.net/publication/221900777_The_WEKA_data_mining_software_An_update" </w:instrText>
      </w:r>
      <w:r>
        <w:rPr>
          <w:rFonts w:hint="default" w:ascii="Arial" w:hAnsi="Arial" w:cs="Arial"/>
        </w:rPr>
        <w:fldChar w:fldCharType="separate"/>
      </w:r>
      <w:r>
        <w:rPr>
          <w:rStyle w:val="18"/>
          <w:rFonts w:hint="default" w:ascii="Arial" w:hAnsi="Arial" w:eastAsia="Times New Roman" w:cs="Arial"/>
          <w:kern w:val="0"/>
          <w:sz w:val="24"/>
          <w:szCs w:val="24"/>
          <w:lang w:eastAsia="en-GB"/>
          <w14:ligatures w14:val="none"/>
        </w:rPr>
        <w:t>https://www.researchgate.net/publication/221900777_The_WEKA_data_mining_software_An_update</w:t>
      </w:r>
      <w:r>
        <w:rPr>
          <w:rStyle w:val="18"/>
          <w:rFonts w:hint="default" w:ascii="Arial" w:hAnsi="Arial" w:eastAsia="Times New Roman" w:cs="Arial"/>
          <w:kern w:val="0"/>
          <w:sz w:val="24"/>
          <w:szCs w:val="24"/>
          <w:lang w:eastAsia="en-GB"/>
          <w14:ligatures w14:val="none"/>
        </w:rPr>
        <w:fldChar w:fldCharType="end"/>
      </w:r>
    </w:p>
    <w:p w14:paraId="340173D9">
      <w:p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p>
    <w:p w14:paraId="63B3E3D2">
      <w:p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p>
    <w:p w14:paraId="054524F8">
      <w:p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p>
    <w:p w14:paraId="520F1E74">
      <w:p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p>
    <w:p w14:paraId="49025919">
      <w:pPr>
        <w:spacing w:before="100" w:beforeAutospacing="1" w:after="100" w:afterAutospacing="1" w:line="240" w:lineRule="auto"/>
        <w:jc w:val="both"/>
        <w:rPr>
          <w:rFonts w:hint="default" w:ascii="Arial" w:hAnsi="Arial" w:eastAsia="Times New Roman" w:cs="Arial"/>
          <w:color w:val="000000"/>
          <w:kern w:val="0"/>
          <w:sz w:val="24"/>
          <w:szCs w:val="24"/>
          <w:lang w:eastAsia="en-GB"/>
          <w14:ligatures w14:val="none"/>
        </w:rPr>
      </w:pPr>
    </w:p>
    <w:p w14:paraId="00CA206F">
      <w:pPr>
        <w:pStyle w:val="2"/>
        <w:numPr>
          <w:ilvl w:val="0"/>
          <w:numId w:val="1"/>
        </w:numPr>
        <w:ind w:left="284" w:hanging="284"/>
        <w:rPr>
          <w:rFonts w:hint="default" w:ascii="Arial" w:hAnsi="Arial" w:cs="Arial"/>
          <w:b/>
          <w:bCs/>
          <w:color w:val="000000" w:themeColor="text1"/>
          <w:sz w:val="32"/>
          <w:szCs w:val="32"/>
          <w14:textFill>
            <w14:solidFill>
              <w14:schemeClr w14:val="tx1"/>
            </w14:solidFill>
          </w14:textFill>
        </w:rPr>
      </w:pPr>
      <w:r>
        <w:rPr>
          <w:rFonts w:hint="default" w:ascii="Arial" w:hAnsi="Arial" w:cs="Arial"/>
          <w:b/>
          <w:bCs/>
          <w:color w:val="000000" w:themeColor="text1"/>
          <w:sz w:val="32"/>
          <w:szCs w:val="32"/>
          <w14:textFill>
            <w14:solidFill>
              <w14:schemeClr w14:val="tx1"/>
            </w14:solidFill>
          </w14:textFill>
        </w:rPr>
        <w:t>Appendix</w:t>
      </w:r>
    </w:p>
    <w:p w14:paraId="1AD526E5">
      <w:pPr>
        <w:rPr>
          <w:rFonts w:hint="default" w:ascii="Arial" w:hAnsi="Arial" w:cs="Arial"/>
        </w:rPr>
      </w:pPr>
    </w:p>
    <w:p w14:paraId="7C3A7ABD">
      <w:pPr>
        <w:rPr>
          <w:rFonts w:hint="default" w:ascii="Arial" w:hAnsi="Arial" w:cs="Arial"/>
        </w:rPr>
      </w:pPr>
    </w:p>
    <w:p w14:paraId="22C461F8">
      <w:pPr>
        <w:rPr>
          <w:rFonts w:hint="default" w:ascii="Arial" w:hAnsi="Arial" w:cs="Arial"/>
          <w:b/>
          <w:bCs/>
          <w:sz w:val="32"/>
          <w:szCs w:val="32"/>
        </w:rPr>
      </w:pPr>
      <w:r>
        <w:rPr>
          <w:rFonts w:hint="default" w:ascii="Arial" w:hAnsi="Arial" w:cs="Arial"/>
          <w:b/>
          <w:bCs/>
          <w:sz w:val="32"/>
          <w:szCs w:val="32"/>
        </w:rPr>
        <w:t xml:space="preserve">Video Screencast URL - </w:t>
      </w:r>
    </w:p>
    <w:p w14:paraId="0BD16129">
      <w:pPr>
        <w:jc w:val="center"/>
        <w:rPr>
          <w:rFonts w:hint="default" w:ascii="Arial" w:hAnsi="Arial" w:cs="Arial"/>
        </w:rPr>
      </w:pPr>
      <w:r>
        <w:rPr>
          <w:rFonts w:hint="default" w:ascii="Arial" w:hAnsi="Arial"/>
          <w:b w:val="0"/>
          <w:bCs w:val="0"/>
          <w:sz w:val="40"/>
          <w:szCs w:val="40"/>
          <w:lang w:val="en-US"/>
        </w:rPr>
        <w:fldChar w:fldCharType="begin"/>
      </w:r>
      <w:r>
        <w:rPr>
          <w:rFonts w:hint="default" w:ascii="Arial" w:hAnsi="Arial"/>
          <w:b w:val="0"/>
          <w:bCs w:val="0"/>
          <w:sz w:val="40"/>
          <w:szCs w:val="40"/>
          <w:lang w:val="en-US"/>
        </w:rPr>
        <w:instrText xml:space="preserve"> HYPERLINK "https://youtu.be/57qsE6FLh5Y" </w:instrText>
      </w:r>
      <w:r>
        <w:rPr>
          <w:rFonts w:hint="default" w:ascii="Arial" w:hAnsi="Arial"/>
          <w:b w:val="0"/>
          <w:bCs w:val="0"/>
          <w:sz w:val="40"/>
          <w:szCs w:val="40"/>
          <w:lang w:val="en-US"/>
        </w:rPr>
        <w:fldChar w:fldCharType="separate"/>
      </w:r>
      <w:r>
        <w:rPr>
          <w:rStyle w:val="18"/>
          <w:rFonts w:hint="default" w:ascii="Arial" w:hAnsi="Arial"/>
          <w:b w:val="0"/>
          <w:bCs w:val="0"/>
          <w:sz w:val="40"/>
          <w:szCs w:val="40"/>
          <w:lang w:val="en-US"/>
        </w:rPr>
        <w:t>https://youtu.be/57qsE6FLh5Y</w:t>
      </w:r>
      <w:r>
        <w:rPr>
          <w:rFonts w:hint="default" w:ascii="Arial" w:hAnsi="Arial"/>
          <w:b w:val="0"/>
          <w:bCs w:val="0"/>
          <w:sz w:val="40"/>
          <w:szCs w:val="40"/>
          <w:lang w:val="en-US"/>
        </w:rPr>
        <w:fldChar w:fldCharType="end"/>
      </w:r>
    </w:p>
    <w:p w14:paraId="7657F33E">
      <w:pPr>
        <w:rPr>
          <w:rFonts w:hint="default" w:ascii="Arial" w:hAnsi="Arial" w:cs="Arial"/>
        </w:rPr>
      </w:pPr>
    </w:p>
    <w:p w14:paraId="64E0DEB3">
      <w:pPr>
        <w:rPr>
          <w:rFonts w:hint="default" w:ascii="Arial" w:hAnsi="Arial" w:cs="Arial"/>
        </w:rPr>
      </w:pPr>
    </w:p>
    <w:p w14:paraId="3C0BC157">
      <w:pPr>
        <w:jc w:val="center"/>
        <w:rPr>
          <w:rFonts w:hint="default" w:ascii="Arial" w:hAnsi="Arial" w:cs="Arial"/>
        </w:rPr>
      </w:pPr>
      <w:r>
        <w:rPr>
          <w:rFonts w:hint="default" w:ascii="Arial" w:hAnsi="Arial" w:cs="Arial"/>
        </w:rPr>
        <w:drawing>
          <wp:inline distT="0" distB="0" distL="0" distR="0">
            <wp:extent cx="4938395" cy="2583180"/>
            <wp:effectExtent l="0" t="0" r="0" b="7620"/>
            <wp:docPr id="39455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5489" name="Picture 1"/>
                    <pic:cNvPicPr>
                      <a:picLocks noChangeAspect="1"/>
                    </pic:cNvPicPr>
                  </pic:nvPicPr>
                  <pic:blipFill>
                    <a:blip r:embed="rId14"/>
                    <a:stretch>
                      <a:fillRect/>
                    </a:stretch>
                  </pic:blipFill>
                  <pic:spPr>
                    <a:xfrm>
                      <a:off x="0" y="0"/>
                      <a:ext cx="4945663" cy="2587350"/>
                    </a:xfrm>
                    <a:prstGeom prst="rect">
                      <a:avLst/>
                    </a:prstGeom>
                  </pic:spPr>
                </pic:pic>
              </a:graphicData>
            </a:graphic>
          </wp:inline>
        </w:drawing>
      </w:r>
    </w:p>
    <w:p w14:paraId="62B4556E">
      <w:pPr>
        <w:rPr>
          <w:rFonts w:hint="default" w:ascii="Arial" w:hAnsi="Arial" w:cs="Arial"/>
        </w:rPr>
      </w:pPr>
    </w:p>
    <w:p w14:paraId="5DB1FDAB">
      <w:pPr>
        <w:rPr>
          <w:rFonts w:hint="default" w:ascii="Arial" w:hAnsi="Arial" w:cs="Arial"/>
        </w:rPr>
      </w:pPr>
    </w:p>
    <w:p w14:paraId="1B24A1DD">
      <w:pPr>
        <w:jc w:val="center"/>
        <w:rPr>
          <w:rFonts w:hint="default" w:ascii="Arial" w:hAnsi="Arial" w:cs="Arial"/>
        </w:rPr>
      </w:pPr>
      <w:r>
        <w:rPr>
          <w:rFonts w:hint="default" w:ascii="Arial" w:hAnsi="Arial" w:cs="Arial"/>
        </w:rPr>
        <w:drawing>
          <wp:inline distT="0" distB="0" distL="0" distR="0">
            <wp:extent cx="4975860" cy="2618105"/>
            <wp:effectExtent l="0" t="0" r="0" b="0"/>
            <wp:docPr id="1431593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93852" name="Picture 1"/>
                    <pic:cNvPicPr>
                      <a:picLocks noChangeAspect="1"/>
                    </pic:cNvPicPr>
                  </pic:nvPicPr>
                  <pic:blipFill>
                    <a:blip r:embed="rId15"/>
                    <a:stretch>
                      <a:fillRect/>
                    </a:stretch>
                  </pic:blipFill>
                  <pic:spPr>
                    <a:xfrm>
                      <a:off x="0" y="0"/>
                      <a:ext cx="4985027" cy="2623407"/>
                    </a:xfrm>
                    <a:prstGeom prst="rect">
                      <a:avLst/>
                    </a:prstGeom>
                  </pic:spPr>
                </pic:pic>
              </a:graphicData>
            </a:graphic>
          </wp:inline>
        </w:drawing>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D965C6"/>
    <w:multiLevelType w:val="multilevel"/>
    <w:tmpl w:val="20D965C6"/>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561B03D9"/>
    <w:multiLevelType w:val="multilevel"/>
    <w:tmpl w:val="561B03D9"/>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6A952175"/>
    <w:multiLevelType w:val="multilevel"/>
    <w:tmpl w:val="6A952175"/>
    <w:lvl w:ilvl="0" w:tentative="0">
      <w:start w:val="1"/>
      <w:numFmt w:val="decimal"/>
      <w:lvlText w:val="%1."/>
      <w:lvlJc w:val="left"/>
      <w:pPr>
        <w:ind w:left="720" w:hanging="360"/>
      </w:pPr>
      <w:rPr>
        <w:rFonts w:hint="default"/>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87D"/>
    <w:rsid w:val="00000C21"/>
    <w:rsid w:val="00013ABC"/>
    <w:rsid w:val="00023161"/>
    <w:rsid w:val="00071A43"/>
    <w:rsid w:val="00071F7F"/>
    <w:rsid w:val="000839D0"/>
    <w:rsid w:val="00084110"/>
    <w:rsid w:val="000E706E"/>
    <w:rsid w:val="000F30EB"/>
    <w:rsid w:val="000F482C"/>
    <w:rsid w:val="000F6C55"/>
    <w:rsid w:val="001005FA"/>
    <w:rsid w:val="001026D2"/>
    <w:rsid w:val="00132B25"/>
    <w:rsid w:val="0013572F"/>
    <w:rsid w:val="001619B1"/>
    <w:rsid w:val="00186532"/>
    <w:rsid w:val="00191DAE"/>
    <w:rsid w:val="00196F2B"/>
    <w:rsid w:val="001A1B8E"/>
    <w:rsid w:val="001F01DE"/>
    <w:rsid w:val="001F261E"/>
    <w:rsid w:val="001F782F"/>
    <w:rsid w:val="00205945"/>
    <w:rsid w:val="00206CE0"/>
    <w:rsid w:val="0021664A"/>
    <w:rsid w:val="00216691"/>
    <w:rsid w:val="00284D3A"/>
    <w:rsid w:val="00286FF6"/>
    <w:rsid w:val="00291A9B"/>
    <w:rsid w:val="002A6FE6"/>
    <w:rsid w:val="002A72B8"/>
    <w:rsid w:val="002B048F"/>
    <w:rsid w:val="002C2B7D"/>
    <w:rsid w:val="002E5E00"/>
    <w:rsid w:val="002E63E4"/>
    <w:rsid w:val="002F537A"/>
    <w:rsid w:val="00302087"/>
    <w:rsid w:val="0030331B"/>
    <w:rsid w:val="0033187D"/>
    <w:rsid w:val="00333DF8"/>
    <w:rsid w:val="00363038"/>
    <w:rsid w:val="00372824"/>
    <w:rsid w:val="003737D4"/>
    <w:rsid w:val="0037518E"/>
    <w:rsid w:val="00376A37"/>
    <w:rsid w:val="003847DF"/>
    <w:rsid w:val="00384B90"/>
    <w:rsid w:val="003E2613"/>
    <w:rsid w:val="00406C09"/>
    <w:rsid w:val="004356B2"/>
    <w:rsid w:val="00435B54"/>
    <w:rsid w:val="0046502F"/>
    <w:rsid w:val="004A6B16"/>
    <w:rsid w:val="004C3260"/>
    <w:rsid w:val="004C7DAC"/>
    <w:rsid w:val="004E0326"/>
    <w:rsid w:val="004F469D"/>
    <w:rsid w:val="004F68AB"/>
    <w:rsid w:val="0051159C"/>
    <w:rsid w:val="0053175E"/>
    <w:rsid w:val="0053200D"/>
    <w:rsid w:val="005420C8"/>
    <w:rsid w:val="00544C87"/>
    <w:rsid w:val="005512D2"/>
    <w:rsid w:val="00552523"/>
    <w:rsid w:val="00563956"/>
    <w:rsid w:val="005B4C46"/>
    <w:rsid w:val="005D58FD"/>
    <w:rsid w:val="005E3920"/>
    <w:rsid w:val="005E44E7"/>
    <w:rsid w:val="005F7142"/>
    <w:rsid w:val="0060185F"/>
    <w:rsid w:val="00614741"/>
    <w:rsid w:val="00623BBC"/>
    <w:rsid w:val="00635D5F"/>
    <w:rsid w:val="006515FB"/>
    <w:rsid w:val="006C38CE"/>
    <w:rsid w:val="006C4B39"/>
    <w:rsid w:val="006F1307"/>
    <w:rsid w:val="006F52ED"/>
    <w:rsid w:val="006F61CF"/>
    <w:rsid w:val="006F6C26"/>
    <w:rsid w:val="00711977"/>
    <w:rsid w:val="007303A7"/>
    <w:rsid w:val="00750615"/>
    <w:rsid w:val="00752649"/>
    <w:rsid w:val="007556AC"/>
    <w:rsid w:val="00766CC5"/>
    <w:rsid w:val="00791312"/>
    <w:rsid w:val="00795A07"/>
    <w:rsid w:val="00797A1B"/>
    <w:rsid w:val="007C49F4"/>
    <w:rsid w:val="007C7902"/>
    <w:rsid w:val="007D5058"/>
    <w:rsid w:val="00801B78"/>
    <w:rsid w:val="00803539"/>
    <w:rsid w:val="008059C4"/>
    <w:rsid w:val="00814A39"/>
    <w:rsid w:val="008156EB"/>
    <w:rsid w:val="00822CE9"/>
    <w:rsid w:val="0083295F"/>
    <w:rsid w:val="00833E11"/>
    <w:rsid w:val="00846E88"/>
    <w:rsid w:val="008606DC"/>
    <w:rsid w:val="00865A02"/>
    <w:rsid w:val="0086662A"/>
    <w:rsid w:val="00871B12"/>
    <w:rsid w:val="00873F98"/>
    <w:rsid w:val="00896FDC"/>
    <w:rsid w:val="008A5BD7"/>
    <w:rsid w:val="008C02F3"/>
    <w:rsid w:val="008C7119"/>
    <w:rsid w:val="008D6E08"/>
    <w:rsid w:val="008F0524"/>
    <w:rsid w:val="00912D56"/>
    <w:rsid w:val="0095464C"/>
    <w:rsid w:val="00955566"/>
    <w:rsid w:val="00993111"/>
    <w:rsid w:val="00996E17"/>
    <w:rsid w:val="009B5FBA"/>
    <w:rsid w:val="009C2C7E"/>
    <w:rsid w:val="009C3944"/>
    <w:rsid w:val="009C3B98"/>
    <w:rsid w:val="009C6F10"/>
    <w:rsid w:val="009C71A9"/>
    <w:rsid w:val="009E0EB8"/>
    <w:rsid w:val="009E4104"/>
    <w:rsid w:val="009F2E18"/>
    <w:rsid w:val="009F5667"/>
    <w:rsid w:val="00A044E1"/>
    <w:rsid w:val="00A24710"/>
    <w:rsid w:val="00A2667E"/>
    <w:rsid w:val="00A569C9"/>
    <w:rsid w:val="00A75ECA"/>
    <w:rsid w:val="00A929FD"/>
    <w:rsid w:val="00AB312B"/>
    <w:rsid w:val="00AC18C2"/>
    <w:rsid w:val="00AC6C92"/>
    <w:rsid w:val="00AD6046"/>
    <w:rsid w:val="00AE070B"/>
    <w:rsid w:val="00AE3323"/>
    <w:rsid w:val="00B00EEE"/>
    <w:rsid w:val="00B2497F"/>
    <w:rsid w:val="00B27ADA"/>
    <w:rsid w:val="00B63F02"/>
    <w:rsid w:val="00BA6504"/>
    <w:rsid w:val="00BB2E1A"/>
    <w:rsid w:val="00BB58A5"/>
    <w:rsid w:val="00BC1324"/>
    <w:rsid w:val="00BC1391"/>
    <w:rsid w:val="00BD20AD"/>
    <w:rsid w:val="00BE4B17"/>
    <w:rsid w:val="00BF5BE2"/>
    <w:rsid w:val="00C02A35"/>
    <w:rsid w:val="00C04128"/>
    <w:rsid w:val="00C34F47"/>
    <w:rsid w:val="00C40597"/>
    <w:rsid w:val="00C703BD"/>
    <w:rsid w:val="00C71C6A"/>
    <w:rsid w:val="00CC7AD4"/>
    <w:rsid w:val="00CE4531"/>
    <w:rsid w:val="00D17EA8"/>
    <w:rsid w:val="00D205BD"/>
    <w:rsid w:val="00D21403"/>
    <w:rsid w:val="00D30D55"/>
    <w:rsid w:val="00D43BC0"/>
    <w:rsid w:val="00D457F2"/>
    <w:rsid w:val="00D522D1"/>
    <w:rsid w:val="00D7008D"/>
    <w:rsid w:val="00D8392B"/>
    <w:rsid w:val="00D938E3"/>
    <w:rsid w:val="00DB7746"/>
    <w:rsid w:val="00DD1C6F"/>
    <w:rsid w:val="00DD3B72"/>
    <w:rsid w:val="00DD6FAF"/>
    <w:rsid w:val="00DD7E11"/>
    <w:rsid w:val="00DE04FA"/>
    <w:rsid w:val="00DE74D6"/>
    <w:rsid w:val="00E02D7C"/>
    <w:rsid w:val="00E02DA1"/>
    <w:rsid w:val="00E1126C"/>
    <w:rsid w:val="00E143DB"/>
    <w:rsid w:val="00E15F24"/>
    <w:rsid w:val="00E314F7"/>
    <w:rsid w:val="00E42E7F"/>
    <w:rsid w:val="00E43A07"/>
    <w:rsid w:val="00E45618"/>
    <w:rsid w:val="00E46413"/>
    <w:rsid w:val="00E74442"/>
    <w:rsid w:val="00E83EF7"/>
    <w:rsid w:val="00EC31DA"/>
    <w:rsid w:val="00F0613A"/>
    <w:rsid w:val="00F31B31"/>
    <w:rsid w:val="00F41A7B"/>
    <w:rsid w:val="00F52A35"/>
    <w:rsid w:val="00F77099"/>
    <w:rsid w:val="00F777B2"/>
    <w:rsid w:val="00F81211"/>
    <w:rsid w:val="00FB4639"/>
    <w:rsid w:val="00FD2112"/>
    <w:rsid w:val="00FD3CA8"/>
    <w:rsid w:val="00FD4690"/>
    <w:rsid w:val="00FE1194"/>
    <w:rsid w:val="00FE7F17"/>
    <w:rsid w:val="00FF18DC"/>
    <w:rsid w:val="0236035F"/>
    <w:rsid w:val="22B27EC5"/>
    <w:rsid w:val="3D1B60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qFormat="1"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3"/>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4"/>
    <w:semiHidden/>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5"/>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4">
    <w:name w:val="Emphasis"/>
    <w:basedOn w:val="11"/>
    <w:qFormat/>
    <w:uiPriority w:val="20"/>
    <w:rPr>
      <w:i/>
      <w:iCs/>
    </w:rPr>
  </w:style>
  <w:style w:type="character" w:styleId="15">
    <w:name w:val="FollowedHyperlink"/>
    <w:basedOn w:val="11"/>
    <w:semiHidden/>
    <w:unhideWhenUsed/>
    <w:qFormat/>
    <w:uiPriority w:val="99"/>
    <w:rPr>
      <w:color w:val="954F72" w:themeColor="followedHyperlink"/>
      <w:u w:val="single"/>
      <w14:textFill>
        <w14:solidFill>
          <w14:schemeClr w14:val="folHlink"/>
        </w14:solidFill>
      </w14:textFill>
    </w:rPr>
  </w:style>
  <w:style w:type="character" w:styleId="16">
    <w:name w:val="HTML Code"/>
    <w:basedOn w:val="11"/>
    <w:semiHidden/>
    <w:unhideWhenUsed/>
    <w:qFormat/>
    <w:uiPriority w:val="99"/>
    <w:rPr>
      <w:rFonts w:ascii="Courier New" w:hAnsi="Courier New" w:eastAsia="Times New Roman" w:cs="Courier New"/>
      <w:sz w:val="20"/>
      <w:szCs w:val="20"/>
    </w:rPr>
  </w:style>
  <w:style w:type="paragraph" w:styleId="17">
    <w:name w:val="HTML Preformatted"/>
    <w:basedOn w:val="1"/>
    <w:link w:val="4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kern w:val="0"/>
      <w:sz w:val="20"/>
      <w:szCs w:val="20"/>
      <w:lang w:eastAsia="en-GB"/>
      <w14:ligatures w14:val="none"/>
    </w:rPr>
  </w:style>
  <w:style w:type="character" w:styleId="18">
    <w:name w:val="Hyperlink"/>
    <w:basedOn w:val="11"/>
    <w:unhideWhenUsed/>
    <w:qFormat/>
    <w:uiPriority w:val="99"/>
    <w:rPr>
      <w:color w:val="0563C1" w:themeColor="hyperlink"/>
      <w:u w:val="single"/>
      <w14:textFill>
        <w14:solidFill>
          <w14:schemeClr w14:val="hlink"/>
        </w14:solidFill>
      </w14:textFill>
    </w:rPr>
  </w:style>
  <w:style w:type="paragraph" w:styleId="19">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20">
    <w:name w:val="Strong"/>
    <w:basedOn w:val="11"/>
    <w:qFormat/>
    <w:uiPriority w:val="22"/>
    <w:rPr>
      <w:b/>
      <w:bCs/>
    </w:rPr>
  </w:style>
  <w:style w:type="paragraph" w:styleId="21">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2">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23">
    <w:name w:val="Heading 1 Char"/>
    <w:basedOn w:val="11"/>
    <w:link w:val="2"/>
    <w:qFormat/>
    <w:uiPriority w:val="9"/>
    <w:rPr>
      <w:rFonts w:asciiTheme="majorHAnsi" w:hAnsiTheme="majorHAnsi" w:eastAsiaTheme="majorEastAsia" w:cstheme="majorBidi"/>
      <w:color w:val="2F5597" w:themeColor="accent1" w:themeShade="BF"/>
      <w:sz w:val="40"/>
      <w:szCs w:val="40"/>
    </w:rPr>
  </w:style>
  <w:style w:type="character" w:customStyle="1" w:styleId="24">
    <w:name w:val="Heading 2 Char"/>
    <w:basedOn w:val="11"/>
    <w:link w:val="3"/>
    <w:semiHidden/>
    <w:qFormat/>
    <w:uiPriority w:val="9"/>
    <w:rPr>
      <w:rFonts w:asciiTheme="majorHAnsi" w:hAnsiTheme="majorHAnsi" w:eastAsiaTheme="majorEastAsia" w:cstheme="majorBidi"/>
      <w:color w:val="2F5597" w:themeColor="accent1" w:themeShade="BF"/>
      <w:sz w:val="32"/>
      <w:szCs w:val="32"/>
    </w:rPr>
  </w:style>
  <w:style w:type="character" w:customStyle="1" w:styleId="25">
    <w:name w:val="Heading 3 Char"/>
    <w:basedOn w:val="11"/>
    <w:link w:val="4"/>
    <w:semiHidden/>
    <w:qFormat/>
    <w:uiPriority w:val="9"/>
    <w:rPr>
      <w:rFonts w:eastAsiaTheme="majorEastAsia" w:cstheme="majorBidi"/>
      <w:color w:val="2F5597" w:themeColor="accent1" w:themeShade="BF"/>
      <w:sz w:val="28"/>
      <w:szCs w:val="28"/>
    </w:rPr>
  </w:style>
  <w:style w:type="character" w:customStyle="1" w:styleId="26">
    <w:name w:val="Heading 4 Char"/>
    <w:basedOn w:val="11"/>
    <w:link w:val="5"/>
    <w:semiHidden/>
    <w:qFormat/>
    <w:uiPriority w:val="9"/>
    <w:rPr>
      <w:rFonts w:eastAsiaTheme="majorEastAsia" w:cstheme="majorBidi"/>
      <w:i/>
      <w:iCs/>
      <w:color w:val="2F5597" w:themeColor="accent1" w:themeShade="BF"/>
    </w:rPr>
  </w:style>
  <w:style w:type="character" w:customStyle="1" w:styleId="27">
    <w:name w:val="Heading 5 Char"/>
    <w:basedOn w:val="11"/>
    <w:link w:val="6"/>
    <w:semiHidden/>
    <w:qFormat/>
    <w:uiPriority w:val="9"/>
    <w:rPr>
      <w:rFonts w:eastAsiaTheme="majorEastAsia" w:cstheme="majorBidi"/>
      <w:color w:val="2F5597" w:themeColor="accent1" w:themeShade="BF"/>
    </w:rPr>
  </w:style>
  <w:style w:type="character" w:customStyle="1" w:styleId="28">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22"/>
    <w:qFormat/>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2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qFormat/>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11"/>
    <w:link w:val="38"/>
    <w:qFormat/>
    <w:uiPriority w:val="30"/>
    <w:rPr>
      <w:i/>
      <w:iCs/>
      <w:color w:val="2F5597" w:themeColor="accent1" w:themeShade="BF"/>
    </w:rPr>
  </w:style>
  <w:style w:type="character" w:customStyle="1" w:styleId="40">
    <w:name w:val="Intense Reference"/>
    <w:basedOn w:val="11"/>
    <w:qFormat/>
    <w:uiPriority w:val="32"/>
    <w:rPr>
      <w:b/>
      <w:bCs/>
      <w:smallCaps/>
      <w:color w:val="2F5597" w:themeColor="accent1" w:themeShade="BF"/>
      <w:spacing w:val="5"/>
    </w:rPr>
  </w:style>
  <w:style w:type="character" w:customStyle="1" w:styleId="41">
    <w:name w:val="HTML Preformatted Char"/>
    <w:basedOn w:val="11"/>
    <w:link w:val="17"/>
    <w:semiHidden/>
    <w:qFormat/>
    <w:uiPriority w:val="99"/>
    <w:rPr>
      <w:rFonts w:ascii="Courier New" w:hAnsi="Courier New" w:eastAsia="Times New Roman" w:cs="Courier New"/>
      <w:kern w:val="0"/>
      <w:sz w:val="20"/>
      <w:szCs w:val="20"/>
      <w:lang w:eastAsia="en-GB"/>
      <w14:ligatures w14:val="none"/>
    </w:rPr>
  </w:style>
  <w:style w:type="character" w:customStyle="1" w:styleId="42">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5418</Words>
  <Characters>30888</Characters>
  <Lines>257</Lines>
  <Paragraphs>72</Paragraphs>
  <TotalTime>2</TotalTime>
  <ScaleCrop>false</ScaleCrop>
  <LinksUpToDate>false</LinksUpToDate>
  <CharactersWithSpaces>36234</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2025-09-28T12:31:00Z</dcterms:created>
  <dc:creator>dharmik</dc:creator>
  <cp:lastModifiedBy>Mr.Dharmik Vaidya</cp:lastModifiedBy>
  <dcterms:modified xsi:type="dcterms:W3CDTF">2025-11-19T01:22:56Z</dcterms:modified>
  <cp:revision>312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6B4AEDB023BA48C38E59B3EA61A1D693_12</vt:lpwstr>
  </property>
</Properties>
</file>