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8B7729" w14:textId="766756CE" w:rsidR="005D51E1" w:rsidRDefault="005D51E1" w:rsidP="004205E4">
      <w:pPr>
        <w:rPr>
          <w:rFonts w:ascii="Calibri" w:eastAsia="Times New Roman" w:hAnsi="Calibri" w:cs="Calibri"/>
          <w:b/>
          <w:bCs/>
          <w:color w:val="000000"/>
          <w:kern w:val="0"/>
          <w:lang w:eastAsia="en-GB"/>
          <w14:ligatures w14:val="none"/>
        </w:rPr>
      </w:pPr>
      <w:r w:rsidRPr="00A406E5">
        <w:rPr>
          <w:rFonts w:ascii="Arial" w:hAnsi="Arial" w:cs="Arial"/>
          <w:noProof/>
        </w:rPr>
        <w:drawing>
          <wp:anchor distT="0" distB="0" distL="114300" distR="114300" simplePos="0" relativeHeight="251659264" behindDoc="0" locked="0" layoutInCell="1" allowOverlap="1" wp14:anchorId="757A00DD" wp14:editId="15B43494">
            <wp:simplePos x="0" y="0"/>
            <wp:positionH relativeFrom="margin">
              <wp:align>center</wp:align>
            </wp:positionH>
            <wp:positionV relativeFrom="margin">
              <wp:align>top</wp:align>
            </wp:positionV>
            <wp:extent cx="2498090" cy="99885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498090" cy="998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2F42B9" w14:textId="77777777" w:rsidR="005D51E1" w:rsidRDefault="005D51E1" w:rsidP="004205E4">
      <w:pPr>
        <w:rPr>
          <w:rFonts w:ascii="Calibri" w:eastAsia="Times New Roman" w:hAnsi="Calibri" w:cs="Calibri"/>
          <w:b/>
          <w:bCs/>
          <w:color w:val="000000"/>
          <w:kern w:val="0"/>
          <w:lang w:eastAsia="en-GB"/>
          <w14:ligatures w14:val="none"/>
        </w:rPr>
      </w:pPr>
    </w:p>
    <w:p w14:paraId="4BC37EEB" w14:textId="77777777" w:rsidR="005D51E1" w:rsidRDefault="005D51E1" w:rsidP="004205E4">
      <w:pPr>
        <w:rPr>
          <w:rFonts w:ascii="Calibri" w:eastAsia="Times New Roman" w:hAnsi="Calibri" w:cs="Calibri"/>
          <w:b/>
          <w:bCs/>
          <w:color w:val="000000"/>
          <w:kern w:val="0"/>
          <w:lang w:eastAsia="en-GB"/>
          <w14:ligatures w14:val="none"/>
        </w:rPr>
      </w:pPr>
    </w:p>
    <w:p w14:paraId="73B14077" w14:textId="77777777" w:rsidR="005D51E1" w:rsidRDefault="005D51E1" w:rsidP="004205E4">
      <w:pPr>
        <w:rPr>
          <w:rFonts w:ascii="Calibri" w:eastAsia="Times New Roman" w:hAnsi="Calibri" w:cs="Calibri"/>
          <w:b/>
          <w:bCs/>
          <w:color w:val="000000"/>
          <w:kern w:val="0"/>
          <w:lang w:eastAsia="en-GB"/>
          <w14:ligatures w14:val="none"/>
        </w:rPr>
      </w:pPr>
    </w:p>
    <w:p w14:paraId="76F067D1" w14:textId="77777777" w:rsidR="005D51E1" w:rsidRPr="005A7235" w:rsidRDefault="005D51E1" w:rsidP="004205E4">
      <w:pPr>
        <w:rPr>
          <w:rFonts w:ascii="Arial" w:eastAsia="Times New Roman" w:hAnsi="Arial" w:cs="Arial"/>
          <w:b/>
          <w:bCs/>
          <w:color w:val="000000"/>
          <w:kern w:val="0"/>
          <w:lang w:eastAsia="en-GB"/>
          <w14:ligatures w14:val="none"/>
        </w:rPr>
      </w:pPr>
    </w:p>
    <w:p w14:paraId="59E59520" w14:textId="23F4093D" w:rsidR="005D51E1" w:rsidRPr="005A7235" w:rsidRDefault="005D51E1" w:rsidP="005D51E1">
      <w:pPr>
        <w:jc w:val="center"/>
        <w:rPr>
          <w:rFonts w:ascii="Arial" w:hAnsi="Arial" w:cs="Arial"/>
          <w:b/>
          <w:bCs/>
          <w:spacing w:val="-2"/>
          <w:sz w:val="28"/>
          <w:szCs w:val="28"/>
        </w:rPr>
      </w:pPr>
      <w:r w:rsidRPr="005A7235">
        <w:rPr>
          <w:rFonts w:ascii="Arial" w:hAnsi="Arial" w:cs="Arial"/>
          <w:b/>
          <w:bCs/>
          <w:sz w:val="28"/>
          <w:szCs w:val="28"/>
        </w:rPr>
        <w:t>International</w:t>
      </w:r>
      <w:r w:rsidRPr="005A7235">
        <w:rPr>
          <w:rFonts w:ascii="Arial" w:hAnsi="Arial" w:cs="Arial"/>
          <w:b/>
          <w:bCs/>
          <w:spacing w:val="-9"/>
          <w:sz w:val="28"/>
          <w:szCs w:val="28"/>
        </w:rPr>
        <w:t xml:space="preserve"> </w:t>
      </w:r>
      <w:r w:rsidRPr="005A7235">
        <w:rPr>
          <w:rFonts w:ascii="Arial" w:hAnsi="Arial" w:cs="Arial"/>
          <w:b/>
          <w:bCs/>
          <w:sz w:val="28"/>
          <w:szCs w:val="28"/>
        </w:rPr>
        <w:t>Financial</w:t>
      </w:r>
      <w:r w:rsidRPr="005A7235">
        <w:rPr>
          <w:rFonts w:ascii="Arial" w:hAnsi="Arial" w:cs="Arial"/>
          <w:b/>
          <w:bCs/>
          <w:spacing w:val="-11"/>
          <w:sz w:val="28"/>
          <w:szCs w:val="28"/>
        </w:rPr>
        <w:t xml:space="preserve"> </w:t>
      </w:r>
      <w:r w:rsidRPr="005A7235">
        <w:rPr>
          <w:rFonts w:ascii="Arial" w:hAnsi="Arial" w:cs="Arial"/>
          <w:b/>
          <w:bCs/>
          <w:spacing w:val="-2"/>
          <w:sz w:val="28"/>
          <w:szCs w:val="28"/>
        </w:rPr>
        <w:t>Management</w:t>
      </w:r>
    </w:p>
    <w:p w14:paraId="77FFB5B9" w14:textId="27EB66A1" w:rsidR="005D51E1" w:rsidRPr="005A7235" w:rsidRDefault="005D51E1" w:rsidP="005D51E1">
      <w:pPr>
        <w:jc w:val="center"/>
        <w:rPr>
          <w:rFonts w:ascii="Arial" w:eastAsia="Times New Roman" w:hAnsi="Arial" w:cs="Arial"/>
          <w:b/>
          <w:bCs/>
          <w:color w:val="000000"/>
          <w:kern w:val="0"/>
          <w:sz w:val="32"/>
          <w:szCs w:val="32"/>
          <w:lang w:eastAsia="en-GB"/>
          <w14:ligatures w14:val="none"/>
        </w:rPr>
      </w:pPr>
      <w:r w:rsidRPr="005A7235">
        <w:rPr>
          <w:rFonts w:ascii="Arial" w:hAnsi="Arial" w:cs="Arial"/>
          <w:b/>
          <w:bCs/>
          <w:spacing w:val="-2"/>
          <w:sz w:val="28"/>
          <w:szCs w:val="28"/>
        </w:rPr>
        <w:t>LCBB6002</w:t>
      </w:r>
    </w:p>
    <w:p w14:paraId="4FEF21E4" w14:textId="77777777" w:rsidR="005D51E1" w:rsidRPr="005A7235" w:rsidRDefault="005D51E1" w:rsidP="005D51E1">
      <w:pPr>
        <w:jc w:val="center"/>
        <w:rPr>
          <w:rFonts w:ascii="Arial" w:eastAsia="Times New Roman" w:hAnsi="Arial" w:cs="Arial"/>
          <w:b/>
          <w:bCs/>
          <w:color w:val="000000"/>
          <w:kern w:val="0"/>
          <w:sz w:val="32"/>
          <w:szCs w:val="32"/>
          <w:lang w:eastAsia="en-GB"/>
          <w14:ligatures w14:val="none"/>
        </w:rPr>
      </w:pPr>
    </w:p>
    <w:p w14:paraId="5709333A" w14:textId="176CA41F" w:rsidR="005D51E1" w:rsidRPr="005A7235" w:rsidRDefault="005D51E1" w:rsidP="005D51E1">
      <w:pPr>
        <w:jc w:val="center"/>
        <w:rPr>
          <w:rFonts w:ascii="Arial" w:eastAsia="Times New Roman" w:hAnsi="Arial" w:cs="Arial"/>
          <w:b/>
          <w:bCs/>
          <w:color w:val="000000"/>
          <w:kern w:val="0"/>
          <w:sz w:val="32"/>
          <w:szCs w:val="32"/>
          <w:lang w:eastAsia="en-GB"/>
          <w14:ligatures w14:val="none"/>
        </w:rPr>
      </w:pPr>
      <w:r w:rsidRPr="005A7235">
        <w:rPr>
          <w:rFonts w:ascii="Arial" w:hAnsi="Arial" w:cs="Arial"/>
          <w:b/>
          <w:bCs/>
          <w:sz w:val="28"/>
          <w:szCs w:val="28"/>
        </w:rPr>
        <w:t xml:space="preserve">Component 1: </w:t>
      </w:r>
      <w:r w:rsidRPr="005A7235">
        <w:rPr>
          <w:rFonts w:ascii="Arial" w:hAnsi="Arial" w:cs="Arial"/>
          <w:sz w:val="28"/>
          <w:szCs w:val="28"/>
        </w:rPr>
        <w:t>Coursework</w:t>
      </w:r>
      <w:r w:rsidRPr="005A7235">
        <w:rPr>
          <w:rFonts w:ascii="Arial" w:hAnsi="Arial" w:cs="Arial"/>
          <w:spacing w:val="-10"/>
          <w:sz w:val="28"/>
          <w:szCs w:val="28"/>
        </w:rPr>
        <w:t>: Written Report</w:t>
      </w:r>
    </w:p>
    <w:p w14:paraId="6B378856" w14:textId="28260E8E" w:rsidR="004205E4" w:rsidRPr="005A7235" w:rsidRDefault="004205E4" w:rsidP="005D51E1">
      <w:pPr>
        <w:jc w:val="center"/>
        <w:rPr>
          <w:rFonts w:ascii="Arial" w:eastAsia="Times New Roman" w:hAnsi="Arial" w:cs="Arial"/>
          <w:b/>
          <w:bCs/>
          <w:color w:val="000000"/>
          <w:kern w:val="0"/>
          <w:sz w:val="32"/>
          <w:szCs w:val="32"/>
          <w:lang w:eastAsia="en-GB"/>
          <w14:ligatures w14:val="none"/>
        </w:rPr>
      </w:pPr>
      <w:r w:rsidRPr="005A7235">
        <w:rPr>
          <w:rFonts w:ascii="Arial" w:eastAsia="Times New Roman" w:hAnsi="Arial" w:cs="Arial"/>
          <w:b/>
          <w:bCs/>
          <w:color w:val="000000"/>
          <w:kern w:val="0"/>
          <w:sz w:val="32"/>
          <w:szCs w:val="32"/>
          <w:lang w:eastAsia="en-GB"/>
          <w14:ligatures w14:val="none"/>
        </w:rPr>
        <w:t>The Impact of Corporate Governance Practices on Firm Performance</w:t>
      </w:r>
    </w:p>
    <w:p w14:paraId="6A8FFC87"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31A0230D"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6DB94FDD"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38438FE2"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2A33A2BD"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3481F105"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680577A3"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02093991"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02DC599B"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1DA76705" w14:textId="77777777" w:rsidR="005D51E1" w:rsidRPr="005A7235" w:rsidRDefault="005D51E1" w:rsidP="005D51E1">
      <w:pPr>
        <w:jc w:val="center"/>
        <w:rPr>
          <w:rFonts w:ascii="Arial" w:eastAsia="Times New Roman" w:hAnsi="Arial" w:cs="Arial"/>
          <w:b/>
          <w:bCs/>
          <w:color w:val="000000"/>
          <w:kern w:val="0"/>
          <w:lang w:eastAsia="en-GB"/>
          <w14:ligatures w14:val="none"/>
        </w:rPr>
      </w:pPr>
    </w:p>
    <w:p w14:paraId="5F0F640F" w14:textId="6255AE1D" w:rsidR="005D51E1" w:rsidRPr="005A7235" w:rsidRDefault="005D51E1" w:rsidP="005D51E1">
      <w:pPr>
        <w:jc w:val="right"/>
        <w:rPr>
          <w:rFonts w:ascii="Arial" w:hAnsi="Arial" w:cs="Arial"/>
          <w:b/>
          <w:bCs/>
          <w:sz w:val="28"/>
          <w:szCs w:val="28"/>
        </w:rPr>
      </w:pPr>
      <w:r w:rsidRPr="005A7235">
        <w:rPr>
          <w:rFonts w:ascii="Arial" w:hAnsi="Arial" w:cs="Arial"/>
          <w:b/>
          <w:sz w:val="28"/>
          <w:szCs w:val="28"/>
        </w:rPr>
        <w:t xml:space="preserve">Lecturer: </w:t>
      </w:r>
      <w:r w:rsidRPr="005A7235">
        <w:rPr>
          <w:rFonts w:ascii="Arial" w:hAnsi="Arial" w:cs="Arial"/>
          <w:sz w:val="28"/>
          <w:szCs w:val="28"/>
        </w:rPr>
        <w:t>Dr Mudassar Hasan</w:t>
      </w:r>
    </w:p>
    <w:p w14:paraId="6A06A234" w14:textId="37B8AEEE" w:rsidR="005D51E1" w:rsidRPr="005A7235" w:rsidRDefault="005D51E1" w:rsidP="005D51E1">
      <w:pPr>
        <w:spacing w:before="120" w:after="120"/>
        <w:jc w:val="right"/>
        <w:rPr>
          <w:rFonts w:ascii="Arial" w:hAnsi="Arial" w:cs="Arial"/>
          <w:b/>
          <w:bCs/>
          <w:sz w:val="28"/>
          <w:szCs w:val="28"/>
        </w:rPr>
      </w:pPr>
      <w:r w:rsidRPr="005A7235">
        <w:rPr>
          <w:rFonts w:ascii="Arial" w:hAnsi="Arial" w:cs="Arial"/>
          <w:b/>
          <w:bCs/>
          <w:sz w:val="28"/>
          <w:szCs w:val="28"/>
        </w:rPr>
        <w:t xml:space="preserve">Module lead: </w:t>
      </w:r>
      <w:r w:rsidRPr="005A7235">
        <w:rPr>
          <w:rFonts w:ascii="Arial" w:hAnsi="Arial" w:cs="Arial"/>
          <w:sz w:val="28"/>
          <w:szCs w:val="28"/>
        </w:rPr>
        <w:t>Dr Yousuf Kamal</w:t>
      </w:r>
    </w:p>
    <w:p w14:paraId="7B3D7CE2" w14:textId="2EC255EE" w:rsidR="005D51E1" w:rsidRPr="005A7235" w:rsidRDefault="005D51E1" w:rsidP="005D51E1">
      <w:pPr>
        <w:spacing w:before="120" w:after="120"/>
        <w:jc w:val="right"/>
        <w:rPr>
          <w:rFonts w:ascii="Arial" w:hAnsi="Arial" w:cs="Arial"/>
          <w:b/>
          <w:bCs/>
          <w:sz w:val="28"/>
          <w:szCs w:val="28"/>
        </w:rPr>
      </w:pPr>
      <w:r w:rsidRPr="005A7235">
        <w:rPr>
          <w:rFonts w:ascii="Arial" w:hAnsi="Arial" w:cs="Arial"/>
          <w:b/>
          <w:bCs/>
          <w:sz w:val="28"/>
          <w:szCs w:val="28"/>
        </w:rPr>
        <w:t xml:space="preserve">Student: </w:t>
      </w:r>
      <w:r w:rsidRPr="005A7235">
        <w:rPr>
          <w:rFonts w:ascii="Arial" w:hAnsi="Arial" w:cs="Arial"/>
          <w:sz w:val="28"/>
          <w:szCs w:val="28"/>
        </w:rPr>
        <w:t xml:space="preserve">Adelina </w:t>
      </w:r>
      <w:proofErr w:type="spellStart"/>
      <w:r w:rsidR="00E003FF">
        <w:rPr>
          <w:rFonts w:ascii="Arial" w:hAnsi="Arial" w:cs="Arial"/>
          <w:sz w:val="28"/>
          <w:szCs w:val="28"/>
        </w:rPr>
        <w:t>Andrusca</w:t>
      </w:r>
      <w:proofErr w:type="spellEnd"/>
    </w:p>
    <w:p w14:paraId="330EA084" w14:textId="769D7706" w:rsidR="00492BEF" w:rsidRPr="005A7235" w:rsidRDefault="00B270B9" w:rsidP="005D51E1">
      <w:pPr>
        <w:spacing w:before="120" w:after="120"/>
        <w:jc w:val="right"/>
        <w:rPr>
          <w:rFonts w:ascii="Arial" w:hAnsi="Arial" w:cs="Arial"/>
          <w:b/>
          <w:bCs/>
          <w:sz w:val="28"/>
          <w:szCs w:val="28"/>
        </w:rPr>
      </w:pPr>
      <w:r w:rsidRPr="005A7235">
        <w:rPr>
          <w:rFonts w:ascii="Arial" w:hAnsi="Arial" w:cs="Arial"/>
          <w:b/>
          <w:bCs/>
          <w:sz w:val="28"/>
          <w:szCs w:val="28"/>
        </w:rPr>
        <w:t xml:space="preserve">Student number: </w:t>
      </w:r>
      <w:r w:rsidRPr="005A7235">
        <w:rPr>
          <w:rFonts w:ascii="Arial" w:hAnsi="Arial" w:cs="Arial"/>
          <w:sz w:val="28"/>
          <w:szCs w:val="28"/>
        </w:rPr>
        <w:t>2128219</w:t>
      </w:r>
    </w:p>
    <w:p w14:paraId="320F0CD9" w14:textId="77777777" w:rsidR="005D51E1" w:rsidRDefault="005D51E1" w:rsidP="005D51E1">
      <w:pPr>
        <w:spacing w:before="120" w:after="120"/>
        <w:rPr>
          <w:rFonts w:asciiTheme="minorBidi" w:hAnsiTheme="minorBidi"/>
          <w:b/>
          <w:bCs/>
          <w:sz w:val="22"/>
          <w:szCs w:val="22"/>
        </w:rPr>
      </w:pPr>
    </w:p>
    <w:p w14:paraId="52A45EAA" w14:textId="4C76435A" w:rsidR="004205E4" w:rsidRDefault="004205E4">
      <w:pPr>
        <w:rPr>
          <w:rFonts w:ascii="Calibri" w:eastAsia="Times New Roman" w:hAnsi="Calibri" w:cs="Calibri"/>
          <w:b/>
          <w:bCs/>
          <w:color w:val="000000"/>
          <w:kern w:val="0"/>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629779410"/>
        <w:docPartObj>
          <w:docPartGallery w:val="Table of Contents"/>
          <w:docPartUnique/>
        </w:docPartObj>
      </w:sdtPr>
      <w:sdtEndPr>
        <w:rPr>
          <w:noProof/>
        </w:rPr>
      </w:sdtEndPr>
      <w:sdtContent>
        <w:p w14:paraId="5FA91FB5" w14:textId="363C6A84" w:rsidR="004205E4" w:rsidRPr="008F4EE4" w:rsidRDefault="004205E4">
          <w:pPr>
            <w:pStyle w:val="TOCHeading"/>
            <w:rPr>
              <w:color w:val="000000" w:themeColor="text1"/>
            </w:rPr>
          </w:pPr>
          <w:r w:rsidRPr="008F4EE4">
            <w:rPr>
              <w:color w:val="000000" w:themeColor="text1"/>
            </w:rPr>
            <w:t>Table of Contents</w:t>
          </w:r>
        </w:p>
        <w:p w14:paraId="7B649EB5" w14:textId="251EA3E0" w:rsidR="007855B7" w:rsidRDefault="004205E4">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80935418" w:history="1">
            <w:r w:rsidR="007855B7" w:rsidRPr="005D2406">
              <w:rPr>
                <w:rStyle w:val="Hyperlink"/>
                <w:rFonts w:ascii="Arial" w:eastAsia="Times New Roman" w:hAnsi="Arial" w:cs="Arial"/>
                <w:noProof/>
                <w:kern w:val="0"/>
                <w:lang w:eastAsia="en-GB"/>
                <w14:ligatures w14:val="none"/>
              </w:rPr>
              <w:t>Introduction</w:t>
            </w:r>
            <w:r w:rsidR="007855B7">
              <w:rPr>
                <w:noProof/>
                <w:webHidden/>
              </w:rPr>
              <w:tab/>
            </w:r>
            <w:r w:rsidR="007855B7">
              <w:rPr>
                <w:noProof/>
                <w:webHidden/>
              </w:rPr>
              <w:fldChar w:fldCharType="begin"/>
            </w:r>
            <w:r w:rsidR="007855B7">
              <w:rPr>
                <w:noProof/>
                <w:webHidden/>
              </w:rPr>
              <w:instrText xml:space="preserve"> PAGEREF _Toc180935418 \h </w:instrText>
            </w:r>
            <w:r w:rsidR="007855B7">
              <w:rPr>
                <w:noProof/>
                <w:webHidden/>
              </w:rPr>
            </w:r>
            <w:r w:rsidR="007855B7">
              <w:rPr>
                <w:noProof/>
                <w:webHidden/>
              </w:rPr>
              <w:fldChar w:fldCharType="separate"/>
            </w:r>
            <w:r w:rsidR="007855B7">
              <w:rPr>
                <w:noProof/>
                <w:webHidden/>
              </w:rPr>
              <w:t>2</w:t>
            </w:r>
            <w:r w:rsidR="007855B7">
              <w:rPr>
                <w:noProof/>
                <w:webHidden/>
              </w:rPr>
              <w:fldChar w:fldCharType="end"/>
            </w:r>
          </w:hyperlink>
        </w:p>
        <w:p w14:paraId="5E2982A8" w14:textId="27BF0A69" w:rsidR="007855B7" w:rsidRDefault="007855B7">
          <w:pPr>
            <w:pStyle w:val="TOC1"/>
            <w:tabs>
              <w:tab w:val="right" w:leader="dot" w:pos="9016"/>
            </w:tabs>
            <w:rPr>
              <w:rFonts w:eastAsiaTheme="minorEastAsia"/>
              <w:b w:val="0"/>
              <w:bCs w:val="0"/>
              <w:i w:val="0"/>
              <w:iCs w:val="0"/>
              <w:noProof/>
              <w:lang w:eastAsia="en-GB"/>
            </w:rPr>
          </w:pPr>
          <w:hyperlink w:anchor="_Toc180935419" w:history="1">
            <w:r w:rsidRPr="005D2406">
              <w:rPr>
                <w:rStyle w:val="Hyperlink"/>
                <w:rFonts w:ascii="Arial" w:eastAsia="Times New Roman" w:hAnsi="Arial" w:cs="Arial"/>
                <w:noProof/>
                <w:kern w:val="0"/>
                <w:lang w:eastAsia="en-GB"/>
                <w14:ligatures w14:val="none"/>
              </w:rPr>
              <w:t>Importance of Corporate Governance Practices</w:t>
            </w:r>
            <w:r>
              <w:rPr>
                <w:noProof/>
                <w:webHidden/>
              </w:rPr>
              <w:tab/>
            </w:r>
            <w:r>
              <w:rPr>
                <w:noProof/>
                <w:webHidden/>
              </w:rPr>
              <w:fldChar w:fldCharType="begin"/>
            </w:r>
            <w:r>
              <w:rPr>
                <w:noProof/>
                <w:webHidden/>
              </w:rPr>
              <w:instrText xml:space="preserve"> PAGEREF _Toc180935419 \h </w:instrText>
            </w:r>
            <w:r>
              <w:rPr>
                <w:noProof/>
                <w:webHidden/>
              </w:rPr>
            </w:r>
            <w:r>
              <w:rPr>
                <w:noProof/>
                <w:webHidden/>
              </w:rPr>
              <w:fldChar w:fldCharType="separate"/>
            </w:r>
            <w:r>
              <w:rPr>
                <w:noProof/>
                <w:webHidden/>
              </w:rPr>
              <w:t>2</w:t>
            </w:r>
            <w:r>
              <w:rPr>
                <w:noProof/>
                <w:webHidden/>
              </w:rPr>
              <w:fldChar w:fldCharType="end"/>
            </w:r>
          </w:hyperlink>
        </w:p>
        <w:p w14:paraId="79865F70" w14:textId="23116074" w:rsidR="007855B7" w:rsidRDefault="007855B7">
          <w:pPr>
            <w:pStyle w:val="TOC1"/>
            <w:tabs>
              <w:tab w:val="right" w:leader="dot" w:pos="9016"/>
            </w:tabs>
            <w:rPr>
              <w:rFonts w:eastAsiaTheme="minorEastAsia"/>
              <w:b w:val="0"/>
              <w:bCs w:val="0"/>
              <w:i w:val="0"/>
              <w:iCs w:val="0"/>
              <w:noProof/>
              <w:lang w:eastAsia="en-GB"/>
            </w:rPr>
          </w:pPr>
          <w:hyperlink w:anchor="_Toc180935420" w:history="1">
            <w:r w:rsidRPr="005D2406">
              <w:rPr>
                <w:rStyle w:val="Hyperlink"/>
                <w:rFonts w:ascii="Arial" w:eastAsia="Times New Roman" w:hAnsi="Arial" w:cs="Arial"/>
                <w:noProof/>
                <w:kern w:val="0"/>
                <w:lang w:eastAsia="en-GB"/>
                <w14:ligatures w14:val="none"/>
              </w:rPr>
              <w:t>Corporate Governance Variables Identified</w:t>
            </w:r>
            <w:r>
              <w:rPr>
                <w:noProof/>
                <w:webHidden/>
              </w:rPr>
              <w:tab/>
            </w:r>
            <w:r>
              <w:rPr>
                <w:noProof/>
                <w:webHidden/>
              </w:rPr>
              <w:fldChar w:fldCharType="begin"/>
            </w:r>
            <w:r>
              <w:rPr>
                <w:noProof/>
                <w:webHidden/>
              </w:rPr>
              <w:instrText xml:space="preserve"> PAGEREF _Toc180935420 \h </w:instrText>
            </w:r>
            <w:r>
              <w:rPr>
                <w:noProof/>
                <w:webHidden/>
              </w:rPr>
            </w:r>
            <w:r>
              <w:rPr>
                <w:noProof/>
                <w:webHidden/>
              </w:rPr>
              <w:fldChar w:fldCharType="separate"/>
            </w:r>
            <w:r>
              <w:rPr>
                <w:noProof/>
                <w:webHidden/>
              </w:rPr>
              <w:t>3</w:t>
            </w:r>
            <w:r>
              <w:rPr>
                <w:noProof/>
                <w:webHidden/>
              </w:rPr>
              <w:fldChar w:fldCharType="end"/>
            </w:r>
          </w:hyperlink>
        </w:p>
        <w:p w14:paraId="330847EB" w14:textId="02A6F492" w:rsidR="007855B7" w:rsidRDefault="007855B7">
          <w:pPr>
            <w:pStyle w:val="TOC1"/>
            <w:tabs>
              <w:tab w:val="right" w:leader="dot" w:pos="9016"/>
            </w:tabs>
            <w:rPr>
              <w:rFonts w:eastAsiaTheme="minorEastAsia"/>
              <w:b w:val="0"/>
              <w:bCs w:val="0"/>
              <w:i w:val="0"/>
              <w:iCs w:val="0"/>
              <w:noProof/>
              <w:lang w:eastAsia="en-GB"/>
            </w:rPr>
          </w:pPr>
          <w:hyperlink w:anchor="_Toc180935421" w:history="1">
            <w:r w:rsidRPr="005D2406">
              <w:rPr>
                <w:rStyle w:val="Hyperlink"/>
                <w:rFonts w:ascii="Arial" w:eastAsia="Times New Roman" w:hAnsi="Arial" w:cs="Arial"/>
                <w:noProof/>
                <w:kern w:val="0"/>
                <w:lang w:eastAsia="en-GB"/>
                <w14:ligatures w14:val="none"/>
              </w:rPr>
              <w:t>Relationship Between Corporate Governance and Financial Performance</w:t>
            </w:r>
            <w:r>
              <w:rPr>
                <w:noProof/>
                <w:webHidden/>
              </w:rPr>
              <w:tab/>
            </w:r>
            <w:r>
              <w:rPr>
                <w:noProof/>
                <w:webHidden/>
              </w:rPr>
              <w:fldChar w:fldCharType="begin"/>
            </w:r>
            <w:r>
              <w:rPr>
                <w:noProof/>
                <w:webHidden/>
              </w:rPr>
              <w:instrText xml:space="preserve"> PAGEREF _Toc180935421 \h </w:instrText>
            </w:r>
            <w:r>
              <w:rPr>
                <w:noProof/>
                <w:webHidden/>
              </w:rPr>
            </w:r>
            <w:r>
              <w:rPr>
                <w:noProof/>
                <w:webHidden/>
              </w:rPr>
              <w:fldChar w:fldCharType="separate"/>
            </w:r>
            <w:r>
              <w:rPr>
                <w:noProof/>
                <w:webHidden/>
              </w:rPr>
              <w:t>3</w:t>
            </w:r>
            <w:r>
              <w:rPr>
                <w:noProof/>
                <w:webHidden/>
              </w:rPr>
              <w:fldChar w:fldCharType="end"/>
            </w:r>
          </w:hyperlink>
        </w:p>
        <w:p w14:paraId="5FBBE25A" w14:textId="0840F77E" w:rsidR="007855B7" w:rsidRDefault="007855B7">
          <w:pPr>
            <w:pStyle w:val="TOC1"/>
            <w:tabs>
              <w:tab w:val="right" w:leader="dot" w:pos="9016"/>
            </w:tabs>
            <w:rPr>
              <w:rFonts w:eastAsiaTheme="minorEastAsia"/>
              <w:b w:val="0"/>
              <w:bCs w:val="0"/>
              <w:i w:val="0"/>
              <w:iCs w:val="0"/>
              <w:noProof/>
              <w:lang w:eastAsia="en-GB"/>
            </w:rPr>
          </w:pPr>
          <w:hyperlink w:anchor="_Toc180935422" w:history="1">
            <w:r w:rsidRPr="005D2406">
              <w:rPr>
                <w:rStyle w:val="Hyperlink"/>
                <w:rFonts w:ascii="Arial" w:eastAsia="Times New Roman" w:hAnsi="Arial" w:cs="Arial"/>
                <w:noProof/>
                <w:kern w:val="0"/>
                <w:lang w:eastAsia="en-GB"/>
                <w14:ligatures w14:val="none"/>
              </w:rPr>
              <w:t>Analysis of Findings</w:t>
            </w:r>
            <w:r>
              <w:rPr>
                <w:noProof/>
                <w:webHidden/>
              </w:rPr>
              <w:tab/>
            </w:r>
            <w:r>
              <w:rPr>
                <w:noProof/>
                <w:webHidden/>
              </w:rPr>
              <w:fldChar w:fldCharType="begin"/>
            </w:r>
            <w:r>
              <w:rPr>
                <w:noProof/>
                <w:webHidden/>
              </w:rPr>
              <w:instrText xml:space="preserve"> PAGEREF _Toc180935422 \h </w:instrText>
            </w:r>
            <w:r>
              <w:rPr>
                <w:noProof/>
                <w:webHidden/>
              </w:rPr>
            </w:r>
            <w:r>
              <w:rPr>
                <w:noProof/>
                <w:webHidden/>
              </w:rPr>
              <w:fldChar w:fldCharType="separate"/>
            </w:r>
            <w:r>
              <w:rPr>
                <w:noProof/>
                <w:webHidden/>
              </w:rPr>
              <w:t>6</w:t>
            </w:r>
            <w:r>
              <w:rPr>
                <w:noProof/>
                <w:webHidden/>
              </w:rPr>
              <w:fldChar w:fldCharType="end"/>
            </w:r>
          </w:hyperlink>
        </w:p>
        <w:p w14:paraId="45E78AAF" w14:textId="142B252B" w:rsidR="007855B7" w:rsidRDefault="007855B7">
          <w:pPr>
            <w:pStyle w:val="TOC1"/>
            <w:tabs>
              <w:tab w:val="right" w:leader="dot" w:pos="9016"/>
            </w:tabs>
            <w:rPr>
              <w:rFonts w:eastAsiaTheme="minorEastAsia"/>
              <w:b w:val="0"/>
              <w:bCs w:val="0"/>
              <w:i w:val="0"/>
              <w:iCs w:val="0"/>
              <w:noProof/>
              <w:lang w:eastAsia="en-GB"/>
            </w:rPr>
          </w:pPr>
          <w:hyperlink w:anchor="_Toc180935423" w:history="1">
            <w:r w:rsidRPr="005D2406">
              <w:rPr>
                <w:rStyle w:val="Hyperlink"/>
                <w:rFonts w:ascii="Arial" w:eastAsia="Times New Roman" w:hAnsi="Arial" w:cs="Arial"/>
                <w:noProof/>
                <w:kern w:val="0"/>
                <w:lang w:eastAsia="en-GB"/>
                <w14:ligatures w14:val="none"/>
              </w:rPr>
              <w:t>Conclusion</w:t>
            </w:r>
            <w:r>
              <w:rPr>
                <w:noProof/>
                <w:webHidden/>
              </w:rPr>
              <w:tab/>
            </w:r>
            <w:r>
              <w:rPr>
                <w:noProof/>
                <w:webHidden/>
              </w:rPr>
              <w:fldChar w:fldCharType="begin"/>
            </w:r>
            <w:r>
              <w:rPr>
                <w:noProof/>
                <w:webHidden/>
              </w:rPr>
              <w:instrText xml:space="preserve"> PAGEREF _Toc180935423 \h </w:instrText>
            </w:r>
            <w:r>
              <w:rPr>
                <w:noProof/>
                <w:webHidden/>
              </w:rPr>
            </w:r>
            <w:r>
              <w:rPr>
                <w:noProof/>
                <w:webHidden/>
              </w:rPr>
              <w:fldChar w:fldCharType="separate"/>
            </w:r>
            <w:r>
              <w:rPr>
                <w:noProof/>
                <w:webHidden/>
              </w:rPr>
              <w:t>6</w:t>
            </w:r>
            <w:r>
              <w:rPr>
                <w:noProof/>
                <w:webHidden/>
              </w:rPr>
              <w:fldChar w:fldCharType="end"/>
            </w:r>
          </w:hyperlink>
        </w:p>
        <w:p w14:paraId="5EC03C4E" w14:textId="442FDC9F" w:rsidR="007855B7" w:rsidRDefault="007855B7">
          <w:pPr>
            <w:pStyle w:val="TOC1"/>
            <w:tabs>
              <w:tab w:val="right" w:leader="dot" w:pos="9016"/>
            </w:tabs>
            <w:rPr>
              <w:rFonts w:eastAsiaTheme="minorEastAsia"/>
              <w:b w:val="0"/>
              <w:bCs w:val="0"/>
              <w:i w:val="0"/>
              <w:iCs w:val="0"/>
              <w:noProof/>
              <w:lang w:eastAsia="en-GB"/>
            </w:rPr>
          </w:pPr>
          <w:hyperlink w:anchor="_Toc180935424" w:history="1">
            <w:r w:rsidRPr="005D2406">
              <w:rPr>
                <w:rStyle w:val="Hyperlink"/>
                <w:noProof/>
              </w:rPr>
              <w:t>Bibliography</w:t>
            </w:r>
            <w:r>
              <w:rPr>
                <w:noProof/>
                <w:webHidden/>
              </w:rPr>
              <w:tab/>
            </w:r>
            <w:r>
              <w:rPr>
                <w:noProof/>
                <w:webHidden/>
              </w:rPr>
              <w:fldChar w:fldCharType="begin"/>
            </w:r>
            <w:r>
              <w:rPr>
                <w:noProof/>
                <w:webHidden/>
              </w:rPr>
              <w:instrText xml:space="preserve"> PAGEREF _Toc180935424 \h </w:instrText>
            </w:r>
            <w:r>
              <w:rPr>
                <w:noProof/>
                <w:webHidden/>
              </w:rPr>
            </w:r>
            <w:r>
              <w:rPr>
                <w:noProof/>
                <w:webHidden/>
              </w:rPr>
              <w:fldChar w:fldCharType="separate"/>
            </w:r>
            <w:r>
              <w:rPr>
                <w:noProof/>
                <w:webHidden/>
              </w:rPr>
              <w:t>8</w:t>
            </w:r>
            <w:r>
              <w:rPr>
                <w:noProof/>
                <w:webHidden/>
              </w:rPr>
              <w:fldChar w:fldCharType="end"/>
            </w:r>
          </w:hyperlink>
        </w:p>
        <w:p w14:paraId="7632395E" w14:textId="0FD66949" w:rsidR="004205E4" w:rsidRDefault="004205E4">
          <w:r>
            <w:rPr>
              <w:b/>
              <w:bCs/>
              <w:noProof/>
            </w:rPr>
            <w:fldChar w:fldCharType="end"/>
          </w:r>
        </w:p>
      </w:sdtContent>
    </w:sdt>
    <w:p w14:paraId="05EFBE9B" w14:textId="77777777" w:rsidR="004205E4" w:rsidRDefault="004205E4">
      <w:pPr>
        <w:rPr>
          <w:rFonts w:ascii="Calibri" w:eastAsia="Times New Roman" w:hAnsi="Calibri" w:cs="Calibri"/>
          <w:b/>
          <w:bCs/>
          <w:color w:val="000000"/>
          <w:kern w:val="0"/>
          <w:lang w:eastAsia="en-GB"/>
          <w14:ligatures w14:val="none"/>
        </w:rPr>
      </w:pPr>
      <w:r>
        <w:rPr>
          <w:rFonts w:ascii="Calibri" w:eastAsia="Times New Roman" w:hAnsi="Calibri" w:cs="Calibri"/>
          <w:b/>
          <w:bCs/>
          <w:color w:val="000000"/>
          <w:kern w:val="0"/>
          <w:lang w:eastAsia="en-GB"/>
          <w14:ligatures w14:val="none"/>
        </w:rPr>
        <w:br w:type="page"/>
      </w:r>
    </w:p>
    <w:p w14:paraId="1E0D72E0" w14:textId="0BA9B9D4" w:rsidR="004205E4" w:rsidRPr="005A7235" w:rsidRDefault="004205E4" w:rsidP="004205E4">
      <w:pPr>
        <w:pStyle w:val="Heading1"/>
        <w:rPr>
          <w:rFonts w:ascii="Arial" w:eastAsia="Times New Roman" w:hAnsi="Arial" w:cs="Arial"/>
          <w:b/>
          <w:bCs/>
          <w:color w:val="000000"/>
          <w:kern w:val="0"/>
          <w:sz w:val="28"/>
          <w:szCs w:val="28"/>
          <w:lang w:eastAsia="en-GB"/>
          <w14:ligatures w14:val="none"/>
        </w:rPr>
      </w:pPr>
      <w:bookmarkStart w:id="0" w:name="_Toc180935418"/>
      <w:r w:rsidRPr="005A7235">
        <w:rPr>
          <w:rFonts w:ascii="Arial" w:eastAsia="Times New Roman" w:hAnsi="Arial" w:cs="Arial"/>
          <w:b/>
          <w:bCs/>
          <w:color w:val="000000"/>
          <w:kern w:val="0"/>
          <w:sz w:val="28"/>
          <w:szCs w:val="28"/>
          <w:lang w:eastAsia="en-GB"/>
          <w14:ligatures w14:val="none"/>
        </w:rPr>
        <w:lastRenderedPageBreak/>
        <w:t>Introduction</w:t>
      </w:r>
      <w:bookmarkEnd w:id="0"/>
    </w:p>
    <w:p w14:paraId="7248ABEA" w14:textId="17E15E7C" w:rsidR="00463EC2" w:rsidRPr="005A7235" w:rsidRDefault="00463EC2"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The way in which companies are managed and overseen – known as governance – is essential, for holding them responsible to those they serve and impact stakeholders interests positively and professionally through practices and procedures put in place for directing and managing the organization effectively to improve performance across all areas. For a </w:t>
      </w:r>
      <w:r w:rsidR="00EE293F" w:rsidRPr="005A7235">
        <w:rPr>
          <w:rFonts w:ascii="Arial" w:eastAsia="Times New Roman" w:hAnsi="Arial" w:cs="Arial"/>
          <w:color w:val="000000"/>
          <w:kern w:val="0"/>
          <w:lang w:eastAsia="en-GB"/>
          <w14:ligatures w14:val="none"/>
        </w:rPr>
        <w:t>large-scale</w:t>
      </w:r>
      <w:r w:rsidRPr="005A7235">
        <w:rPr>
          <w:rFonts w:ascii="Arial" w:eastAsia="Times New Roman" w:hAnsi="Arial" w:cs="Arial"/>
          <w:color w:val="000000"/>
          <w:kern w:val="0"/>
          <w:lang w:eastAsia="en-GB"/>
          <w14:ligatures w14:val="none"/>
        </w:rPr>
        <w:t xml:space="preserve"> corporation such as Tesco PLC that is publicly traded worldwide with shareholders involved in its operations and success strategies beyond adherence to rules and regulations. Corporate governance plays a pivotal role not just in regulatory compliance but also, in shaping the </w:t>
      </w:r>
      <w:r w:rsidR="00EE293F" w:rsidRPr="005A7235">
        <w:rPr>
          <w:rFonts w:ascii="Arial" w:eastAsia="Times New Roman" w:hAnsi="Arial" w:cs="Arial"/>
          <w:color w:val="000000"/>
          <w:kern w:val="0"/>
          <w:lang w:eastAsia="en-GB"/>
          <w14:ligatures w14:val="none"/>
        </w:rPr>
        <w:t>company’s</w:t>
      </w:r>
      <w:r w:rsidRPr="005A7235">
        <w:rPr>
          <w:rFonts w:ascii="Arial" w:eastAsia="Times New Roman" w:hAnsi="Arial" w:cs="Arial"/>
          <w:color w:val="000000"/>
          <w:kern w:val="0"/>
          <w:lang w:eastAsia="en-GB"/>
          <w14:ligatures w14:val="none"/>
        </w:rPr>
        <w:t xml:space="preserve"> overall mission by influencing financial decisions and social responsibility efforts. This report investigates how </w:t>
      </w:r>
      <w:r w:rsidR="00EE293F" w:rsidRPr="005A7235">
        <w:rPr>
          <w:rFonts w:ascii="Arial" w:eastAsia="Times New Roman" w:hAnsi="Arial" w:cs="Arial"/>
          <w:color w:val="000000"/>
          <w:kern w:val="0"/>
          <w:lang w:eastAsia="en-GB"/>
          <w14:ligatures w14:val="none"/>
        </w:rPr>
        <w:t>Tesco’s</w:t>
      </w:r>
      <w:r w:rsidRPr="005A7235">
        <w:rPr>
          <w:rFonts w:ascii="Arial" w:eastAsia="Times New Roman" w:hAnsi="Arial" w:cs="Arial"/>
          <w:color w:val="000000"/>
          <w:kern w:val="0"/>
          <w:lang w:eastAsia="en-GB"/>
          <w14:ligatures w14:val="none"/>
        </w:rPr>
        <w:t xml:space="preserve"> corporate governance practices influence its performance through an assessment of its board composition shareholder ownership patterns, executive pay arrangements and transparency measures</w:t>
      </w:r>
      <w:sdt>
        <w:sdtPr>
          <w:rPr>
            <w:rFonts w:ascii="Arial" w:eastAsia="Times New Roman" w:hAnsi="Arial" w:cs="Arial"/>
            <w:color w:val="000000"/>
            <w:kern w:val="0"/>
            <w:lang w:eastAsia="en-GB"/>
            <w14:ligatures w14:val="none"/>
          </w:rPr>
          <w:id w:val="1543475037"/>
          <w:citation/>
        </w:sdtPr>
        <w:sdtContent>
          <w:r w:rsidR="00F00CD9">
            <w:rPr>
              <w:rFonts w:ascii="Arial" w:eastAsia="Times New Roman" w:hAnsi="Arial" w:cs="Arial"/>
              <w:color w:val="000000"/>
              <w:kern w:val="0"/>
              <w:lang w:eastAsia="en-GB"/>
              <w14:ligatures w14:val="none"/>
            </w:rPr>
            <w:fldChar w:fldCharType="begin"/>
          </w:r>
          <w:r w:rsidR="00F00CD9">
            <w:rPr>
              <w:rFonts w:ascii="Arial" w:eastAsia="Times New Roman" w:hAnsi="Arial" w:cs="Arial"/>
              <w:color w:val="000000"/>
              <w:kern w:val="0"/>
              <w:lang w:eastAsia="en-GB"/>
              <w14:ligatures w14:val="none"/>
            </w:rPr>
            <w:instrText xml:space="preserve"> CITATION Cam17 \l 2057 </w:instrText>
          </w:r>
          <w:r w:rsidR="00F00CD9">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(Cottages, 2017)</w:t>
          </w:r>
          <w:r w:rsidR="00F00CD9">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xml:space="preserve">. </w:t>
      </w:r>
    </w:p>
    <w:p w14:paraId="33B45D40" w14:textId="7727F752" w:rsidR="00463EC2" w:rsidRPr="005A7235" w:rsidRDefault="00463EC2"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Tesco was established in 1919. Has grown to be a global retailer, with stores in various countries and a wide range of customers around the </w:t>
      </w:r>
      <w:r w:rsidR="00EE293F" w:rsidRPr="005A7235">
        <w:rPr>
          <w:rFonts w:ascii="Arial" w:eastAsia="Times New Roman" w:hAnsi="Arial" w:cs="Arial"/>
          <w:color w:val="000000"/>
          <w:kern w:val="0"/>
          <w:lang w:eastAsia="en-GB"/>
          <w14:ligatures w14:val="none"/>
        </w:rPr>
        <w:t>world.</w:t>
      </w:r>
      <w:r w:rsidRPr="005A7235">
        <w:rPr>
          <w:rFonts w:ascii="Arial" w:eastAsia="Times New Roman" w:hAnsi="Arial" w:cs="Arial"/>
          <w:color w:val="000000"/>
          <w:kern w:val="0"/>
          <w:lang w:eastAsia="en-GB"/>
          <w14:ligatures w14:val="none"/>
        </w:rPr>
        <w:t xml:space="preserve"> A robust governance structure is crucial for overseeing </w:t>
      </w:r>
      <w:r w:rsidR="00EE293F" w:rsidRPr="005A7235">
        <w:rPr>
          <w:rFonts w:ascii="Arial" w:eastAsia="Times New Roman" w:hAnsi="Arial" w:cs="Arial"/>
          <w:color w:val="000000"/>
          <w:kern w:val="0"/>
          <w:lang w:eastAsia="en-GB"/>
          <w14:ligatures w14:val="none"/>
        </w:rPr>
        <w:t>Tesco’s</w:t>
      </w:r>
      <w:r w:rsidRPr="005A7235">
        <w:rPr>
          <w:rFonts w:ascii="Arial" w:eastAsia="Times New Roman" w:hAnsi="Arial" w:cs="Arial"/>
          <w:color w:val="000000"/>
          <w:kern w:val="0"/>
          <w:lang w:eastAsia="en-GB"/>
          <w14:ligatures w14:val="none"/>
        </w:rPr>
        <w:t xml:space="preserve"> operations and building trust among investors to support its </w:t>
      </w:r>
      <w:r w:rsidR="00EE293F" w:rsidRPr="005A7235">
        <w:rPr>
          <w:rFonts w:ascii="Arial" w:eastAsia="Times New Roman" w:hAnsi="Arial" w:cs="Arial"/>
          <w:color w:val="000000"/>
          <w:kern w:val="0"/>
          <w:lang w:eastAsia="en-GB"/>
          <w14:ligatures w14:val="none"/>
        </w:rPr>
        <w:t>long-term</w:t>
      </w:r>
      <w:r w:rsidRPr="005A7235">
        <w:rPr>
          <w:rFonts w:ascii="Arial" w:eastAsia="Times New Roman" w:hAnsi="Arial" w:cs="Arial"/>
          <w:color w:val="000000"/>
          <w:kern w:val="0"/>
          <w:lang w:eastAsia="en-GB"/>
          <w14:ligatures w14:val="none"/>
        </w:rPr>
        <w:t xml:space="preserve"> growth. In times Tesco has taken steps to improve its governance standards in line, with evolving regulations and industry norms notably focusing on Environmental Social Governance (ESG)</w:t>
      </w:r>
      <w:sdt>
        <w:sdtPr>
          <w:rPr>
            <w:rFonts w:ascii="Arial" w:eastAsia="Times New Roman" w:hAnsi="Arial" w:cs="Arial"/>
            <w:color w:val="000000"/>
            <w:kern w:val="0"/>
            <w:lang w:eastAsia="en-GB"/>
            <w14:ligatures w14:val="none"/>
          </w:rPr>
          <w:id w:val="-554235658"/>
          <w:citation/>
        </w:sdtPr>
        <w:sdtContent>
          <w:r w:rsidR="00CC1ADB">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Met24 \l 2057 </w:instrText>
          </w:r>
          <w:r w:rsidR="00CC1ADB">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(Management, 2024)</w:t>
          </w:r>
          <w:r w:rsidR="00CC1ADB">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w:t>
      </w:r>
      <w:r w:rsidR="00EE293F" w:rsidRPr="005A7235">
        <w:rPr>
          <w:rFonts w:ascii="Arial" w:eastAsia="Times New Roman" w:hAnsi="Arial" w:cs="Arial"/>
          <w:color w:val="000000"/>
          <w:kern w:val="0"/>
          <w:lang w:eastAsia="en-GB"/>
          <w14:ligatures w14:val="none"/>
        </w:rPr>
        <w:t xml:space="preserve"> </w:t>
      </w:r>
      <w:r w:rsidRPr="005A7235">
        <w:rPr>
          <w:rFonts w:ascii="Arial" w:eastAsia="Times New Roman" w:hAnsi="Arial" w:cs="Arial"/>
          <w:color w:val="000000"/>
          <w:kern w:val="0"/>
          <w:lang w:eastAsia="en-GB"/>
          <w14:ligatures w14:val="none"/>
        </w:rPr>
        <w:t xml:space="preserve">This study delves into the influence of these governance strategies, on the results of Tesco by examining information sourced from </w:t>
      </w:r>
      <w:r w:rsidR="00EE293F" w:rsidRPr="005A7235">
        <w:rPr>
          <w:rFonts w:ascii="Arial" w:eastAsia="Times New Roman" w:hAnsi="Arial" w:cs="Arial"/>
          <w:color w:val="000000"/>
          <w:kern w:val="0"/>
          <w:lang w:eastAsia="en-GB"/>
          <w14:ligatures w14:val="none"/>
        </w:rPr>
        <w:t>Tesco’s</w:t>
      </w:r>
      <w:r w:rsidRPr="005A7235">
        <w:rPr>
          <w:rFonts w:ascii="Arial" w:eastAsia="Times New Roman" w:hAnsi="Arial" w:cs="Arial"/>
          <w:color w:val="000000"/>
          <w:kern w:val="0"/>
          <w:lang w:eastAsia="en-GB"/>
          <w14:ligatures w14:val="none"/>
        </w:rPr>
        <w:t xml:space="preserve"> reports from the last five years.</w:t>
      </w:r>
    </w:p>
    <w:p w14:paraId="296A349F" w14:textId="77777777" w:rsidR="00463EC2" w:rsidRPr="005A7235" w:rsidRDefault="00463EC2" w:rsidP="004205E4">
      <w:pPr>
        <w:pStyle w:val="Heading1"/>
        <w:jc w:val="both"/>
        <w:rPr>
          <w:rFonts w:ascii="Arial" w:eastAsia="Times New Roman" w:hAnsi="Arial" w:cs="Arial"/>
          <w:b/>
          <w:bCs/>
          <w:color w:val="000000"/>
          <w:kern w:val="0"/>
          <w:sz w:val="28"/>
          <w:szCs w:val="28"/>
          <w:lang w:eastAsia="en-GB"/>
          <w14:ligatures w14:val="none"/>
        </w:rPr>
      </w:pPr>
      <w:bookmarkStart w:id="1" w:name="_Toc180935419"/>
      <w:r w:rsidRPr="005A7235">
        <w:rPr>
          <w:rFonts w:ascii="Arial" w:eastAsia="Times New Roman" w:hAnsi="Arial" w:cs="Arial"/>
          <w:b/>
          <w:bCs/>
          <w:color w:val="000000"/>
          <w:kern w:val="0"/>
          <w:sz w:val="28"/>
          <w:szCs w:val="28"/>
          <w:lang w:eastAsia="en-GB"/>
          <w14:ligatures w14:val="none"/>
        </w:rPr>
        <w:t>Importance of Corporate Governance Practices</w:t>
      </w:r>
      <w:bookmarkEnd w:id="1"/>
    </w:p>
    <w:p w14:paraId="1A992857" w14:textId="0C2436FA" w:rsidR="000C3ED5" w:rsidRPr="005A7235" w:rsidRDefault="000C3ED5"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In industries such, as retail that're competitive and heavily regulated like </w:t>
      </w:r>
      <w:r w:rsidR="00EE293F" w:rsidRPr="005A7235">
        <w:rPr>
          <w:rFonts w:ascii="Arial" w:eastAsia="Times New Roman" w:hAnsi="Arial" w:cs="Arial"/>
          <w:color w:val="000000"/>
          <w:kern w:val="0"/>
          <w:lang w:eastAsia="en-GB"/>
          <w14:ligatures w14:val="none"/>
        </w:rPr>
        <w:t>Tesco’s</w:t>
      </w:r>
      <w:r w:rsidRPr="005A7235">
        <w:rPr>
          <w:rFonts w:ascii="Arial" w:eastAsia="Times New Roman" w:hAnsi="Arial" w:cs="Arial"/>
          <w:color w:val="000000"/>
          <w:kern w:val="0"/>
          <w:lang w:eastAsia="en-GB"/>
          <w14:ligatures w14:val="none"/>
        </w:rPr>
        <w:t xml:space="preserve"> sector corporate governance plays a crucial role in establishing the </w:t>
      </w:r>
      <w:r w:rsidR="00EE293F" w:rsidRPr="005A7235">
        <w:rPr>
          <w:rFonts w:ascii="Arial" w:eastAsia="Times New Roman" w:hAnsi="Arial" w:cs="Arial"/>
          <w:color w:val="000000"/>
          <w:kern w:val="0"/>
          <w:lang w:eastAsia="en-GB"/>
          <w14:ligatures w14:val="none"/>
        </w:rPr>
        <w:t>company’s</w:t>
      </w:r>
      <w:r w:rsidRPr="005A7235">
        <w:rPr>
          <w:rFonts w:ascii="Arial" w:eastAsia="Times New Roman" w:hAnsi="Arial" w:cs="Arial"/>
          <w:color w:val="000000"/>
          <w:kern w:val="0"/>
          <w:lang w:eastAsia="en-GB"/>
          <w14:ligatures w14:val="none"/>
        </w:rPr>
        <w:t xml:space="preserve"> endurance and lasting worthiness over time. Governance practices are vital, for ensuring harmony and meeting stakeholder demands ethically at Tesco. By implementing governance measures that mitigate risks and enhance operational efficiency while also drawing in investments the company can achieve consistent financial success and sustainability</w:t>
      </w:r>
      <w:sdt>
        <w:sdtPr>
          <w:rPr>
            <w:rFonts w:ascii="Arial" w:eastAsia="Times New Roman" w:hAnsi="Arial" w:cs="Arial"/>
            <w:color w:val="000000"/>
            <w:kern w:val="0"/>
            <w:lang w:eastAsia="en-GB"/>
            <w14:ligatures w14:val="none"/>
          </w:rPr>
          <w:id w:val="40103058"/>
          <w:citation/>
        </w:sdtPr>
        <w:sdtContent>
          <w:r w:rsidR="00735F34">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Jam24 \l 2057 </w:instrText>
          </w:r>
          <w:r w:rsidR="00735F34">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(James Chen, 2024)</w:t>
          </w:r>
          <w:r w:rsidR="00735F34">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xml:space="preserve">. </w:t>
      </w:r>
    </w:p>
    <w:p w14:paraId="26D47740" w14:textId="56DC8356" w:rsidR="00463EC2" w:rsidRPr="005A7235" w:rsidRDefault="000C3ED5"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In the United Kingdom (UK) there are rules, for governance that highlight the significance of transparency and accountability while aligning with environmental and social responsibility standards (ESGs). Tesco follows these guidelines in its governance approach by balancing goals with considerations in its operations. By integrating ESG criteria into its governance framework Tesco attracts investors who prioritize sustainability and positive societal impacts. The </w:t>
      </w:r>
      <w:r w:rsidR="00EE293F" w:rsidRPr="005A7235">
        <w:rPr>
          <w:rFonts w:ascii="Arial" w:eastAsia="Times New Roman" w:hAnsi="Arial" w:cs="Arial"/>
          <w:color w:val="000000"/>
          <w:kern w:val="0"/>
          <w:lang w:eastAsia="en-GB"/>
          <w14:ligatures w14:val="none"/>
        </w:rPr>
        <w:t>company’s</w:t>
      </w:r>
      <w:r w:rsidRPr="005A7235">
        <w:rPr>
          <w:rFonts w:ascii="Arial" w:eastAsia="Times New Roman" w:hAnsi="Arial" w:cs="Arial"/>
          <w:color w:val="000000"/>
          <w:kern w:val="0"/>
          <w:lang w:eastAsia="en-GB"/>
          <w14:ligatures w14:val="none"/>
        </w:rPr>
        <w:t xml:space="preserve"> ownership makeup is primarily composed of investors, like pension funds and mutual funds who expect Tesco to uphold standards of governance and ethical </w:t>
      </w:r>
      <w:r w:rsidR="00EE293F" w:rsidRPr="005A7235">
        <w:rPr>
          <w:rFonts w:ascii="Arial" w:eastAsia="Times New Roman" w:hAnsi="Arial" w:cs="Arial"/>
          <w:color w:val="000000"/>
          <w:kern w:val="0"/>
          <w:lang w:eastAsia="en-GB"/>
          <w14:ligatures w14:val="none"/>
        </w:rPr>
        <w:t>behaviours</w:t>
      </w:r>
      <w:sdt>
        <w:sdtPr>
          <w:rPr>
            <w:rFonts w:ascii="Arial" w:eastAsia="Times New Roman" w:hAnsi="Arial" w:cs="Arial"/>
            <w:color w:val="000000"/>
            <w:kern w:val="0"/>
            <w:lang w:eastAsia="en-GB"/>
            <w14:ligatures w14:val="none"/>
          </w:rPr>
          <w:id w:val="1326773397"/>
          <w:citation/>
        </w:sdtPr>
        <w:sdtContent>
          <w:r w:rsidR="00735F34">
            <w:rPr>
              <w:rFonts w:ascii="Arial" w:eastAsia="Times New Roman" w:hAnsi="Arial" w:cs="Arial"/>
              <w:color w:val="000000"/>
              <w:kern w:val="0"/>
              <w:lang w:eastAsia="en-GB"/>
              <w14:ligatures w14:val="none"/>
            </w:rPr>
            <w:fldChar w:fldCharType="begin"/>
          </w:r>
          <w:r w:rsidR="00735F34">
            <w:rPr>
              <w:rFonts w:ascii="Arial" w:eastAsia="Times New Roman" w:hAnsi="Arial" w:cs="Arial"/>
              <w:color w:val="000000"/>
              <w:kern w:val="0"/>
              <w:lang w:eastAsia="en-GB"/>
              <w14:ligatures w14:val="none"/>
            </w:rPr>
            <w:instrText xml:space="preserve"> CITATION Mal16 \l 2057 </w:instrText>
          </w:r>
          <w:r w:rsidR="00735F34">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(Mallin, 2016)</w:t>
          </w:r>
          <w:r w:rsidR="00735F34">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xml:space="preserve">. </w:t>
      </w:r>
      <w:r w:rsidR="00EE293F" w:rsidRPr="005A7235">
        <w:rPr>
          <w:rFonts w:ascii="Arial" w:eastAsia="Times New Roman" w:hAnsi="Arial" w:cs="Arial"/>
          <w:color w:val="000000"/>
          <w:kern w:val="0"/>
          <w:lang w:eastAsia="en-GB"/>
          <w14:ligatures w14:val="none"/>
        </w:rPr>
        <w:t>Tesco’s</w:t>
      </w:r>
      <w:r w:rsidRPr="005A7235">
        <w:rPr>
          <w:rFonts w:ascii="Arial" w:eastAsia="Times New Roman" w:hAnsi="Arial" w:cs="Arial"/>
          <w:color w:val="000000"/>
          <w:kern w:val="0"/>
          <w:lang w:eastAsia="en-GB"/>
          <w14:ligatures w14:val="none"/>
        </w:rPr>
        <w:t xml:space="preserve"> ownership arrangement has motivated the company to consistently improve its governance system to better tackle market obstacles and meet standards.</w:t>
      </w:r>
    </w:p>
    <w:p w14:paraId="3FEF928A" w14:textId="77777777" w:rsidR="00463EC2" w:rsidRPr="005A7235" w:rsidRDefault="00463EC2" w:rsidP="004205E4">
      <w:pPr>
        <w:pStyle w:val="Heading1"/>
        <w:jc w:val="both"/>
        <w:rPr>
          <w:rFonts w:ascii="Arial" w:eastAsia="Times New Roman" w:hAnsi="Arial" w:cs="Arial"/>
          <w:b/>
          <w:bCs/>
          <w:color w:val="000000"/>
          <w:kern w:val="0"/>
          <w:sz w:val="28"/>
          <w:szCs w:val="28"/>
          <w:lang w:eastAsia="en-GB"/>
          <w14:ligatures w14:val="none"/>
        </w:rPr>
      </w:pPr>
      <w:bookmarkStart w:id="2" w:name="_Toc180935420"/>
      <w:r w:rsidRPr="005A7235">
        <w:rPr>
          <w:rFonts w:ascii="Arial" w:eastAsia="Times New Roman" w:hAnsi="Arial" w:cs="Arial"/>
          <w:b/>
          <w:bCs/>
          <w:color w:val="000000"/>
          <w:kern w:val="0"/>
          <w:sz w:val="28"/>
          <w:szCs w:val="28"/>
          <w:lang w:eastAsia="en-GB"/>
          <w14:ligatures w14:val="none"/>
        </w:rPr>
        <w:lastRenderedPageBreak/>
        <w:t>Corporate Governance Variables Identified</w:t>
      </w:r>
      <w:bookmarkEnd w:id="2"/>
    </w:p>
    <w:p w14:paraId="367D6FE3" w14:textId="77777777" w:rsidR="000C3ED5" w:rsidRPr="005A7235" w:rsidRDefault="000C3ED5"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The report examines elements of governance such, as board composition, ownership structure, executive pay and transparency policies. </w:t>
      </w:r>
    </w:p>
    <w:p w14:paraId="053A156F" w14:textId="1328EAA1" w:rsidR="000C3ED5"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Tesco’s</w:t>
      </w:r>
      <w:r w:rsidR="000C3ED5" w:rsidRPr="005A7235">
        <w:rPr>
          <w:rFonts w:ascii="Arial" w:eastAsia="Times New Roman" w:hAnsi="Arial" w:cs="Arial"/>
          <w:color w:val="000000"/>
          <w:kern w:val="0"/>
          <w:lang w:eastAsia="en-GB"/>
          <w14:ligatures w14:val="none"/>
        </w:rPr>
        <w:t xml:space="preserve"> board is made up of a variety of directors, with both executive roles to provide a range of expertise for making balanced decisions and overseeing operations independently. The board is organized into committees including Audit, Remuneration and Nomination committees to focus on governance areas. These committees work together to ensure that </w:t>
      </w:r>
      <w:r w:rsidRPr="005A7235">
        <w:rPr>
          <w:rFonts w:ascii="Arial" w:eastAsia="Times New Roman" w:hAnsi="Arial" w:cs="Arial"/>
          <w:color w:val="000000"/>
          <w:kern w:val="0"/>
          <w:lang w:eastAsia="en-GB"/>
          <w14:ligatures w14:val="none"/>
        </w:rPr>
        <w:t>Tesco’s</w:t>
      </w:r>
      <w:r w:rsidR="000C3ED5" w:rsidRPr="005A7235">
        <w:rPr>
          <w:rFonts w:ascii="Arial" w:eastAsia="Times New Roman" w:hAnsi="Arial" w:cs="Arial"/>
          <w:color w:val="000000"/>
          <w:kern w:val="0"/>
          <w:lang w:eastAsia="en-GB"/>
          <w14:ligatures w14:val="none"/>
        </w:rPr>
        <w:t xml:space="preserve"> financial reporting, executive compensation and board structure comply with industry standards and </w:t>
      </w:r>
      <w:r w:rsidRPr="005A7235">
        <w:rPr>
          <w:rFonts w:ascii="Arial" w:eastAsia="Times New Roman" w:hAnsi="Arial" w:cs="Arial"/>
          <w:color w:val="000000"/>
          <w:kern w:val="0"/>
          <w:lang w:eastAsia="en-GB"/>
          <w14:ligatures w14:val="none"/>
        </w:rPr>
        <w:t>regulations. On</w:t>
      </w:r>
      <w:r w:rsidR="000C3ED5" w:rsidRPr="005A7235">
        <w:rPr>
          <w:rFonts w:ascii="Arial" w:eastAsia="Times New Roman" w:hAnsi="Arial" w:cs="Arial"/>
          <w:color w:val="000000"/>
          <w:kern w:val="0"/>
          <w:lang w:eastAsia="en-GB"/>
          <w14:ligatures w14:val="none"/>
        </w:rPr>
        <w:t xml:space="preserve"> executive board members are essential, for ensuring accountability and managing risks through their oversight duties. </w:t>
      </w:r>
    </w:p>
    <w:p w14:paraId="2054FF1F" w14:textId="6E8A9144" w:rsidR="000C3ED5"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Tesco’s</w:t>
      </w:r>
      <w:r w:rsidR="000C3ED5" w:rsidRPr="005A7235">
        <w:rPr>
          <w:rFonts w:ascii="Arial" w:eastAsia="Times New Roman" w:hAnsi="Arial" w:cs="Arial"/>
          <w:color w:val="000000"/>
          <w:kern w:val="0"/>
          <w:lang w:eastAsia="en-GB"/>
          <w14:ligatures w14:val="none"/>
        </w:rPr>
        <w:t xml:space="preserve"> ownership structure relies heavily on investors who play a role in maintaining long term stability and emphasizing transparency and accountability practices, within the </w:t>
      </w:r>
      <w:r w:rsidRPr="005A7235">
        <w:rPr>
          <w:rFonts w:ascii="Arial" w:eastAsia="Times New Roman" w:hAnsi="Arial" w:cs="Arial"/>
          <w:color w:val="000000"/>
          <w:kern w:val="0"/>
          <w:lang w:eastAsia="en-GB"/>
          <w14:ligatures w14:val="none"/>
        </w:rPr>
        <w:t>company. Institutional</w:t>
      </w:r>
      <w:r w:rsidR="000C3ED5" w:rsidRPr="005A7235">
        <w:rPr>
          <w:rFonts w:ascii="Arial" w:eastAsia="Times New Roman" w:hAnsi="Arial" w:cs="Arial"/>
          <w:color w:val="000000"/>
          <w:kern w:val="0"/>
          <w:lang w:eastAsia="en-GB"/>
          <w14:ligatures w14:val="none"/>
        </w:rPr>
        <w:t xml:space="preserve"> investors typically focus on maximizing shareholder value. This motivates Tesco to uphold governance standards that bolster its operational </w:t>
      </w:r>
      <w:r w:rsidRPr="005A7235">
        <w:rPr>
          <w:rFonts w:ascii="Arial" w:eastAsia="Times New Roman" w:hAnsi="Arial" w:cs="Arial"/>
          <w:color w:val="000000"/>
          <w:kern w:val="0"/>
          <w:lang w:eastAsia="en-GB"/>
          <w14:ligatures w14:val="none"/>
        </w:rPr>
        <w:t>robustness. At</w:t>
      </w:r>
      <w:r w:rsidR="000C3ED5" w:rsidRPr="005A7235">
        <w:rPr>
          <w:rFonts w:ascii="Arial" w:eastAsia="Times New Roman" w:hAnsi="Arial" w:cs="Arial"/>
          <w:color w:val="000000"/>
          <w:kern w:val="0"/>
          <w:lang w:eastAsia="en-GB"/>
          <w14:ligatures w14:val="none"/>
        </w:rPr>
        <w:t xml:space="preserve"> times activist shareholders may exert influence on governance matters by pushing for alterations in aspects such, as ESG reporting and financial </w:t>
      </w:r>
      <w:r w:rsidRPr="005A7235">
        <w:rPr>
          <w:rFonts w:ascii="Arial" w:eastAsia="Times New Roman" w:hAnsi="Arial" w:cs="Arial"/>
          <w:color w:val="000000"/>
          <w:kern w:val="0"/>
          <w:lang w:eastAsia="en-GB"/>
          <w14:ligatures w14:val="none"/>
        </w:rPr>
        <w:t>transparency. This</w:t>
      </w:r>
      <w:r w:rsidR="000C3ED5" w:rsidRPr="005A7235">
        <w:rPr>
          <w:rFonts w:ascii="Arial" w:eastAsia="Times New Roman" w:hAnsi="Arial" w:cs="Arial"/>
          <w:color w:val="000000"/>
          <w:kern w:val="0"/>
          <w:lang w:eastAsia="en-GB"/>
          <w14:ligatures w14:val="none"/>
        </w:rPr>
        <w:t xml:space="preserve"> highlights how the ownership structure impacts the governance framework of Tesco</w:t>
      </w:r>
      <w:sdt>
        <w:sdtPr>
          <w:rPr>
            <w:rFonts w:ascii="Arial" w:eastAsia="Times New Roman" w:hAnsi="Arial" w:cs="Arial"/>
            <w:color w:val="000000"/>
            <w:kern w:val="0"/>
            <w:lang w:eastAsia="en-GB"/>
            <w14:ligatures w14:val="none"/>
          </w:rPr>
          <w:id w:val="-5915454"/>
          <w:citation/>
        </w:sdtPr>
        <w:sdtContent>
          <w:r w:rsidR="002373EF">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PLC24 \l 2057 </w:instrText>
          </w:r>
          <w:r w:rsidR="002373EF">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(PLC, 2023)</w:t>
          </w:r>
          <w:r w:rsidR="002373EF">
            <w:rPr>
              <w:rFonts w:ascii="Arial" w:eastAsia="Times New Roman" w:hAnsi="Arial" w:cs="Arial"/>
              <w:color w:val="000000"/>
              <w:kern w:val="0"/>
              <w:lang w:eastAsia="en-GB"/>
              <w14:ligatures w14:val="none"/>
            </w:rPr>
            <w:fldChar w:fldCharType="end"/>
          </w:r>
        </w:sdtContent>
      </w:sdt>
      <w:r w:rsidR="000C3ED5" w:rsidRPr="005A7235">
        <w:rPr>
          <w:rFonts w:ascii="Arial" w:eastAsia="Times New Roman" w:hAnsi="Arial" w:cs="Arial"/>
          <w:color w:val="000000"/>
          <w:kern w:val="0"/>
          <w:lang w:eastAsia="en-GB"/>
          <w14:ligatures w14:val="none"/>
        </w:rPr>
        <w:t xml:space="preserve">. </w:t>
      </w:r>
    </w:p>
    <w:p w14:paraId="77CBF9C9" w14:textId="595C6FE9" w:rsidR="000C3ED5"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Tesco’s</w:t>
      </w:r>
      <w:r w:rsidR="000C3ED5" w:rsidRPr="005A7235">
        <w:rPr>
          <w:rFonts w:ascii="Arial" w:eastAsia="Times New Roman" w:hAnsi="Arial" w:cs="Arial"/>
          <w:color w:val="000000"/>
          <w:kern w:val="0"/>
          <w:lang w:eastAsia="en-GB"/>
          <w14:ligatures w14:val="none"/>
        </w:rPr>
        <w:t xml:space="preserve"> approach, to executive compensation involves a combination of salary components along with bonuses and incentives based on performance indicators like Return on Assets (ROA) revenue expansion rates and ESG goals to ensure that executives motivations are in sync with the interests of shareholders aims. The Remuneration Committee conducts assessments of remuneration policies to guarantee their competitiveness and alignment, with the </w:t>
      </w:r>
      <w:r w:rsidRPr="005A7235">
        <w:rPr>
          <w:rFonts w:ascii="Arial" w:eastAsia="Times New Roman" w:hAnsi="Arial" w:cs="Arial"/>
          <w:color w:val="000000"/>
          <w:kern w:val="0"/>
          <w:lang w:eastAsia="en-GB"/>
          <w14:ligatures w14:val="none"/>
        </w:rPr>
        <w:t>firms’</w:t>
      </w:r>
      <w:r w:rsidR="000C3ED5" w:rsidRPr="005A7235">
        <w:rPr>
          <w:rFonts w:ascii="Arial" w:eastAsia="Times New Roman" w:hAnsi="Arial" w:cs="Arial"/>
          <w:color w:val="000000"/>
          <w:kern w:val="0"/>
          <w:lang w:eastAsia="en-GB"/>
          <w14:ligatures w14:val="none"/>
        </w:rPr>
        <w:t xml:space="preserve"> goals. This method of determining executive compensation promotes an emphasis, on success and </w:t>
      </w:r>
      <w:r w:rsidRPr="005A7235">
        <w:rPr>
          <w:rFonts w:ascii="Arial" w:eastAsia="Times New Roman" w:hAnsi="Arial" w:cs="Arial"/>
          <w:color w:val="000000"/>
          <w:kern w:val="0"/>
          <w:lang w:eastAsia="en-GB"/>
          <w14:ligatures w14:val="none"/>
        </w:rPr>
        <w:t>long-term</w:t>
      </w:r>
      <w:r w:rsidR="000C3ED5" w:rsidRPr="005A7235">
        <w:rPr>
          <w:rFonts w:ascii="Arial" w:eastAsia="Times New Roman" w:hAnsi="Arial" w:cs="Arial"/>
          <w:color w:val="000000"/>
          <w:kern w:val="0"/>
          <w:lang w:eastAsia="en-GB"/>
          <w14:ligatures w14:val="none"/>
        </w:rPr>
        <w:t xml:space="preserve"> viability</w:t>
      </w:r>
      <w:sdt>
        <w:sdtPr>
          <w:rPr>
            <w:rFonts w:ascii="Arial" w:eastAsia="Times New Roman" w:hAnsi="Arial" w:cs="Arial"/>
            <w:color w:val="000000"/>
            <w:kern w:val="0"/>
            <w:lang w:eastAsia="en-GB"/>
            <w14:ligatures w14:val="none"/>
          </w:rPr>
          <w:id w:val="-477311636"/>
          <w:citation/>
        </w:sdtPr>
        <w:sdtContent>
          <w:r w:rsidR="00735F34">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Gil00 \l 2057 </w:instrText>
          </w:r>
          <w:r w:rsidR="00735F34">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(Gillan, 2000)</w:t>
          </w:r>
          <w:r w:rsidR="00735F34">
            <w:rPr>
              <w:rFonts w:ascii="Arial" w:eastAsia="Times New Roman" w:hAnsi="Arial" w:cs="Arial"/>
              <w:color w:val="000000"/>
              <w:kern w:val="0"/>
              <w:lang w:eastAsia="en-GB"/>
              <w14:ligatures w14:val="none"/>
            </w:rPr>
            <w:fldChar w:fldCharType="end"/>
          </w:r>
        </w:sdtContent>
      </w:sdt>
      <w:r w:rsidR="000C3ED5" w:rsidRPr="005A7235">
        <w:rPr>
          <w:rFonts w:ascii="Arial" w:eastAsia="Times New Roman" w:hAnsi="Arial" w:cs="Arial"/>
          <w:color w:val="000000"/>
          <w:kern w:val="0"/>
          <w:lang w:eastAsia="en-GB"/>
          <w14:ligatures w14:val="none"/>
        </w:rPr>
        <w:t xml:space="preserve">. </w:t>
      </w:r>
    </w:p>
    <w:p w14:paraId="5DA2FBB6" w14:textId="61B11411" w:rsidR="00463EC2"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Tesco’s</w:t>
      </w:r>
      <w:r w:rsidR="000C3ED5" w:rsidRPr="005A7235">
        <w:rPr>
          <w:rFonts w:ascii="Arial" w:eastAsia="Times New Roman" w:hAnsi="Arial" w:cs="Arial"/>
          <w:color w:val="000000"/>
          <w:kern w:val="0"/>
          <w:lang w:eastAsia="en-GB"/>
          <w14:ligatures w14:val="none"/>
        </w:rPr>
        <w:t xml:space="preserve"> dedication, to transparency shines through in its reports that cover financial performance as well as corporate social responsibility (CSR) efforts and risk management </w:t>
      </w:r>
      <w:r w:rsidRPr="005A7235">
        <w:rPr>
          <w:rFonts w:ascii="Arial" w:eastAsia="Times New Roman" w:hAnsi="Arial" w:cs="Arial"/>
          <w:color w:val="000000"/>
          <w:kern w:val="0"/>
          <w:lang w:eastAsia="en-GB"/>
          <w14:ligatures w14:val="none"/>
        </w:rPr>
        <w:t>strategies. The</w:t>
      </w:r>
      <w:r w:rsidR="000C3ED5" w:rsidRPr="005A7235">
        <w:rPr>
          <w:rFonts w:ascii="Arial" w:eastAsia="Times New Roman" w:hAnsi="Arial" w:cs="Arial"/>
          <w:color w:val="000000"/>
          <w:kern w:val="0"/>
          <w:lang w:eastAsia="en-GB"/>
          <w14:ligatures w14:val="none"/>
        </w:rPr>
        <w:t xml:space="preserve"> </w:t>
      </w:r>
      <w:r w:rsidRPr="005A7235">
        <w:rPr>
          <w:rFonts w:ascii="Arial" w:eastAsia="Times New Roman" w:hAnsi="Arial" w:cs="Arial"/>
          <w:color w:val="000000"/>
          <w:kern w:val="0"/>
          <w:lang w:eastAsia="en-GB"/>
          <w14:ligatures w14:val="none"/>
        </w:rPr>
        <w:t>company’s</w:t>
      </w:r>
      <w:r w:rsidR="000C3ED5" w:rsidRPr="005A7235">
        <w:rPr>
          <w:rFonts w:ascii="Arial" w:eastAsia="Times New Roman" w:hAnsi="Arial" w:cs="Arial"/>
          <w:color w:val="000000"/>
          <w:kern w:val="0"/>
          <w:lang w:eastAsia="en-GB"/>
          <w14:ligatures w14:val="none"/>
        </w:rPr>
        <w:t xml:space="preserve"> proactive stance on CSR issues such as sourcing and minimizing impact helps foster trust among </w:t>
      </w:r>
      <w:r w:rsidRPr="005A7235">
        <w:rPr>
          <w:rFonts w:ascii="Arial" w:eastAsia="Times New Roman" w:hAnsi="Arial" w:cs="Arial"/>
          <w:color w:val="000000"/>
          <w:kern w:val="0"/>
          <w:lang w:eastAsia="en-GB"/>
          <w14:ligatures w14:val="none"/>
        </w:rPr>
        <w:t>stakeholders. The</w:t>
      </w:r>
      <w:r w:rsidR="000C3ED5" w:rsidRPr="005A7235">
        <w:rPr>
          <w:rFonts w:ascii="Arial" w:eastAsia="Times New Roman" w:hAnsi="Arial" w:cs="Arial"/>
          <w:color w:val="000000"/>
          <w:kern w:val="0"/>
          <w:lang w:eastAsia="en-GB"/>
          <w14:ligatures w14:val="none"/>
        </w:rPr>
        <w:t xml:space="preserve"> Audit Committee plays a role in bolstering transparency by examining financial disclosures to guarantee accuracy and adherence to </w:t>
      </w:r>
      <w:r w:rsidRPr="005A7235">
        <w:rPr>
          <w:rFonts w:ascii="Arial" w:eastAsia="Times New Roman" w:hAnsi="Arial" w:cs="Arial"/>
          <w:color w:val="000000"/>
          <w:kern w:val="0"/>
          <w:lang w:eastAsia="en-GB"/>
          <w14:ligatures w14:val="none"/>
        </w:rPr>
        <w:t>regulations</w:t>
      </w:r>
      <w:sdt>
        <w:sdtPr>
          <w:rPr>
            <w:rFonts w:ascii="Arial" w:eastAsia="Times New Roman" w:hAnsi="Arial" w:cs="Arial"/>
            <w:color w:val="000000"/>
            <w:kern w:val="0"/>
            <w:lang w:eastAsia="en-GB"/>
            <w14:ligatures w14:val="none"/>
          </w:rPr>
          <w:id w:val="-849713085"/>
          <w:citation/>
        </w:sdtPr>
        <w:sdtContent>
          <w:r w:rsidR="00A577CE">
            <w:rPr>
              <w:rFonts w:ascii="Arial" w:eastAsia="Times New Roman" w:hAnsi="Arial" w:cs="Arial"/>
              <w:color w:val="000000"/>
              <w:kern w:val="0"/>
              <w:lang w:eastAsia="en-GB"/>
              <w14:ligatures w14:val="none"/>
            </w:rPr>
            <w:fldChar w:fldCharType="begin"/>
          </w:r>
          <w:r w:rsidR="00A577CE">
            <w:rPr>
              <w:rFonts w:ascii="Arial" w:eastAsia="Times New Roman" w:hAnsi="Arial" w:cs="Arial"/>
              <w:color w:val="000000"/>
              <w:kern w:val="0"/>
              <w:lang w:eastAsia="en-GB"/>
              <w14:ligatures w14:val="none"/>
            </w:rPr>
            <w:instrText xml:space="preserve">CITATION EFa83 \l 2057 </w:instrText>
          </w:r>
          <w:r w:rsidR="00A577CE">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(E. Fama, 1983)</w:t>
          </w:r>
          <w:r w:rsidR="00A577CE">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This</w:t>
      </w:r>
      <w:r w:rsidR="000C3ED5" w:rsidRPr="005A7235">
        <w:rPr>
          <w:rFonts w:ascii="Arial" w:eastAsia="Times New Roman" w:hAnsi="Arial" w:cs="Arial"/>
          <w:color w:val="000000"/>
          <w:kern w:val="0"/>
          <w:lang w:eastAsia="en-GB"/>
          <w14:ligatures w14:val="none"/>
        </w:rPr>
        <w:t xml:space="preserve"> positions Tesco, as an ethical business entity.</w:t>
      </w:r>
    </w:p>
    <w:p w14:paraId="509F5DCB" w14:textId="77777777" w:rsidR="00463EC2" w:rsidRPr="005A7235" w:rsidRDefault="00463EC2" w:rsidP="004205E4">
      <w:pPr>
        <w:pStyle w:val="Heading1"/>
        <w:jc w:val="both"/>
        <w:rPr>
          <w:rFonts w:ascii="Arial" w:eastAsia="Times New Roman" w:hAnsi="Arial" w:cs="Arial"/>
          <w:b/>
          <w:bCs/>
          <w:color w:val="000000"/>
          <w:kern w:val="0"/>
          <w:sz w:val="28"/>
          <w:szCs w:val="28"/>
          <w:lang w:eastAsia="en-GB"/>
          <w14:ligatures w14:val="none"/>
        </w:rPr>
      </w:pPr>
      <w:bookmarkStart w:id="3" w:name="_Toc180935421"/>
      <w:r w:rsidRPr="005A7235">
        <w:rPr>
          <w:rFonts w:ascii="Arial" w:eastAsia="Times New Roman" w:hAnsi="Arial" w:cs="Arial"/>
          <w:b/>
          <w:bCs/>
          <w:color w:val="000000"/>
          <w:kern w:val="0"/>
          <w:sz w:val="28"/>
          <w:szCs w:val="28"/>
          <w:lang w:eastAsia="en-GB"/>
          <w14:ligatures w14:val="none"/>
        </w:rPr>
        <w:t>Relationship Between Corporate Governance and Financial Performance</w:t>
      </w:r>
      <w:bookmarkEnd w:id="3"/>
    </w:p>
    <w:p w14:paraId="420C5865" w14:textId="2C4D8023" w:rsidR="00EE293F"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Analysing how governance influences performance involves examining Tesco’s indicators, like ROA and ROE alongside profit margins and stock price trends from the last five years</w:t>
      </w:r>
      <w:sdt>
        <w:sdtPr>
          <w:rPr>
            <w:rFonts w:ascii="Arial" w:eastAsia="Times New Roman" w:hAnsi="Arial" w:cs="Arial"/>
            <w:color w:val="000000"/>
            <w:kern w:val="0"/>
            <w:lang w:eastAsia="en-GB"/>
            <w14:ligatures w14:val="none"/>
          </w:rPr>
          <w:id w:val="-110058543"/>
          <w:citation/>
        </w:sdtPr>
        <w:sdtContent>
          <w:r w:rsidR="00CC1ADB">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Tes24 \l 2057 </w:instrText>
          </w:r>
          <w:r w:rsidR="00CC1ADB">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(PLC, 2024)</w:t>
          </w:r>
          <w:r w:rsidR="00CC1ADB">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xml:space="preserve">. This report uses aids to demonstrate the connection </w:t>
      </w:r>
      <w:r w:rsidRPr="005A7235">
        <w:rPr>
          <w:rFonts w:ascii="Arial" w:eastAsia="Times New Roman" w:hAnsi="Arial" w:cs="Arial"/>
          <w:color w:val="000000"/>
          <w:kern w:val="0"/>
          <w:lang w:eastAsia="en-GB"/>
          <w14:ligatures w14:val="none"/>
        </w:rPr>
        <w:lastRenderedPageBreak/>
        <w:t>between governance factors and financial outcomes at Tesco and offers insights, into the effectiveness of their governance strategies.</w:t>
      </w:r>
    </w:p>
    <w:p w14:paraId="4FC70664" w14:textId="5B8DD754" w:rsidR="00EE293F" w:rsidRDefault="004C60AB" w:rsidP="004205E4">
      <w:pPr>
        <w:pStyle w:val="ListParagraph"/>
        <w:numPr>
          <w:ilvl w:val="0"/>
          <w:numId w:val="18"/>
        </w:numPr>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anchor distT="0" distB="0" distL="114300" distR="114300" simplePos="0" relativeHeight="251660288" behindDoc="1" locked="0" layoutInCell="1" allowOverlap="1" wp14:anchorId="1BFC8525" wp14:editId="7EF71E2D">
            <wp:simplePos x="0" y="0"/>
            <wp:positionH relativeFrom="column">
              <wp:posOffset>2262505</wp:posOffset>
            </wp:positionH>
            <wp:positionV relativeFrom="paragraph">
              <wp:posOffset>204470</wp:posOffset>
            </wp:positionV>
            <wp:extent cx="3569335" cy="2849245"/>
            <wp:effectExtent l="0" t="0" r="0" b="0"/>
            <wp:wrapTight wrapText="bothSides">
              <wp:wrapPolygon edited="0">
                <wp:start x="0" y="0"/>
                <wp:lineTo x="0" y="21470"/>
                <wp:lineTo x="21519" y="21470"/>
                <wp:lineTo x="21519" y="0"/>
                <wp:lineTo x="0" y="0"/>
              </wp:wrapPolygon>
            </wp:wrapTight>
            <wp:docPr id="571386906" name="Picture 1"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386906" name="Picture 1" descr="A graph with numbers and lines&#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69335" cy="2849245"/>
                    </a:xfrm>
                    <a:prstGeom prst="rect">
                      <a:avLst/>
                    </a:prstGeom>
                  </pic:spPr>
                </pic:pic>
              </a:graphicData>
            </a:graphic>
            <wp14:sizeRelH relativeFrom="page">
              <wp14:pctWidth>0</wp14:pctWidth>
            </wp14:sizeRelH>
            <wp14:sizeRelV relativeFrom="page">
              <wp14:pctHeight>0</wp14:pctHeight>
            </wp14:sizeRelV>
          </wp:anchor>
        </w:drawing>
      </w:r>
      <w:r w:rsidR="00EE293F" w:rsidRPr="005A7235">
        <w:rPr>
          <w:rFonts w:ascii="Arial" w:eastAsia="Times New Roman" w:hAnsi="Arial" w:cs="Arial"/>
          <w:b/>
          <w:bCs/>
          <w:color w:val="000000"/>
          <w:kern w:val="0"/>
          <w:lang w:eastAsia="en-GB"/>
          <w14:ligatures w14:val="none"/>
        </w:rPr>
        <w:t>ROA and ROE Trends (2018-2022):</w:t>
      </w:r>
      <w:r w:rsidR="00EE293F" w:rsidRPr="005A7235">
        <w:rPr>
          <w:rFonts w:ascii="Arial" w:eastAsia="Times New Roman" w:hAnsi="Arial" w:cs="Arial"/>
          <w:color w:val="000000"/>
          <w:kern w:val="0"/>
          <w:lang w:eastAsia="en-GB"/>
          <w14:ligatures w14:val="none"/>
        </w:rPr>
        <w:t xml:space="preserve"> From 2018, to 2022, Tesco’s steady return on assets (ROAS) indicates use of resources and the robust return on equity (ROES) highlights management’s ability to yield profits for shareholders over time. The visual representation illustrates a pattern of ROAS and ROES for Tesco during this period suggesting that the company’s governance strategies including board supervision and risk mitigation have played a role, in maintaining financial strength and success</w:t>
      </w:r>
      <w:sdt>
        <w:sdtPr>
          <w:rPr>
            <w:rFonts w:ascii="Arial" w:eastAsia="Times New Roman" w:hAnsi="Arial" w:cs="Arial"/>
            <w:color w:val="000000"/>
            <w:kern w:val="0"/>
            <w:lang w:eastAsia="en-GB"/>
            <w14:ligatures w14:val="none"/>
          </w:rPr>
          <w:id w:val="-198552508"/>
          <w:citation/>
        </w:sdtPr>
        <w:sdtContent>
          <w:r w:rsidR="002373EF">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Tes19 \l 2057 </w:instrText>
          </w:r>
          <w:r w:rsidR="002373EF">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(PLC, 2019)</w:t>
          </w:r>
          <w:r w:rsidR="002373EF">
            <w:rPr>
              <w:rFonts w:ascii="Arial" w:eastAsia="Times New Roman" w:hAnsi="Arial" w:cs="Arial"/>
              <w:color w:val="000000"/>
              <w:kern w:val="0"/>
              <w:lang w:eastAsia="en-GB"/>
              <w14:ligatures w14:val="none"/>
            </w:rPr>
            <w:fldChar w:fldCharType="end"/>
          </w:r>
        </w:sdtContent>
      </w:sdt>
      <w:r w:rsidR="00EE293F" w:rsidRPr="005A7235">
        <w:rPr>
          <w:rFonts w:ascii="Arial" w:eastAsia="Times New Roman" w:hAnsi="Arial" w:cs="Arial"/>
          <w:color w:val="000000"/>
          <w:kern w:val="0"/>
          <w:lang w:eastAsia="en-GB"/>
          <w14:ligatures w14:val="none"/>
        </w:rPr>
        <w:t xml:space="preserve">. </w:t>
      </w:r>
    </w:p>
    <w:p w14:paraId="0A71D79C" w14:textId="34A08E85" w:rsidR="004C60AB" w:rsidRPr="005A7235" w:rsidRDefault="004C60AB" w:rsidP="004C60AB">
      <w:pPr>
        <w:pStyle w:val="ListParagraph"/>
        <w:jc w:val="both"/>
        <w:rPr>
          <w:rFonts w:ascii="Arial" w:eastAsia="Times New Roman" w:hAnsi="Arial" w:cs="Arial"/>
          <w:color w:val="000000"/>
          <w:kern w:val="0"/>
          <w:lang w:eastAsia="en-GB"/>
          <w14:ligatures w14:val="none"/>
        </w:rPr>
      </w:pPr>
    </w:p>
    <w:p w14:paraId="6630F0A1" w14:textId="1F5E6FBC" w:rsidR="00EE293F" w:rsidRDefault="00463EC2" w:rsidP="004205E4">
      <w:pPr>
        <w:pStyle w:val="ListParagraph"/>
        <w:numPr>
          <w:ilvl w:val="0"/>
          <w:numId w:val="18"/>
        </w:numPr>
        <w:jc w:val="both"/>
        <w:rPr>
          <w:rFonts w:ascii="Arial" w:eastAsia="Times New Roman" w:hAnsi="Arial" w:cs="Arial"/>
          <w:color w:val="000000"/>
          <w:kern w:val="0"/>
          <w:lang w:eastAsia="en-GB"/>
          <w14:ligatures w14:val="none"/>
        </w:rPr>
      </w:pPr>
      <w:r w:rsidRPr="005A7235">
        <w:rPr>
          <w:rFonts w:ascii="Arial" w:eastAsia="Times New Roman" w:hAnsi="Arial" w:cs="Arial"/>
          <w:b/>
          <w:bCs/>
          <w:color w:val="000000"/>
          <w:kern w:val="0"/>
          <w:lang w:eastAsia="en-GB"/>
          <w14:ligatures w14:val="none"/>
        </w:rPr>
        <w:t>Executive Compensation vs ROE</w:t>
      </w:r>
      <w:r w:rsidRPr="005A7235">
        <w:rPr>
          <w:rFonts w:ascii="Arial" w:eastAsia="Times New Roman" w:hAnsi="Arial" w:cs="Arial"/>
          <w:color w:val="000000"/>
          <w:kern w:val="0"/>
          <w:lang w:eastAsia="en-GB"/>
          <w14:ligatures w14:val="none"/>
        </w:rPr>
        <w:t xml:space="preserve">: </w:t>
      </w:r>
      <w:r w:rsidR="00EE293F" w:rsidRPr="005A7235">
        <w:rPr>
          <w:rFonts w:ascii="Arial" w:eastAsia="Times New Roman" w:hAnsi="Arial" w:cs="Arial"/>
          <w:color w:val="000000"/>
          <w:kern w:val="0"/>
          <w:lang w:eastAsia="en-GB"/>
          <w14:ligatures w14:val="none"/>
        </w:rPr>
        <w:t>Comparing the salaries of company executives, with the Return on Equity (RÓ</w:t>
      </w:r>
      <w:r w:rsidR="00EE293F" w:rsidRPr="005A7235">
        <w:rPr>
          <w:rFonts w:ascii="Cambria Math" w:eastAsia="Times New Roman" w:hAnsi="Cambria Math" w:cs="Cambria Math"/>
          <w:color w:val="000000"/>
          <w:kern w:val="0"/>
          <w:lang w:eastAsia="en-GB"/>
          <w14:ligatures w14:val="none"/>
        </w:rPr>
        <w:t>𝓔</w:t>
      </w:r>
      <w:r w:rsidR="00EE293F" w:rsidRPr="005A7235">
        <w:rPr>
          <w:rFonts w:ascii="Arial" w:eastAsia="Times New Roman" w:hAnsi="Arial" w:cs="Arial"/>
          <w:color w:val="000000"/>
          <w:kern w:val="0"/>
          <w:lang w:eastAsia="en-GB"/>
          <w14:ligatures w14:val="none"/>
        </w:rPr>
        <w:t xml:space="preserve">) reveals a connection between incentive-based rewards and shareholder value, at Tesco’s Corporation. </w:t>
      </w:r>
    </w:p>
    <w:p w14:paraId="1402E44D" w14:textId="77777777" w:rsidR="004C60AB" w:rsidRPr="004C60AB" w:rsidRDefault="004C60AB" w:rsidP="004C60AB">
      <w:pPr>
        <w:pStyle w:val="ListParagraph"/>
        <w:rPr>
          <w:rFonts w:ascii="Arial" w:eastAsia="Times New Roman" w:hAnsi="Arial" w:cs="Arial"/>
          <w:color w:val="000000"/>
          <w:kern w:val="0"/>
          <w:lang w:eastAsia="en-GB"/>
          <w14:ligatures w14:val="none"/>
        </w:rPr>
      </w:pPr>
    </w:p>
    <w:p w14:paraId="343F80AA" w14:textId="77777777" w:rsidR="004C60AB" w:rsidRDefault="004C60AB" w:rsidP="004C60AB">
      <w:pPr>
        <w:pStyle w:val="ListParagraph"/>
        <w:jc w:val="both"/>
        <w:rPr>
          <w:rFonts w:ascii="Arial" w:eastAsia="Times New Roman" w:hAnsi="Arial" w:cs="Arial"/>
          <w:color w:val="000000"/>
          <w:kern w:val="0"/>
          <w:lang w:eastAsia="en-GB"/>
          <w14:ligatures w14:val="none"/>
        </w:rPr>
      </w:pPr>
    </w:p>
    <w:p w14:paraId="21E0E6C4" w14:textId="7EF58CC8" w:rsidR="004C60AB" w:rsidRDefault="004C60AB" w:rsidP="004C60AB">
      <w:pPr>
        <w:pStyle w:val="ListParagraph"/>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inline distT="0" distB="0" distL="0" distR="0" wp14:anchorId="2686C36A" wp14:editId="3164B16B">
            <wp:extent cx="4104167" cy="3205670"/>
            <wp:effectExtent l="0" t="0" r="0" b="0"/>
            <wp:docPr id="608030069" name="Picture 2" descr="A graph of a graph with numbers and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030069" name="Picture 2" descr="A graph of a graph with numbers and a lin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04167" cy="3205670"/>
                    </a:xfrm>
                    <a:prstGeom prst="rect">
                      <a:avLst/>
                    </a:prstGeom>
                  </pic:spPr>
                </pic:pic>
              </a:graphicData>
            </a:graphic>
          </wp:inline>
        </w:drawing>
      </w:r>
    </w:p>
    <w:p w14:paraId="7BF629AC" w14:textId="77777777" w:rsidR="004C60AB" w:rsidRDefault="004C60AB" w:rsidP="004C60AB">
      <w:pPr>
        <w:pStyle w:val="ListParagraph"/>
        <w:jc w:val="both"/>
        <w:rPr>
          <w:rFonts w:ascii="Arial" w:eastAsia="Times New Roman" w:hAnsi="Arial" w:cs="Arial"/>
          <w:color w:val="000000"/>
          <w:kern w:val="0"/>
          <w:lang w:eastAsia="en-GB"/>
          <w14:ligatures w14:val="none"/>
        </w:rPr>
      </w:pPr>
    </w:p>
    <w:p w14:paraId="1B5DA701" w14:textId="77777777" w:rsidR="004C60AB" w:rsidRDefault="004C60AB" w:rsidP="004C60AB">
      <w:pPr>
        <w:pStyle w:val="ListParagraph"/>
        <w:jc w:val="both"/>
        <w:rPr>
          <w:rFonts w:ascii="Arial" w:eastAsia="Times New Roman" w:hAnsi="Arial" w:cs="Arial"/>
          <w:color w:val="000000"/>
          <w:kern w:val="0"/>
          <w:lang w:eastAsia="en-GB"/>
          <w14:ligatures w14:val="none"/>
        </w:rPr>
      </w:pPr>
    </w:p>
    <w:p w14:paraId="12C6C7ED" w14:textId="77777777" w:rsidR="004C60AB" w:rsidRPr="005A7235" w:rsidRDefault="004C60AB" w:rsidP="004C60AB">
      <w:pPr>
        <w:pStyle w:val="ListParagraph"/>
        <w:jc w:val="both"/>
        <w:rPr>
          <w:rFonts w:ascii="Arial" w:eastAsia="Times New Roman" w:hAnsi="Arial" w:cs="Arial"/>
          <w:color w:val="000000"/>
          <w:kern w:val="0"/>
          <w:lang w:eastAsia="en-GB"/>
          <w14:ligatures w14:val="none"/>
        </w:rPr>
      </w:pPr>
    </w:p>
    <w:p w14:paraId="70FEC861" w14:textId="03912514" w:rsidR="004C60AB" w:rsidRDefault="004C60AB" w:rsidP="004205E4">
      <w:pPr>
        <w:pStyle w:val="ListParagraph"/>
        <w:numPr>
          <w:ilvl w:val="0"/>
          <w:numId w:val="18"/>
        </w:numPr>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anchor distT="0" distB="0" distL="114300" distR="114300" simplePos="0" relativeHeight="251661312" behindDoc="1" locked="0" layoutInCell="1" allowOverlap="1" wp14:anchorId="6CC73009" wp14:editId="00C56FF5">
            <wp:simplePos x="0" y="0"/>
            <wp:positionH relativeFrom="column">
              <wp:posOffset>2381250</wp:posOffset>
            </wp:positionH>
            <wp:positionV relativeFrom="paragraph">
              <wp:posOffset>61078</wp:posOffset>
            </wp:positionV>
            <wp:extent cx="3210560" cy="2542540"/>
            <wp:effectExtent l="0" t="0" r="2540" b="0"/>
            <wp:wrapTight wrapText="bothSides">
              <wp:wrapPolygon edited="0">
                <wp:start x="0" y="0"/>
                <wp:lineTo x="0" y="21471"/>
                <wp:lineTo x="21532" y="21471"/>
                <wp:lineTo x="21532" y="0"/>
                <wp:lineTo x="0" y="0"/>
              </wp:wrapPolygon>
            </wp:wrapTight>
            <wp:docPr id="1446893541" name="Picture 3" descr="A graph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893541" name="Picture 3" descr="A graph with numbers and line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10560" cy="2542540"/>
                    </a:xfrm>
                    <a:prstGeom prst="rect">
                      <a:avLst/>
                    </a:prstGeom>
                  </pic:spPr>
                </pic:pic>
              </a:graphicData>
            </a:graphic>
            <wp14:sizeRelH relativeFrom="page">
              <wp14:pctWidth>0</wp14:pctWidth>
            </wp14:sizeRelH>
            <wp14:sizeRelV relativeFrom="page">
              <wp14:pctHeight>0</wp14:pctHeight>
            </wp14:sizeRelV>
          </wp:anchor>
        </w:drawing>
      </w:r>
      <w:r w:rsidR="00463EC2" w:rsidRPr="005A7235">
        <w:rPr>
          <w:rFonts w:ascii="Arial" w:eastAsia="Times New Roman" w:hAnsi="Arial" w:cs="Arial"/>
          <w:b/>
          <w:bCs/>
          <w:color w:val="000000"/>
          <w:kern w:val="0"/>
          <w:lang w:eastAsia="en-GB"/>
          <w14:ligatures w14:val="none"/>
        </w:rPr>
        <w:t>Net Profit Margin and Stock Price</w:t>
      </w:r>
      <w:r w:rsidR="00463EC2" w:rsidRPr="005A7235">
        <w:rPr>
          <w:rFonts w:ascii="Arial" w:eastAsia="Times New Roman" w:hAnsi="Arial" w:cs="Arial"/>
          <w:color w:val="000000"/>
          <w:kern w:val="0"/>
          <w:lang w:eastAsia="en-GB"/>
          <w14:ligatures w14:val="none"/>
        </w:rPr>
        <w:t xml:space="preserve">: </w:t>
      </w:r>
      <w:r w:rsidR="00EE293F" w:rsidRPr="005A7235">
        <w:rPr>
          <w:rFonts w:ascii="Arial" w:eastAsia="Times New Roman" w:hAnsi="Arial" w:cs="Arial"/>
          <w:color w:val="000000"/>
          <w:kern w:val="0"/>
          <w:lang w:eastAsia="en-GB"/>
          <w14:ligatures w14:val="none"/>
        </w:rPr>
        <w:t>When looking at Tesco’s stock price and the Net Profit Margin together it gives an indication of how profitable the company's compared to its revenue earnings Higher profit margins are often linked to stock performance This connection implies that Tesco’s emphasis, on profitability boosts investor trust and shareholder value</w:t>
      </w:r>
      <w:sdt>
        <w:sdtPr>
          <w:rPr>
            <w:rFonts w:ascii="Arial" w:eastAsia="Times New Roman" w:hAnsi="Arial" w:cs="Arial"/>
            <w:color w:val="000000"/>
            <w:kern w:val="0"/>
            <w:lang w:eastAsia="en-GB"/>
            <w14:ligatures w14:val="none"/>
          </w:rPr>
          <w:id w:val="575323956"/>
          <w:citation/>
        </w:sdtPr>
        <w:sdtContent>
          <w:r w:rsidR="00F00CD9">
            <w:rPr>
              <w:rFonts w:ascii="Arial" w:eastAsia="Times New Roman" w:hAnsi="Arial" w:cs="Arial"/>
              <w:color w:val="000000"/>
              <w:kern w:val="0"/>
              <w:lang w:eastAsia="en-GB"/>
              <w14:ligatures w14:val="none"/>
            </w:rPr>
            <w:fldChar w:fldCharType="begin"/>
          </w:r>
          <w:r w:rsidR="00F00CD9">
            <w:rPr>
              <w:rFonts w:ascii="Arial" w:eastAsia="Times New Roman" w:hAnsi="Arial" w:cs="Arial"/>
              <w:color w:val="000000"/>
              <w:kern w:val="0"/>
              <w:lang w:eastAsia="en-GB"/>
              <w14:ligatures w14:val="none"/>
            </w:rPr>
            <w:instrText xml:space="preserve"> CITATION Ann23 \l 2057 </w:instrText>
          </w:r>
          <w:r w:rsidR="00F00CD9">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(AnnualReports, 2023)</w:t>
          </w:r>
          <w:r w:rsidR="00F00CD9">
            <w:rPr>
              <w:rFonts w:ascii="Arial" w:eastAsia="Times New Roman" w:hAnsi="Arial" w:cs="Arial"/>
              <w:color w:val="000000"/>
              <w:kern w:val="0"/>
              <w:lang w:eastAsia="en-GB"/>
              <w14:ligatures w14:val="none"/>
            </w:rPr>
            <w:fldChar w:fldCharType="end"/>
          </w:r>
        </w:sdtContent>
      </w:sdt>
      <w:r>
        <w:rPr>
          <w:rFonts w:ascii="Arial" w:eastAsia="Times New Roman" w:hAnsi="Arial" w:cs="Arial"/>
          <w:color w:val="000000"/>
          <w:kern w:val="0"/>
          <w:lang w:eastAsia="en-GB"/>
          <w14:ligatures w14:val="none"/>
        </w:rPr>
        <w:t>.</w:t>
      </w:r>
    </w:p>
    <w:p w14:paraId="43F82951" w14:textId="54C71FEC" w:rsidR="00EE293F" w:rsidRPr="005A7235" w:rsidRDefault="00EE293F" w:rsidP="004C60AB">
      <w:pPr>
        <w:pStyle w:val="ListParagraph"/>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 </w:t>
      </w:r>
    </w:p>
    <w:p w14:paraId="74739A91" w14:textId="0AF41EBB" w:rsidR="00463EC2" w:rsidRDefault="004C60AB" w:rsidP="004205E4">
      <w:pPr>
        <w:pStyle w:val="ListParagraph"/>
        <w:numPr>
          <w:ilvl w:val="0"/>
          <w:numId w:val="18"/>
        </w:numPr>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drawing>
          <wp:anchor distT="0" distB="0" distL="114300" distR="114300" simplePos="0" relativeHeight="251662336" behindDoc="1" locked="0" layoutInCell="1" allowOverlap="1" wp14:anchorId="5C4993E9" wp14:editId="6536C236">
            <wp:simplePos x="0" y="0"/>
            <wp:positionH relativeFrom="column">
              <wp:posOffset>2463165</wp:posOffset>
            </wp:positionH>
            <wp:positionV relativeFrom="paragraph">
              <wp:posOffset>229870</wp:posOffset>
            </wp:positionV>
            <wp:extent cx="3127375" cy="2477135"/>
            <wp:effectExtent l="0" t="0" r="0" b="0"/>
            <wp:wrapTight wrapText="bothSides">
              <wp:wrapPolygon edited="0">
                <wp:start x="0" y="0"/>
                <wp:lineTo x="0" y="21484"/>
                <wp:lineTo x="21490" y="21484"/>
                <wp:lineTo x="21490" y="0"/>
                <wp:lineTo x="0" y="0"/>
              </wp:wrapPolygon>
            </wp:wrapTight>
            <wp:docPr id="1267330025" name="Picture 4" descr="A graph with orang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7330025" name="Picture 4" descr="A graph with orange lines&#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27375" cy="2477135"/>
                    </a:xfrm>
                    <a:prstGeom prst="rect">
                      <a:avLst/>
                    </a:prstGeom>
                  </pic:spPr>
                </pic:pic>
              </a:graphicData>
            </a:graphic>
            <wp14:sizeRelH relativeFrom="page">
              <wp14:pctWidth>0</wp14:pctWidth>
            </wp14:sizeRelH>
            <wp14:sizeRelV relativeFrom="page">
              <wp14:pctHeight>0</wp14:pctHeight>
            </wp14:sizeRelV>
          </wp:anchor>
        </w:drawing>
      </w:r>
      <w:r w:rsidR="00463EC2" w:rsidRPr="005A7235">
        <w:rPr>
          <w:rFonts w:ascii="Arial" w:eastAsia="Times New Roman" w:hAnsi="Arial" w:cs="Arial"/>
          <w:b/>
          <w:bCs/>
          <w:color w:val="000000"/>
          <w:kern w:val="0"/>
          <w:lang w:eastAsia="en-GB"/>
          <w14:ligatures w14:val="none"/>
        </w:rPr>
        <w:t>Transparency Score and ROA</w:t>
      </w:r>
      <w:r w:rsidR="00463EC2" w:rsidRPr="005A7235">
        <w:rPr>
          <w:rFonts w:ascii="Arial" w:eastAsia="Times New Roman" w:hAnsi="Arial" w:cs="Arial"/>
          <w:color w:val="000000"/>
          <w:kern w:val="0"/>
          <w:lang w:eastAsia="en-GB"/>
          <w14:ligatures w14:val="none"/>
        </w:rPr>
        <w:t xml:space="preserve">: </w:t>
      </w:r>
      <w:r w:rsidR="00EE293F" w:rsidRPr="005A7235">
        <w:rPr>
          <w:rFonts w:ascii="Arial" w:eastAsia="Times New Roman" w:hAnsi="Arial" w:cs="Arial"/>
          <w:color w:val="000000"/>
          <w:kern w:val="0"/>
          <w:lang w:eastAsia="en-GB"/>
          <w14:ligatures w14:val="none"/>
        </w:rPr>
        <w:t>Tesco’s dedication, to accountability is showcased in the Transparency Score index as it rises steadily over time without affecting the stability of ROAs (Return on Assets). This suggests that their disclosure practices play a role, in maintaining performance and building trust among shareholders and stakeholders</w:t>
      </w:r>
      <w:sdt>
        <w:sdtPr>
          <w:rPr>
            <w:rFonts w:ascii="Arial" w:eastAsia="Times New Roman" w:hAnsi="Arial" w:cs="Arial"/>
            <w:color w:val="000000"/>
            <w:kern w:val="0"/>
            <w:lang w:eastAsia="en-GB"/>
            <w14:ligatures w14:val="none"/>
          </w:rPr>
          <w:id w:val="1684851687"/>
          <w:citation/>
        </w:sdtPr>
        <w:sdtContent>
          <w:r w:rsidR="0013352C">
            <w:rPr>
              <w:rFonts w:ascii="Arial" w:eastAsia="Times New Roman" w:hAnsi="Arial" w:cs="Arial"/>
              <w:color w:val="000000"/>
              <w:kern w:val="0"/>
              <w:lang w:eastAsia="en-GB"/>
              <w14:ligatures w14:val="none"/>
            </w:rPr>
            <w:fldChar w:fldCharType="begin"/>
          </w:r>
          <w:r w:rsidR="0013352C">
            <w:rPr>
              <w:rFonts w:ascii="Arial" w:eastAsia="Times New Roman" w:hAnsi="Arial" w:cs="Arial"/>
              <w:color w:val="000000"/>
              <w:kern w:val="0"/>
              <w:lang w:eastAsia="en-GB"/>
              <w14:ligatures w14:val="none"/>
            </w:rPr>
            <w:instrText xml:space="preserve">CITATION Mat23 \l 2057 </w:instrText>
          </w:r>
          <w:r w:rsidR="0013352C">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(Perkins, 2023)</w:t>
          </w:r>
          <w:r w:rsidR="0013352C">
            <w:rPr>
              <w:rFonts w:ascii="Arial" w:eastAsia="Times New Roman" w:hAnsi="Arial" w:cs="Arial"/>
              <w:color w:val="000000"/>
              <w:kern w:val="0"/>
              <w:lang w:eastAsia="en-GB"/>
              <w14:ligatures w14:val="none"/>
            </w:rPr>
            <w:fldChar w:fldCharType="end"/>
          </w:r>
        </w:sdtContent>
      </w:sdt>
      <w:r w:rsidR="00EE293F" w:rsidRPr="005A7235">
        <w:rPr>
          <w:rFonts w:ascii="Arial" w:eastAsia="Times New Roman" w:hAnsi="Arial" w:cs="Arial"/>
          <w:color w:val="000000"/>
          <w:kern w:val="0"/>
          <w:lang w:eastAsia="en-GB"/>
          <w14:ligatures w14:val="none"/>
        </w:rPr>
        <w:t>.</w:t>
      </w:r>
    </w:p>
    <w:p w14:paraId="35FF7357" w14:textId="59861218" w:rsidR="004C60AB" w:rsidRPr="005A7235" w:rsidRDefault="004C60AB" w:rsidP="004C60AB">
      <w:pPr>
        <w:pStyle w:val="ListParagraph"/>
        <w:jc w:val="both"/>
        <w:rPr>
          <w:rFonts w:ascii="Arial" w:eastAsia="Times New Roman" w:hAnsi="Arial" w:cs="Arial"/>
          <w:color w:val="000000"/>
          <w:kern w:val="0"/>
          <w:lang w:eastAsia="en-GB"/>
          <w14:ligatures w14:val="none"/>
        </w:rPr>
      </w:pPr>
    </w:p>
    <w:p w14:paraId="4B232DD1" w14:textId="0DB3E7B8" w:rsidR="00463EC2" w:rsidRDefault="00463EC2" w:rsidP="004205E4">
      <w:pPr>
        <w:pStyle w:val="ListParagraph"/>
        <w:numPr>
          <w:ilvl w:val="0"/>
          <w:numId w:val="18"/>
        </w:numPr>
        <w:jc w:val="both"/>
        <w:rPr>
          <w:rFonts w:ascii="Arial" w:eastAsia="Times New Roman" w:hAnsi="Arial" w:cs="Arial"/>
          <w:color w:val="000000"/>
          <w:kern w:val="0"/>
          <w:lang w:eastAsia="en-GB"/>
          <w14:ligatures w14:val="none"/>
        </w:rPr>
      </w:pPr>
      <w:r w:rsidRPr="005A7235">
        <w:rPr>
          <w:rFonts w:ascii="Arial" w:eastAsia="Times New Roman" w:hAnsi="Arial" w:cs="Arial"/>
          <w:b/>
          <w:bCs/>
          <w:color w:val="000000"/>
          <w:kern w:val="0"/>
          <w:lang w:eastAsia="en-GB"/>
          <w14:ligatures w14:val="none"/>
        </w:rPr>
        <w:t>Additional Insights</w:t>
      </w:r>
      <w:r w:rsidRPr="005A7235">
        <w:rPr>
          <w:rFonts w:ascii="Arial" w:eastAsia="Times New Roman" w:hAnsi="Arial" w:cs="Arial"/>
          <w:color w:val="000000"/>
          <w:kern w:val="0"/>
          <w:lang w:eastAsia="en-GB"/>
          <w14:ligatures w14:val="none"/>
        </w:rPr>
        <w:t xml:space="preserve">: </w:t>
      </w:r>
      <w:r w:rsidR="00EE293F" w:rsidRPr="005A7235">
        <w:rPr>
          <w:rFonts w:ascii="Arial" w:eastAsia="Times New Roman" w:hAnsi="Arial" w:cs="Arial"/>
          <w:color w:val="000000"/>
          <w:kern w:val="0"/>
          <w:lang w:eastAsia="en-GB"/>
          <w14:ligatures w14:val="none"/>
        </w:rPr>
        <w:t>High transparency levels have an impact, on shareholder value when compared with ROEs and Transparency Scores analysis reveals that positive ROEs are closely associated with high transparency scores</w:t>
      </w:r>
      <w:r w:rsidR="004205E4" w:rsidRPr="005A7235">
        <w:rPr>
          <w:rFonts w:ascii="Arial" w:eastAsia="Times New Roman" w:hAnsi="Arial" w:cs="Arial"/>
          <w:color w:val="000000"/>
          <w:kern w:val="0"/>
          <w:lang w:eastAsia="en-GB"/>
          <w14:ligatures w14:val="none"/>
        </w:rPr>
        <w:t>,</w:t>
      </w:r>
      <w:r w:rsidR="00EE293F" w:rsidRPr="005A7235">
        <w:rPr>
          <w:rFonts w:ascii="Arial" w:eastAsia="Times New Roman" w:hAnsi="Arial" w:cs="Arial"/>
          <w:color w:val="000000"/>
          <w:kern w:val="0"/>
          <w:lang w:eastAsia="en-GB"/>
          <w14:ligatures w14:val="none"/>
        </w:rPr>
        <w:t xml:space="preserve"> emphasizing the role of accountability and governance standards, in financial success</w:t>
      </w:r>
      <w:sdt>
        <w:sdtPr>
          <w:rPr>
            <w:rFonts w:ascii="Arial" w:eastAsia="Times New Roman" w:hAnsi="Arial" w:cs="Arial"/>
            <w:color w:val="000000"/>
            <w:kern w:val="0"/>
            <w:lang w:eastAsia="en-GB"/>
            <w14:ligatures w14:val="none"/>
          </w:rPr>
          <w:id w:val="-532262312"/>
          <w:citation/>
        </w:sdtPr>
        <w:sdtContent>
          <w:r w:rsidR="0013352C">
            <w:rPr>
              <w:rFonts w:ascii="Arial" w:eastAsia="Times New Roman" w:hAnsi="Arial" w:cs="Arial"/>
              <w:color w:val="000000"/>
              <w:kern w:val="0"/>
              <w:lang w:eastAsia="en-GB"/>
              <w14:ligatures w14:val="none"/>
            </w:rPr>
            <w:fldChar w:fldCharType="begin"/>
          </w:r>
          <w:r w:rsidR="0013352C">
            <w:rPr>
              <w:rFonts w:ascii="Arial" w:eastAsia="Times New Roman" w:hAnsi="Arial" w:cs="Arial"/>
              <w:color w:val="000000"/>
              <w:kern w:val="0"/>
              <w:lang w:eastAsia="en-GB"/>
              <w14:ligatures w14:val="none"/>
            </w:rPr>
            <w:instrText xml:space="preserve"> CITATION Gur24 \l 2057 </w:instrText>
          </w:r>
          <w:r w:rsidR="0013352C">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(Gurufocus, 2024)</w:t>
          </w:r>
          <w:r w:rsidR="0013352C">
            <w:rPr>
              <w:rFonts w:ascii="Arial" w:eastAsia="Times New Roman" w:hAnsi="Arial" w:cs="Arial"/>
              <w:color w:val="000000"/>
              <w:kern w:val="0"/>
              <w:lang w:eastAsia="en-GB"/>
              <w14:ligatures w14:val="none"/>
            </w:rPr>
            <w:fldChar w:fldCharType="end"/>
          </w:r>
        </w:sdtContent>
      </w:sdt>
      <w:r w:rsidR="00EE293F" w:rsidRPr="005A7235">
        <w:rPr>
          <w:rFonts w:ascii="Arial" w:eastAsia="Times New Roman" w:hAnsi="Arial" w:cs="Arial"/>
          <w:color w:val="000000"/>
          <w:kern w:val="0"/>
          <w:lang w:eastAsia="en-GB"/>
          <w14:ligatures w14:val="none"/>
        </w:rPr>
        <w:t>.</w:t>
      </w:r>
    </w:p>
    <w:p w14:paraId="35B45338" w14:textId="3C41CE63" w:rsidR="004C60AB" w:rsidRDefault="004C60AB" w:rsidP="004C60AB">
      <w:pPr>
        <w:pStyle w:val="ListParagraph"/>
        <w:jc w:val="both"/>
        <w:rPr>
          <w:rFonts w:ascii="Arial" w:eastAsia="Times New Roman" w:hAnsi="Arial" w:cs="Arial"/>
          <w:color w:val="000000"/>
          <w:kern w:val="0"/>
          <w:lang w:eastAsia="en-GB"/>
          <w14:ligatures w14:val="none"/>
        </w:rPr>
      </w:pPr>
      <w:r>
        <w:rPr>
          <w:rFonts w:ascii="Arial" w:eastAsia="Times New Roman" w:hAnsi="Arial" w:cs="Arial"/>
          <w:noProof/>
          <w:color w:val="000000"/>
          <w:kern w:val="0"/>
          <w:lang w:eastAsia="en-GB"/>
        </w:rPr>
        <w:lastRenderedPageBreak/>
        <w:drawing>
          <wp:anchor distT="0" distB="0" distL="114300" distR="114300" simplePos="0" relativeHeight="251664384" behindDoc="0" locked="0" layoutInCell="1" allowOverlap="1" wp14:anchorId="13732044" wp14:editId="66E473AE">
            <wp:simplePos x="0" y="0"/>
            <wp:positionH relativeFrom="column">
              <wp:posOffset>3160469</wp:posOffset>
            </wp:positionH>
            <wp:positionV relativeFrom="paragraph">
              <wp:posOffset>109178</wp:posOffset>
            </wp:positionV>
            <wp:extent cx="2696757" cy="1762184"/>
            <wp:effectExtent l="0" t="0" r="0" b="3175"/>
            <wp:wrapNone/>
            <wp:docPr id="72897244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972440" name="Picture 72897244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96757" cy="1762184"/>
                    </a:xfrm>
                    <a:prstGeom prst="rect">
                      <a:avLst/>
                    </a:prstGeom>
                  </pic:spPr>
                </pic:pic>
              </a:graphicData>
            </a:graphic>
            <wp14:sizeRelH relativeFrom="page">
              <wp14:pctWidth>0</wp14:pctWidth>
            </wp14:sizeRelH>
            <wp14:sizeRelV relativeFrom="page">
              <wp14:pctHeight>0</wp14:pctHeight>
            </wp14:sizeRelV>
          </wp:anchor>
        </w:drawing>
      </w:r>
      <w:r>
        <w:rPr>
          <w:rFonts w:ascii="Arial" w:eastAsia="Times New Roman" w:hAnsi="Arial" w:cs="Arial"/>
          <w:noProof/>
          <w:color w:val="000000"/>
          <w:kern w:val="0"/>
          <w:lang w:eastAsia="en-GB"/>
        </w:rPr>
        <w:drawing>
          <wp:anchor distT="0" distB="0" distL="114300" distR="114300" simplePos="0" relativeHeight="251663360" behindDoc="1" locked="0" layoutInCell="1" allowOverlap="1" wp14:anchorId="14EAF152" wp14:editId="0EEE4BF3">
            <wp:simplePos x="0" y="0"/>
            <wp:positionH relativeFrom="column">
              <wp:posOffset>349885</wp:posOffset>
            </wp:positionH>
            <wp:positionV relativeFrom="paragraph">
              <wp:posOffset>121374</wp:posOffset>
            </wp:positionV>
            <wp:extent cx="2737485" cy="1753870"/>
            <wp:effectExtent l="0" t="0" r="5715" b="0"/>
            <wp:wrapTight wrapText="bothSides">
              <wp:wrapPolygon edited="0">
                <wp:start x="0" y="0"/>
                <wp:lineTo x="0" y="21428"/>
                <wp:lineTo x="21545" y="21428"/>
                <wp:lineTo x="21545" y="0"/>
                <wp:lineTo x="0" y="0"/>
              </wp:wrapPolygon>
            </wp:wrapTight>
            <wp:docPr id="1237263010" name="Picture 5" descr="A graph of a number of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7263010" name="Picture 5" descr="A graph of a number of bars&#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37485" cy="1753870"/>
                    </a:xfrm>
                    <a:prstGeom prst="rect">
                      <a:avLst/>
                    </a:prstGeom>
                  </pic:spPr>
                </pic:pic>
              </a:graphicData>
            </a:graphic>
            <wp14:sizeRelH relativeFrom="page">
              <wp14:pctWidth>0</wp14:pctWidth>
            </wp14:sizeRelH>
            <wp14:sizeRelV relativeFrom="page">
              <wp14:pctHeight>0</wp14:pctHeight>
            </wp14:sizeRelV>
          </wp:anchor>
        </w:drawing>
      </w:r>
    </w:p>
    <w:p w14:paraId="5973E364" w14:textId="703F67EF" w:rsidR="004C60AB" w:rsidRPr="005A7235" w:rsidRDefault="004C60AB" w:rsidP="004C60AB">
      <w:pPr>
        <w:pStyle w:val="ListParagraph"/>
        <w:jc w:val="both"/>
        <w:rPr>
          <w:rFonts w:ascii="Arial" w:eastAsia="Times New Roman" w:hAnsi="Arial" w:cs="Arial"/>
          <w:color w:val="000000"/>
          <w:kern w:val="0"/>
          <w:lang w:eastAsia="en-GB"/>
          <w14:ligatures w14:val="none"/>
        </w:rPr>
      </w:pPr>
    </w:p>
    <w:p w14:paraId="33AE9F62" w14:textId="0D9642E0" w:rsidR="00CE1665" w:rsidRPr="005A7235" w:rsidRDefault="004C60AB" w:rsidP="00372FCF">
      <w:pPr>
        <w:rPr>
          <w:rFonts w:ascii="Arial" w:eastAsia="Times New Roman" w:hAnsi="Arial" w:cs="Arial"/>
          <w:b/>
          <w:bCs/>
          <w:color w:val="000000"/>
          <w:kern w:val="0"/>
          <w:sz w:val="28"/>
          <w:szCs w:val="28"/>
          <w:lang w:eastAsia="en-GB"/>
          <w14:ligatures w14:val="none"/>
        </w:rPr>
      </w:pPr>
      <w:r>
        <w:rPr>
          <w:rFonts w:ascii="Arial" w:eastAsia="Times New Roman" w:hAnsi="Arial" w:cs="Arial"/>
          <w:b/>
          <w:bCs/>
          <w:color w:val="000000"/>
          <w:kern w:val="0"/>
          <w:sz w:val="28"/>
          <w:szCs w:val="28"/>
          <w:lang w:eastAsia="en-GB"/>
          <w14:ligatures w14:val="none"/>
        </w:rPr>
        <w:br w:type="page"/>
      </w:r>
      <w:bookmarkStart w:id="4" w:name="_Toc180935422"/>
      <w:r w:rsidR="00CE1665" w:rsidRPr="005A7235">
        <w:rPr>
          <w:rFonts w:ascii="Arial" w:eastAsia="Times New Roman" w:hAnsi="Arial" w:cs="Arial"/>
          <w:b/>
          <w:bCs/>
          <w:color w:val="000000"/>
          <w:kern w:val="0"/>
          <w:sz w:val="28"/>
          <w:szCs w:val="28"/>
          <w:lang w:eastAsia="en-GB"/>
          <w14:ligatures w14:val="none"/>
        </w:rPr>
        <w:lastRenderedPageBreak/>
        <w:t>Analysis of Findings</w:t>
      </w:r>
      <w:bookmarkEnd w:id="4"/>
    </w:p>
    <w:p w14:paraId="7A5A7806" w14:textId="7EF0FE45" w:rsidR="00EE293F"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Our examination shows that Tesco’s approach, to governance has an influence on its financial results. The strong connection between governance measures and financial metrics like ROE and transparency emphasizes the significance of having governance in promoting strength. Tesco’s varied board composition and efficient committee supervision facilitate rounded decision making. At the time. Executive compensation plans are in line, with sustainability objectives fostering long term growth. Furthermore, Tesco’s transparency efforts enhance investor confidence, which in turn supports ROA and stock performance</w:t>
      </w:r>
      <w:sdt>
        <w:sdtPr>
          <w:rPr>
            <w:rFonts w:ascii="Arial" w:eastAsia="Times New Roman" w:hAnsi="Arial" w:cs="Arial"/>
            <w:color w:val="000000"/>
            <w:kern w:val="0"/>
            <w:lang w:eastAsia="en-GB"/>
            <w14:ligatures w14:val="none"/>
          </w:rPr>
          <w:id w:val="492918027"/>
          <w:citation/>
        </w:sdtPr>
        <w:sdtContent>
          <w:r w:rsidR="007855B7">
            <w:rPr>
              <w:rFonts w:ascii="Arial" w:eastAsia="Times New Roman" w:hAnsi="Arial" w:cs="Arial"/>
              <w:color w:val="000000"/>
              <w:kern w:val="0"/>
              <w:lang w:eastAsia="en-GB"/>
              <w14:ligatures w14:val="none"/>
            </w:rPr>
            <w:fldChar w:fldCharType="begin"/>
          </w:r>
          <w:r w:rsidR="007855B7">
            <w:rPr>
              <w:rFonts w:ascii="Arial" w:eastAsia="Times New Roman" w:hAnsi="Arial" w:cs="Arial"/>
              <w:color w:val="000000"/>
              <w:kern w:val="0"/>
              <w:lang w:eastAsia="en-GB"/>
              <w14:ligatures w14:val="none"/>
            </w:rPr>
            <w:instrText xml:space="preserve">CITATION Eig24 \l 2057 </w:instrText>
          </w:r>
          <w:r w:rsidR="007855B7">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(Eightception, 2024)</w:t>
          </w:r>
          <w:r w:rsidR="007855B7">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w:t>
      </w:r>
    </w:p>
    <w:p w14:paraId="0D4458FA" w14:textId="3E82D815" w:rsidR="004205E4"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Institutional investors also have an impact, on Tesco’s operations by overseeing the company’s financial and non-financial performance standards through their ownership stakes in the company. Tesco’s governance strategy strikes a balance between making profits and fulfilling responsibilities aligning well with investor demands and showcasing the enduring benefits of governance methods</w:t>
      </w:r>
      <w:sdt>
        <w:sdtPr>
          <w:rPr>
            <w:rFonts w:ascii="Arial" w:eastAsia="Times New Roman" w:hAnsi="Arial" w:cs="Arial"/>
            <w:color w:val="000000"/>
            <w:kern w:val="0"/>
            <w:lang w:eastAsia="en-GB"/>
            <w14:ligatures w14:val="none"/>
          </w:rPr>
          <w:id w:val="-1514834638"/>
          <w:citation/>
        </w:sdtPr>
        <w:sdtContent>
          <w:r w:rsidR="00A577CE">
            <w:rPr>
              <w:rFonts w:ascii="Arial" w:eastAsia="Times New Roman" w:hAnsi="Arial" w:cs="Arial"/>
              <w:color w:val="000000"/>
              <w:kern w:val="0"/>
              <w:lang w:eastAsia="en-GB"/>
              <w14:ligatures w14:val="none"/>
            </w:rPr>
            <w:fldChar w:fldCharType="begin"/>
          </w:r>
          <w:r w:rsidR="00A577CE">
            <w:rPr>
              <w:rFonts w:ascii="Arial" w:eastAsia="Times New Roman" w:hAnsi="Arial" w:cs="Arial"/>
              <w:color w:val="000000"/>
              <w:kern w:val="0"/>
              <w:lang w:eastAsia="en-GB"/>
              <w14:ligatures w14:val="none"/>
            </w:rPr>
            <w:instrText xml:space="preserve"> CITATION Shl97 \l 2057 </w:instrText>
          </w:r>
          <w:r w:rsidR="00A577CE">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(R.W., 1997)</w:t>
          </w:r>
          <w:r w:rsidR="00A577CE">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xml:space="preserve">. The company’s commitment to transparency and answerability has established Tesco as a leading example of governance quality, within the industry. </w:t>
      </w:r>
    </w:p>
    <w:p w14:paraId="639963BC" w14:textId="670A329B" w:rsidR="00463EC2" w:rsidRPr="005A7235" w:rsidRDefault="00463EC2" w:rsidP="004205E4">
      <w:pPr>
        <w:pStyle w:val="Heading1"/>
        <w:jc w:val="both"/>
        <w:rPr>
          <w:rFonts w:ascii="Arial" w:eastAsia="Times New Roman" w:hAnsi="Arial" w:cs="Arial"/>
          <w:b/>
          <w:bCs/>
          <w:color w:val="000000"/>
          <w:kern w:val="0"/>
          <w:sz w:val="28"/>
          <w:szCs w:val="28"/>
          <w:lang w:eastAsia="en-GB"/>
          <w14:ligatures w14:val="none"/>
        </w:rPr>
      </w:pPr>
      <w:bookmarkStart w:id="5" w:name="_Toc180935423"/>
      <w:r w:rsidRPr="005A7235">
        <w:rPr>
          <w:rFonts w:ascii="Arial" w:eastAsia="Times New Roman" w:hAnsi="Arial" w:cs="Arial"/>
          <w:b/>
          <w:bCs/>
          <w:color w:val="000000"/>
          <w:kern w:val="0"/>
          <w:sz w:val="28"/>
          <w:szCs w:val="28"/>
          <w:lang w:eastAsia="en-GB"/>
          <w14:ligatures w14:val="none"/>
        </w:rPr>
        <w:t>Conclusion</w:t>
      </w:r>
      <w:bookmarkEnd w:id="5"/>
    </w:p>
    <w:p w14:paraId="0B999677" w14:textId="528E8A97" w:rsidR="00EE293F"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Tesco PLCs commitment, to maintaining governance is essential for its financial stability and the trust of its shareholders while upholding ethical values. The company’s rounded board of directors and diligent oversight committees that prioritize transparency play a role, in facilitating effective decision making and meeting the expectations of stakeholders in a fiercely competitive retail landscape. </w:t>
      </w:r>
    </w:p>
    <w:p w14:paraId="1E2DFA0C" w14:textId="30B80055" w:rsidR="00EE293F"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Tesco’s institutional investors play a role, in maintaining transparency and accountability within the company by emphasizing long term value in their governance practices. The involvement of shareholders has also contributed to Tesco’s commitment, to ESG disclosures aligning with investor demands and societal requirements</w:t>
      </w:r>
      <w:sdt>
        <w:sdtPr>
          <w:rPr>
            <w:rFonts w:ascii="Arial" w:eastAsia="Times New Roman" w:hAnsi="Arial" w:cs="Arial"/>
            <w:color w:val="000000"/>
            <w:kern w:val="0"/>
            <w:lang w:eastAsia="en-GB"/>
            <w14:ligatures w14:val="none"/>
          </w:rPr>
          <w:id w:val="656350713"/>
          <w:citation/>
        </w:sdtPr>
        <w:sdtContent>
          <w:r w:rsidR="00372FCF">
            <w:rPr>
              <w:rFonts w:ascii="Arial" w:eastAsia="Times New Roman" w:hAnsi="Arial" w:cs="Arial"/>
              <w:color w:val="000000"/>
              <w:kern w:val="0"/>
              <w:lang w:eastAsia="en-GB"/>
              <w14:ligatures w14:val="none"/>
            </w:rPr>
            <w:fldChar w:fldCharType="begin"/>
          </w:r>
          <w:r w:rsidR="00372FCF">
            <w:rPr>
              <w:rFonts w:ascii="Arial" w:eastAsia="Times New Roman" w:hAnsi="Arial" w:cs="Arial"/>
              <w:color w:val="000000"/>
              <w:kern w:val="0"/>
              <w:lang w:eastAsia="en-GB"/>
              <w14:ligatures w14:val="none"/>
            </w:rPr>
            <w:instrText xml:space="preserve"> CITATION MRa23 \l 2057 </w:instrText>
          </w:r>
          <w:r w:rsidR="00372FCF">
            <w:rPr>
              <w:rFonts w:ascii="Arial" w:eastAsia="Times New Roman" w:hAnsi="Arial" w:cs="Arial"/>
              <w:color w:val="000000"/>
              <w:kern w:val="0"/>
              <w:lang w:eastAsia="en-GB"/>
              <w14:ligatures w14:val="none"/>
            </w:rPr>
            <w:fldChar w:fldCharType="separate"/>
          </w:r>
          <w:r w:rsidR="00372FCF">
            <w:rPr>
              <w:rFonts w:ascii="Arial" w:eastAsia="Times New Roman" w:hAnsi="Arial" w:cs="Arial"/>
              <w:noProof/>
              <w:color w:val="000000"/>
              <w:kern w:val="0"/>
              <w:lang w:eastAsia="en-GB"/>
              <w14:ligatures w14:val="none"/>
            </w:rPr>
            <w:t xml:space="preserve"> </w:t>
          </w:r>
          <w:r w:rsidR="00372FCF" w:rsidRPr="00372FCF">
            <w:rPr>
              <w:rFonts w:ascii="Arial" w:eastAsia="Times New Roman" w:hAnsi="Arial" w:cs="Arial"/>
              <w:noProof/>
              <w:color w:val="000000"/>
              <w:kern w:val="0"/>
              <w:lang w:eastAsia="en-GB"/>
              <w14:ligatures w14:val="none"/>
            </w:rPr>
            <w:t>(Rahman, 2023)</w:t>
          </w:r>
          <w:r w:rsidR="00372FCF">
            <w:rPr>
              <w:rFonts w:ascii="Arial" w:eastAsia="Times New Roman" w:hAnsi="Arial" w:cs="Arial"/>
              <w:color w:val="000000"/>
              <w:kern w:val="0"/>
              <w:lang w:eastAsia="en-GB"/>
              <w14:ligatures w14:val="none"/>
            </w:rPr>
            <w:fldChar w:fldCharType="end"/>
          </w:r>
        </w:sdtContent>
      </w:sdt>
      <w:r w:rsidRPr="005A7235">
        <w:rPr>
          <w:rFonts w:ascii="Arial" w:eastAsia="Times New Roman" w:hAnsi="Arial" w:cs="Arial"/>
          <w:color w:val="000000"/>
          <w:kern w:val="0"/>
          <w:lang w:eastAsia="en-GB"/>
          <w14:ligatures w14:val="none"/>
        </w:rPr>
        <w:t xml:space="preserve">. </w:t>
      </w:r>
    </w:p>
    <w:p w14:paraId="64DE5548" w14:textId="77777777" w:rsidR="00EE293F"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Tesco shows its dedication to promoting business practices through pay that is tied to performance metrics, like ROA and revenue growth along, with ESG goals. </w:t>
      </w:r>
    </w:p>
    <w:p w14:paraId="407A8A77" w14:textId="005790E8" w:rsidR="00EE293F"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Tesco’s reputation benefits, from being transparent and proactive in their social responsibility efforts as it attracts investors who value responsibility and supports their financial stability in return. This is evident in the company’s reports which provide details on both financial and non-financial performance. This transparency helps build trust with shareholders and solidifies Tesco’s standing as a leading figure in governance, within the industry. </w:t>
      </w:r>
    </w:p>
    <w:p w14:paraId="4CEE0DEF" w14:textId="39DE1F44" w:rsidR="00463EC2" w:rsidRPr="005A7235" w:rsidRDefault="00EE293F" w:rsidP="004205E4">
      <w:pPr>
        <w:jc w:val="both"/>
        <w:rPr>
          <w:rFonts w:ascii="Arial" w:eastAsia="Times New Roman" w:hAnsi="Arial" w:cs="Arial"/>
          <w:color w:val="000000"/>
          <w:kern w:val="0"/>
          <w:lang w:eastAsia="en-GB"/>
          <w14:ligatures w14:val="none"/>
        </w:rPr>
      </w:pPr>
      <w:r w:rsidRPr="005A7235">
        <w:rPr>
          <w:rFonts w:ascii="Arial" w:eastAsia="Times New Roman" w:hAnsi="Arial" w:cs="Arial"/>
          <w:color w:val="000000"/>
          <w:kern w:val="0"/>
          <w:lang w:eastAsia="en-GB"/>
          <w14:ligatures w14:val="none"/>
        </w:rPr>
        <w:t xml:space="preserve">To sum up the situation briefly, Tesco’s way of managing its business strikes a balance, between making money and staying true to principles—making it a standout example in the retail industry when it comes to governance practices that work effectively together. The company shows how shareholder interests, meeting </w:t>
      </w:r>
      <w:r w:rsidRPr="005A7235">
        <w:rPr>
          <w:rFonts w:ascii="Arial" w:eastAsia="Times New Roman" w:hAnsi="Arial" w:cs="Arial"/>
          <w:color w:val="000000"/>
          <w:kern w:val="0"/>
          <w:lang w:eastAsia="en-GB"/>
          <w14:ligatures w14:val="none"/>
        </w:rPr>
        <w:lastRenderedPageBreak/>
        <w:t>regulatory standards and meeting broader societal expectations are all important ingredients in successful governance that leads to lasting value creation. As the landscape of governance continues to change Tesco’s approach provides insights into how to stay competitive and sustainable, in a market that’s always changing.</w:t>
      </w:r>
    </w:p>
    <w:p w14:paraId="2D90BA29" w14:textId="0B06C6A2" w:rsidR="00CE1665" w:rsidRPr="005A7235" w:rsidRDefault="00CE1665" w:rsidP="004205E4">
      <w:pPr>
        <w:spacing w:line="360" w:lineRule="auto"/>
        <w:jc w:val="both"/>
        <w:rPr>
          <w:rFonts w:ascii="Arial" w:hAnsi="Arial" w:cs="Arial"/>
        </w:rPr>
      </w:pPr>
      <w:r w:rsidRPr="005A7235">
        <w:rPr>
          <w:rFonts w:ascii="Arial" w:hAnsi="Arial" w:cs="Arial"/>
        </w:rPr>
        <w:br w:type="page"/>
      </w:r>
    </w:p>
    <w:bookmarkStart w:id="6" w:name="_Toc180935424" w:displacedByCustomXml="next"/>
    <w:sdt>
      <w:sdtPr>
        <w:id w:val="2056815104"/>
        <w:docPartObj>
          <w:docPartGallery w:val="Bibliographies"/>
          <w:docPartUnique/>
        </w:docPartObj>
      </w:sdtPr>
      <w:sdtEndPr>
        <w:rPr>
          <w:rFonts w:asciiTheme="minorHAnsi" w:eastAsiaTheme="minorHAnsi" w:hAnsiTheme="minorHAnsi" w:cstheme="minorBidi"/>
          <w:color w:val="auto"/>
          <w:sz w:val="24"/>
          <w:szCs w:val="24"/>
        </w:rPr>
      </w:sdtEndPr>
      <w:sdtContent>
        <w:p w14:paraId="05D4A51A" w14:textId="7EF5F889" w:rsidR="002373EF" w:rsidRDefault="002373EF">
          <w:pPr>
            <w:pStyle w:val="Heading1"/>
          </w:pPr>
          <w:r>
            <w:t>Bibliography</w:t>
          </w:r>
          <w:bookmarkEnd w:id="6"/>
        </w:p>
        <w:sdt>
          <w:sdtPr>
            <w:id w:val="111145805"/>
            <w:bibliography/>
          </w:sdtPr>
          <w:sdtContent>
            <w:p w14:paraId="4F96A686" w14:textId="77777777" w:rsidR="00372FCF" w:rsidRDefault="002373EF" w:rsidP="00372FCF">
              <w:pPr>
                <w:pStyle w:val="Bibliography"/>
                <w:numPr>
                  <w:ilvl w:val="0"/>
                  <w:numId w:val="20"/>
                </w:numPr>
                <w:rPr>
                  <w:noProof/>
                  <w:kern w:val="0"/>
                  <w14:ligatures w14:val="none"/>
                </w:rPr>
              </w:pPr>
              <w:r>
                <w:fldChar w:fldCharType="begin"/>
              </w:r>
              <w:r>
                <w:instrText xml:space="preserve"> BIBLIOGRAPHY </w:instrText>
              </w:r>
              <w:r>
                <w:fldChar w:fldCharType="separate"/>
              </w:r>
              <w:r w:rsidR="00372FCF">
                <w:rPr>
                  <w:noProof/>
                </w:rPr>
                <w:t xml:space="preserve">AnnualReports, 2023. [Online] </w:t>
              </w:r>
              <w:r w:rsidR="00372FCF">
                <w:rPr>
                  <w:noProof/>
                </w:rPr>
                <w:br/>
                <w:t xml:space="preserve">Available at: </w:t>
              </w:r>
              <w:r w:rsidR="00372FCF">
                <w:rPr>
                  <w:noProof/>
                  <w:u w:val="single"/>
                </w:rPr>
                <w:t>https://www.annualreports.com/Company/tesco-plc</w:t>
              </w:r>
              <w:r w:rsidR="00372FCF">
                <w:rPr>
                  <w:noProof/>
                </w:rPr>
                <w:br/>
                <w:t>[Accessed 25 October 2024].</w:t>
              </w:r>
            </w:p>
            <w:p w14:paraId="617F522C" w14:textId="77777777" w:rsidR="00372FCF" w:rsidRDefault="00372FCF" w:rsidP="00372FCF">
              <w:pPr>
                <w:pStyle w:val="Bibliography"/>
                <w:numPr>
                  <w:ilvl w:val="0"/>
                  <w:numId w:val="20"/>
                </w:numPr>
                <w:rPr>
                  <w:noProof/>
                </w:rPr>
              </w:pPr>
              <w:r>
                <w:rPr>
                  <w:noProof/>
                </w:rPr>
                <w:t xml:space="preserve">Cottages, C., 2017. </w:t>
              </w:r>
              <w:r>
                <w:rPr>
                  <w:i/>
                  <w:iCs/>
                  <w:noProof/>
                </w:rPr>
                <w:t xml:space="preserve">EEPH. </w:t>
              </w:r>
              <w:r>
                <w:rPr>
                  <w:noProof/>
                </w:rPr>
                <w:t xml:space="preserve">[Online] </w:t>
              </w:r>
              <w:r>
                <w:rPr>
                  <w:noProof/>
                </w:rPr>
                <w:br/>
                <w:t xml:space="preserve">Available at: </w:t>
              </w:r>
              <w:r>
                <w:rPr>
                  <w:noProof/>
                  <w:u w:val="single"/>
                </w:rPr>
                <w:t>https://www.eeph.org.uk</w:t>
              </w:r>
              <w:r>
                <w:rPr>
                  <w:noProof/>
                </w:rPr>
                <w:br/>
                <w:t>[Accessed 25 October 2024].</w:t>
              </w:r>
            </w:p>
            <w:p w14:paraId="6C80469C" w14:textId="77777777" w:rsidR="00372FCF" w:rsidRDefault="00372FCF" w:rsidP="00372FCF">
              <w:pPr>
                <w:pStyle w:val="Bibliography"/>
                <w:numPr>
                  <w:ilvl w:val="0"/>
                  <w:numId w:val="20"/>
                </w:numPr>
                <w:rPr>
                  <w:noProof/>
                </w:rPr>
              </w:pPr>
              <w:r>
                <w:rPr>
                  <w:noProof/>
                </w:rPr>
                <w:t xml:space="preserve">E. Fama, M. J., 1983. Separation of Ownership and Control. </w:t>
              </w:r>
              <w:r>
                <w:rPr>
                  <w:i/>
                  <w:iCs/>
                  <w:noProof/>
                </w:rPr>
                <w:t xml:space="preserve"> Journal of Law and Economics, </w:t>
              </w:r>
              <w:r>
                <w:rPr>
                  <w:noProof/>
                </w:rPr>
                <w:t>II(26), pp. 301-325.</w:t>
              </w:r>
            </w:p>
            <w:p w14:paraId="1021CCB4" w14:textId="77777777" w:rsidR="00372FCF" w:rsidRDefault="00372FCF" w:rsidP="00372FCF">
              <w:pPr>
                <w:pStyle w:val="Bibliography"/>
                <w:numPr>
                  <w:ilvl w:val="0"/>
                  <w:numId w:val="20"/>
                </w:numPr>
                <w:rPr>
                  <w:noProof/>
                </w:rPr>
              </w:pPr>
              <w:r>
                <w:rPr>
                  <w:noProof/>
                </w:rPr>
                <w:t xml:space="preserve">Eightception, 2024. </w:t>
              </w:r>
              <w:r>
                <w:rPr>
                  <w:i/>
                  <w:iCs/>
                  <w:noProof/>
                </w:rPr>
                <w:t xml:space="preserve">Tesco SWOT Analysis. </w:t>
              </w:r>
              <w:r>
                <w:rPr>
                  <w:noProof/>
                </w:rPr>
                <w:t xml:space="preserve">[Online] </w:t>
              </w:r>
              <w:r>
                <w:rPr>
                  <w:noProof/>
                </w:rPr>
                <w:br/>
                <w:t xml:space="preserve">Available at: </w:t>
              </w:r>
              <w:r>
                <w:rPr>
                  <w:noProof/>
                  <w:u w:val="single"/>
                </w:rPr>
                <w:t>https://eightception.com/tesco-swot-analysis/</w:t>
              </w:r>
              <w:r>
                <w:rPr>
                  <w:noProof/>
                </w:rPr>
                <w:br/>
                <w:t>[Accessed 26 October 2024].</w:t>
              </w:r>
            </w:p>
            <w:p w14:paraId="7BB6DCCB" w14:textId="77777777" w:rsidR="00372FCF" w:rsidRDefault="00372FCF" w:rsidP="00372FCF">
              <w:pPr>
                <w:pStyle w:val="Bibliography"/>
                <w:numPr>
                  <w:ilvl w:val="0"/>
                  <w:numId w:val="20"/>
                </w:numPr>
                <w:rPr>
                  <w:noProof/>
                </w:rPr>
              </w:pPr>
              <w:r>
                <w:rPr>
                  <w:noProof/>
                </w:rPr>
                <w:t xml:space="preserve">Gillan, S. L., 2000. Corporate governance proposals and shareholder activism: The role of institutional investors. . </w:t>
              </w:r>
              <w:r>
                <w:rPr>
                  <w:i/>
                  <w:iCs/>
                  <w:noProof/>
                </w:rPr>
                <w:t xml:space="preserve">Journal of Financial Economics, </w:t>
              </w:r>
              <w:r>
                <w:rPr>
                  <w:noProof/>
                </w:rPr>
                <w:t>II(57), pp. 275-305.</w:t>
              </w:r>
            </w:p>
            <w:p w14:paraId="31415BEC" w14:textId="77777777" w:rsidR="00372FCF" w:rsidRDefault="00372FCF" w:rsidP="00372FCF">
              <w:pPr>
                <w:pStyle w:val="Bibliography"/>
                <w:numPr>
                  <w:ilvl w:val="0"/>
                  <w:numId w:val="20"/>
                </w:numPr>
                <w:rPr>
                  <w:noProof/>
                </w:rPr>
              </w:pPr>
              <w:r>
                <w:rPr>
                  <w:noProof/>
                </w:rPr>
                <w:t xml:space="preserve">Gurufocus, 2024. </w:t>
              </w:r>
              <w:r>
                <w:rPr>
                  <w:i/>
                  <w:iCs/>
                  <w:noProof/>
                </w:rPr>
                <w:t xml:space="preserve">Tesco (TSCDY) ROA % : 4.50% (As of Aug. 2024). </w:t>
              </w:r>
              <w:r>
                <w:rPr>
                  <w:noProof/>
                </w:rPr>
                <w:t xml:space="preserve">[Online] </w:t>
              </w:r>
              <w:r>
                <w:rPr>
                  <w:noProof/>
                </w:rPr>
                <w:br/>
                <w:t xml:space="preserve">Available at: </w:t>
              </w:r>
              <w:r>
                <w:rPr>
                  <w:noProof/>
                  <w:u w:val="single"/>
                </w:rPr>
                <w:t>https://www.gurufocus.com/term/roa/TSCDY</w:t>
              </w:r>
              <w:r>
                <w:rPr>
                  <w:noProof/>
                </w:rPr>
                <w:br/>
                <w:t>[Accessed 26 October 2024].</w:t>
              </w:r>
            </w:p>
            <w:p w14:paraId="33703019" w14:textId="77777777" w:rsidR="00372FCF" w:rsidRDefault="00372FCF" w:rsidP="00372FCF">
              <w:pPr>
                <w:pStyle w:val="Bibliography"/>
                <w:numPr>
                  <w:ilvl w:val="0"/>
                  <w:numId w:val="20"/>
                </w:numPr>
                <w:rPr>
                  <w:noProof/>
                </w:rPr>
              </w:pPr>
              <w:r>
                <w:rPr>
                  <w:noProof/>
                </w:rPr>
                <w:t xml:space="preserve">James Chen, M. J., 2024. </w:t>
              </w:r>
              <w:r>
                <w:rPr>
                  <w:i/>
                  <w:iCs/>
                  <w:noProof/>
                </w:rPr>
                <w:t xml:space="preserve">Investopedia. </w:t>
              </w:r>
              <w:r>
                <w:rPr>
                  <w:noProof/>
                </w:rPr>
                <w:t xml:space="preserve">[Online] </w:t>
              </w:r>
              <w:r>
                <w:rPr>
                  <w:noProof/>
                </w:rPr>
                <w:br/>
                <w:t xml:space="preserve">Available at: </w:t>
              </w:r>
              <w:r>
                <w:rPr>
                  <w:noProof/>
                  <w:u w:val="single"/>
                </w:rPr>
                <w:t>https://www.investopedia.com/terms/c/corporategovernance.asp</w:t>
              </w:r>
              <w:r>
                <w:rPr>
                  <w:noProof/>
                </w:rPr>
                <w:br/>
                <w:t>[Accessed 24 October 2024].</w:t>
              </w:r>
            </w:p>
            <w:p w14:paraId="71F1EDDF" w14:textId="77777777" w:rsidR="00372FCF" w:rsidRDefault="00372FCF" w:rsidP="00372FCF">
              <w:pPr>
                <w:pStyle w:val="Bibliography"/>
                <w:numPr>
                  <w:ilvl w:val="0"/>
                  <w:numId w:val="20"/>
                </w:numPr>
                <w:rPr>
                  <w:noProof/>
                </w:rPr>
              </w:pPr>
              <w:r>
                <w:rPr>
                  <w:noProof/>
                </w:rPr>
                <w:t xml:space="preserve">Mallin, C. A., 2016. </w:t>
              </w:r>
              <w:r>
                <w:rPr>
                  <w:i/>
                  <w:iCs/>
                  <w:noProof/>
                </w:rPr>
                <w:t xml:space="preserve">Corporate Governance.. </w:t>
              </w:r>
              <w:r>
                <w:rPr>
                  <w:noProof/>
                </w:rPr>
                <w:t>Oxford: Oxford University Press.</w:t>
              </w:r>
            </w:p>
            <w:p w14:paraId="693F6617" w14:textId="77777777" w:rsidR="00372FCF" w:rsidRDefault="00372FCF" w:rsidP="00372FCF">
              <w:pPr>
                <w:pStyle w:val="Bibliography"/>
                <w:numPr>
                  <w:ilvl w:val="0"/>
                  <w:numId w:val="20"/>
                </w:numPr>
                <w:rPr>
                  <w:noProof/>
                </w:rPr>
              </w:pPr>
              <w:r>
                <w:rPr>
                  <w:noProof/>
                </w:rPr>
                <w:t xml:space="preserve">Management, M. I., 2024. </w:t>
              </w:r>
              <w:r>
                <w:rPr>
                  <w:i/>
                  <w:iCs/>
                  <w:noProof/>
                </w:rPr>
                <w:t xml:space="preserve">MetLife Investment Management. </w:t>
              </w:r>
              <w:r>
                <w:rPr>
                  <w:noProof/>
                </w:rPr>
                <w:t xml:space="preserve">[Online] </w:t>
              </w:r>
              <w:r>
                <w:rPr>
                  <w:noProof/>
                </w:rPr>
                <w:br/>
                <w:t xml:space="preserve">Available at: </w:t>
              </w:r>
              <w:r>
                <w:rPr>
                  <w:noProof/>
                  <w:u w:val="single"/>
                </w:rPr>
                <w:t>https://investments.metlife.co.uk/about/sustainability/?cid=c8hpk&amp;utm_id=c8hpk&amp;utm_source=google&amp;utm_medium=cpc&amp;utm_campaign=i_sustn_3q23_Merkle&amp;utm_content=all_MIM_UK_Non%20Brand%20Search_Exact_ESG&amp;utm_term=ESG&amp;promoid=c8hpk&amp;gad_source=1&amp;gbraid=0AAAAAogb</w:t>
              </w:r>
              <w:r>
                <w:rPr>
                  <w:noProof/>
                </w:rPr>
                <w:br/>
                <w:t>[Accessed 25 October 2024].</w:t>
              </w:r>
            </w:p>
            <w:p w14:paraId="403C77B7" w14:textId="77777777" w:rsidR="00372FCF" w:rsidRDefault="00372FCF" w:rsidP="00372FCF">
              <w:pPr>
                <w:pStyle w:val="Bibliography"/>
                <w:numPr>
                  <w:ilvl w:val="0"/>
                  <w:numId w:val="20"/>
                </w:numPr>
                <w:rPr>
                  <w:noProof/>
                </w:rPr>
              </w:pPr>
              <w:r>
                <w:rPr>
                  <w:noProof/>
                </w:rPr>
                <w:t xml:space="preserve">Perkins, M., 2023. </w:t>
              </w:r>
              <w:r>
                <w:rPr>
                  <w:i/>
                  <w:iCs/>
                  <w:noProof/>
                </w:rPr>
                <w:t xml:space="preserve">TESCO PERSONAL FINANCE PLC ANNUAL REPORT AND FINANCIAL STATEMENTS FOR THE YEAR ENDED 28 FEBRUARY 2023. </w:t>
              </w:r>
              <w:r>
                <w:rPr>
                  <w:noProof/>
                </w:rPr>
                <w:t xml:space="preserve">[Online] </w:t>
              </w:r>
              <w:r>
                <w:rPr>
                  <w:noProof/>
                </w:rPr>
                <w:br/>
                <w:t xml:space="preserve">Available at: </w:t>
              </w:r>
              <w:r>
                <w:rPr>
                  <w:noProof/>
                  <w:u w:val="single"/>
                </w:rPr>
                <w:t>https://bank.tescoplc.com/media/0l5oq5gb/tpf-annual-report-feb-2023-final.pdf</w:t>
              </w:r>
              <w:r>
                <w:rPr>
                  <w:noProof/>
                </w:rPr>
                <w:br/>
                <w:t>[Accessed 26 October 2024].</w:t>
              </w:r>
            </w:p>
            <w:p w14:paraId="6AC98EE1" w14:textId="77777777" w:rsidR="00372FCF" w:rsidRDefault="00372FCF" w:rsidP="00372FCF">
              <w:pPr>
                <w:pStyle w:val="Bibliography"/>
                <w:numPr>
                  <w:ilvl w:val="0"/>
                  <w:numId w:val="20"/>
                </w:numPr>
                <w:rPr>
                  <w:noProof/>
                </w:rPr>
              </w:pPr>
              <w:r>
                <w:rPr>
                  <w:noProof/>
                </w:rPr>
                <w:lastRenderedPageBreak/>
                <w:t xml:space="preserve">PLC, T., 2019. </w:t>
              </w:r>
              <w:r>
                <w:rPr>
                  <w:i/>
                  <w:iCs/>
                  <w:noProof/>
                </w:rPr>
                <w:t xml:space="preserve">Tesco PLC Annual Report and Financial Statements 2019. </w:t>
              </w:r>
              <w:r>
                <w:rPr>
                  <w:noProof/>
                </w:rPr>
                <w:t xml:space="preserve">[Online] </w:t>
              </w:r>
              <w:r>
                <w:rPr>
                  <w:noProof/>
                </w:rPr>
                <w:br/>
                <w:t xml:space="preserve">Available at: </w:t>
              </w:r>
              <w:r>
                <w:rPr>
                  <w:noProof/>
                  <w:u w:val="single"/>
                </w:rPr>
                <w:t>https://www.tescoplc.com/media/476423/tesco_ar_2019.pdf</w:t>
              </w:r>
              <w:r>
                <w:rPr>
                  <w:noProof/>
                </w:rPr>
                <w:br/>
                <w:t>[Accessed 25 October 2024].</w:t>
              </w:r>
            </w:p>
            <w:p w14:paraId="517B410D" w14:textId="77777777" w:rsidR="00372FCF" w:rsidRDefault="00372FCF" w:rsidP="00372FCF">
              <w:pPr>
                <w:pStyle w:val="Bibliography"/>
                <w:numPr>
                  <w:ilvl w:val="0"/>
                  <w:numId w:val="20"/>
                </w:numPr>
                <w:rPr>
                  <w:noProof/>
                </w:rPr>
              </w:pPr>
              <w:r>
                <w:rPr>
                  <w:noProof/>
                </w:rPr>
                <w:t xml:space="preserve">PLC, T., 2023. </w:t>
              </w:r>
              <w:r>
                <w:rPr>
                  <w:i/>
                  <w:iCs/>
                  <w:noProof/>
                </w:rPr>
                <w:t xml:space="preserve">Annual Report and Financial Statements 2022. </w:t>
              </w:r>
              <w:r>
                <w:rPr>
                  <w:noProof/>
                </w:rPr>
                <w:t xml:space="preserve">[Online] </w:t>
              </w:r>
              <w:r>
                <w:rPr>
                  <w:noProof/>
                </w:rPr>
                <w:br/>
                <w:t xml:space="preserve">Available at: </w:t>
              </w:r>
              <w:r>
                <w:rPr>
                  <w:noProof/>
                  <w:u w:val="single"/>
                </w:rPr>
                <w:t>https://www.tescoplc.com/investors/reports-results-and-presentations/annual-report-2024</w:t>
              </w:r>
              <w:r>
                <w:rPr>
                  <w:noProof/>
                </w:rPr>
                <w:br/>
                <w:t>[Accessed 25 October 2024].</w:t>
              </w:r>
            </w:p>
            <w:p w14:paraId="007B7E8C" w14:textId="77777777" w:rsidR="00372FCF" w:rsidRDefault="00372FCF" w:rsidP="00372FCF">
              <w:pPr>
                <w:pStyle w:val="Bibliography"/>
                <w:numPr>
                  <w:ilvl w:val="0"/>
                  <w:numId w:val="20"/>
                </w:numPr>
                <w:rPr>
                  <w:noProof/>
                </w:rPr>
              </w:pPr>
              <w:r>
                <w:rPr>
                  <w:noProof/>
                </w:rPr>
                <w:t xml:space="preserve">PLC, T., 2024. </w:t>
              </w:r>
              <w:r>
                <w:rPr>
                  <w:i/>
                  <w:iCs/>
                  <w:noProof/>
                </w:rPr>
                <w:t xml:space="preserve">Wisesheets. </w:t>
              </w:r>
              <w:r>
                <w:rPr>
                  <w:noProof/>
                </w:rPr>
                <w:t xml:space="preserve">[Online] </w:t>
              </w:r>
              <w:r>
                <w:rPr>
                  <w:noProof/>
                </w:rPr>
                <w:br/>
                <w:t xml:space="preserve">Available at: </w:t>
              </w:r>
              <w:r>
                <w:rPr>
                  <w:noProof/>
                  <w:u w:val="single"/>
                </w:rPr>
                <w:t>https://www.wisesheets.io/roe/TSCDY</w:t>
              </w:r>
              <w:r>
                <w:rPr>
                  <w:noProof/>
                </w:rPr>
                <w:br/>
                <w:t>[Accessed 25 October 2024].</w:t>
              </w:r>
            </w:p>
            <w:p w14:paraId="1CB266C7" w14:textId="77777777" w:rsidR="00372FCF" w:rsidRDefault="00372FCF" w:rsidP="00372FCF">
              <w:pPr>
                <w:pStyle w:val="Bibliography"/>
                <w:numPr>
                  <w:ilvl w:val="0"/>
                  <w:numId w:val="20"/>
                </w:numPr>
                <w:rPr>
                  <w:noProof/>
                </w:rPr>
              </w:pPr>
              <w:r>
                <w:rPr>
                  <w:noProof/>
                </w:rPr>
                <w:t xml:space="preserve">R.W., S. A. a. V., 1997. A Survey of Corporate Governance. . </w:t>
              </w:r>
              <w:r>
                <w:rPr>
                  <w:i/>
                  <w:iCs/>
                  <w:noProof/>
                </w:rPr>
                <w:t xml:space="preserve">The Journal of Finance, </w:t>
              </w:r>
              <w:r>
                <w:rPr>
                  <w:noProof/>
                </w:rPr>
                <w:t>II(52), pp. 737-783.</w:t>
              </w:r>
            </w:p>
            <w:p w14:paraId="031D9054" w14:textId="77777777" w:rsidR="00372FCF" w:rsidRDefault="00372FCF" w:rsidP="00372FCF">
              <w:pPr>
                <w:pStyle w:val="Bibliography"/>
                <w:numPr>
                  <w:ilvl w:val="0"/>
                  <w:numId w:val="20"/>
                </w:numPr>
                <w:rPr>
                  <w:noProof/>
                </w:rPr>
              </w:pPr>
              <w:r>
                <w:rPr>
                  <w:noProof/>
                </w:rPr>
                <w:t xml:space="preserve">Rahman, M., 2023. </w:t>
              </w:r>
              <w:r>
                <w:rPr>
                  <w:i/>
                  <w:iCs/>
                  <w:noProof/>
                </w:rPr>
                <w:t xml:space="preserve">Howandwhat. </w:t>
              </w:r>
              <w:r>
                <w:rPr>
                  <w:noProof/>
                </w:rPr>
                <w:t xml:space="preserve">[Online] </w:t>
              </w:r>
              <w:r>
                <w:rPr>
                  <w:noProof/>
                </w:rPr>
                <w:br/>
                <w:t xml:space="preserve">Available at: </w:t>
              </w:r>
              <w:r>
                <w:rPr>
                  <w:noProof/>
                  <w:u w:val="single"/>
                </w:rPr>
                <w:t>https://www.howandwhat.net/stakeholders-of-tesco-an-analysis-of-tescos-stakeholders/</w:t>
              </w:r>
              <w:r>
                <w:rPr>
                  <w:noProof/>
                </w:rPr>
                <w:br/>
                <w:t>[Accessed 27 October 2024].</w:t>
              </w:r>
            </w:p>
            <w:p w14:paraId="49CE84AD" w14:textId="0DDE4025" w:rsidR="002373EF" w:rsidRDefault="002373EF" w:rsidP="00372FCF">
              <w:r>
                <w:rPr>
                  <w:b/>
                  <w:bCs/>
                  <w:noProof/>
                </w:rPr>
                <w:fldChar w:fldCharType="end"/>
              </w:r>
            </w:p>
          </w:sdtContent>
        </w:sdt>
      </w:sdtContent>
    </w:sdt>
    <w:p w14:paraId="1742B192" w14:textId="77777777" w:rsidR="00CE1665" w:rsidRPr="005A7235" w:rsidRDefault="00CE1665" w:rsidP="004205E4">
      <w:pPr>
        <w:spacing w:line="360" w:lineRule="auto"/>
        <w:jc w:val="both"/>
        <w:rPr>
          <w:rFonts w:ascii="Arial" w:hAnsi="Arial" w:cs="Arial"/>
        </w:rPr>
      </w:pPr>
    </w:p>
    <w:sectPr w:rsidR="00CE1665" w:rsidRPr="005A7235" w:rsidSect="00E43350">
      <w:footerReference w:type="even" r:id="rId16"/>
      <w:footerReference w:type="default" r:id="rId17"/>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4B0862" w14:textId="77777777" w:rsidR="00111068" w:rsidRDefault="00111068" w:rsidP="00E43350">
      <w:pPr>
        <w:spacing w:after="0" w:line="240" w:lineRule="auto"/>
      </w:pPr>
      <w:r>
        <w:separator/>
      </w:r>
    </w:p>
  </w:endnote>
  <w:endnote w:type="continuationSeparator" w:id="0">
    <w:p w14:paraId="7064BE42" w14:textId="77777777" w:rsidR="00111068" w:rsidRDefault="00111068" w:rsidP="00E433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98793159"/>
      <w:docPartObj>
        <w:docPartGallery w:val="Page Numbers (Bottom of Page)"/>
        <w:docPartUnique/>
      </w:docPartObj>
    </w:sdtPr>
    <w:sdtContent>
      <w:p w14:paraId="1749EFB8" w14:textId="221FB627" w:rsidR="00E43350" w:rsidRDefault="00E43350" w:rsidP="00981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DE7C0D" w14:textId="77777777" w:rsidR="00E43350" w:rsidRDefault="00E43350" w:rsidP="00E433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309700991"/>
      <w:docPartObj>
        <w:docPartGallery w:val="Page Numbers (Bottom of Page)"/>
        <w:docPartUnique/>
      </w:docPartObj>
    </w:sdtPr>
    <w:sdtContent>
      <w:p w14:paraId="7EBF1A74" w14:textId="53E4BEC2" w:rsidR="00E43350" w:rsidRDefault="00E43350" w:rsidP="00981B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4DA1E09" w14:textId="77777777" w:rsidR="00E43350" w:rsidRDefault="00E43350" w:rsidP="00E433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1E7D08" w14:textId="77777777" w:rsidR="00111068" w:rsidRDefault="00111068" w:rsidP="00E43350">
      <w:pPr>
        <w:spacing w:after="0" w:line="240" w:lineRule="auto"/>
      </w:pPr>
      <w:r>
        <w:separator/>
      </w:r>
    </w:p>
  </w:footnote>
  <w:footnote w:type="continuationSeparator" w:id="0">
    <w:p w14:paraId="4A0EAB89" w14:textId="77777777" w:rsidR="00111068" w:rsidRDefault="00111068" w:rsidP="00E433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B39E4"/>
    <w:multiLevelType w:val="multilevel"/>
    <w:tmpl w:val="409050C2"/>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25249F"/>
    <w:multiLevelType w:val="multilevel"/>
    <w:tmpl w:val="4874D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0F0B3F"/>
    <w:multiLevelType w:val="multilevel"/>
    <w:tmpl w:val="56B60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060481"/>
    <w:multiLevelType w:val="multilevel"/>
    <w:tmpl w:val="057CE7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004525"/>
    <w:multiLevelType w:val="hybridMultilevel"/>
    <w:tmpl w:val="9A7884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486CB3"/>
    <w:multiLevelType w:val="multilevel"/>
    <w:tmpl w:val="B10E1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FF47C4"/>
    <w:multiLevelType w:val="multilevel"/>
    <w:tmpl w:val="E8885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176C8D"/>
    <w:multiLevelType w:val="hybridMultilevel"/>
    <w:tmpl w:val="43CAF3F4"/>
    <w:lvl w:ilvl="0" w:tplc="643CC7F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9605EFF"/>
    <w:multiLevelType w:val="multilevel"/>
    <w:tmpl w:val="60AE4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9A70A6"/>
    <w:multiLevelType w:val="multilevel"/>
    <w:tmpl w:val="9D8EDB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FC93108"/>
    <w:multiLevelType w:val="hybridMultilevel"/>
    <w:tmpl w:val="59905DAC"/>
    <w:lvl w:ilvl="0" w:tplc="643CC7F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046A6B"/>
    <w:multiLevelType w:val="multilevel"/>
    <w:tmpl w:val="B002C62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B176C07"/>
    <w:multiLevelType w:val="multilevel"/>
    <w:tmpl w:val="2EEECD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5CD6A80"/>
    <w:multiLevelType w:val="multilevel"/>
    <w:tmpl w:val="409050C2"/>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4554C8"/>
    <w:multiLevelType w:val="multilevel"/>
    <w:tmpl w:val="67DAA40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030DFD"/>
    <w:multiLevelType w:val="multilevel"/>
    <w:tmpl w:val="409050C2"/>
    <w:lvl w:ilvl="0">
      <w:start w:val="1"/>
      <w:numFmt w:val="decimal"/>
      <w:lvlText w:val="%1."/>
      <w:lvlJc w:val="left"/>
      <w:pPr>
        <w:tabs>
          <w:tab w:val="num" w:pos="720"/>
        </w:tabs>
        <w:ind w:left="720" w:hanging="360"/>
      </w:pPr>
      <w:rPr>
        <w:rFonts w:ascii="Times New Roman" w:eastAsia="Times New Roman"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6023CC"/>
    <w:multiLevelType w:val="multilevel"/>
    <w:tmpl w:val="07E435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A9B089A"/>
    <w:multiLevelType w:val="hybridMultilevel"/>
    <w:tmpl w:val="6FEAC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7A79B0"/>
    <w:multiLevelType w:val="hybridMultilevel"/>
    <w:tmpl w:val="4020A1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C8377C2"/>
    <w:multiLevelType w:val="hybridMultilevel"/>
    <w:tmpl w:val="1C60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725196">
    <w:abstractNumId w:val="6"/>
  </w:num>
  <w:num w:numId="2" w16cid:durableId="1823766480">
    <w:abstractNumId w:val="8"/>
  </w:num>
  <w:num w:numId="3" w16cid:durableId="1102916033">
    <w:abstractNumId w:val="9"/>
  </w:num>
  <w:num w:numId="4" w16cid:durableId="494230217">
    <w:abstractNumId w:val="5"/>
  </w:num>
  <w:num w:numId="5" w16cid:durableId="472791467">
    <w:abstractNumId w:val="1"/>
  </w:num>
  <w:num w:numId="6" w16cid:durableId="840317282">
    <w:abstractNumId w:val="3"/>
  </w:num>
  <w:num w:numId="7" w16cid:durableId="804197612">
    <w:abstractNumId w:val="16"/>
  </w:num>
  <w:num w:numId="8" w16cid:durableId="2073430586">
    <w:abstractNumId w:val="14"/>
  </w:num>
  <w:num w:numId="9" w16cid:durableId="75134877">
    <w:abstractNumId w:val="11"/>
  </w:num>
  <w:num w:numId="10" w16cid:durableId="1508866191">
    <w:abstractNumId w:val="2"/>
  </w:num>
  <w:num w:numId="11" w16cid:durableId="776215298">
    <w:abstractNumId w:val="12"/>
  </w:num>
  <w:num w:numId="12" w16cid:durableId="1963683497">
    <w:abstractNumId w:val="13"/>
  </w:num>
  <w:num w:numId="13" w16cid:durableId="1530221175">
    <w:abstractNumId w:val="17"/>
  </w:num>
  <w:num w:numId="14" w16cid:durableId="1567456075">
    <w:abstractNumId w:val="10"/>
  </w:num>
  <w:num w:numId="15" w16cid:durableId="1474592640">
    <w:abstractNumId w:val="7"/>
  </w:num>
  <w:num w:numId="16" w16cid:durableId="1105348175">
    <w:abstractNumId w:val="0"/>
  </w:num>
  <w:num w:numId="17" w16cid:durableId="1777600571">
    <w:abstractNumId w:val="15"/>
  </w:num>
  <w:num w:numId="18" w16cid:durableId="1847598538">
    <w:abstractNumId w:val="19"/>
  </w:num>
  <w:num w:numId="19" w16cid:durableId="1097291043">
    <w:abstractNumId w:val="18"/>
  </w:num>
  <w:num w:numId="20" w16cid:durableId="2870121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665"/>
    <w:rsid w:val="000B1834"/>
    <w:rsid w:val="000B4AA5"/>
    <w:rsid w:val="000C3ED5"/>
    <w:rsid w:val="00111068"/>
    <w:rsid w:val="0013352C"/>
    <w:rsid w:val="002373EF"/>
    <w:rsid w:val="00364354"/>
    <w:rsid w:val="00372FCF"/>
    <w:rsid w:val="004205E4"/>
    <w:rsid w:val="00463EC2"/>
    <w:rsid w:val="00492BEF"/>
    <w:rsid w:val="004C60AB"/>
    <w:rsid w:val="005A7235"/>
    <w:rsid w:val="005D51E1"/>
    <w:rsid w:val="00735F34"/>
    <w:rsid w:val="007855B7"/>
    <w:rsid w:val="00794D80"/>
    <w:rsid w:val="008F4EE4"/>
    <w:rsid w:val="0092225A"/>
    <w:rsid w:val="00A0249F"/>
    <w:rsid w:val="00A577CE"/>
    <w:rsid w:val="00AF4477"/>
    <w:rsid w:val="00B270B9"/>
    <w:rsid w:val="00C56730"/>
    <w:rsid w:val="00CC1ADB"/>
    <w:rsid w:val="00CE1665"/>
    <w:rsid w:val="00E003FF"/>
    <w:rsid w:val="00E43350"/>
    <w:rsid w:val="00EE293F"/>
    <w:rsid w:val="00F00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D6552"/>
  <w15:chartTrackingRefBased/>
  <w15:docId w15:val="{CEC850AA-FFF5-0B44-A560-821FBB7F57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1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E1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E1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1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1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1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1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1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1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1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E1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E1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1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1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1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1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1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1665"/>
    <w:rPr>
      <w:rFonts w:eastAsiaTheme="majorEastAsia" w:cstheme="majorBidi"/>
      <w:color w:val="272727" w:themeColor="text1" w:themeTint="D8"/>
    </w:rPr>
  </w:style>
  <w:style w:type="paragraph" w:styleId="Title">
    <w:name w:val="Title"/>
    <w:basedOn w:val="Normal"/>
    <w:next w:val="Normal"/>
    <w:link w:val="TitleChar"/>
    <w:uiPriority w:val="10"/>
    <w:qFormat/>
    <w:rsid w:val="00CE1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1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1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1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1665"/>
    <w:pPr>
      <w:spacing w:before="160"/>
      <w:jc w:val="center"/>
    </w:pPr>
    <w:rPr>
      <w:i/>
      <w:iCs/>
      <w:color w:val="404040" w:themeColor="text1" w:themeTint="BF"/>
    </w:rPr>
  </w:style>
  <w:style w:type="character" w:customStyle="1" w:styleId="QuoteChar">
    <w:name w:val="Quote Char"/>
    <w:basedOn w:val="DefaultParagraphFont"/>
    <w:link w:val="Quote"/>
    <w:uiPriority w:val="29"/>
    <w:rsid w:val="00CE1665"/>
    <w:rPr>
      <w:i/>
      <w:iCs/>
      <w:color w:val="404040" w:themeColor="text1" w:themeTint="BF"/>
    </w:rPr>
  </w:style>
  <w:style w:type="paragraph" w:styleId="ListParagraph">
    <w:name w:val="List Paragraph"/>
    <w:basedOn w:val="Normal"/>
    <w:uiPriority w:val="34"/>
    <w:qFormat/>
    <w:rsid w:val="00CE1665"/>
    <w:pPr>
      <w:ind w:left="720"/>
      <w:contextualSpacing/>
    </w:pPr>
  </w:style>
  <w:style w:type="character" w:styleId="IntenseEmphasis">
    <w:name w:val="Intense Emphasis"/>
    <w:basedOn w:val="DefaultParagraphFont"/>
    <w:uiPriority w:val="21"/>
    <w:qFormat/>
    <w:rsid w:val="00CE1665"/>
    <w:rPr>
      <w:i/>
      <w:iCs/>
      <w:color w:val="0F4761" w:themeColor="accent1" w:themeShade="BF"/>
    </w:rPr>
  </w:style>
  <w:style w:type="paragraph" w:styleId="IntenseQuote">
    <w:name w:val="Intense Quote"/>
    <w:basedOn w:val="Normal"/>
    <w:next w:val="Normal"/>
    <w:link w:val="IntenseQuoteChar"/>
    <w:uiPriority w:val="30"/>
    <w:qFormat/>
    <w:rsid w:val="00CE1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1665"/>
    <w:rPr>
      <w:i/>
      <w:iCs/>
      <w:color w:val="0F4761" w:themeColor="accent1" w:themeShade="BF"/>
    </w:rPr>
  </w:style>
  <w:style w:type="character" w:styleId="IntenseReference">
    <w:name w:val="Intense Reference"/>
    <w:basedOn w:val="DefaultParagraphFont"/>
    <w:uiPriority w:val="32"/>
    <w:qFormat/>
    <w:rsid w:val="00CE1665"/>
    <w:rPr>
      <w:b/>
      <w:bCs/>
      <w:smallCaps/>
      <w:color w:val="0F4761" w:themeColor="accent1" w:themeShade="BF"/>
      <w:spacing w:val="5"/>
    </w:rPr>
  </w:style>
  <w:style w:type="paragraph" w:styleId="NormalWeb">
    <w:name w:val="Normal (Web)"/>
    <w:basedOn w:val="Normal"/>
    <w:uiPriority w:val="99"/>
    <w:semiHidden/>
    <w:unhideWhenUsed/>
    <w:rsid w:val="00CE16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E1665"/>
  </w:style>
  <w:style w:type="character" w:styleId="Emphasis">
    <w:name w:val="Emphasis"/>
    <w:basedOn w:val="DefaultParagraphFont"/>
    <w:uiPriority w:val="20"/>
    <w:qFormat/>
    <w:rsid w:val="00CE1665"/>
    <w:rPr>
      <w:i/>
      <w:iCs/>
    </w:rPr>
  </w:style>
  <w:style w:type="character" w:styleId="Strong">
    <w:name w:val="Strong"/>
    <w:basedOn w:val="DefaultParagraphFont"/>
    <w:uiPriority w:val="22"/>
    <w:qFormat/>
    <w:rsid w:val="00CE1665"/>
    <w:rPr>
      <w:b/>
      <w:bCs/>
    </w:rPr>
  </w:style>
  <w:style w:type="paragraph" w:styleId="TOCHeading">
    <w:name w:val="TOC Heading"/>
    <w:basedOn w:val="Heading1"/>
    <w:next w:val="Normal"/>
    <w:uiPriority w:val="39"/>
    <w:unhideWhenUsed/>
    <w:qFormat/>
    <w:rsid w:val="004205E4"/>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4205E4"/>
    <w:pPr>
      <w:spacing w:before="120" w:after="0"/>
      <w:ind w:left="240"/>
    </w:pPr>
    <w:rPr>
      <w:b/>
      <w:bCs/>
      <w:sz w:val="22"/>
      <w:szCs w:val="22"/>
    </w:rPr>
  </w:style>
  <w:style w:type="paragraph" w:styleId="TOC3">
    <w:name w:val="toc 3"/>
    <w:basedOn w:val="Normal"/>
    <w:next w:val="Normal"/>
    <w:autoRedefine/>
    <w:uiPriority w:val="39"/>
    <w:unhideWhenUsed/>
    <w:rsid w:val="004205E4"/>
    <w:pPr>
      <w:spacing w:after="0"/>
      <w:ind w:left="480"/>
    </w:pPr>
    <w:rPr>
      <w:sz w:val="20"/>
      <w:szCs w:val="20"/>
    </w:rPr>
  </w:style>
  <w:style w:type="character" w:styleId="Hyperlink">
    <w:name w:val="Hyperlink"/>
    <w:basedOn w:val="DefaultParagraphFont"/>
    <w:uiPriority w:val="99"/>
    <w:unhideWhenUsed/>
    <w:rsid w:val="004205E4"/>
    <w:rPr>
      <w:color w:val="467886" w:themeColor="hyperlink"/>
      <w:u w:val="single"/>
    </w:rPr>
  </w:style>
  <w:style w:type="paragraph" w:styleId="TOC1">
    <w:name w:val="toc 1"/>
    <w:basedOn w:val="Normal"/>
    <w:next w:val="Normal"/>
    <w:autoRedefine/>
    <w:uiPriority w:val="39"/>
    <w:unhideWhenUsed/>
    <w:rsid w:val="004205E4"/>
    <w:pPr>
      <w:spacing w:before="120" w:after="0"/>
    </w:pPr>
    <w:rPr>
      <w:b/>
      <w:bCs/>
      <w:i/>
      <w:iCs/>
    </w:rPr>
  </w:style>
  <w:style w:type="paragraph" w:styleId="TOC4">
    <w:name w:val="toc 4"/>
    <w:basedOn w:val="Normal"/>
    <w:next w:val="Normal"/>
    <w:autoRedefine/>
    <w:uiPriority w:val="39"/>
    <w:semiHidden/>
    <w:unhideWhenUsed/>
    <w:rsid w:val="004205E4"/>
    <w:pPr>
      <w:spacing w:after="0"/>
      <w:ind w:left="720"/>
    </w:pPr>
    <w:rPr>
      <w:sz w:val="20"/>
      <w:szCs w:val="20"/>
    </w:rPr>
  </w:style>
  <w:style w:type="paragraph" w:styleId="TOC5">
    <w:name w:val="toc 5"/>
    <w:basedOn w:val="Normal"/>
    <w:next w:val="Normal"/>
    <w:autoRedefine/>
    <w:uiPriority w:val="39"/>
    <w:semiHidden/>
    <w:unhideWhenUsed/>
    <w:rsid w:val="004205E4"/>
    <w:pPr>
      <w:spacing w:after="0"/>
      <w:ind w:left="960"/>
    </w:pPr>
    <w:rPr>
      <w:sz w:val="20"/>
      <w:szCs w:val="20"/>
    </w:rPr>
  </w:style>
  <w:style w:type="paragraph" w:styleId="TOC6">
    <w:name w:val="toc 6"/>
    <w:basedOn w:val="Normal"/>
    <w:next w:val="Normal"/>
    <w:autoRedefine/>
    <w:uiPriority w:val="39"/>
    <w:semiHidden/>
    <w:unhideWhenUsed/>
    <w:rsid w:val="004205E4"/>
    <w:pPr>
      <w:spacing w:after="0"/>
      <w:ind w:left="1200"/>
    </w:pPr>
    <w:rPr>
      <w:sz w:val="20"/>
      <w:szCs w:val="20"/>
    </w:rPr>
  </w:style>
  <w:style w:type="paragraph" w:styleId="TOC7">
    <w:name w:val="toc 7"/>
    <w:basedOn w:val="Normal"/>
    <w:next w:val="Normal"/>
    <w:autoRedefine/>
    <w:uiPriority w:val="39"/>
    <w:semiHidden/>
    <w:unhideWhenUsed/>
    <w:rsid w:val="004205E4"/>
    <w:pPr>
      <w:spacing w:after="0"/>
      <w:ind w:left="1440"/>
    </w:pPr>
    <w:rPr>
      <w:sz w:val="20"/>
      <w:szCs w:val="20"/>
    </w:rPr>
  </w:style>
  <w:style w:type="paragraph" w:styleId="TOC8">
    <w:name w:val="toc 8"/>
    <w:basedOn w:val="Normal"/>
    <w:next w:val="Normal"/>
    <w:autoRedefine/>
    <w:uiPriority w:val="39"/>
    <w:semiHidden/>
    <w:unhideWhenUsed/>
    <w:rsid w:val="004205E4"/>
    <w:pPr>
      <w:spacing w:after="0"/>
      <w:ind w:left="1680"/>
    </w:pPr>
    <w:rPr>
      <w:sz w:val="20"/>
      <w:szCs w:val="20"/>
    </w:rPr>
  </w:style>
  <w:style w:type="paragraph" w:styleId="TOC9">
    <w:name w:val="toc 9"/>
    <w:basedOn w:val="Normal"/>
    <w:next w:val="Normal"/>
    <w:autoRedefine/>
    <w:uiPriority w:val="39"/>
    <w:semiHidden/>
    <w:unhideWhenUsed/>
    <w:rsid w:val="004205E4"/>
    <w:pPr>
      <w:spacing w:after="0"/>
      <w:ind w:left="1920"/>
    </w:pPr>
    <w:rPr>
      <w:sz w:val="20"/>
      <w:szCs w:val="20"/>
    </w:rPr>
  </w:style>
  <w:style w:type="paragraph" w:styleId="Footer">
    <w:name w:val="footer"/>
    <w:basedOn w:val="Normal"/>
    <w:link w:val="FooterChar"/>
    <w:uiPriority w:val="99"/>
    <w:unhideWhenUsed/>
    <w:rsid w:val="00E433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350"/>
  </w:style>
  <w:style w:type="character" w:styleId="PageNumber">
    <w:name w:val="page number"/>
    <w:basedOn w:val="DefaultParagraphFont"/>
    <w:uiPriority w:val="99"/>
    <w:semiHidden/>
    <w:unhideWhenUsed/>
    <w:rsid w:val="00E43350"/>
  </w:style>
  <w:style w:type="paragraph" w:styleId="Header">
    <w:name w:val="header"/>
    <w:basedOn w:val="Normal"/>
    <w:link w:val="HeaderChar"/>
    <w:uiPriority w:val="99"/>
    <w:unhideWhenUsed/>
    <w:rsid w:val="00E433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350"/>
  </w:style>
  <w:style w:type="character" w:styleId="UnresolvedMention">
    <w:name w:val="Unresolved Mention"/>
    <w:basedOn w:val="DefaultParagraphFont"/>
    <w:uiPriority w:val="99"/>
    <w:semiHidden/>
    <w:unhideWhenUsed/>
    <w:rsid w:val="00B270B9"/>
    <w:rPr>
      <w:color w:val="605E5C"/>
      <w:shd w:val="clear" w:color="auto" w:fill="E1DFDD"/>
    </w:rPr>
  </w:style>
  <w:style w:type="paragraph" w:styleId="Bibliography">
    <w:name w:val="Bibliography"/>
    <w:basedOn w:val="Normal"/>
    <w:next w:val="Normal"/>
    <w:uiPriority w:val="37"/>
    <w:unhideWhenUsed/>
    <w:rsid w:val="00237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75424">
      <w:bodyDiv w:val="1"/>
      <w:marLeft w:val="0"/>
      <w:marRight w:val="0"/>
      <w:marTop w:val="0"/>
      <w:marBottom w:val="0"/>
      <w:divBdr>
        <w:top w:val="none" w:sz="0" w:space="0" w:color="auto"/>
        <w:left w:val="none" w:sz="0" w:space="0" w:color="auto"/>
        <w:bottom w:val="none" w:sz="0" w:space="0" w:color="auto"/>
        <w:right w:val="none" w:sz="0" w:space="0" w:color="auto"/>
      </w:divBdr>
    </w:div>
    <w:div w:id="6031150">
      <w:bodyDiv w:val="1"/>
      <w:marLeft w:val="0"/>
      <w:marRight w:val="0"/>
      <w:marTop w:val="0"/>
      <w:marBottom w:val="0"/>
      <w:divBdr>
        <w:top w:val="none" w:sz="0" w:space="0" w:color="auto"/>
        <w:left w:val="none" w:sz="0" w:space="0" w:color="auto"/>
        <w:bottom w:val="none" w:sz="0" w:space="0" w:color="auto"/>
        <w:right w:val="none" w:sz="0" w:space="0" w:color="auto"/>
      </w:divBdr>
    </w:div>
    <w:div w:id="6834566">
      <w:bodyDiv w:val="1"/>
      <w:marLeft w:val="0"/>
      <w:marRight w:val="0"/>
      <w:marTop w:val="0"/>
      <w:marBottom w:val="0"/>
      <w:divBdr>
        <w:top w:val="none" w:sz="0" w:space="0" w:color="auto"/>
        <w:left w:val="none" w:sz="0" w:space="0" w:color="auto"/>
        <w:bottom w:val="none" w:sz="0" w:space="0" w:color="auto"/>
        <w:right w:val="none" w:sz="0" w:space="0" w:color="auto"/>
      </w:divBdr>
    </w:div>
    <w:div w:id="10500638">
      <w:bodyDiv w:val="1"/>
      <w:marLeft w:val="0"/>
      <w:marRight w:val="0"/>
      <w:marTop w:val="0"/>
      <w:marBottom w:val="0"/>
      <w:divBdr>
        <w:top w:val="none" w:sz="0" w:space="0" w:color="auto"/>
        <w:left w:val="none" w:sz="0" w:space="0" w:color="auto"/>
        <w:bottom w:val="none" w:sz="0" w:space="0" w:color="auto"/>
        <w:right w:val="none" w:sz="0" w:space="0" w:color="auto"/>
      </w:divBdr>
    </w:div>
    <w:div w:id="28530965">
      <w:bodyDiv w:val="1"/>
      <w:marLeft w:val="0"/>
      <w:marRight w:val="0"/>
      <w:marTop w:val="0"/>
      <w:marBottom w:val="0"/>
      <w:divBdr>
        <w:top w:val="none" w:sz="0" w:space="0" w:color="auto"/>
        <w:left w:val="none" w:sz="0" w:space="0" w:color="auto"/>
        <w:bottom w:val="none" w:sz="0" w:space="0" w:color="auto"/>
        <w:right w:val="none" w:sz="0" w:space="0" w:color="auto"/>
      </w:divBdr>
    </w:div>
    <w:div w:id="32930349">
      <w:bodyDiv w:val="1"/>
      <w:marLeft w:val="0"/>
      <w:marRight w:val="0"/>
      <w:marTop w:val="0"/>
      <w:marBottom w:val="0"/>
      <w:divBdr>
        <w:top w:val="none" w:sz="0" w:space="0" w:color="auto"/>
        <w:left w:val="none" w:sz="0" w:space="0" w:color="auto"/>
        <w:bottom w:val="none" w:sz="0" w:space="0" w:color="auto"/>
        <w:right w:val="none" w:sz="0" w:space="0" w:color="auto"/>
      </w:divBdr>
    </w:div>
    <w:div w:id="39715018">
      <w:bodyDiv w:val="1"/>
      <w:marLeft w:val="0"/>
      <w:marRight w:val="0"/>
      <w:marTop w:val="0"/>
      <w:marBottom w:val="0"/>
      <w:divBdr>
        <w:top w:val="none" w:sz="0" w:space="0" w:color="auto"/>
        <w:left w:val="none" w:sz="0" w:space="0" w:color="auto"/>
        <w:bottom w:val="none" w:sz="0" w:space="0" w:color="auto"/>
        <w:right w:val="none" w:sz="0" w:space="0" w:color="auto"/>
      </w:divBdr>
    </w:div>
    <w:div w:id="43678062">
      <w:bodyDiv w:val="1"/>
      <w:marLeft w:val="0"/>
      <w:marRight w:val="0"/>
      <w:marTop w:val="0"/>
      <w:marBottom w:val="0"/>
      <w:divBdr>
        <w:top w:val="none" w:sz="0" w:space="0" w:color="auto"/>
        <w:left w:val="none" w:sz="0" w:space="0" w:color="auto"/>
        <w:bottom w:val="none" w:sz="0" w:space="0" w:color="auto"/>
        <w:right w:val="none" w:sz="0" w:space="0" w:color="auto"/>
      </w:divBdr>
    </w:div>
    <w:div w:id="47848595">
      <w:bodyDiv w:val="1"/>
      <w:marLeft w:val="0"/>
      <w:marRight w:val="0"/>
      <w:marTop w:val="0"/>
      <w:marBottom w:val="0"/>
      <w:divBdr>
        <w:top w:val="none" w:sz="0" w:space="0" w:color="auto"/>
        <w:left w:val="none" w:sz="0" w:space="0" w:color="auto"/>
        <w:bottom w:val="none" w:sz="0" w:space="0" w:color="auto"/>
        <w:right w:val="none" w:sz="0" w:space="0" w:color="auto"/>
      </w:divBdr>
    </w:div>
    <w:div w:id="48845958">
      <w:bodyDiv w:val="1"/>
      <w:marLeft w:val="0"/>
      <w:marRight w:val="0"/>
      <w:marTop w:val="0"/>
      <w:marBottom w:val="0"/>
      <w:divBdr>
        <w:top w:val="none" w:sz="0" w:space="0" w:color="auto"/>
        <w:left w:val="none" w:sz="0" w:space="0" w:color="auto"/>
        <w:bottom w:val="none" w:sz="0" w:space="0" w:color="auto"/>
        <w:right w:val="none" w:sz="0" w:space="0" w:color="auto"/>
      </w:divBdr>
    </w:div>
    <w:div w:id="57167982">
      <w:bodyDiv w:val="1"/>
      <w:marLeft w:val="0"/>
      <w:marRight w:val="0"/>
      <w:marTop w:val="0"/>
      <w:marBottom w:val="0"/>
      <w:divBdr>
        <w:top w:val="none" w:sz="0" w:space="0" w:color="auto"/>
        <w:left w:val="none" w:sz="0" w:space="0" w:color="auto"/>
        <w:bottom w:val="none" w:sz="0" w:space="0" w:color="auto"/>
        <w:right w:val="none" w:sz="0" w:space="0" w:color="auto"/>
      </w:divBdr>
    </w:div>
    <w:div w:id="81805738">
      <w:bodyDiv w:val="1"/>
      <w:marLeft w:val="0"/>
      <w:marRight w:val="0"/>
      <w:marTop w:val="0"/>
      <w:marBottom w:val="0"/>
      <w:divBdr>
        <w:top w:val="none" w:sz="0" w:space="0" w:color="auto"/>
        <w:left w:val="none" w:sz="0" w:space="0" w:color="auto"/>
        <w:bottom w:val="none" w:sz="0" w:space="0" w:color="auto"/>
        <w:right w:val="none" w:sz="0" w:space="0" w:color="auto"/>
      </w:divBdr>
    </w:div>
    <w:div w:id="82772465">
      <w:bodyDiv w:val="1"/>
      <w:marLeft w:val="0"/>
      <w:marRight w:val="0"/>
      <w:marTop w:val="0"/>
      <w:marBottom w:val="0"/>
      <w:divBdr>
        <w:top w:val="none" w:sz="0" w:space="0" w:color="auto"/>
        <w:left w:val="none" w:sz="0" w:space="0" w:color="auto"/>
        <w:bottom w:val="none" w:sz="0" w:space="0" w:color="auto"/>
        <w:right w:val="none" w:sz="0" w:space="0" w:color="auto"/>
      </w:divBdr>
    </w:div>
    <w:div w:id="92093480">
      <w:bodyDiv w:val="1"/>
      <w:marLeft w:val="0"/>
      <w:marRight w:val="0"/>
      <w:marTop w:val="0"/>
      <w:marBottom w:val="0"/>
      <w:divBdr>
        <w:top w:val="none" w:sz="0" w:space="0" w:color="auto"/>
        <w:left w:val="none" w:sz="0" w:space="0" w:color="auto"/>
        <w:bottom w:val="none" w:sz="0" w:space="0" w:color="auto"/>
        <w:right w:val="none" w:sz="0" w:space="0" w:color="auto"/>
      </w:divBdr>
    </w:div>
    <w:div w:id="92671821">
      <w:bodyDiv w:val="1"/>
      <w:marLeft w:val="0"/>
      <w:marRight w:val="0"/>
      <w:marTop w:val="0"/>
      <w:marBottom w:val="0"/>
      <w:divBdr>
        <w:top w:val="none" w:sz="0" w:space="0" w:color="auto"/>
        <w:left w:val="none" w:sz="0" w:space="0" w:color="auto"/>
        <w:bottom w:val="none" w:sz="0" w:space="0" w:color="auto"/>
        <w:right w:val="none" w:sz="0" w:space="0" w:color="auto"/>
      </w:divBdr>
    </w:div>
    <w:div w:id="102920820">
      <w:bodyDiv w:val="1"/>
      <w:marLeft w:val="0"/>
      <w:marRight w:val="0"/>
      <w:marTop w:val="0"/>
      <w:marBottom w:val="0"/>
      <w:divBdr>
        <w:top w:val="none" w:sz="0" w:space="0" w:color="auto"/>
        <w:left w:val="none" w:sz="0" w:space="0" w:color="auto"/>
        <w:bottom w:val="none" w:sz="0" w:space="0" w:color="auto"/>
        <w:right w:val="none" w:sz="0" w:space="0" w:color="auto"/>
      </w:divBdr>
    </w:div>
    <w:div w:id="104230362">
      <w:bodyDiv w:val="1"/>
      <w:marLeft w:val="0"/>
      <w:marRight w:val="0"/>
      <w:marTop w:val="0"/>
      <w:marBottom w:val="0"/>
      <w:divBdr>
        <w:top w:val="none" w:sz="0" w:space="0" w:color="auto"/>
        <w:left w:val="none" w:sz="0" w:space="0" w:color="auto"/>
        <w:bottom w:val="none" w:sz="0" w:space="0" w:color="auto"/>
        <w:right w:val="none" w:sz="0" w:space="0" w:color="auto"/>
      </w:divBdr>
    </w:div>
    <w:div w:id="107434381">
      <w:bodyDiv w:val="1"/>
      <w:marLeft w:val="0"/>
      <w:marRight w:val="0"/>
      <w:marTop w:val="0"/>
      <w:marBottom w:val="0"/>
      <w:divBdr>
        <w:top w:val="none" w:sz="0" w:space="0" w:color="auto"/>
        <w:left w:val="none" w:sz="0" w:space="0" w:color="auto"/>
        <w:bottom w:val="none" w:sz="0" w:space="0" w:color="auto"/>
        <w:right w:val="none" w:sz="0" w:space="0" w:color="auto"/>
      </w:divBdr>
    </w:div>
    <w:div w:id="145905025">
      <w:bodyDiv w:val="1"/>
      <w:marLeft w:val="0"/>
      <w:marRight w:val="0"/>
      <w:marTop w:val="0"/>
      <w:marBottom w:val="0"/>
      <w:divBdr>
        <w:top w:val="none" w:sz="0" w:space="0" w:color="auto"/>
        <w:left w:val="none" w:sz="0" w:space="0" w:color="auto"/>
        <w:bottom w:val="none" w:sz="0" w:space="0" w:color="auto"/>
        <w:right w:val="none" w:sz="0" w:space="0" w:color="auto"/>
      </w:divBdr>
    </w:div>
    <w:div w:id="149029312">
      <w:bodyDiv w:val="1"/>
      <w:marLeft w:val="0"/>
      <w:marRight w:val="0"/>
      <w:marTop w:val="0"/>
      <w:marBottom w:val="0"/>
      <w:divBdr>
        <w:top w:val="none" w:sz="0" w:space="0" w:color="auto"/>
        <w:left w:val="none" w:sz="0" w:space="0" w:color="auto"/>
        <w:bottom w:val="none" w:sz="0" w:space="0" w:color="auto"/>
        <w:right w:val="none" w:sz="0" w:space="0" w:color="auto"/>
      </w:divBdr>
    </w:div>
    <w:div w:id="157968835">
      <w:bodyDiv w:val="1"/>
      <w:marLeft w:val="0"/>
      <w:marRight w:val="0"/>
      <w:marTop w:val="0"/>
      <w:marBottom w:val="0"/>
      <w:divBdr>
        <w:top w:val="none" w:sz="0" w:space="0" w:color="auto"/>
        <w:left w:val="none" w:sz="0" w:space="0" w:color="auto"/>
        <w:bottom w:val="none" w:sz="0" w:space="0" w:color="auto"/>
        <w:right w:val="none" w:sz="0" w:space="0" w:color="auto"/>
      </w:divBdr>
    </w:div>
    <w:div w:id="168833141">
      <w:bodyDiv w:val="1"/>
      <w:marLeft w:val="0"/>
      <w:marRight w:val="0"/>
      <w:marTop w:val="0"/>
      <w:marBottom w:val="0"/>
      <w:divBdr>
        <w:top w:val="none" w:sz="0" w:space="0" w:color="auto"/>
        <w:left w:val="none" w:sz="0" w:space="0" w:color="auto"/>
        <w:bottom w:val="none" w:sz="0" w:space="0" w:color="auto"/>
        <w:right w:val="none" w:sz="0" w:space="0" w:color="auto"/>
      </w:divBdr>
    </w:div>
    <w:div w:id="177820130">
      <w:bodyDiv w:val="1"/>
      <w:marLeft w:val="0"/>
      <w:marRight w:val="0"/>
      <w:marTop w:val="0"/>
      <w:marBottom w:val="0"/>
      <w:divBdr>
        <w:top w:val="none" w:sz="0" w:space="0" w:color="auto"/>
        <w:left w:val="none" w:sz="0" w:space="0" w:color="auto"/>
        <w:bottom w:val="none" w:sz="0" w:space="0" w:color="auto"/>
        <w:right w:val="none" w:sz="0" w:space="0" w:color="auto"/>
      </w:divBdr>
    </w:div>
    <w:div w:id="181938165">
      <w:bodyDiv w:val="1"/>
      <w:marLeft w:val="0"/>
      <w:marRight w:val="0"/>
      <w:marTop w:val="0"/>
      <w:marBottom w:val="0"/>
      <w:divBdr>
        <w:top w:val="none" w:sz="0" w:space="0" w:color="auto"/>
        <w:left w:val="none" w:sz="0" w:space="0" w:color="auto"/>
        <w:bottom w:val="none" w:sz="0" w:space="0" w:color="auto"/>
        <w:right w:val="none" w:sz="0" w:space="0" w:color="auto"/>
      </w:divBdr>
    </w:div>
    <w:div w:id="182089175">
      <w:bodyDiv w:val="1"/>
      <w:marLeft w:val="0"/>
      <w:marRight w:val="0"/>
      <w:marTop w:val="0"/>
      <w:marBottom w:val="0"/>
      <w:divBdr>
        <w:top w:val="none" w:sz="0" w:space="0" w:color="auto"/>
        <w:left w:val="none" w:sz="0" w:space="0" w:color="auto"/>
        <w:bottom w:val="none" w:sz="0" w:space="0" w:color="auto"/>
        <w:right w:val="none" w:sz="0" w:space="0" w:color="auto"/>
      </w:divBdr>
    </w:div>
    <w:div w:id="186918901">
      <w:bodyDiv w:val="1"/>
      <w:marLeft w:val="0"/>
      <w:marRight w:val="0"/>
      <w:marTop w:val="0"/>
      <w:marBottom w:val="0"/>
      <w:divBdr>
        <w:top w:val="none" w:sz="0" w:space="0" w:color="auto"/>
        <w:left w:val="none" w:sz="0" w:space="0" w:color="auto"/>
        <w:bottom w:val="none" w:sz="0" w:space="0" w:color="auto"/>
        <w:right w:val="none" w:sz="0" w:space="0" w:color="auto"/>
      </w:divBdr>
    </w:div>
    <w:div w:id="195236253">
      <w:bodyDiv w:val="1"/>
      <w:marLeft w:val="0"/>
      <w:marRight w:val="0"/>
      <w:marTop w:val="0"/>
      <w:marBottom w:val="0"/>
      <w:divBdr>
        <w:top w:val="none" w:sz="0" w:space="0" w:color="auto"/>
        <w:left w:val="none" w:sz="0" w:space="0" w:color="auto"/>
        <w:bottom w:val="none" w:sz="0" w:space="0" w:color="auto"/>
        <w:right w:val="none" w:sz="0" w:space="0" w:color="auto"/>
      </w:divBdr>
    </w:div>
    <w:div w:id="205332336">
      <w:bodyDiv w:val="1"/>
      <w:marLeft w:val="0"/>
      <w:marRight w:val="0"/>
      <w:marTop w:val="0"/>
      <w:marBottom w:val="0"/>
      <w:divBdr>
        <w:top w:val="none" w:sz="0" w:space="0" w:color="auto"/>
        <w:left w:val="none" w:sz="0" w:space="0" w:color="auto"/>
        <w:bottom w:val="none" w:sz="0" w:space="0" w:color="auto"/>
        <w:right w:val="none" w:sz="0" w:space="0" w:color="auto"/>
      </w:divBdr>
    </w:div>
    <w:div w:id="228617493">
      <w:bodyDiv w:val="1"/>
      <w:marLeft w:val="0"/>
      <w:marRight w:val="0"/>
      <w:marTop w:val="0"/>
      <w:marBottom w:val="0"/>
      <w:divBdr>
        <w:top w:val="none" w:sz="0" w:space="0" w:color="auto"/>
        <w:left w:val="none" w:sz="0" w:space="0" w:color="auto"/>
        <w:bottom w:val="none" w:sz="0" w:space="0" w:color="auto"/>
        <w:right w:val="none" w:sz="0" w:space="0" w:color="auto"/>
      </w:divBdr>
    </w:div>
    <w:div w:id="229538857">
      <w:bodyDiv w:val="1"/>
      <w:marLeft w:val="0"/>
      <w:marRight w:val="0"/>
      <w:marTop w:val="0"/>
      <w:marBottom w:val="0"/>
      <w:divBdr>
        <w:top w:val="none" w:sz="0" w:space="0" w:color="auto"/>
        <w:left w:val="none" w:sz="0" w:space="0" w:color="auto"/>
        <w:bottom w:val="none" w:sz="0" w:space="0" w:color="auto"/>
        <w:right w:val="none" w:sz="0" w:space="0" w:color="auto"/>
      </w:divBdr>
    </w:div>
    <w:div w:id="230965350">
      <w:bodyDiv w:val="1"/>
      <w:marLeft w:val="0"/>
      <w:marRight w:val="0"/>
      <w:marTop w:val="0"/>
      <w:marBottom w:val="0"/>
      <w:divBdr>
        <w:top w:val="none" w:sz="0" w:space="0" w:color="auto"/>
        <w:left w:val="none" w:sz="0" w:space="0" w:color="auto"/>
        <w:bottom w:val="none" w:sz="0" w:space="0" w:color="auto"/>
        <w:right w:val="none" w:sz="0" w:space="0" w:color="auto"/>
      </w:divBdr>
    </w:div>
    <w:div w:id="235014880">
      <w:bodyDiv w:val="1"/>
      <w:marLeft w:val="0"/>
      <w:marRight w:val="0"/>
      <w:marTop w:val="0"/>
      <w:marBottom w:val="0"/>
      <w:divBdr>
        <w:top w:val="none" w:sz="0" w:space="0" w:color="auto"/>
        <w:left w:val="none" w:sz="0" w:space="0" w:color="auto"/>
        <w:bottom w:val="none" w:sz="0" w:space="0" w:color="auto"/>
        <w:right w:val="none" w:sz="0" w:space="0" w:color="auto"/>
      </w:divBdr>
    </w:div>
    <w:div w:id="244265515">
      <w:bodyDiv w:val="1"/>
      <w:marLeft w:val="0"/>
      <w:marRight w:val="0"/>
      <w:marTop w:val="0"/>
      <w:marBottom w:val="0"/>
      <w:divBdr>
        <w:top w:val="none" w:sz="0" w:space="0" w:color="auto"/>
        <w:left w:val="none" w:sz="0" w:space="0" w:color="auto"/>
        <w:bottom w:val="none" w:sz="0" w:space="0" w:color="auto"/>
        <w:right w:val="none" w:sz="0" w:space="0" w:color="auto"/>
      </w:divBdr>
    </w:div>
    <w:div w:id="259720498">
      <w:bodyDiv w:val="1"/>
      <w:marLeft w:val="0"/>
      <w:marRight w:val="0"/>
      <w:marTop w:val="0"/>
      <w:marBottom w:val="0"/>
      <w:divBdr>
        <w:top w:val="none" w:sz="0" w:space="0" w:color="auto"/>
        <w:left w:val="none" w:sz="0" w:space="0" w:color="auto"/>
        <w:bottom w:val="none" w:sz="0" w:space="0" w:color="auto"/>
        <w:right w:val="none" w:sz="0" w:space="0" w:color="auto"/>
      </w:divBdr>
    </w:div>
    <w:div w:id="264773238">
      <w:bodyDiv w:val="1"/>
      <w:marLeft w:val="0"/>
      <w:marRight w:val="0"/>
      <w:marTop w:val="0"/>
      <w:marBottom w:val="0"/>
      <w:divBdr>
        <w:top w:val="none" w:sz="0" w:space="0" w:color="auto"/>
        <w:left w:val="none" w:sz="0" w:space="0" w:color="auto"/>
        <w:bottom w:val="none" w:sz="0" w:space="0" w:color="auto"/>
        <w:right w:val="none" w:sz="0" w:space="0" w:color="auto"/>
      </w:divBdr>
    </w:div>
    <w:div w:id="265315280">
      <w:bodyDiv w:val="1"/>
      <w:marLeft w:val="0"/>
      <w:marRight w:val="0"/>
      <w:marTop w:val="0"/>
      <w:marBottom w:val="0"/>
      <w:divBdr>
        <w:top w:val="none" w:sz="0" w:space="0" w:color="auto"/>
        <w:left w:val="none" w:sz="0" w:space="0" w:color="auto"/>
        <w:bottom w:val="none" w:sz="0" w:space="0" w:color="auto"/>
        <w:right w:val="none" w:sz="0" w:space="0" w:color="auto"/>
      </w:divBdr>
    </w:div>
    <w:div w:id="265426024">
      <w:bodyDiv w:val="1"/>
      <w:marLeft w:val="0"/>
      <w:marRight w:val="0"/>
      <w:marTop w:val="0"/>
      <w:marBottom w:val="0"/>
      <w:divBdr>
        <w:top w:val="none" w:sz="0" w:space="0" w:color="auto"/>
        <w:left w:val="none" w:sz="0" w:space="0" w:color="auto"/>
        <w:bottom w:val="none" w:sz="0" w:space="0" w:color="auto"/>
        <w:right w:val="none" w:sz="0" w:space="0" w:color="auto"/>
      </w:divBdr>
    </w:div>
    <w:div w:id="270557153">
      <w:bodyDiv w:val="1"/>
      <w:marLeft w:val="0"/>
      <w:marRight w:val="0"/>
      <w:marTop w:val="0"/>
      <w:marBottom w:val="0"/>
      <w:divBdr>
        <w:top w:val="none" w:sz="0" w:space="0" w:color="auto"/>
        <w:left w:val="none" w:sz="0" w:space="0" w:color="auto"/>
        <w:bottom w:val="none" w:sz="0" w:space="0" w:color="auto"/>
        <w:right w:val="none" w:sz="0" w:space="0" w:color="auto"/>
      </w:divBdr>
    </w:div>
    <w:div w:id="275254128">
      <w:bodyDiv w:val="1"/>
      <w:marLeft w:val="0"/>
      <w:marRight w:val="0"/>
      <w:marTop w:val="0"/>
      <w:marBottom w:val="0"/>
      <w:divBdr>
        <w:top w:val="none" w:sz="0" w:space="0" w:color="auto"/>
        <w:left w:val="none" w:sz="0" w:space="0" w:color="auto"/>
        <w:bottom w:val="none" w:sz="0" w:space="0" w:color="auto"/>
        <w:right w:val="none" w:sz="0" w:space="0" w:color="auto"/>
      </w:divBdr>
    </w:div>
    <w:div w:id="280377854">
      <w:bodyDiv w:val="1"/>
      <w:marLeft w:val="0"/>
      <w:marRight w:val="0"/>
      <w:marTop w:val="0"/>
      <w:marBottom w:val="0"/>
      <w:divBdr>
        <w:top w:val="none" w:sz="0" w:space="0" w:color="auto"/>
        <w:left w:val="none" w:sz="0" w:space="0" w:color="auto"/>
        <w:bottom w:val="none" w:sz="0" w:space="0" w:color="auto"/>
        <w:right w:val="none" w:sz="0" w:space="0" w:color="auto"/>
      </w:divBdr>
    </w:div>
    <w:div w:id="288555486">
      <w:bodyDiv w:val="1"/>
      <w:marLeft w:val="0"/>
      <w:marRight w:val="0"/>
      <w:marTop w:val="0"/>
      <w:marBottom w:val="0"/>
      <w:divBdr>
        <w:top w:val="none" w:sz="0" w:space="0" w:color="auto"/>
        <w:left w:val="none" w:sz="0" w:space="0" w:color="auto"/>
        <w:bottom w:val="none" w:sz="0" w:space="0" w:color="auto"/>
        <w:right w:val="none" w:sz="0" w:space="0" w:color="auto"/>
      </w:divBdr>
    </w:div>
    <w:div w:id="299116392">
      <w:bodyDiv w:val="1"/>
      <w:marLeft w:val="0"/>
      <w:marRight w:val="0"/>
      <w:marTop w:val="0"/>
      <w:marBottom w:val="0"/>
      <w:divBdr>
        <w:top w:val="none" w:sz="0" w:space="0" w:color="auto"/>
        <w:left w:val="none" w:sz="0" w:space="0" w:color="auto"/>
        <w:bottom w:val="none" w:sz="0" w:space="0" w:color="auto"/>
        <w:right w:val="none" w:sz="0" w:space="0" w:color="auto"/>
      </w:divBdr>
    </w:div>
    <w:div w:id="313141925">
      <w:bodyDiv w:val="1"/>
      <w:marLeft w:val="0"/>
      <w:marRight w:val="0"/>
      <w:marTop w:val="0"/>
      <w:marBottom w:val="0"/>
      <w:divBdr>
        <w:top w:val="none" w:sz="0" w:space="0" w:color="auto"/>
        <w:left w:val="none" w:sz="0" w:space="0" w:color="auto"/>
        <w:bottom w:val="none" w:sz="0" w:space="0" w:color="auto"/>
        <w:right w:val="none" w:sz="0" w:space="0" w:color="auto"/>
      </w:divBdr>
    </w:div>
    <w:div w:id="322660527">
      <w:bodyDiv w:val="1"/>
      <w:marLeft w:val="0"/>
      <w:marRight w:val="0"/>
      <w:marTop w:val="0"/>
      <w:marBottom w:val="0"/>
      <w:divBdr>
        <w:top w:val="none" w:sz="0" w:space="0" w:color="auto"/>
        <w:left w:val="none" w:sz="0" w:space="0" w:color="auto"/>
        <w:bottom w:val="none" w:sz="0" w:space="0" w:color="auto"/>
        <w:right w:val="none" w:sz="0" w:space="0" w:color="auto"/>
      </w:divBdr>
    </w:div>
    <w:div w:id="323551683">
      <w:bodyDiv w:val="1"/>
      <w:marLeft w:val="0"/>
      <w:marRight w:val="0"/>
      <w:marTop w:val="0"/>
      <w:marBottom w:val="0"/>
      <w:divBdr>
        <w:top w:val="none" w:sz="0" w:space="0" w:color="auto"/>
        <w:left w:val="none" w:sz="0" w:space="0" w:color="auto"/>
        <w:bottom w:val="none" w:sz="0" w:space="0" w:color="auto"/>
        <w:right w:val="none" w:sz="0" w:space="0" w:color="auto"/>
      </w:divBdr>
    </w:div>
    <w:div w:id="328335876">
      <w:bodyDiv w:val="1"/>
      <w:marLeft w:val="0"/>
      <w:marRight w:val="0"/>
      <w:marTop w:val="0"/>
      <w:marBottom w:val="0"/>
      <w:divBdr>
        <w:top w:val="none" w:sz="0" w:space="0" w:color="auto"/>
        <w:left w:val="none" w:sz="0" w:space="0" w:color="auto"/>
        <w:bottom w:val="none" w:sz="0" w:space="0" w:color="auto"/>
        <w:right w:val="none" w:sz="0" w:space="0" w:color="auto"/>
      </w:divBdr>
    </w:div>
    <w:div w:id="348988924">
      <w:bodyDiv w:val="1"/>
      <w:marLeft w:val="0"/>
      <w:marRight w:val="0"/>
      <w:marTop w:val="0"/>
      <w:marBottom w:val="0"/>
      <w:divBdr>
        <w:top w:val="none" w:sz="0" w:space="0" w:color="auto"/>
        <w:left w:val="none" w:sz="0" w:space="0" w:color="auto"/>
        <w:bottom w:val="none" w:sz="0" w:space="0" w:color="auto"/>
        <w:right w:val="none" w:sz="0" w:space="0" w:color="auto"/>
      </w:divBdr>
    </w:div>
    <w:div w:id="364447381">
      <w:bodyDiv w:val="1"/>
      <w:marLeft w:val="0"/>
      <w:marRight w:val="0"/>
      <w:marTop w:val="0"/>
      <w:marBottom w:val="0"/>
      <w:divBdr>
        <w:top w:val="none" w:sz="0" w:space="0" w:color="auto"/>
        <w:left w:val="none" w:sz="0" w:space="0" w:color="auto"/>
        <w:bottom w:val="none" w:sz="0" w:space="0" w:color="auto"/>
        <w:right w:val="none" w:sz="0" w:space="0" w:color="auto"/>
      </w:divBdr>
    </w:div>
    <w:div w:id="364913404">
      <w:bodyDiv w:val="1"/>
      <w:marLeft w:val="0"/>
      <w:marRight w:val="0"/>
      <w:marTop w:val="0"/>
      <w:marBottom w:val="0"/>
      <w:divBdr>
        <w:top w:val="none" w:sz="0" w:space="0" w:color="auto"/>
        <w:left w:val="none" w:sz="0" w:space="0" w:color="auto"/>
        <w:bottom w:val="none" w:sz="0" w:space="0" w:color="auto"/>
        <w:right w:val="none" w:sz="0" w:space="0" w:color="auto"/>
      </w:divBdr>
    </w:div>
    <w:div w:id="368729305">
      <w:bodyDiv w:val="1"/>
      <w:marLeft w:val="0"/>
      <w:marRight w:val="0"/>
      <w:marTop w:val="0"/>
      <w:marBottom w:val="0"/>
      <w:divBdr>
        <w:top w:val="none" w:sz="0" w:space="0" w:color="auto"/>
        <w:left w:val="none" w:sz="0" w:space="0" w:color="auto"/>
        <w:bottom w:val="none" w:sz="0" w:space="0" w:color="auto"/>
        <w:right w:val="none" w:sz="0" w:space="0" w:color="auto"/>
      </w:divBdr>
    </w:div>
    <w:div w:id="374892022">
      <w:bodyDiv w:val="1"/>
      <w:marLeft w:val="0"/>
      <w:marRight w:val="0"/>
      <w:marTop w:val="0"/>
      <w:marBottom w:val="0"/>
      <w:divBdr>
        <w:top w:val="none" w:sz="0" w:space="0" w:color="auto"/>
        <w:left w:val="none" w:sz="0" w:space="0" w:color="auto"/>
        <w:bottom w:val="none" w:sz="0" w:space="0" w:color="auto"/>
        <w:right w:val="none" w:sz="0" w:space="0" w:color="auto"/>
      </w:divBdr>
    </w:div>
    <w:div w:id="384255024">
      <w:bodyDiv w:val="1"/>
      <w:marLeft w:val="0"/>
      <w:marRight w:val="0"/>
      <w:marTop w:val="0"/>
      <w:marBottom w:val="0"/>
      <w:divBdr>
        <w:top w:val="none" w:sz="0" w:space="0" w:color="auto"/>
        <w:left w:val="none" w:sz="0" w:space="0" w:color="auto"/>
        <w:bottom w:val="none" w:sz="0" w:space="0" w:color="auto"/>
        <w:right w:val="none" w:sz="0" w:space="0" w:color="auto"/>
      </w:divBdr>
    </w:div>
    <w:div w:id="397872908">
      <w:bodyDiv w:val="1"/>
      <w:marLeft w:val="0"/>
      <w:marRight w:val="0"/>
      <w:marTop w:val="0"/>
      <w:marBottom w:val="0"/>
      <w:divBdr>
        <w:top w:val="none" w:sz="0" w:space="0" w:color="auto"/>
        <w:left w:val="none" w:sz="0" w:space="0" w:color="auto"/>
        <w:bottom w:val="none" w:sz="0" w:space="0" w:color="auto"/>
        <w:right w:val="none" w:sz="0" w:space="0" w:color="auto"/>
      </w:divBdr>
    </w:div>
    <w:div w:id="402605658">
      <w:bodyDiv w:val="1"/>
      <w:marLeft w:val="0"/>
      <w:marRight w:val="0"/>
      <w:marTop w:val="0"/>
      <w:marBottom w:val="0"/>
      <w:divBdr>
        <w:top w:val="none" w:sz="0" w:space="0" w:color="auto"/>
        <w:left w:val="none" w:sz="0" w:space="0" w:color="auto"/>
        <w:bottom w:val="none" w:sz="0" w:space="0" w:color="auto"/>
        <w:right w:val="none" w:sz="0" w:space="0" w:color="auto"/>
      </w:divBdr>
    </w:div>
    <w:div w:id="404379570">
      <w:bodyDiv w:val="1"/>
      <w:marLeft w:val="0"/>
      <w:marRight w:val="0"/>
      <w:marTop w:val="0"/>
      <w:marBottom w:val="0"/>
      <w:divBdr>
        <w:top w:val="none" w:sz="0" w:space="0" w:color="auto"/>
        <w:left w:val="none" w:sz="0" w:space="0" w:color="auto"/>
        <w:bottom w:val="none" w:sz="0" w:space="0" w:color="auto"/>
        <w:right w:val="none" w:sz="0" w:space="0" w:color="auto"/>
      </w:divBdr>
    </w:div>
    <w:div w:id="446851649">
      <w:bodyDiv w:val="1"/>
      <w:marLeft w:val="0"/>
      <w:marRight w:val="0"/>
      <w:marTop w:val="0"/>
      <w:marBottom w:val="0"/>
      <w:divBdr>
        <w:top w:val="none" w:sz="0" w:space="0" w:color="auto"/>
        <w:left w:val="none" w:sz="0" w:space="0" w:color="auto"/>
        <w:bottom w:val="none" w:sz="0" w:space="0" w:color="auto"/>
        <w:right w:val="none" w:sz="0" w:space="0" w:color="auto"/>
      </w:divBdr>
    </w:div>
    <w:div w:id="476804973">
      <w:bodyDiv w:val="1"/>
      <w:marLeft w:val="0"/>
      <w:marRight w:val="0"/>
      <w:marTop w:val="0"/>
      <w:marBottom w:val="0"/>
      <w:divBdr>
        <w:top w:val="none" w:sz="0" w:space="0" w:color="auto"/>
        <w:left w:val="none" w:sz="0" w:space="0" w:color="auto"/>
        <w:bottom w:val="none" w:sz="0" w:space="0" w:color="auto"/>
        <w:right w:val="none" w:sz="0" w:space="0" w:color="auto"/>
      </w:divBdr>
    </w:div>
    <w:div w:id="480007836">
      <w:bodyDiv w:val="1"/>
      <w:marLeft w:val="0"/>
      <w:marRight w:val="0"/>
      <w:marTop w:val="0"/>
      <w:marBottom w:val="0"/>
      <w:divBdr>
        <w:top w:val="none" w:sz="0" w:space="0" w:color="auto"/>
        <w:left w:val="none" w:sz="0" w:space="0" w:color="auto"/>
        <w:bottom w:val="none" w:sz="0" w:space="0" w:color="auto"/>
        <w:right w:val="none" w:sz="0" w:space="0" w:color="auto"/>
      </w:divBdr>
    </w:div>
    <w:div w:id="482235209">
      <w:bodyDiv w:val="1"/>
      <w:marLeft w:val="0"/>
      <w:marRight w:val="0"/>
      <w:marTop w:val="0"/>
      <w:marBottom w:val="0"/>
      <w:divBdr>
        <w:top w:val="none" w:sz="0" w:space="0" w:color="auto"/>
        <w:left w:val="none" w:sz="0" w:space="0" w:color="auto"/>
        <w:bottom w:val="none" w:sz="0" w:space="0" w:color="auto"/>
        <w:right w:val="none" w:sz="0" w:space="0" w:color="auto"/>
      </w:divBdr>
    </w:div>
    <w:div w:id="493647745">
      <w:bodyDiv w:val="1"/>
      <w:marLeft w:val="0"/>
      <w:marRight w:val="0"/>
      <w:marTop w:val="0"/>
      <w:marBottom w:val="0"/>
      <w:divBdr>
        <w:top w:val="none" w:sz="0" w:space="0" w:color="auto"/>
        <w:left w:val="none" w:sz="0" w:space="0" w:color="auto"/>
        <w:bottom w:val="none" w:sz="0" w:space="0" w:color="auto"/>
        <w:right w:val="none" w:sz="0" w:space="0" w:color="auto"/>
      </w:divBdr>
    </w:div>
    <w:div w:id="496919161">
      <w:bodyDiv w:val="1"/>
      <w:marLeft w:val="0"/>
      <w:marRight w:val="0"/>
      <w:marTop w:val="0"/>
      <w:marBottom w:val="0"/>
      <w:divBdr>
        <w:top w:val="none" w:sz="0" w:space="0" w:color="auto"/>
        <w:left w:val="none" w:sz="0" w:space="0" w:color="auto"/>
        <w:bottom w:val="none" w:sz="0" w:space="0" w:color="auto"/>
        <w:right w:val="none" w:sz="0" w:space="0" w:color="auto"/>
      </w:divBdr>
    </w:div>
    <w:div w:id="502010525">
      <w:bodyDiv w:val="1"/>
      <w:marLeft w:val="0"/>
      <w:marRight w:val="0"/>
      <w:marTop w:val="0"/>
      <w:marBottom w:val="0"/>
      <w:divBdr>
        <w:top w:val="none" w:sz="0" w:space="0" w:color="auto"/>
        <w:left w:val="none" w:sz="0" w:space="0" w:color="auto"/>
        <w:bottom w:val="none" w:sz="0" w:space="0" w:color="auto"/>
        <w:right w:val="none" w:sz="0" w:space="0" w:color="auto"/>
      </w:divBdr>
    </w:div>
    <w:div w:id="502624581">
      <w:bodyDiv w:val="1"/>
      <w:marLeft w:val="0"/>
      <w:marRight w:val="0"/>
      <w:marTop w:val="0"/>
      <w:marBottom w:val="0"/>
      <w:divBdr>
        <w:top w:val="none" w:sz="0" w:space="0" w:color="auto"/>
        <w:left w:val="none" w:sz="0" w:space="0" w:color="auto"/>
        <w:bottom w:val="none" w:sz="0" w:space="0" w:color="auto"/>
        <w:right w:val="none" w:sz="0" w:space="0" w:color="auto"/>
      </w:divBdr>
    </w:div>
    <w:div w:id="502820908">
      <w:bodyDiv w:val="1"/>
      <w:marLeft w:val="0"/>
      <w:marRight w:val="0"/>
      <w:marTop w:val="0"/>
      <w:marBottom w:val="0"/>
      <w:divBdr>
        <w:top w:val="none" w:sz="0" w:space="0" w:color="auto"/>
        <w:left w:val="none" w:sz="0" w:space="0" w:color="auto"/>
        <w:bottom w:val="none" w:sz="0" w:space="0" w:color="auto"/>
        <w:right w:val="none" w:sz="0" w:space="0" w:color="auto"/>
      </w:divBdr>
    </w:div>
    <w:div w:id="517038858">
      <w:bodyDiv w:val="1"/>
      <w:marLeft w:val="0"/>
      <w:marRight w:val="0"/>
      <w:marTop w:val="0"/>
      <w:marBottom w:val="0"/>
      <w:divBdr>
        <w:top w:val="none" w:sz="0" w:space="0" w:color="auto"/>
        <w:left w:val="none" w:sz="0" w:space="0" w:color="auto"/>
        <w:bottom w:val="none" w:sz="0" w:space="0" w:color="auto"/>
        <w:right w:val="none" w:sz="0" w:space="0" w:color="auto"/>
      </w:divBdr>
    </w:div>
    <w:div w:id="529294059">
      <w:bodyDiv w:val="1"/>
      <w:marLeft w:val="0"/>
      <w:marRight w:val="0"/>
      <w:marTop w:val="0"/>
      <w:marBottom w:val="0"/>
      <w:divBdr>
        <w:top w:val="none" w:sz="0" w:space="0" w:color="auto"/>
        <w:left w:val="none" w:sz="0" w:space="0" w:color="auto"/>
        <w:bottom w:val="none" w:sz="0" w:space="0" w:color="auto"/>
        <w:right w:val="none" w:sz="0" w:space="0" w:color="auto"/>
      </w:divBdr>
    </w:div>
    <w:div w:id="545290299">
      <w:bodyDiv w:val="1"/>
      <w:marLeft w:val="0"/>
      <w:marRight w:val="0"/>
      <w:marTop w:val="0"/>
      <w:marBottom w:val="0"/>
      <w:divBdr>
        <w:top w:val="none" w:sz="0" w:space="0" w:color="auto"/>
        <w:left w:val="none" w:sz="0" w:space="0" w:color="auto"/>
        <w:bottom w:val="none" w:sz="0" w:space="0" w:color="auto"/>
        <w:right w:val="none" w:sz="0" w:space="0" w:color="auto"/>
      </w:divBdr>
    </w:div>
    <w:div w:id="552935707">
      <w:bodyDiv w:val="1"/>
      <w:marLeft w:val="0"/>
      <w:marRight w:val="0"/>
      <w:marTop w:val="0"/>
      <w:marBottom w:val="0"/>
      <w:divBdr>
        <w:top w:val="none" w:sz="0" w:space="0" w:color="auto"/>
        <w:left w:val="none" w:sz="0" w:space="0" w:color="auto"/>
        <w:bottom w:val="none" w:sz="0" w:space="0" w:color="auto"/>
        <w:right w:val="none" w:sz="0" w:space="0" w:color="auto"/>
      </w:divBdr>
    </w:div>
    <w:div w:id="582033186">
      <w:bodyDiv w:val="1"/>
      <w:marLeft w:val="0"/>
      <w:marRight w:val="0"/>
      <w:marTop w:val="0"/>
      <w:marBottom w:val="0"/>
      <w:divBdr>
        <w:top w:val="none" w:sz="0" w:space="0" w:color="auto"/>
        <w:left w:val="none" w:sz="0" w:space="0" w:color="auto"/>
        <w:bottom w:val="none" w:sz="0" w:space="0" w:color="auto"/>
        <w:right w:val="none" w:sz="0" w:space="0" w:color="auto"/>
      </w:divBdr>
    </w:div>
    <w:div w:id="589003815">
      <w:bodyDiv w:val="1"/>
      <w:marLeft w:val="0"/>
      <w:marRight w:val="0"/>
      <w:marTop w:val="0"/>
      <w:marBottom w:val="0"/>
      <w:divBdr>
        <w:top w:val="none" w:sz="0" w:space="0" w:color="auto"/>
        <w:left w:val="none" w:sz="0" w:space="0" w:color="auto"/>
        <w:bottom w:val="none" w:sz="0" w:space="0" w:color="auto"/>
        <w:right w:val="none" w:sz="0" w:space="0" w:color="auto"/>
      </w:divBdr>
    </w:div>
    <w:div w:id="594704044">
      <w:bodyDiv w:val="1"/>
      <w:marLeft w:val="0"/>
      <w:marRight w:val="0"/>
      <w:marTop w:val="0"/>
      <w:marBottom w:val="0"/>
      <w:divBdr>
        <w:top w:val="none" w:sz="0" w:space="0" w:color="auto"/>
        <w:left w:val="none" w:sz="0" w:space="0" w:color="auto"/>
        <w:bottom w:val="none" w:sz="0" w:space="0" w:color="auto"/>
        <w:right w:val="none" w:sz="0" w:space="0" w:color="auto"/>
      </w:divBdr>
    </w:div>
    <w:div w:id="600719332">
      <w:bodyDiv w:val="1"/>
      <w:marLeft w:val="0"/>
      <w:marRight w:val="0"/>
      <w:marTop w:val="0"/>
      <w:marBottom w:val="0"/>
      <w:divBdr>
        <w:top w:val="none" w:sz="0" w:space="0" w:color="auto"/>
        <w:left w:val="none" w:sz="0" w:space="0" w:color="auto"/>
        <w:bottom w:val="none" w:sz="0" w:space="0" w:color="auto"/>
        <w:right w:val="none" w:sz="0" w:space="0" w:color="auto"/>
      </w:divBdr>
    </w:div>
    <w:div w:id="602304423">
      <w:bodyDiv w:val="1"/>
      <w:marLeft w:val="0"/>
      <w:marRight w:val="0"/>
      <w:marTop w:val="0"/>
      <w:marBottom w:val="0"/>
      <w:divBdr>
        <w:top w:val="none" w:sz="0" w:space="0" w:color="auto"/>
        <w:left w:val="none" w:sz="0" w:space="0" w:color="auto"/>
        <w:bottom w:val="none" w:sz="0" w:space="0" w:color="auto"/>
        <w:right w:val="none" w:sz="0" w:space="0" w:color="auto"/>
      </w:divBdr>
    </w:div>
    <w:div w:id="603148496">
      <w:bodyDiv w:val="1"/>
      <w:marLeft w:val="0"/>
      <w:marRight w:val="0"/>
      <w:marTop w:val="0"/>
      <w:marBottom w:val="0"/>
      <w:divBdr>
        <w:top w:val="none" w:sz="0" w:space="0" w:color="auto"/>
        <w:left w:val="none" w:sz="0" w:space="0" w:color="auto"/>
        <w:bottom w:val="none" w:sz="0" w:space="0" w:color="auto"/>
        <w:right w:val="none" w:sz="0" w:space="0" w:color="auto"/>
      </w:divBdr>
    </w:div>
    <w:div w:id="603538783">
      <w:bodyDiv w:val="1"/>
      <w:marLeft w:val="0"/>
      <w:marRight w:val="0"/>
      <w:marTop w:val="0"/>
      <w:marBottom w:val="0"/>
      <w:divBdr>
        <w:top w:val="none" w:sz="0" w:space="0" w:color="auto"/>
        <w:left w:val="none" w:sz="0" w:space="0" w:color="auto"/>
        <w:bottom w:val="none" w:sz="0" w:space="0" w:color="auto"/>
        <w:right w:val="none" w:sz="0" w:space="0" w:color="auto"/>
      </w:divBdr>
    </w:div>
    <w:div w:id="626200669">
      <w:bodyDiv w:val="1"/>
      <w:marLeft w:val="0"/>
      <w:marRight w:val="0"/>
      <w:marTop w:val="0"/>
      <w:marBottom w:val="0"/>
      <w:divBdr>
        <w:top w:val="none" w:sz="0" w:space="0" w:color="auto"/>
        <w:left w:val="none" w:sz="0" w:space="0" w:color="auto"/>
        <w:bottom w:val="none" w:sz="0" w:space="0" w:color="auto"/>
        <w:right w:val="none" w:sz="0" w:space="0" w:color="auto"/>
      </w:divBdr>
    </w:div>
    <w:div w:id="630785346">
      <w:bodyDiv w:val="1"/>
      <w:marLeft w:val="0"/>
      <w:marRight w:val="0"/>
      <w:marTop w:val="0"/>
      <w:marBottom w:val="0"/>
      <w:divBdr>
        <w:top w:val="none" w:sz="0" w:space="0" w:color="auto"/>
        <w:left w:val="none" w:sz="0" w:space="0" w:color="auto"/>
        <w:bottom w:val="none" w:sz="0" w:space="0" w:color="auto"/>
        <w:right w:val="none" w:sz="0" w:space="0" w:color="auto"/>
      </w:divBdr>
    </w:div>
    <w:div w:id="652101342">
      <w:bodyDiv w:val="1"/>
      <w:marLeft w:val="0"/>
      <w:marRight w:val="0"/>
      <w:marTop w:val="0"/>
      <w:marBottom w:val="0"/>
      <w:divBdr>
        <w:top w:val="none" w:sz="0" w:space="0" w:color="auto"/>
        <w:left w:val="none" w:sz="0" w:space="0" w:color="auto"/>
        <w:bottom w:val="none" w:sz="0" w:space="0" w:color="auto"/>
        <w:right w:val="none" w:sz="0" w:space="0" w:color="auto"/>
      </w:divBdr>
    </w:div>
    <w:div w:id="668825473">
      <w:bodyDiv w:val="1"/>
      <w:marLeft w:val="0"/>
      <w:marRight w:val="0"/>
      <w:marTop w:val="0"/>
      <w:marBottom w:val="0"/>
      <w:divBdr>
        <w:top w:val="none" w:sz="0" w:space="0" w:color="auto"/>
        <w:left w:val="none" w:sz="0" w:space="0" w:color="auto"/>
        <w:bottom w:val="none" w:sz="0" w:space="0" w:color="auto"/>
        <w:right w:val="none" w:sz="0" w:space="0" w:color="auto"/>
      </w:divBdr>
    </w:div>
    <w:div w:id="687411941">
      <w:bodyDiv w:val="1"/>
      <w:marLeft w:val="0"/>
      <w:marRight w:val="0"/>
      <w:marTop w:val="0"/>
      <w:marBottom w:val="0"/>
      <w:divBdr>
        <w:top w:val="none" w:sz="0" w:space="0" w:color="auto"/>
        <w:left w:val="none" w:sz="0" w:space="0" w:color="auto"/>
        <w:bottom w:val="none" w:sz="0" w:space="0" w:color="auto"/>
        <w:right w:val="none" w:sz="0" w:space="0" w:color="auto"/>
      </w:divBdr>
    </w:div>
    <w:div w:id="734203437">
      <w:bodyDiv w:val="1"/>
      <w:marLeft w:val="0"/>
      <w:marRight w:val="0"/>
      <w:marTop w:val="0"/>
      <w:marBottom w:val="0"/>
      <w:divBdr>
        <w:top w:val="none" w:sz="0" w:space="0" w:color="auto"/>
        <w:left w:val="none" w:sz="0" w:space="0" w:color="auto"/>
        <w:bottom w:val="none" w:sz="0" w:space="0" w:color="auto"/>
        <w:right w:val="none" w:sz="0" w:space="0" w:color="auto"/>
      </w:divBdr>
    </w:div>
    <w:div w:id="734938694">
      <w:bodyDiv w:val="1"/>
      <w:marLeft w:val="0"/>
      <w:marRight w:val="0"/>
      <w:marTop w:val="0"/>
      <w:marBottom w:val="0"/>
      <w:divBdr>
        <w:top w:val="none" w:sz="0" w:space="0" w:color="auto"/>
        <w:left w:val="none" w:sz="0" w:space="0" w:color="auto"/>
        <w:bottom w:val="none" w:sz="0" w:space="0" w:color="auto"/>
        <w:right w:val="none" w:sz="0" w:space="0" w:color="auto"/>
      </w:divBdr>
    </w:div>
    <w:div w:id="739671276">
      <w:bodyDiv w:val="1"/>
      <w:marLeft w:val="0"/>
      <w:marRight w:val="0"/>
      <w:marTop w:val="0"/>
      <w:marBottom w:val="0"/>
      <w:divBdr>
        <w:top w:val="none" w:sz="0" w:space="0" w:color="auto"/>
        <w:left w:val="none" w:sz="0" w:space="0" w:color="auto"/>
        <w:bottom w:val="none" w:sz="0" w:space="0" w:color="auto"/>
        <w:right w:val="none" w:sz="0" w:space="0" w:color="auto"/>
      </w:divBdr>
    </w:div>
    <w:div w:id="751662937">
      <w:bodyDiv w:val="1"/>
      <w:marLeft w:val="0"/>
      <w:marRight w:val="0"/>
      <w:marTop w:val="0"/>
      <w:marBottom w:val="0"/>
      <w:divBdr>
        <w:top w:val="none" w:sz="0" w:space="0" w:color="auto"/>
        <w:left w:val="none" w:sz="0" w:space="0" w:color="auto"/>
        <w:bottom w:val="none" w:sz="0" w:space="0" w:color="auto"/>
        <w:right w:val="none" w:sz="0" w:space="0" w:color="auto"/>
      </w:divBdr>
    </w:div>
    <w:div w:id="756904152">
      <w:bodyDiv w:val="1"/>
      <w:marLeft w:val="0"/>
      <w:marRight w:val="0"/>
      <w:marTop w:val="0"/>
      <w:marBottom w:val="0"/>
      <w:divBdr>
        <w:top w:val="none" w:sz="0" w:space="0" w:color="auto"/>
        <w:left w:val="none" w:sz="0" w:space="0" w:color="auto"/>
        <w:bottom w:val="none" w:sz="0" w:space="0" w:color="auto"/>
        <w:right w:val="none" w:sz="0" w:space="0" w:color="auto"/>
      </w:divBdr>
    </w:div>
    <w:div w:id="767121627">
      <w:bodyDiv w:val="1"/>
      <w:marLeft w:val="0"/>
      <w:marRight w:val="0"/>
      <w:marTop w:val="0"/>
      <w:marBottom w:val="0"/>
      <w:divBdr>
        <w:top w:val="none" w:sz="0" w:space="0" w:color="auto"/>
        <w:left w:val="none" w:sz="0" w:space="0" w:color="auto"/>
        <w:bottom w:val="none" w:sz="0" w:space="0" w:color="auto"/>
        <w:right w:val="none" w:sz="0" w:space="0" w:color="auto"/>
      </w:divBdr>
    </w:div>
    <w:div w:id="769617390">
      <w:bodyDiv w:val="1"/>
      <w:marLeft w:val="0"/>
      <w:marRight w:val="0"/>
      <w:marTop w:val="0"/>
      <w:marBottom w:val="0"/>
      <w:divBdr>
        <w:top w:val="none" w:sz="0" w:space="0" w:color="auto"/>
        <w:left w:val="none" w:sz="0" w:space="0" w:color="auto"/>
        <w:bottom w:val="none" w:sz="0" w:space="0" w:color="auto"/>
        <w:right w:val="none" w:sz="0" w:space="0" w:color="auto"/>
      </w:divBdr>
    </w:div>
    <w:div w:id="770004703">
      <w:bodyDiv w:val="1"/>
      <w:marLeft w:val="0"/>
      <w:marRight w:val="0"/>
      <w:marTop w:val="0"/>
      <w:marBottom w:val="0"/>
      <w:divBdr>
        <w:top w:val="none" w:sz="0" w:space="0" w:color="auto"/>
        <w:left w:val="none" w:sz="0" w:space="0" w:color="auto"/>
        <w:bottom w:val="none" w:sz="0" w:space="0" w:color="auto"/>
        <w:right w:val="none" w:sz="0" w:space="0" w:color="auto"/>
      </w:divBdr>
    </w:div>
    <w:div w:id="770318091">
      <w:bodyDiv w:val="1"/>
      <w:marLeft w:val="0"/>
      <w:marRight w:val="0"/>
      <w:marTop w:val="0"/>
      <w:marBottom w:val="0"/>
      <w:divBdr>
        <w:top w:val="none" w:sz="0" w:space="0" w:color="auto"/>
        <w:left w:val="none" w:sz="0" w:space="0" w:color="auto"/>
        <w:bottom w:val="none" w:sz="0" w:space="0" w:color="auto"/>
        <w:right w:val="none" w:sz="0" w:space="0" w:color="auto"/>
      </w:divBdr>
    </w:div>
    <w:div w:id="804196489">
      <w:bodyDiv w:val="1"/>
      <w:marLeft w:val="0"/>
      <w:marRight w:val="0"/>
      <w:marTop w:val="0"/>
      <w:marBottom w:val="0"/>
      <w:divBdr>
        <w:top w:val="none" w:sz="0" w:space="0" w:color="auto"/>
        <w:left w:val="none" w:sz="0" w:space="0" w:color="auto"/>
        <w:bottom w:val="none" w:sz="0" w:space="0" w:color="auto"/>
        <w:right w:val="none" w:sz="0" w:space="0" w:color="auto"/>
      </w:divBdr>
    </w:div>
    <w:div w:id="841772655">
      <w:bodyDiv w:val="1"/>
      <w:marLeft w:val="0"/>
      <w:marRight w:val="0"/>
      <w:marTop w:val="0"/>
      <w:marBottom w:val="0"/>
      <w:divBdr>
        <w:top w:val="none" w:sz="0" w:space="0" w:color="auto"/>
        <w:left w:val="none" w:sz="0" w:space="0" w:color="auto"/>
        <w:bottom w:val="none" w:sz="0" w:space="0" w:color="auto"/>
        <w:right w:val="none" w:sz="0" w:space="0" w:color="auto"/>
      </w:divBdr>
    </w:div>
    <w:div w:id="854415979">
      <w:bodyDiv w:val="1"/>
      <w:marLeft w:val="0"/>
      <w:marRight w:val="0"/>
      <w:marTop w:val="0"/>
      <w:marBottom w:val="0"/>
      <w:divBdr>
        <w:top w:val="none" w:sz="0" w:space="0" w:color="auto"/>
        <w:left w:val="none" w:sz="0" w:space="0" w:color="auto"/>
        <w:bottom w:val="none" w:sz="0" w:space="0" w:color="auto"/>
        <w:right w:val="none" w:sz="0" w:space="0" w:color="auto"/>
      </w:divBdr>
    </w:div>
    <w:div w:id="855655223">
      <w:bodyDiv w:val="1"/>
      <w:marLeft w:val="0"/>
      <w:marRight w:val="0"/>
      <w:marTop w:val="0"/>
      <w:marBottom w:val="0"/>
      <w:divBdr>
        <w:top w:val="none" w:sz="0" w:space="0" w:color="auto"/>
        <w:left w:val="none" w:sz="0" w:space="0" w:color="auto"/>
        <w:bottom w:val="none" w:sz="0" w:space="0" w:color="auto"/>
        <w:right w:val="none" w:sz="0" w:space="0" w:color="auto"/>
      </w:divBdr>
    </w:div>
    <w:div w:id="876046935">
      <w:bodyDiv w:val="1"/>
      <w:marLeft w:val="0"/>
      <w:marRight w:val="0"/>
      <w:marTop w:val="0"/>
      <w:marBottom w:val="0"/>
      <w:divBdr>
        <w:top w:val="none" w:sz="0" w:space="0" w:color="auto"/>
        <w:left w:val="none" w:sz="0" w:space="0" w:color="auto"/>
        <w:bottom w:val="none" w:sz="0" w:space="0" w:color="auto"/>
        <w:right w:val="none" w:sz="0" w:space="0" w:color="auto"/>
      </w:divBdr>
    </w:div>
    <w:div w:id="880361170">
      <w:bodyDiv w:val="1"/>
      <w:marLeft w:val="0"/>
      <w:marRight w:val="0"/>
      <w:marTop w:val="0"/>
      <w:marBottom w:val="0"/>
      <w:divBdr>
        <w:top w:val="none" w:sz="0" w:space="0" w:color="auto"/>
        <w:left w:val="none" w:sz="0" w:space="0" w:color="auto"/>
        <w:bottom w:val="none" w:sz="0" w:space="0" w:color="auto"/>
        <w:right w:val="none" w:sz="0" w:space="0" w:color="auto"/>
      </w:divBdr>
    </w:div>
    <w:div w:id="883323605">
      <w:bodyDiv w:val="1"/>
      <w:marLeft w:val="0"/>
      <w:marRight w:val="0"/>
      <w:marTop w:val="0"/>
      <w:marBottom w:val="0"/>
      <w:divBdr>
        <w:top w:val="none" w:sz="0" w:space="0" w:color="auto"/>
        <w:left w:val="none" w:sz="0" w:space="0" w:color="auto"/>
        <w:bottom w:val="none" w:sz="0" w:space="0" w:color="auto"/>
        <w:right w:val="none" w:sz="0" w:space="0" w:color="auto"/>
      </w:divBdr>
    </w:div>
    <w:div w:id="885675515">
      <w:bodyDiv w:val="1"/>
      <w:marLeft w:val="0"/>
      <w:marRight w:val="0"/>
      <w:marTop w:val="0"/>
      <w:marBottom w:val="0"/>
      <w:divBdr>
        <w:top w:val="none" w:sz="0" w:space="0" w:color="auto"/>
        <w:left w:val="none" w:sz="0" w:space="0" w:color="auto"/>
        <w:bottom w:val="none" w:sz="0" w:space="0" w:color="auto"/>
        <w:right w:val="none" w:sz="0" w:space="0" w:color="auto"/>
      </w:divBdr>
    </w:div>
    <w:div w:id="887572966">
      <w:bodyDiv w:val="1"/>
      <w:marLeft w:val="0"/>
      <w:marRight w:val="0"/>
      <w:marTop w:val="0"/>
      <w:marBottom w:val="0"/>
      <w:divBdr>
        <w:top w:val="none" w:sz="0" w:space="0" w:color="auto"/>
        <w:left w:val="none" w:sz="0" w:space="0" w:color="auto"/>
        <w:bottom w:val="none" w:sz="0" w:space="0" w:color="auto"/>
        <w:right w:val="none" w:sz="0" w:space="0" w:color="auto"/>
      </w:divBdr>
    </w:div>
    <w:div w:id="894656944">
      <w:bodyDiv w:val="1"/>
      <w:marLeft w:val="0"/>
      <w:marRight w:val="0"/>
      <w:marTop w:val="0"/>
      <w:marBottom w:val="0"/>
      <w:divBdr>
        <w:top w:val="none" w:sz="0" w:space="0" w:color="auto"/>
        <w:left w:val="none" w:sz="0" w:space="0" w:color="auto"/>
        <w:bottom w:val="none" w:sz="0" w:space="0" w:color="auto"/>
        <w:right w:val="none" w:sz="0" w:space="0" w:color="auto"/>
      </w:divBdr>
    </w:div>
    <w:div w:id="903102206">
      <w:bodyDiv w:val="1"/>
      <w:marLeft w:val="0"/>
      <w:marRight w:val="0"/>
      <w:marTop w:val="0"/>
      <w:marBottom w:val="0"/>
      <w:divBdr>
        <w:top w:val="none" w:sz="0" w:space="0" w:color="auto"/>
        <w:left w:val="none" w:sz="0" w:space="0" w:color="auto"/>
        <w:bottom w:val="none" w:sz="0" w:space="0" w:color="auto"/>
        <w:right w:val="none" w:sz="0" w:space="0" w:color="auto"/>
      </w:divBdr>
    </w:div>
    <w:div w:id="903219289">
      <w:bodyDiv w:val="1"/>
      <w:marLeft w:val="0"/>
      <w:marRight w:val="0"/>
      <w:marTop w:val="0"/>
      <w:marBottom w:val="0"/>
      <w:divBdr>
        <w:top w:val="none" w:sz="0" w:space="0" w:color="auto"/>
        <w:left w:val="none" w:sz="0" w:space="0" w:color="auto"/>
        <w:bottom w:val="none" w:sz="0" w:space="0" w:color="auto"/>
        <w:right w:val="none" w:sz="0" w:space="0" w:color="auto"/>
      </w:divBdr>
    </w:div>
    <w:div w:id="941038578">
      <w:bodyDiv w:val="1"/>
      <w:marLeft w:val="0"/>
      <w:marRight w:val="0"/>
      <w:marTop w:val="0"/>
      <w:marBottom w:val="0"/>
      <w:divBdr>
        <w:top w:val="none" w:sz="0" w:space="0" w:color="auto"/>
        <w:left w:val="none" w:sz="0" w:space="0" w:color="auto"/>
        <w:bottom w:val="none" w:sz="0" w:space="0" w:color="auto"/>
        <w:right w:val="none" w:sz="0" w:space="0" w:color="auto"/>
      </w:divBdr>
    </w:div>
    <w:div w:id="945502889">
      <w:bodyDiv w:val="1"/>
      <w:marLeft w:val="0"/>
      <w:marRight w:val="0"/>
      <w:marTop w:val="0"/>
      <w:marBottom w:val="0"/>
      <w:divBdr>
        <w:top w:val="none" w:sz="0" w:space="0" w:color="auto"/>
        <w:left w:val="none" w:sz="0" w:space="0" w:color="auto"/>
        <w:bottom w:val="none" w:sz="0" w:space="0" w:color="auto"/>
        <w:right w:val="none" w:sz="0" w:space="0" w:color="auto"/>
      </w:divBdr>
    </w:div>
    <w:div w:id="951279802">
      <w:bodyDiv w:val="1"/>
      <w:marLeft w:val="0"/>
      <w:marRight w:val="0"/>
      <w:marTop w:val="0"/>
      <w:marBottom w:val="0"/>
      <w:divBdr>
        <w:top w:val="none" w:sz="0" w:space="0" w:color="auto"/>
        <w:left w:val="none" w:sz="0" w:space="0" w:color="auto"/>
        <w:bottom w:val="none" w:sz="0" w:space="0" w:color="auto"/>
        <w:right w:val="none" w:sz="0" w:space="0" w:color="auto"/>
      </w:divBdr>
    </w:div>
    <w:div w:id="973214602">
      <w:bodyDiv w:val="1"/>
      <w:marLeft w:val="0"/>
      <w:marRight w:val="0"/>
      <w:marTop w:val="0"/>
      <w:marBottom w:val="0"/>
      <w:divBdr>
        <w:top w:val="none" w:sz="0" w:space="0" w:color="auto"/>
        <w:left w:val="none" w:sz="0" w:space="0" w:color="auto"/>
        <w:bottom w:val="none" w:sz="0" w:space="0" w:color="auto"/>
        <w:right w:val="none" w:sz="0" w:space="0" w:color="auto"/>
      </w:divBdr>
    </w:div>
    <w:div w:id="981932804">
      <w:bodyDiv w:val="1"/>
      <w:marLeft w:val="0"/>
      <w:marRight w:val="0"/>
      <w:marTop w:val="0"/>
      <w:marBottom w:val="0"/>
      <w:divBdr>
        <w:top w:val="none" w:sz="0" w:space="0" w:color="auto"/>
        <w:left w:val="none" w:sz="0" w:space="0" w:color="auto"/>
        <w:bottom w:val="none" w:sz="0" w:space="0" w:color="auto"/>
        <w:right w:val="none" w:sz="0" w:space="0" w:color="auto"/>
      </w:divBdr>
    </w:div>
    <w:div w:id="995961636">
      <w:bodyDiv w:val="1"/>
      <w:marLeft w:val="0"/>
      <w:marRight w:val="0"/>
      <w:marTop w:val="0"/>
      <w:marBottom w:val="0"/>
      <w:divBdr>
        <w:top w:val="none" w:sz="0" w:space="0" w:color="auto"/>
        <w:left w:val="none" w:sz="0" w:space="0" w:color="auto"/>
        <w:bottom w:val="none" w:sz="0" w:space="0" w:color="auto"/>
        <w:right w:val="none" w:sz="0" w:space="0" w:color="auto"/>
      </w:divBdr>
    </w:div>
    <w:div w:id="1010522138">
      <w:bodyDiv w:val="1"/>
      <w:marLeft w:val="0"/>
      <w:marRight w:val="0"/>
      <w:marTop w:val="0"/>
      <w:marBottom w:val="0"/>
      <w:divBdr>
        <w:top w:val="none" w:sz="0" w:space="0" w:color="auto"/>
        <w:left w:val="none" w:sz="0" w:space="0" w:color="auto"/>
        <w:bottom w:val="none" w:sz="0" w:space="0" w:color="auto"/>
        <w:right w:val="none" w:sz="0" w:space="0" w:color="auto"/>
      </w:divBdr>
    </w:div>
    <w:div w:id="1012604654">
      <w:bodyDiv w:val="1"/>
      <w:marLeft w:val="0"/>
      <w:marRight w:val="0"/>
      <w:marTop w:val="0"/>
      <w:marBottom w:val="0"/>
      <w:divBdr>
        <w:top w:val="none" w:sz="0" w:space="0" w:color="auto"/>
        <w:left w:val="none" w:sz="0" w:space="0" w:color="auto"/>
        <w:bottom w:val="none" w:sz="0" w:space="0" w:color="auto"/>
        <w:right w:val="none" w:sz="0" w:space="0" w:color="auto"/>
      </w:divBdr>
    </w:div>
    <w:div w:id="1018315225">
      <w:bodyDiv w:val="1"/>
      <w:marLeft w:val="0"/>
      <w:marRight w:val="0"/>
      <w:marTop w:val="0"/>
      <w:marBottom w:val="0"/>
      <w:divBdr>
        <w:top w:val="none" w:sz="0" w:space="0" w:color="auto"/>
        <w:left w:val="none" w:sz="0" w:space="0" w:color="auto"/>
        <w:bottom w:val="none" w:sz="0" w:space="0" w:color="auto"/>
        <w:right w:val="none" w:sz="0" w:space="0" w:color="auto"/>
      </w:divBdr>
    </w:div>
    <w:div w:id="1019967433">
      <w:bodyDiv w:val="1"/>
      <w:marLeft w:val="0"/>
      <w:marRight w:val="0"/>
      <w:marTop w:val="0"/>
      <w:marBottom w:val="0"/>
      <w:divBdr>
        <w:top w:val="none" w:sz="0" w:space="0" w:color="auto"/>
        <w:left w:val="none" w:sz="0" w:space="0" w:color="auto"/>
        <w:bottom w:val="none" w:sz="0" w:space="0" w:color="auto"/>
        <w:right w:val="none" w:sz="0" w:space="0" w:color="auto"/>
      </w:divBdr>
    </w:div>
    <w:div w:id="1022123916">
      <w:bodyDiv w:val="1"/>
      <w:marLeft w:val="0"/>
      <w:marRight w:val="0"/>
      <w:marTop w:val="0"/>
      <w:marBottom w:val="0"/>
      <w:divBdr>
        <w:top w:val="none" w:sz="0" w:space="0" w:color="auto"/>
        <w:left w:val="none" w:sz="0" w:space="0" w:color="auto"/>
        <w:bottom w:val="none" w:sz="0" w:space="0" w:color="auto"/>
        <w:right w:val="none" w:sz="0" w:space="0" w:color="auto"/>
      </w:divBdr>
    </w:div>
    <w:div w:id="1028718796">
      <w:bodyDiv w:val="1"/>
      <w:marLeft w:val="0"/>
      <w:marRight w:val="0"/>
      <w:marTop w:val="0"/>
      <w:marBottom w:val="0"/>
      <w:divBdr>
        <w:top w:val="none" w:sz="0" w:space="0" w:color="auto"/>
        <w:left w:val="none" w:sz="0" w:space="0" w:color="auto"/>
        <w:bottom w:val="none" w:sz="0" w:space="0" w:color="auto"/>
        <w:right w:val="none" w:sz="0" w:space="0" w:color="auto"/>
      </w:divBdr>
    </w:div>
    <w:div w:id="1042368748">
      <w:bodyDiv w:val="1"/>
      <w:marLeft w:val="0"/>
      <w:marRight w:val="0"/>
      <w:marTop w:val="0"/>
      <w:marBottom w:val="0"/>
      <w:divBdr>
        <w:top w:val="none" w:sz="0" w:space="0" w:color="auto"/>
        <w:left w:val="none" w:sz="0" w:space="0" w:color="auto"/>
        <w:bottom w:val="none" w:sz="0" w:space="0" w:color="auto"/>
        <w:right w:val="none" w:sz="0" w:space="0" w:color="auto"/>
      </w:divBdr>
    </w:div>
    <w:div w:id="1121653913">
      <w:bodyDiv w:val="1"/>
      <w:marLeft w:val="0"/>
      <w:marRight w:val="0"/>
      <w:marTop w:val="0"/>
      <w:marBottom w:val="0"/>
      <w:divBdr>
        <w:top w:val="none" w:sz="0" w:space="0" w:color="auto"/>
        <w:left w:val="none" w:sz="0" w:space="0" w:color="auto"/>
        <w:bottom w:val="none" w:sz="0" w:space="0" w:color="auto"/>
        <w:right w:val="none" w:sz="0" w:space="0" w:color="auto"/>
      </w:divBdr>
    </w:div>
    <w:div w:id="1121728001">
      <w:bodyDiv w:val="1"/>
      <w:marLeft w:val="0"/>
      <w:marRight w:val="0"/>
      <w:marTop w:val="0"/>
      <w:marBottom w:val="0"/>
      <w:divBdr>
        <w:top w:val="none" w:sz="0" w:space="0" w:color="auto"/>
        <w:left w:val="none" w:sz="0" w:space="0" w:color="auto"/>
        <w:bottom w:val="none" w:sz="0" w:space="0" w:color="auto"/>
        <w:right w:val="none" w:sz="0" w:space="0" w:color="auto"/>
      </w:divBdr>
    </w:div>
    <w:div w:id="1121994933">
      <w:bodyDiv w:val="1"/>
      <w:marLeft w:val="0"/>
      <w:marRight w:val="0"/>
      <w:marTop w:val="0"/>
      <w:marBottom w:val="0"/>
      <w:divBdr>
        <w:top w:val="none" w:sz="0" w:space="0" w:color="auto"/>
        <w:left w:val="none" w:sz="0" w:space="0" w:color="auto"/>
        <w:bottom w:val="none" w:sz="0" w:space="0" w:color="auto"/>
        <w:right w:val="none" w:sz="0" w:space="0" w:color="auto"/>
      </w:divBdr>
    </w:div>
    <w:div w:id="1127167762">
      <w:bodyDiv w:val="1"/>
      <w:marLeft w:val="0"/>
      <w:marRight w:val="0"/>
      <w:marTop w:val="0"/>
      <w:marBottom w:val="0"/>
      <w:divBdr>
        <w:top w:val="none" w:sz="0" w:space="0" w:color="auto"/>
        <w:left w:val="none" w:sz="0" w:space="0" w:color="auto"/>
        <w:bottom w:val="none" w:sz="0" w:space="0" w:color="auto"/>
        <w:right w:val="none" w:sz="0" w:space="0" w:color="auto"/>
      </w:divBdr>
    </w:div>
    <w:div w:id="1131896367">
      <w:bodyDiv w:val="1"/>
      <w:marLeft w:val="0"/>
      <w:marRight w:val="0"/>
      <w:marTop w:val="0"/>
      <w:marBottom w:val="0"/>
      <w:divBdr>
        <w:top w:val="none" w:sz="0" w:space="0" w:color="auto"/>
        <w:left w:val="none" w:sz="0" w:space="0" w:color="auto"/>
        <w:bottom w:val="none" w:sz="0" w:space="0" w:color="auto"/>
        <w:right w:val="none" w:sz="0" w:space="0" w:color="auto"/>
      </w:divBdr>
    </w:div>
    <w:div w:id="1131900875">
      <w:bodyDiv w:val="1"/>
      <w:marLeft w:val="0"/>
      <w:marRight w:val="0"/>
      <w:marTop w:val="0"/>
      <w:marBottom w:val="0"/>
      <w:divBdr>
        <w:top w:val="none" w:sz="0" w:space="0" w:color="auto"/>
        <w:left w:val="none" w:sz="0" w:space="0" w:color="auto"/>
        <w:bottom w:val="none" w:sz="0" w:space="0" w:color="auto"/>
        <w:right w:val="none" w:sz="0" w:space="0" w:color="auto"/>
      </w:divBdr>
    </w:div>
    <w:div w:id="1134905611">
      <w:bodyDiv w:val="1"/>
      <w:marLeft w:val="0"/>
      <w:marRight w:val="0"/>
      <w:marTop w:val="0"/>
      <w:marBottom w:val="0"/>
      <w:divBdr>
        <w:top w:val="none" w:sz="0" w:space="0" w:color="auto"/>
        <w:left w:val="none" w:sz="0" w:space="0" w:color="auto"/>
        <w:bottom w:val="none" w:sz="0" w:space="0" w:color="auto"/>
        <w:right w:val="none" w:sz="0" w:space="0" w:color="auto"/>
      </w:divBdr>
    </w:div>
    <w:div w:id="1152018921">
      <w:bodyDiv w:val="1"/>
      <w:marLeft w:val="0"/>
      <w:marRight w:val="0"/>
      <w:marTop w:val="0"/>
      <w:marBottom w:val="0"/>
      <w:divBdr>
        <w:top w:val="none" w:sz="0" w:space="0" w:color="auto"/>
        <w:left w:val="none" w:sz="0" w:space="0" w:color="auto"/>
        <w:bottom w:val="none" w:sz="0" w:space="0" w:color="auto"/>
        <w:right w:val="none" w:sz="0" w:space="0" w:color="auto"/>
      </w:divBdr>
    </w:div>
    <w:div w:id="1190991471">
      <w:bodyDiv w:val="1"/>
      <w:marLeft w:val="0"/>
      <w:marRight w:val="0"/>
      <w:marTop w:val="0"/>
      <w:marBottom w:val="0"/>
      <w:divBdr>
        <w:top w:val="none" w:sz="0" w:space="0" w:color="auto"/>
        <w:left w:val="none" w:sz="0" w:space="0" w:color="auto"/>
        <w:bottom w:val="none" w:sz="0" w:space="0" w:color="auto"/>
        <w:right w:val="none" w:sz="0" w:space="0" w:color="auto"/>
      </w:divBdr>
    </w:div>
    <w:div w:id="1194535244">
      <w:bodyDiv w:val="1"/>
      <w:marLeft w:val="0"/>
      <w:marRight w:val="0"/>
      <w:marTop w:val="0"/>
      <w:marBottom w:val="0"/>
      <w:divBdr>
        <w:top w:val="none" w:sz="0" w:space="0" w:color="auto"/>
        <w:left w:val="none" w:sz="0" w:space="0" w:color="auto"/>
        <w:bottom w:val="none" w:sz="0" w:space="0" w:color="auto"/>
        <w:right w:val="none" w:sz="0" w:space="0" w:color="auto"/>
      </w:divBdr>
    </w:div>
    <w:div w:id="1210915284">
      <w:bodyDiv w:val="1"/>
      <w:marLeft w:val="0"/>
      <w:marRight w:val="0"/>
      <w:marTop w:val="0"/>
      <w:marBottom w:val="0"/>
      <w:divBdr>
        <w:top w:val="none" w:sz="0" w:space="0" w:color="auto"/>
        <w:left w:val="none" w:sz="0" w:space="0" w:color="auto"/>
        <w:bottom w:val="none" w:sz="0" w:space="0" w:color="auto"/>
        <w:right w:val="none" w:sz="0" w:space="0" w:color="auto"/>
      </w:divBdr>
    </w:div>
    <w:div w:id="1258097546">
      <w:bodyDiv w:val="1"/>
      <w:marLeft w:val="0"/>
      <w:marRight w:val="0"/>
      <w:marTop w:val="0"/>
      <w:marBottom w:val="0"/>
      <w:divBdr>
        <w:top w:val="none" w:sz="0" w:space="0" w:color="auto"/>
        <w:left w:val="none" w:sz="0" w:space="0" w:color="auto"/>
        <w:bottom w:val="none" w:sz="0" w:space="0" w:color="auto"/>
        <w:right w:val="none" w:sz="0" w:space="0" w:color="auto"/>
      </w:divBdr>
    </w:div>
    <w:div w:id="1270046185">
      <w:bodyDiv w:val="1"/>
      <w:marLeft w:val="0"/>
      <w:marRight w:val="0"/>
      <w:marTop w:val="0"/>
      <w:marBottom w:val="0"/>
      <w:divBdr>
        <w:top w:val="none" w:sz="0" w:space="0" w:color="auto"/>
        <w:left w:val="none" w:sz="0" w:space="0" w:color="auto"/>
        <w:bottom w:val="none" w:sz="0" w:space="0" w:color="auto"/>
        <w:right w:val="none" w:sz="0" w:space="0" w:color="auto"/>
      </w:divBdr>
    </w:div>
    <w:div w:id="1272321641">
      <w:bodyDiv w:val="1"/>
      <w:marLeft w:val="0"/>
      <w:marRight w:val="0"/>
      <w:marTop w:val="0"/>
      <w:marBottom w:val="0"/>
      <w:divBdr>
        <w:top w:val="none" w:sz="0" w:space="0" w:color="auto"/>
        <w:left w:val="none" w:sz="0" w:space="0" w:color="auto"/>
        <w:bottom w:val="none" w:sz="0" w:space="0" w:color="auto"/>
        <w:right w:val="none" w:sz="0" w:space="0" w:color="auto"/>
      </w:divBdr>
    </w:div>
    <w:div w:id="1272394411">
      <w:bodyDiv w:val="1"/>
      <w:marLeft w:val="0"/>
      <w:marRight w:val="0"/>
      <w:marTop w:val="0"/>
      <w:marBottom w:val="0"/>
      <w:divBdr>
        <w:top w:val="none" w:sz="0" w:space="0" w:color="auto"/>
        <w:left w:val="none" w:sz="0" w:space="0" w:color="auto"/>
        <w:bottom w:val="none" w:sz="0" w:space="0" w:color="auto"/>
        <w:right w:val="none" w:sz="0" w:space="0" w:color="auto"/>
      </w:divBdr>
    </w:div>
    <w:div w:id="1310670521">
      <w:bodyDiv w:val="1"/>
      <w:marLeft w:val="0"/>
      <w:marRight w:val="0"/>
      <w:marTop w:val="0"/>
      <w:marBottom w:val="0"/>
      <w:divBdr>
        <w:top w:val="none" w:sz="0" w:space="0" w:color="auto"/>
        <w:left w:val="none" w:sz="0" w:space="0" w:color="auto"/>
        <w:bottom w:val="none" w:sz="0" w:space="0" w:color="auto"/>
        <w:right w:val="none" w:sz="0" w:space="0" w:color="auto"/>
      </w:divBdr>
    </w:div>
    <w:div w:id="1314414238">
      <w:bodyDiv w:val="1"/>
      <w:marLeft w:val="0"/>
      <w:marRight w:val="0"/>
      <w:marTop w:val="0"/>
      <w:marBottom w:val="0"/>
      <w:divBdr>
        <w:top w:val="none" w:sz="0" w:space="0" w:color="auto"/>
        <w:left w:val="none" w:sz="0" w:space="0" w:color="auto"/>
        <w:bottom w:val="none" w:sz="0" w:space="0" w:color="auto"/>
        <w:right w:val="none" w:sz="0" w:space="0" w:color="auto"/>
      </w:divBdr>
    </w:div>
    <w:div w:id="1314792566">
      <w:bodyDiv w:val="1"/>
      <w:marLeft w:val="0"/>
      <w:marRight w:val="0"/>
      <w:marTop w:val="0"/>
      <w:marBottom w:val="0"/>
      <w:divBdr>
        <w:top w:val="none" w:sz="0" w:space="0" w:color="auto"/>
        <w:left w:val="none" w:sz="0" w:space="0" w:color="auto"/>
        <w:bottom w:val="none" w:sz="0" w:space="0" w:color="auto"/>
        <w:right w:val="none" w:sz="0" w:space="0" w:color="auto"/>
      </w:divBdr>
    </w:div>
    <w:div w:id="1322082180">
      <w:bodyDiv w:val="1"/>
      <w:marLeft w:val="0"/>
      <w:marRight w:val="0"/>
      <w:marTop w:val="0"/>
      <w:marBottom w:val="0"/>
      <w:divBdr>
        <w:top w:val="none" w:sz="0" w:space="0" w:color="auto"/>
        <w:left w:val="none" w:sz="0" w:space="0" w:color="auto"/>
        <w:bottom w:val="none" w:sz="0" w:space="0" w:color="auto"/>
        <w:right w:val="none" w:sz="0" w:space="0" w:color="auto"/>
      </w:divBdr>
    </w:div>
    <w:div w:id="1335497730">
      <w:bodyDiv w:val="1"/>
      <w:marLeft w:val="0"/>
      <w:marRight w:val="0"/>
      <w:marTop w:val="0"/>
      <w:marBottom w:val="0"/>
      <w:divBdr>
        <w:top w:val="none" w:sz="0" w:space="0" w:color="auto"/>
        <w:left w:val="none" w:sz="0" w:space="0" w:color="auto"/>
        <w:bottom w:val="none" w:sz="0" w:space="0" w:color="auto"/>
        <w:right w:val="none" w:sz="0" w:space="0" w:color="auto"/>
      </w:divBdr>
    </w:div>
    <w:div w:id="1336614698">
      <w:bodyDiv w:val="1"/>
      <w:marLeft w:val="0"/>
      <w:marRight w:val="0"/>
      <w:marTop w:val="0"/>
      <w:marBottom w:val="0"/>
      <w:divBdr>
        <w:top w:val="none" w:sz="0" w:space="0" w:color="auto"/>
        <w:left w:val="none" w:sz="0" w:space="0" w:color="auto"/>
        <w:bottom w:val="none" w:sz="0" w:space="0" w:color="auto"/>
        <w:right w:val="none" w:sz="0" w:space="0" w:color="auto"/>
      </w:divBdr>
    </w:div>
    <w:div w:id="1337004037">
      <w:bodyDiv w:val="1"/>
      <w:marLeft w:val="0"/>
      <w:marRight w:val="0"/>
      <w:marTop w:val="0"/>
      <w:marBottom w:val="0"/>
      <w:divBdr>
        <w:top w:val="none" w:sz="0" w:space="0" w:color="auto"/>
        <w:left w:val="none" w:sz="0" w:space="0" w:color="auto"/>
        <w:bottom w:val="none" w:sz="0" w:space="0" w:color="auto"/>
        <w:right w:val="none" w:sz="0" w:space="0" w:color="auto"/>
      </w:divBdr>
    </w:div>
    <w:div w:id="1342854541">
      <w:bodyDiv w:val="1"/>
      <w:marLeft w:val="0"/>
      <w:marRight w:val="0"/>
      <w:marTop w:val="0"/>
      <w:marBottom w:val="0"/>
      <w:divBdr>
        <w:top w:val="none" w:sz="0" w:space="0" w:color="auto"/>
        <w:left w:val="none" w:sz="0" w:space="0" w:color="auto"/>
        <w:bottom w:val="none" w:sz="0" w:space="0" w:color="auto"/>
        <w:right w:val="none" w:sz="0" w:space="0" w:color="auto"/>
      </w:divBdr>
    </w:div>
    <w:div w:id="1346051549">
      <w:bodyDiv w:val="1"/>
      <w:marLeft w:val="0"/>
      <w:marRight w:val="0"/>
      <w:marTop w:val="0"/>
      <w:marBottom w:val="0"/>
      <w:divBdr>
        <w:top w:val="none" w:sz="0" w:space="0" w:color="auto"/>
        <w:left w:val="none" w:sz="0" w:space="0" w:color="auto"/>
        <w:bottom w:val="none" w:sz="0" w:space="0" w:color="auto"/>
        <w:right w:val="none" w:sz="0" w:space="0" w:color="auto"/>
      </w:divBdr>
    </w:div>
    <w:div w:id="1362630323">
      <w:bodyDiv w:val="1"/>
      <w:marLeft w:val="0"/>
      <w:marRight w:val="0"/>
      <w:marTop w:val="0"/>
      <w:marBottom w:val="0"/>
      <w:divBdr>
        <w:top w:val="none" w:sz="0" w:space="0" w:color="auto"/>
        <w:left w:val="none" w:sz="0" w:space="0" w:color="auto"/>
        <w:bottom w:val="none" w:sz="0" w:space="0" w:color="auto"/>
        <w:right w:val="none" w:sz="0" w:space="0" w:color="auto"/>
      </w:divBdr>
    </w:div>
    <w:div w:id="1363748615">
      <w:bodyDiv w:val="1"/>
      <w:marLeft w:val="0"/>
      <w:marRight w:val="0"/>
      <w:marTop w:val="0"/>
      <w:marBottom w:val="0"/>
      <w:divBdr>
        <w:top w:val="none" w:sz="0" w:space="0" w:color="auto"/>
        <w:left w:val="none" w:sz="0" w:space="0" w:color="auto"/>
        <w:bottom w:val="none" w:sz="0" w:space="0" w:color="auto"/>
        <w:right w:val="none" w:sz="0" w:space="0" w:color="auto"/>
      </w:divBdr>
    </w:div>
    <w:div w:id="1367439391">
      <w:bodyDiv w:val="1"/>
      <w:marLeft w:val="0"/>
      <w:marRight w:val="0"/>
      <w:marTop w:val="0"/>
      <w:marBottom w:val="0"/>
      <w:divBdr>
        <w:top w:val="none" w:sz="0" w:space="0" w:color="auto"/>
        <w:left w:val="none" w:sz="0" w:space="0" w:color="auto"/>
        <w:bottom w:val="none" w:sz="0" w:space="0" w:color="auto"/>
        <w:right w:val="none" w:sz="0" w:space="0" w:color="auto"/>
      </w:divBdr>
    </w:div>
    <w:div w:id="1419250417">
      <w:bodyDiv w:val="1"/>
      <w:marLeft w:val="0"/>
      <w:marRight w:val="0"/>
      <w:marTop w:val="0"/>
      <w:marBottom w:val="0"/>
      <w:divBdr>
        <w:top w:val="none" w:sz="0" w:space="0" w:color="auto"/>
        <w:left w:val="none" w:sz="0" w:space="0" w:color="auto"/>
        <w:bottom w:val="none" w:sz="0" w:space="0" w:color="auto"/>
        <w:right w:val="none" w:sz="0" w:space="0" w:color="auto"/>
      </w:divBdr>
    </w:div>
    <w:div w:id="1440376008">
      <w:bodyDiv w:val="1"/>
      <w:marLeft w:val="0"/>
      <w:marRight w:val="0"/>
      <w:marTop w:val="0"/>
      <w:marBottom w:val="0"/>
      <w:divBdr>
        <w:top w:val="none" w:sz="0" w:space="0" w:color="auto"/>
        <w:left w:val="none" w:sz="0" w:space="0" w:color="auto"/>
        <w:bottom w:val="none" w:sz="0" w:space="0" w:color="auto"/>
        <w:right w:val="none" w:sz="0" w:space="0" w:color="auto"/>
      </w:divBdr>
    </w:div>
    <w:div w:id="1442459502">
      <w:bodyDiv w:val="1"/>
      <w:marLeft w:val="0"/>
      <w:marRight w:val="0"/>
      <w:marTop w:val="0"/>
      <w:marBottom w:val="0"/>
      <w:divBdr>
        <w:top w:val="none" w:sz="0" w:space="0" w:color="auto"/>
        <w:left w:val="none" w:sz="0" w:space="0" w:color="auto"/>
        <w:bottom w:val="none" w:sz="0" w:space="0" w:color="auto"/>
        <w:right w:val="none" w:sz="0" w:space="0" w:color="auto"/>
      </w:divBdr>
    </w:div>
    <w:div w:id="1446853244">
      <w:bodyDiv w:val="1"/>
      <w:marLeft w:val="0"/>
      <w:marRight w:val="0"/>
      <w:marTop w:val="0"/>
      <w:marBottom w:val="0"/>
      <w:divBdr>
        <w:top w:val="none" w:sz="0" w:space="0" w:color="auto"/>
        <w:left w:val="none" w:sz="0" w:space="0" w:color="auto"/>
        <w:bottom w:val="none" w:sz="0" w:space="0" w:color="auto"/>
        <w:right w:val="none" w:sz="0" w:space="0" w:color="auto"/>
      </w:divBdr>
    </w:div>
    <w:div w:id="1450124173">
      <w:bodyDiv w:val="1"/>
      <w:marLeft w:val="0"/>
      <w:marRight w:val="0"/>
      <w:marTop w:val="0"/>
      <w:marBottom w:val="0"/>
      <w:divBdr>
        <w:top w:val="none" w:sz="0" w:space="0" w:color="auto"/>
        <w:left w:val="none" w:sz="0" w:space="0" w:color="auto"/>
        <w:bottom w:val="none" w:sz="0" w:space="0" w:color="auto"/>
        <w:right w:val="none" w:sz="0" w:space="0" w:color="auto"/>
      </w:divBdr>
    </w:div>
    <w:div w:id="1454903735">
      <w:bodyDiv w:val="1"/>
      <w:marLeft w:val="0"/>
      <w:marRight w:val="0"/>
      <w:marTop w:val="0"/>
      <w:marBottom w:val="0"/>
      <w:divBdr>
        <w:top w:val="none" w:sz="0" w:space="0" w:color="auto"/>
        <w:left w:val="none" w:sz="0" w:space="0" w:color="auto"/>
        <w:bottom w:val="none" w:sz="0" w:space="0" w:color="auto"/>
        <w:right w:val="none" w:sz="0" w:space="0" w:color="auto"/>
      </w:divBdr>
    </w:div>
    <w:div w:id="1476147748">
      <w:bodyDiv w:val="1"/>
      <w:marLeft w:val="0"/>
      <w:marRight w:val="0"/>
      <w:marTop w:val="0"/>
      <w:marBottom w:val="0"/>
      <w:divBdr>
        <w:top w:val="none" w:sz="0" w:space="0" w:color="auto"/>
        <w:left w:val="none" w:sz="0" w:space="0" w:color="auto"/>
        <w:bottom w:val="none" w:sz="0" w:space="0" w:color="auto"/>
        <w:right w:val="none" w:sz="0" w:space="0" w:color="auto"/>
      </w:divBdr>
    </w:div>
    <w:div w:id="1477213946">
      <w:bodyDiv w:val="1"/>
      <w:marLeft w:val="0"/>
      <w:marRight w:val="0"/>
      <w:marTop w:val="0"/>
      <w:marBottom w:val="0"/>
      <w:divBdr>
        <w:top w:val="none" w:sz="0" w:space="0" w:color="auto"/>
        <w:left w:val="none" w:sz="0" w:space="0" w:color="auto"/>
        <w:bottom w:val="none" w:sz="0" w:space="0" w:color="auto"/>
        <w:right w:val="none" w:sz="0" w:space="0" w:color="auto"/>
      </w:divBdr>
    </w:div>
    <w:div w:id="1493066531">
      <w:bodyDiv w:val="1"/>
      <w:marLeft w:val="0"/>
      <w:marRight w:val="0"/>
      <w:marTop w:val="0"/>
      <w:marBottom w:val="0"/>
      <w:divBdr>
        <w:top w:val="none" w:sz="0" w:space="0" w:color="auto"/>
        <w:left w:val="none" w:sz="0" w:space="0" w:color="auto"/>
        <w:bottom w:val="none" w:sz="0" w:space="0" w:color="auto"/>
        <w:right w:val="none" w:sz="0" w:space="0" w:color="auto"/>
      </w:divBdr>
    </w:div>
    <w:div w:id="1497039803">
      <w:bodyDiv w:val="1"/>
      <w:marLeft w:val="0"/>
      <w:marRight w:val="0"/>
      <w:marTop w:val="0"/>
      <w:marBottom w:val="0"/>
      <w:divBdr>
        <w:top w:val="none" w:sz="0" w:space="0" w:color="auto"/>
        <w:left w:val="none" w:sz="0" w:space="0" w:color="auto"/>
        <w:bottom w:val="none" w:sz="0" w:space="0" w:color="auto"/>
        <w:right w:val="none" w:sz="0" w:space="0" w:color="auto"/>
      </w:divBdr>
    </w:div>
    <w:div w:id="1497453692">
      <w:bodyDiv w:val="1"/>
      <w:marLeft w:val="0"/>
      <w:marRight w:val="0"/>
      <w:marTop w:val="0"/>
      <w:marBottom w:val="0"/>
      <w:divBdr>
        <w:top w:val="none" w:sz="0" w:space="0" w:color="auto"/>
        <w:left w:val="none" w:sz="0" w:space="0" w:color="auto"/>
        <w:bottom w:val="none" w:sz="0" w:space="0" w:color="auto"/>
        <w:right w:val="none" w:sz="0" w:space="0" w:color="auto"/>
      </w:divBdr>
    </w:div>
    <w:div w:id="1503012594">
      <w:bodyDiv w:val="1"/>
      <w:marLeft w:val="0"/>
      <w:marRight w:val="0"/>
      <w:marTop w:val="0"/>
      <w:marBottom w:val="0"/>
      <w:divBdr>
        <w:top w:val="none" w:sz="0" w:space="0" w:color="auto"/>
        <w:left w:val="none" w:sz="0" w:space="0" w:color="auto"/>
        <w:bottom w:val="none" w:sz="0" w:space="0" w:color="auto"/>
        <w:right w:val="none" w:sz="0" w:space="0" w:color="auto"/>
      </w:divBdr>
    </w:div>
    <w:div w:id="1506822775">
      <w:bodyDiv w:val="1"/>
      <w:marLeft w:val="0"/>
      <w:marRight w:val="0"/>
      <w:marTop w:val="0"/>
      <w:marBottom w:val="0"/>
      <w:divBdr>
        <w:top w:val="none" w:sz="0" w:space="0" w:color="auto"/>
        <w:left w:val="none" w:sz="0" w:space="0" w:color="auto"/>
        <w:bottom w:val="none" w:sz="0" w:space="0" w:color="auto"/>
        <w:right w:val="none" w:sz="0" w:space="0" w:color="auto"/>
      </w:divBdr>
    </w:div>
    <w:div w:id="1515606118">
      <w:bodyDiv w:val="1"/>
      <w:marLeft w:val="0"/>
      <w:marRight w:val="0"/>
      <w:marTop w:val="0"/>
      <w:marBottom w:val="0"/>
      <w:divBdr>
        <w:top w:val="none" w:sz="0" w:space="0" w:color="auto"/>
        <w:left w:val="none" w:sz="0" w:space="0" w:color="auto"/>
        <w:bottom w:val="none" w:sz="0" w:space="0" w:color="auto"/>
        <w:right w:val="none" w:sz="0" w:space="0" w:color="auto"/>
      </w:divBdr>
    </w:div>
    <w:div w:id="1519156053">
      <w:bodyDiv w:val="1"/>
      <w:marLeft w:val="0"/>
      <w:marRight w:val="0"/>
      <w:marTop w:val="0"/>
      <w:marBottom w:val="0"/>
      <w:divBdr>
        <w:top w:val="none" w:sz="0" w:space="0" w:color="auto"/>
        <w:left w:val="none" w:sz="0" w:space="0" w:color="auto"/>
        <w:bottom w:val="none" w:sz="0" w:space="0" w:color="auto"/>
        <w:right w:val="none" w:sz="0" w:space="0" w:color="auto"/>
      </w:divBdr>
    </w:div>
    <w:div w:id="1541479850">
      <w:bodyDiv w:val="1"/>
      <w:marLeft w:val="0"/>
      <w:marRight w:val="0"/>
      <w:marTop w:val="0"/>
      <w:marBottom w:val="0"/>
      <w:divBdr>
        <w:top w:val="none" w:sz="0" w:space="0" w:color="auto"/>
        <w:left w:val="none" w:sz="0" w:space="0" w:color="auto"/>
        <w:bottom w:val="none" w:sz="0" w:space="0" w:color="auto"/>
        <w:right w:val="none" w:sz="0" w:space="0" w:color="auto"/>
      </w:divBdr>
    </w:div>
    <w:div w:id="1546137513">
      <w:bodyDiv w:val="1"/>
      <w:marLeft w:val="0"/>
      <w:marRight w:val="0"/>
      <w:marTop w:val="0"/>
      <w:marBottom w:val="0"/>
      <w:divBdr>
        <w:top w:val="none" w:sz="0" w:space="0" w:color="auto"/>
        <w:left w:val="none" w:sz="0" w:space="0" w:color="auto"/>
        <w:bottom w:val="none" w:sz="0" w:space="0" w:color="auto"/>
        <w:right w:val="none" w:sz="0" w:space="0" w:color="auto"/>
      </w:divBdr>
    </w:div>
    <w:div w:id="1552645798">
      <w:bodyDiv w:val="1"/>
      <w:marLeft w:val="0"/>
      <w:marRight w:val="0"/>
      <w:marTop w:val="0"/>
      <w:marBottom w:val="0"/>
      <w:divBdr>
        <w:top w:val="none" w:sz="0" w:space="0" w:color="auto"/>
        <w:left w:val="none" w:sz="0" w:space="0" w:color="auto"/>
        <w:bottom w:val="none" w:sz="0" w:space="0" w:color="auto"/>
        <w:right w:val="none" w:sz="0" w:space="0" w:color="auto"/>
      </w:divBdr>
    </w:div>
    <w:div w:id="1572041112">
      <w:bodyDiv w:val="1"/>
      <w:marLeft w:val="0"/>
      <w:marRight w:val="0"/>
      <w:marTop w:val="0"/>
      <w:marBottom w:val="0"/>
      <w:divBdr>
        <w:top w:val="none" w:sz="0" w:space="0" w:color="auto"/>
        <w:left w:val="none" w:sz="0" w:space="0" w:color="auto"/>
        <w:bottom w:val="none" w:sz="0" w:space="0" w:color="auto"/>
        <w:right w:val="none" w:sz="0" w:space="0" w:color="auto"/>
      </w:divBdr>
    </w:div>
    <w:div w:id="1598295115">
      <w:bodyDiv w:val="1"/>
      <w:marLeft w:val="0"/>
      <w:marRight w:val="0"/>
      <w:marTop w:val="0"/>
      <w:marBottom w:val="0"/>
      <w:divBdr>
        <w:top w:val="none" w:sz="0" w:space="0" w:color="auto"/>
        <w:left w:val="none" w:sz="0" w:space="0" w:color="auto"/>
        <w:bottom w:val="none" w:sz="0" w:space="0" w:color="auto"/>
        <w:right w:val="none" w:sz="0" w:space="0" w:color="auto"/>
      </w:divBdr>
    </w:div>
    <w:div w:id="1602492392">
      <w:bodyDiv w:val="1"/>
      <w:marLeft w:val="0"/>
      <w:marRight w:val="0"/>
      <w:marTop w:val="0"/>
      <w:marBottom w:val="0"/>
      <w:divBdr>
        <w:top w:val="none" w:sz="0" w:space="0" w:color="auto"/>
        <w:left w:val="none" w:sz="0" w:space="0" w:color="auto"/>
        <w:bottom w:val="none" w:sz="0" w:space="0" w:color="auto"/>
        <w:right w:val="none" w:sz="0" w:space="0" w:color="auto"/>
      </w:divBdr>
    </w:div>
    <w:div w:id="1610819734">
      <w:bodyDiv w:val="1"/>
      <w:marLeft w:val="0"/>
      <w:marRight w:val="0"/>
      <w:marTop w:val="0"/>
      <w:marBottom w:val="0"/>
      <w:divBdr>
        <w:top w:val="none" w:sz="0" w:space="0" w:color="auto"/>
        <w:left w:val="none" w:sz="0" w:space="0" w:color="auto"/>
        <w:bottom w:val="none" w:sz="0" w:space="0" w:color="auto"/>
        <w:right w:val="none" w:sz="0" w:space="0" w:color="auto"/>
      </w:divBdr>
    </w:div>
    <w:div w:id="1629899971">
      <w:bodyDiv w:val="1"/>
      <w:marLeft w:val="0"/>
      <w:marRight w:val="0"/>
      <w:marTop w:val="0"/>
      <w:marBottom w:val="0"/>
      <w:divBdr>
        <w:top w:val="none" w:sz="0" w:space="0" w:color="auto"/>
        <w:left w:val="none" w:sz="0" w:space="0" w:color="auto"/>
        <w:bottom w:val="none" w:sz="0" w:space="0" w:color="auto"/>
        <w:right w:val="none" w:sz="0" w:space="0" w:color="auto"/>
      </w:divBdr>
    </w:div>
    <w:div w:id="1648514369">
      <w:bodyDiv w:val="1"/>
      <w:marLeft w:val="0"/>
      <w:marRight w:val="0"/>
      <w:marTop w:val="0"/>
      <w:marBottom w:val="0"/>
      <w:divBdr>
        <w:top w:val="none" w:sz="0" w:space="0" w:color="auto"/>
        <w:left w:val="none" w:sz="0" w:space="0" w:color="auto"/>
        <w:bottom w:val="none" w:sz="0" w:space="0" w:color="auto"/>
        <w:right w:val="none" w:sz="0" w:space="0" w:color="auto"/>
      </w:divBdr>
    </w:div>
    <w:div w:id="1656030365">
      <w:bodyDiv w:val="1"/>
      <w:marLeft w:val="0"/>
      <w:marRight w:val="0"/>
      <w:marTop w:val="0"/>
      <w:marBottom w:val="0"/>
      <w:divBdr>
        <w:top w:val="none" w:sz="0" w:space="0" w:color="auto"/>
        <w:left w:val="none" w:sz="0" w:space="0" w:color="auto"/>
        <w:bottom w:val="none" w:sz="0" w:space="0" w:color="auto"/>
        <w:right w:val="none" w:sz="0" w:space="0" w:color="auto"/>
      </w:divBdr>
    </w:div>
    <w:div w:id="1665039873">
      <w:bodyDiv w:val="1"/>
      <w:marLeft w:val="0"/>
      <w:marRight w:val="0"/>
      <w:marTop w:val="0"/>
      <w:marBottom w:val="0"/>
      <w:divBdr>
        <w:top w:val="none" w:sz="0" w:space="0" w:color="auto"/>
        <w:left w:val="none" w:sz="0" w:space="0" w:color="auto"/>
        <w:bottom w:val="none" w:sz="0" w:space="0" w:color="auto"/>
        <w:right w:val="none" w:sz="0" w:space="0" w:color="auto"/>
      </w:divBdr>
    </w:div>
    <w:div w:id="1668557464">
      <w:bodyDiv w:val="1"/>
      <w:marLeft w:val="0"/>
      <w:marRight w:val="0"/>
      <w:marTop w:val="0"/>
      <w:marBottom w:val="0"/>
      <w:divBdr>
        <w:top w:val="none" w:sz="0" w:space="0" w:color="auto"/>
        <w:left w:val="none" w:sz="0" w:space="0" w:color="auto"/>
        <w:bottom w:val="none" w:sz="0" w:space="0" w:color="auto"/>
        <w:right w:val="none" w:sz="0" w:space="0" w:color="auto"/>
      </w:divBdr>
    </w:div>
    <w:div w:id="1678001551">
      <w:bodyDiv w:val="1"/>
      <w:marLeft w:val="0"/>
      <w:marRight w:val="0"/>
      <w:marTop w:val="0"/>
      <w:marBottom w:val="0"/>
      <w:divBdr>
        <w:top w:val="none" w:sz="0" w:space="0" w:color="auto"/>
        <w:left w:val="none" w:sz="0" w:space="0" w:color="auto"/>
        <w:bottom w:val="none" w:sz="0" w:space="0" w:color="auto"/>
        <w:right w:val="none" w:sz="0" w:space="0" w:color="auto"/>
      </w:divBdr>
    </w:div>
    <w:div w:id="1693992625">
      <w:bodyDiv w:val="1"/>
      <w:marLeft w:val="0"/>
      <w:marRight w:val="0"/>
      <w:marTop w:val="0"/>
      <w:marBottom w:val="0"/>
      <w:divBdr>
        <w:top w:val="none" w:sz="0" w:space="0" w:color="auto"/>
        <w:left w:val="none" w:sz="0" w:space="0" w:color="auto"/>
        <w:bottom w:val="none" w:sz="0" w:space="0" w:color="auto"/>
        <w:right w:val="none" w:sz="0" w:space="0" w:color="auto"/>
      </w:divBdr>
    </w:div>
    <w:div w:id="1722628551">
      <w:bodyDiv w:val="1"/>
      <w:marLeft w:val="0"/>
      <w:marRight w:val="0"/>
      <w:marTop w:val="0"/>
      <w:marBottom w:val="0"/>
      <w:divBdr>
        <w:top w:val="none" w:sz="0" w:space="0" w:color="auto"/>
        <w:left w:val="none" w:sz="0" w:space="0" w:color="auto"/>
        <w:bottom w:val="none" w:sz="0" w:space="0" w:color="auto"/>
        <w:right w:val="none" w:sz="0" w:space="0" w:color="auto"/>
      </w:divBdr>
    </w:div>
    <w:div w:id="1725594082">
      <w:bodyDiv w:val="1"/>
      <w:marLeft w:val="0"/>
      <w:marRight w:val="0"/>
      <w:marTop w:val="0"/>
      <w:marBottom w:val="0"/>
      <w:divBdr>
        <w:top w:val="none" w:sz="0" w:space="0" w:color="auto"/>
        <w:left w:val="none" w:sz="0" w:space="0" w:color="auto"/>
        <w:bottom w:val="none" w:sz="0" w:space="0" w:color="auto"/>
        <w:right w:val="none" w:sz="0" w:space="0" w:color="auto"/>
      </w:divBdr>
    </w:div>
    <w:div w:id="1726635239">
      <w:bodyDiv w:val="1"/>
      <w:marLeft w:val="0"/>
      <w:marRight w:val="0"/>
      <w:marTop w:val="0"/>
      <w:marBottom w:val="0"/>
      <w:divBdr>
        <w:top w:val="none" w:sz="0" w:space="0" w:color="auto"/>
        <w:left w:val="none" w:sz="0" w:space="0" w:color="auto"/>
        <w:bottom w:val="none" w:sz="0" w:space="0" w:color="auto"/>
        <w:right w:val="none" w:sz="0" w:space="0" w:color="auto"/>
      </w:divBdr>
    </w:div>
    <w:div w:id="1727531291">
      <w:bodyDiv w:val="1"/>
      <w:marLeft w:val="0"/>
      <w:marRight w:val="0"/>
      <w:marTop w:val="0"/>
      <w:marBottom w:val="0"/>
      <w:divBdr>
        <w:top w:val="none" w:sz="0" w:space="0" w:color="auto"/>
        <w:left w:val="none" w:sz="0" w:space="0" w:color="auto"/>
        <w:bottom w:val="none" w:sz="0" w:space="0" w:color="auto"/>
        <w:right w:val="none" w:sz="0" w:space="0" w:color="auto"/>
      </w:divBdr>
    </w:div>
    <w:div w:id="1757554599">
      <w:bodyDiv w:val="1"/>
      <w:marLeft w:val="0"/>
      <w:marRight w:val="0"/>
      <w:marTop w:val="0"/>
      <w:marBottom w:val="0"/>
      <w:divBdr>
        <w:top w:val="none" w:sz="0" w:space="0" w:color="auto"/>
        <w:left w:val="none" w:sz="0" w:space="0" w:color="auto"/>
        <w:bottom w:val="none" w:sz="0" w:space="0" w:color="auto"/>
        <w:right w:val="none" w:sz="0" w:space="0" w:color="auto"/>
      </w:divBdr>
    </w:div>
    <w:div w:id="1760984474">
      <w:bodyDiv w:val="1"/>
      <w:marLeft w:val="0"/>
      <w:marRight w:val="0"/>
      <w:marTop w:val="0"/>
      <w:marBottom w:val="0"/>
      <w:divBdr>
        <w:top w:val="none" w:sz="0" w:space="0" w:color="auto"/>
        <w:left w:val="none" w:sz="0" w:space="0" w:color="auto"/>
        <w:bottom w:val="none" w:sz="0" w:space="0" w:color="auto"/>
        <w:right w:val="none" w:sz="0" w:space="0" w:color="auto"/>
      </w:divBdr>
    </w:div>
    <w:div w:id="1785463545">
      <w:bodyDiv w:val="1"/>
      <w:marLeft w:val="0"/>
      <w:marRight w:val="0"/>
      <w:marTop w:val="0"/>
      <w:marBottom w:val="0"/>
      <w:divBdr>
        <w:top w:val="none" w:sz="0" w:space="0" w:color="auto"/>
        <w:left w:val="none" w:sz="0" w:space="0" w:color="auto"/>
        <w:bottom w:val="none" w:sz="0" w:space="0" w:color="auto"/>
        <w:right w:val="none" w:sz="0" w:space="0" w:color="auto"/>
      </w:divBdr>
    </w:div>
    <w:div w:id="1792043267">
      <w:bodyDiv w:val="1"/>
      <w:marLeft w:val="0"/>
      <w:marRight w:val="0"/>
      <w:marTop w:val="0"/>
      <w:marBottom w:val="0"/>
      <w:divBdr>
        <w:top w:val="none" w:sz="0" w:space="0" w:color="auto"/>
        <w:left w:val="none" w:sz="0" w:space="0" w:color="auto"/>
        <w:bottom w:val="none" w:sz="0" w:space="0" w:color="auto"/>
        <w:right w:val="none" w:sz="0" w:space="0" w:color="auto"/>
      </w:divBdr>
    </w:div>
    <w:div w:id="1811750380">
      <w:bodyDiv w:val="1"/>
      <w:marLeft w:val="0"/>
      <w:marRight w:val="0"/>
      <w:marTop w:val="0"/>
      <w:marBottom w:val="0"/>
      <w:divBdr>
        <w:top w:val="none" w:sz="0" w:space="0" w:color="auto"/>
        <w:left w:val="none" w:sz="0" w:space="0" w:color="auto"/>
        <w:bottom w:val="none" w:sz="0" w:space="0" w:color="auto"/>
        <w:right w:val="none" w:sz="0" w:space="0" w:color="auto"/>
      </w:divBdr>
    </w:div>
    <w:div w:id="1824539003">
      <w:bodyDiv w:val="1"/>
      <w:marLeft w:val="0"/>
      <w:marRight w:val="0"/>
      <w:marTop w:val="0"/>
      <w:marBottom w:val="0"/>
      <w:divBdr>
        <w:top w:val="none" w:sz="0" w:space="0" w:color="auto"/>
        <w:left w:val="none" w:sz="0" w:space="0" w:color="auto"/>
        <w:bottom w:val="none" w:sz="0" w:space="0" w:color="auto"/>
        <w:right w:val="none" w:sz="0" w:space="0" w:color="auto"/>
      </w:divBdr>
    </w:div>
    <w:div w:id="1836919362">
      <w:bodyDiv w:val="1"/>
      <w:marLeft w:val="0"/>
      <w:marRight w:val="0"/>
      <w:marTop w:val="0"/>
      <w:marBottom w:val="0"/>
      <w:divBdr>
        <w:top w:val="none" w:sz="0" w:space="0" w:color="auto"/>
        <w:left w:val="none" w:sz="0" w:space="0" w:color="auto"/>
        <w:bottom w:val="none" w:sz="0" w:space="0" w:color="auto"/>
        <w:right w:val="none" w:sz="0" w:space="0" w:color="auto"/>
      </w:divBdr>
    </w:div>
    <w:div w:id="1843858328">
      <w:bodyDiv w:val="1"/>
      <w:marLeft w:val="0"/>
      <w:marRight w:val="0"/>
      <w:marTop w:val="0"/>
      <w:marBottom w:val="0"/>
      <w:divBdr>
        <w:top w:val="none" w:sz="0" w:space="0" w:color="auto"/>
        <w:left w:val="none" w:sz="0" w:space="0" w:color="auto"/>
        <w:bottom w:val="none" w:sz="0" w:space="0" w:color="auto"/>
        <w:right w:val="none" w:sz="0" w:space="0" w:color="auto"/>
      </w:divBdr>
    </w:div>
    <w:div w:id="1858691823">
      <w:bodyDiv w:val="1"/>
      <w:marLeft w:val="0"/>
      <w:marRight w:val="0"/>
      <w:marTop w:val="0"/>
      <w:marBottom w:val="0"/>
      <w:divBdr>
        <w:top w:val="none" w:sz="0" w:space="0" w:color="auto"/>
        <w:left w:val="none" w:sz="0" w:space="0" w:color="auto"/>
        <w:bottom w:val="none" w:sz="0" w:space="0" w:color="auto"/>
        <w:right w:val="none" w:sz="0" w:space="0" w:color="auto"/>
      </w:divBdr>
    </w:div>
    <w:div w:id="1861427338">
      <w:bodyDiv w:val="1"/>
      <w:marLeft w:val="0"/>
      <w:marRight w:val="0"/>
      <w:marTop w:val="0"/>
      <w:marBottom w:val="0"/>
      <w:divBdr>
        <w:top w:val="none" w:sz="0" w:space="0" w:color="auto"/>
        <w:left w:val="none" w:sz="0" w:space="0" w:color="auto"/>
        <w:bottom w:val="none" w:sz="0" w:space="0" w:color="auto"/>
        <w:right w:val="none" w:sz="0" w:space="0" w:color="auto"/>
      </w:divBdr>
    </w:div>
    <w:div w:id="1879467560">
      <w:bodyDiv w:val="1"/>
      <w:marLeft w:val="0"/>
      <w:marRight w:val="0"/>
      <w:marTop w:val="0"/>
      <w:marBottom w:val="0"/>
      <w:divBdr>
        <w:top w:val="none" w:sz="0" w:space="0" w:color="auto"/>
        <w:left w:val="none" w:sz="0" w:space="0" w:color="auto"/>
        <w:bottom w:val="none" w:sz="0" w:space="0" w:color="auto"/>
        <w:right w:val="none" w:sz="0" w:space="0" w:color="auto"/>
      </w:divBdr>
    </w:div>
    <w:div w:id="1888255002">
      <w:bodyDiv w:val="1"/>
      <w:marLeft w:val="0"/>
      <w:marRight w:val="0"/>
      <w:marTop w:val="0"/>
      <w:marBottom w:val="0"/>
      <w:divBdr>
        <w:top w:val="none" w:sz="0" w:space="0" w:color="auto"/>
        <w:left w:val="none" w:sz="0" w:space="0" w:color="auto"/>
        <w:bottom w:val="none" w:sz="0" w:space="0" w:color="auto"/>
        <w:right w:val="none" w:sz="0" w:space="0" w:color="auto"/>
      </w:divBdr>
    </w:div>
    <w:div w:id="1891334919">
      <w:bodyDiv w:val="1"/>
      <w:marLeft w:val="0"/>
      <w:marRight w:val="0"/>
      <w:marTop w:val="0"/>
      <w:marBottom w:val="0"/>
      <w:divBdr>
        <w:top w:val="none" w:sz="0" w:space="0" w:color="auto"/>
        <w:left w:val="none" w:sz="0" w:space="0" w:color="auto"/>
        <w:bottom w:val="none" w:sz="0" w:space="0" w:color="auto"/>
        <w:right w:val="none" w:sz="0" w:space="0" w:color="auto"/>
      </w:divBdr>
    </w:div>
    <w:div w:id="1894080893">
      <w:bodyDiv w:val="1"/>
      <w:marLeft w:val="0"/>
      <w:marRight w:val="0"/>
      <w:marTop w:val="0"/>
      <w:marBottom w:val="0"/>
      <w:divBdr>
        <w:top w:val="none" w:sz="0" w:space="0" w:color="auto"/>
        <w:left w:val="none" w:sz="0" w:space="0" w:color="auto"/>
        <w:bottom w:val="none" w:sz="0" w:space="0" w:color="auto"/>
        <w:right w:val="none" w:sz="0" w:space="0" w:color="auto"/>
      </w:divBdr>
    </w:div>
    <w:div w:id="1896504786">
      <w:bodyDiv w:val="1"/>
      <w:marLeft w:val="0"/>
      <w:marRight w:val="0"/>
      <w:marTop w:val="0"/>
      <w:marBottom w:val="0"/>
      <w:divBdr>
        <w:top w:val="none" w:sz="0" w:space="0" w:color="auto"/>
        <w:left w:val="none" w:sz="0" w:space="0" w:color="auto"/>
        <w:bottom w:val="none" w:sz="0" w:space="0" w:color="auto"/>
        <w:right w:val="none" w:sz="0" w:space="0" w:color="auto"/>
      </w:divBdr>
    </w:div>
    <w:div w:id="1899437278">
      <w:bodyDiv w:val="1"/>
      <w:marLeft w:val="0"/>
      <w:marRight w:val="0"/>
      <w:marTop w:val="0"/>
      <w:marBottom w:val="0"/>
      <w:divBdr>
        <w:top w:val="none" w:sz="0" w:space="0" w:color="auto"/>
        <w:left w:val="none" w:sz="0" w:space="0" w:color="auto"/>
        <w:bottom w:val="none" w:sz="0" w:space="0" w:color="auto"/>
        <w:right w:val="none" w:sz="0" w:space="0" w:color="auto"/>
      </w:divBdr>
    </w:div>
    <w:div w:id="1927618158">
      <w:bodyDiv w:val="1"/>
      <w:marLeft w:val="0"/>
      <w:marRight w:val="0"/>
      <w:marTop w:val="0"/>
      <w:marBottom w:val="0"/>
      <w:divBdr>
        <w:top w:val="none" w:sz="0" w:space="0" w:color="auto"/>
        <w:left w:val="none" w:sz="0" w:space="0" w:color="auto"/>
        <w:bottom w:val="none" w:sz="0" w:space="0" w:color="auto"/>
        <w:right w:val="none" w:sz="0" w:space="0" w:color="auto"/>
      </w:divBdr>
    </w:div>
    <w:div w:id="1932543956">
      <w:bodyDiv w:val="1"/>
      <w:marLeft w:val="0"/>
      <w:marRight w:val="0"/>
      <w:marTop w:val="0"/>
      <w:marBottom w:val="0"/>
      <w:divBdr>
        <w:top w:val="none" w:sz="0" w:space="0" w:color="auto"/>
        <w:left w:val="none" w:sz="0" w:space="0" w:color="auto"/>
        <w:bottom w:val="none" w:sz="0" w:space="0" w:color="auto"/>
        <w:right w:val="none" w:sz="0" w:space="0" w:color="auto"/>
      </w:divBdr>
    </w:div>
    <w:div w:id="1934708147">
      <w:bodyDiv w:val="1"/>
      <w:marLeft w:val="0"/>
      <w:marRight w:val="0"/>
      <w:marTop w:val="0"/>
      <w:marBottom w:val="0"/>
      <w:divBdr>
        <w:top w:val="none" w:sz="0" w:space="0" w:color="auto"/>
        <w:left w:val="none" w:sz="0" w:space="0" w:color="auto"/>
        <w:bottom w:val="none" w:sz="0" w:space="0" w:color="auto"/>
        <w:right w:val="none" w:sz="0" w:space="0" w:color="auto"/>
      </w:divBdr>
    </w:div>
    <w:div w:id="1942293444">
      <w:bodyDiv w:val="1"/>
      <w:marLeft w:val="0"/>
      <w:marRight w:val="0"/>
      <w:marTop w:val="0"/>
      <w:marBottom w:val="0"/>
      <w:divBdr>
        <w:top w:val="none" w:sz="0" w:space="0" w:color="auto"/>
        <w:left w:val="none" w:sz="0" w:space="0" w:color="auto"/>
        <w:bottom w:val="none" w:sz="0" w:space="0" w:color="auto"/>
        <w:right w:val="none" w:sz="0" w:space="0" w:color="auto"/>
      </w:divBdr>
    </w:div>
    <w:div w:id="1952005587">
      <w:bodyDiv w:val="1"/>
      <w:marLeft w:val="0"/>
      <w:marRight w:val="0"/>
      <w:marTop w:val="0"/>
      <w:marBottom w:val="0"/>
      <w:divBdr>
        <w:top w:val="none" w:sz="0" w:space="0" w:color="auto"/>
        <w:left w:val="none" w:sz="0" w:space="0" w:color="auto"/>
        <w:bottom w:val="none" w:sz="0" w:space="0" w:color="auto"/>
        <w:right w:val="none" w:sz="0" w:space="0" w:color="auto"/>
      </w:divBdr>
    </w:div>
    <w:div w:id="1955863577">
      <w:bodyDiv w:val="1"/>
      <w:marLeft w:val="0"/>
      <w:marRight w:val="0"/>
      <w:marTop w:val="0"/>
      <w:marBottom w:val="0"/>
      <w:divBdr>
        <w:top w:val="none" w:sz="0" w:space="0" w:color="auto"/>
        <w:left w:val="none" w:sz="0" w:space="0" w:color="auto"/>
        <w:bottom w:val="none" w:sz="0" w:space="0" w:color="auto"/>
        <w:right w:val="none" w:sz="0" w:space="0" w:color="auto"/>
      </w:divBdr>
    </w:div>
    <w:div w:id="1957521848">
      <w:bodyDiv w:val="1"/>
      <w:marLeft w:val="0"/>
      <w:marRight w:val="0"/>
      <w:marTop w:val="0"/>
      <w:marBottom w:val="0"/>
      <w:divBdr>
        <w:top w:val="none" w:sz="0" w:space="0" w:color="auto"/>
        <w:left w:val="none" w:sz="0" w:space="0" w:color="auto"/>
        <w:bottom w:val="none" w:sz="0" w:space="0" w:color="auto"/>
        <w:right w:val="none" w:sz="0" w:space="0" w:color="auto"/>
      </w:divBdr>
    </w:div>
    <w:div w:id="2000234165">
      <w:bodyDiv w:val="1"/>
      <w:marLeft w:val="0"/>
      <w:marRight w:val="0"/>
      <w:marTop w:val="0"/>
      <w:marBottom w:val="0"/>
      <w:divBdr>
        <w:top w:val="none" w:sz="0" w:space="0" w:color="auto"/>
        <w:left w:val="none" w:sz="0" w:space="0" w:color="auto"/>
        <w:bottom w:val="none" w:sz="0" w:space="0" w:color="auto"/>
        <w:right w:val="none" w:sz="0" w:space="0" w:color="auto"/>
      </w:divBdr>
    </w:div>
    <w:div w:id="2018195718">
      <w:bodyDiv w:val="1"/>
      <w:marLeft w:val="0"/>
      <w:marRight w:val="0"/>
      <w:marTop w:val="0"/>
      <w:marBottom w:val="0"/>
      <w:divBdr>
        <w:top w:val="none" w:sz="0" w:space="0" w:color="auto"/>
        <w:left w:val="none" w:sz="0" w:space="0" w:color="auto"/>
        <w:bottom w:val="none" w:sz="0" w:space="0" w:color="auto"/>
        <w:right w:val="none" w:sz="0" w:space="0" w:color="auto"/>
      </w:divBdr>
    </w:div>
    <w:div w:id="2022272104">
      <w:bodyDiv w:val="1"/>
      <w:marLeft w:val="0"/>
      <w:marRight w:val="0"/>
      <w:marTop w:val="0"/>
      <w:marBottom w:val="0"/>
      <w:divBdr>
        <w:top w:val="none" w:sz="0" w:space="0" w:color="auto"/>
        <w:left w:val="none" w:sz="0" w:space="0" w:color="auto"/>
        <w:bottom w:val="none" w:sz="0" w:space="0" w:color="auto"/>
        <w:right w:val="none" w:sz="0" w:space="0" w:color="auto"/>
      </w:divBdr>
    </w:div>
    <w:div w:id="2030525061">
      <w:bodyDiv w:val="1"/>
      <w:marLeft w:val="0"/>
      <w:marRight w:val="0"/>
      <w:marTop w:val="0"/>
      <w:marBottom w:val="0"/>
      <w:divBdr>
        <w:top w:val="none" w:sz="0" w:space="0" w:color="auto"/>
        <w:left w:val="none" w:sz="0" w:space="0" w:color="auto"/>
        <w:bottom w:val="none" w:sz="0" w:space="0" w:color="auto"/>
        <w:right w:val="none" w:sz="0" w:space="0" w:color="auto"/>
      </w:divBdr>
    </w:div>
    <w:div w:id="2043701654">
      <w:bodyDiv w:val="1"/>
      <w:marLeft w:val="0"/>
      <w:marRight w:val="0"/>
      <w:marTop w:val="0"/>
      <w:marBottom w:val="0"/>
      <w:divBdr>
        <w:top w:val="none" w:sz="0" w:space="0" w:color="auto"/>
        <w:left w:val="none" w:sz="0" w:space="0" w:color="auto"/>
        <w:bottom w:val="none" w:sz="0" w:space="0" w:color="auto"/>
        <w:right w:val="none" w:sz="0" w:space="0" w:color="auto"/>
      </w:divBdr>
    </w:div>
    <w:div w:id="2045589946">
      <w:bodyDiv w:val="1"/>
      <w:marLeft w:val="0"/>
      <w:marRight w:val="0"/>
      <w:marTop w:val="0"/>
      <w:marBottom w:val="0"/>
      <w:divBdr>
        <w:top w:val="none" w:sz="0" w:space="0" w:color="auto"/>
        <w:left w:val="none" w:sz="0" w:space="0" w:color="auto"/>
        <w:bottom w:val="none" w:sz="0" w:space="0" w:color="auto"/>
        <w:right w:val="none" w:sz="0" w:space="0" w:color="auto"/>
      </w:divBdr>
    </w:div>
    <w:div w:id="2054690764">
      <w:bodyDiv w:val="1"/>
      <w:marLeft w:val="0"/>
      <w:marRight w:val="0"/>
      <w:marTop w:val="0"/>
      <w:marBottom w:val="0"/>
      <w:divBdr>
        <w:top w:val="none" w:sz="0" w:space="0" w:color="auto"/>
        <w:left w:val="none" w:sz="0" w:space="0" w:color="auto"/>
        <w:bottom w:val="none" w:sz="0" w:space="0" w:color="auto"/>
        <w:right w:val="none" w:sz="0" w:space="0" w:color="auto"/>
      </w:divBdr>
    </w:div>
    <w:div w:id="2066639264">
      <w:bodyDiv w:val="1"/>
      <w:marLeft w:val="0"/>
      <w:marRight w:val="0"/>
      <w:marTop w:val="0"/>
      <w:marBottom w:val="0"/>
      <w:divBdr>
        <w:top w:val="none" w:sz="0" w:space="0" w:color="auto"/>
        <w:left w:val="none" w:sz="0" w:space="0" w:color="auto"/>
        <w:bottom w:val="none" w:sz="0" w:space="0" w:color="auto"/>
        <w:right w:val="none" w:sz="0" w:space="0" w:color="auto"/>
      </w:divBdr>
    </w:div>
    <w:div w:id="2068526142">
      <w:bodyDiv w:val="1"/>
      <w:marLeft w:val="0"/>
      <w:marRight w:val="0"/>
      <w:marTop w:val="0"/>
      <w:marBottom w:val="0"/>
      <w:divBdr>
        <w:top w:val="none" w:sz="0" w:space="0" w:color="auto"/>
        <w:left w:val="none" w:sz="0" w:space="0" w:color="auto"/>
        <w:bottom w:val="none" w:sz="0" w:space="0" w:color="auto"/>
        <w:right w:val="none" w:sz="0" w:space="0" w:color="auto"/>
      </w:divBdr>
    </w:div>
    <w:div w:id="2072077033">
      <w:bodyDiv w:val="1"/>
      <w:marLeft w:val="0"/>
      <w:marRight w:val="0"/>
      <w:marTop w:val="0"/>
      <w:marBottom w:val="0"/>
      <w:divBdr>
        <w:top w:val="none" w:sz="0" w:space="0" w:color="auto"/>
        <w:left w:val="none" w:sz="0" w:space="0" w:color="auto"/>
        <w:bottom w:val="none" w:sz="0" w:space="0" w:color="auto"/>
        <w:right w:val="none" w:sz="0" w:space="0" w:color="auto"/>
      </w:divBdr>
    </w:div>
    <w:div w:id="2087414277">
      <w:bodyDiv w:val="1"/>
      <w:marLeft w:val="0"/>
      <w:marRight w:val="0"/>
      <w:marTop w:val="0"/>
      <w:marBottom w:val="0"/>
      <w:divBdr>
        <w:top w:val="none" w:sz="0" w:space="0" w:color="auto"/>
        <w:left w:val="none" w:sz="0" w:space="0" w:color="auto"/>
        <w:bottom w:val="none" w:sz="0" w:space="0" w:color="auto"/>
        <w:right w:val="none" w:sz="0" w:space="0" w:color="auto"/>
      </w:divBdr>
    </w:div>
    <w:div w:id="2111701011">
      <w:bodyDiv w:val="1"/>
      <w:marLeft w:val="0"/>
      <w:marRight w:val="0"/>
      <w:marTop w:val="0"/>
      <w:marBottom w:val="0"/>
      <w:divBdr>
        <w:top w:val="none" w:sz="0" w:space="0" w:color="auto"/>
        <w:left w:val="none" w:sz="0" w:space="0" w:color="auto"/>
        <w:bottom w:val="none" w:sz="0" w:space="0" w:color="auto"/>
        <w:right w:val="none" w:sz="0" w:space="0" w:color="auto"/>
      </w:divBdr>
    </w:div>
    <w:div w:id="2116097359">
      <w:bodyDiv w:val="1"/>
      <w:marLeft w:val="0"/>
      <w:marRight w:val="0"/>
      <w:marTop w:val="0"/>
      <w:marBottom w:val="0"/>
      <w:divBdr>
        <w:top w:val="none" w:sz="0" w:space="0" w:color="auto"/>
        <w:left w:val="none" w:sz="0" w:space="0" w:color="auto"/>
        <w:bottom w:val="none" w:sz="0" w:space="0" w:color="auto"/>
        <w:right w:val="none" w:sz="0" w:space="0" w:color="auto"/>
      </w:divBdr>
    </w:div>
    <w:div w:id="2118523925">
      <w:bodyDiv w:val="1"/>
      <w:marLeft w:val="0"/>
      <w:marRight w:val="0"/>
      <w:marTop w:val="0"/>
      <w:marBottom w:val="0"/>
      <w:divBdr>
        <w:top w:val="none" w:sz="0" w:space="0" w:color="auto"/>
        <w:left w:val="none" w:sz="0" w:space="0" w:color="auto"/>
        <w:bottom w:val="none" w:sz="0" w:space="0" w:color="auto"/>
        <w:right w:val="none" w:sz="0" w:space="0" w:color="auto"/>
      </w:divBdr>
    </w:div>
    <w:div w:id="2123717608">
      <w:bodyDiv w:val="1"/>
      <w:marLeft w:val="0"/>
      <w:marRight w:val="0"/>
      <w:marTop w:val="0"/>
      <w:marBottom w:val="0"/>
      <w:divBdr>
        <w:top w:val="none" w:sz="0" w:space="0" w:color="auto"/>
        <w:left w:val="none" w:sz="0" w:space="0" w:color="auto"/>
        <w:bottom w:val="none" w:sz="0" w:space="0" w:color="auto"/>
        <w:right w:val="none" w:sz="0" w:space="0" w:color="auto"/>
      </w:divBdr>
    </w:div>
    <w:div w:id="2130320655">
      <w:bodyDiv w:val="1"/>
      <w:marLeft w:val="0"/>
      <w:marRight w:val="0"/>
      <w:marTop w:val="0"/>
      <w:marBottom w:val="0"/>
      <w:divBdr>
        <w:top w:val="none" w:sz="0" w:space="0" w:color="auto"/>
        <w:left w:val="none" w:sz="0" w:space="0" w:color="auto"/>
        <w:bottom w:val="none" w:sz="0" w:space="0" w:color="auto"/>
        <w:right w:val="none" w:sz="0" w:space="0" w:color="auto"/>
      </w:divBdr>
    </w:div>
    <w:div w:id="21389098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Mal16</b:Tag>
    <b:SourceType>Book</b:SourceType>
    <b:Guid>{BEF4231D-8044-2647-8767-96F3F55D84B8}</b:Guid>
    <b:Title>Corporate Governance.</b:Title>
    <b:Year>2016</b:Year>
    <b:Author>
      <b:Author>
        <b:NameList>
          <b:Person>
            <b:Last>Mallin</b:Last>
            <b:First>C.</b:First>
            <b:Middle>A.</b:Middle>
          </b:Person>
        </b:NameList>
      </b:Author>
    </b:Author>
    <b:City>Oxford</b:City>
    <b:Publisher>Oxford University Press</b:Publisher>
    <b:RefOrder>4</b:RefOrder>
  </b:Source>
  <b:Source>
    <b:Tag>Eig24</b:Tag>
    <b:SourceType>DocumentFromInternetSite</b:SourceType>
    <b:Guid>{453ED9FC-D06C-2448-8CAB-E3DDE219D51B}</b:Guid>
    <b:Title>Tesco SWOT Analysis</b:Title>
    <b:InternetSiteTitle>Eightception</b:InternetSiteTitle>
    <b:URL>https://eightception.com/tesco-swot-analysis/</b:URL>
    <b:Year>2024</b:Year>
    <b:Month>October</b:Month>
    <b:Day>20</b:Day>
    <b:Author>
      <b:Author>
        <b:NameList>
          <b:Person>
            <b:Last>Eightception</b:Last>
          </b:Person>
        </b:NameList>
      </b:Author>
    </b:Author>
    <b:YearAccessed>2024</b:YearAccessed>
    <b:MonthAccessed>October</b:MonthAccessed>
    <b:DayAccessed>26</b:DayAccessed>
    <b:RefOrder>13</b:RefOrder>
  </b:Source>
  <b:Source>
    <b:Tag>Tes19</b:Tag>
    <b:SourceType>DocumentFromInternetSite</b:SourceType>
    <b:Guid>{AB8AFB8F-6D6C-4442-AEDB-CB862ED98248}</b:Guid>
    <b:Title>Tesco PLC Annual Report and Financial Statements 2019</b:Title>
    <b:InternetSiteTitle>Tesco</b:InternetSiteTitle>
    <b:URL>https://www.tescoplc.com/media/476423/tesco_ar_2019.pdf</b:URL>
    <b:Year>2019</b:Year>
    <b:Author>
      <b:Author>
        <b:NameList>
          <b:Person>
            <b:Last>PLC</b:Last>
            <b:First>Tesco</b:First>
          </b:Person>
        </b:NameList>
      </b:Author>
    </b:Author>
    <b:YearAccessed>2024</b:YearAccessed>
    <b:MonthAccessed>October</b:MonthAccessed>
    <b:DayAccessed>25</b:DayAccessed>
    <b:RefOrder>9</b:RefOrder>
  </b:Source>
  <b:Source>
    <b:Tag>Tes24</b:Tag>
    <b:SourceType>DocumentFromInternetSite</b:SourceType>
    <b:Guid>{9F2CA97F-5DE5-2243-BDAA-31BF918E96EE}</b:Guid>
    <b:Title>Wisesheets</b:Title>
    <b:URL>https://www.wisesheets.io/roe/TSCDY</b:URL>
    <b:Year>2024</b:Year>
    <b:Author>
      <b:Author>
        <b:NameList>
          <b:Person>
            <b:Last>PLC</b:Last>
            <b:First>Tesco</b:First>
          </b:Person>
        </b:NameList>
      </b:Author>
    </b:Author>
    <b:YearAccessed>2024</b:YearAccessed>
    <b:MonthAccessed>October</b:MonthAccessed>
    <b:DayAccessed>25</b:DayAccessed>
    <b:RefOrder>8</b:RefOrder>
  </b:Source>
  <b:Source>
    <b:Tag>Gil00</b:Tag>
    <b:SourceType>JournalArticle</b:SourceType>
    <b:Guid>{475BD110-C87B-E142-9E9E-65E1C85D65F2}</b:Guid>
    <b:Title>Corporate governance proposals and shareholder activism: The role of institutional investors. </b:Title>
    <b:Year>2000</b:Year>
    <b:Author>
      <b:Author>
        <b:NameList>
          <b:Person>
            <b:Last>Gillan</b:Last>
            <b:First>S.</b:First>
            <b:Middle>L.</b:Middle>
          </b:Person>
        </b:NameList>
      </b:Author>
    </b:Author>
    <b:Pages>275-305</b:Pages>
    <b:JournalName>Journal of Financial Economics</b:JournalName>
    <b:Volume>II</b:Volume>
    <b:Issue>57</b:Issue>
    <b:RefOrder>6</b:RefOrder>
  </b:Source>
  <b:Source>
    <b:Tag>PLC24</b:Tag>
    <b:SourceType>InternetSite</b:SourceType>
    <b:Guid>{0712DB20-0984-EF46-AAE4-96ACF8366FD8}</b:Guid>
    <b:Title>Annual Report and Financial Statements 2022</b:Title>
    <b:Year>2023</b:Year>
    <b:Author>
      <b:Author>
        <b:NameList>
          <b:Person>
            <b:Last>PLC</b:Last>
            <b:First>TESCO</b:First>
          </b:Person>
        </b:NameList>
      </b:Author>
    </b:Author>
    <b:InternetSiteTitle>TESCO</b:InternetSiteTitle>
    <b:URL>https://www.tescoplc.com/investors/reports-results-and-presentations/annual-report-2024</b:URL>
    <b:Month>1O</b:Month>
    <b:Day>25</b:Day>
    <b:YearAccessed>2024</b:YearAccessed>
    <b:MonthAccessed>October</b:MonthAccessed>
    <b:DayAccessed>25</b:DayAccessed>
    <b:RefOrder>5</b:RefOrder>
  </b:Source>
  <b:Source>
    <b:Tag>Jam24</b:Tag>
    <b:SourceType>InternetSite</b:SourceType>
    <b:Guid>{798D0858-5C1F-6349-AE5F-AC03412CFFCE}</b:Guid>
    <b:Title>Investopedia</b:Title>
    <b:InternetSiteTitle>Corporate Governance: Definition, Principles, Models, and Examples</b:InternetSiteTitle>
    <b:URL>https://www.investopedia.com/terms/c/corporategovernance.asp</b:URL>
    <b:Year>2024</b:Year>
    <b:Month>September</b:Month>
    <b:Day>12</b:Day>
    <b:Author>
      <b:Author>
        <b:NameList>
          <b:Person>
            <b:Last>James Chen</b:Last>
            <b:First>Margaret</b:First>
            <b:Middle>James</b:Middle>
          </b:Person>
        </b:NameList>
      </b:Author>
    </b:Author>
    <b:YearAccessed>2024</b:YearAccessed>
    <b:MonthAccessed>October</b:MonthAccessed>
    <b:DayAccessed>24</b:DayAccessed>
    <b:RefOrder>3</b:RefOrder>
  </b:Source>
  <b:Source>
    <b:Tag>Met24</b:Tag>
    <b:SourceType>InternetSite</b:SourceType>
    <b:Guid>{AF936AC5-4252-F549-881A-D4A3316AAF60}</b:Guid>
    <b:Title>MetLife Investment Management</b:Title>
    <b:Year>2024</b:Year>
    <b:Author>
      <b:Author>
        <b:NameList>
          <b:Person>
            <b:Last>Management</b:Last>
            <b:First>MetLife</b:First>
            <b:Middle>Investment</b:Middle>
          </b:Person>
        </b:NameList>
      </b:Author>
    </b:Author>
    <b:URL>https://investments.metlife.co.uk/about/sustainability/?cid=c8hpk&amp;utm_id=c8hpk&amp;utm_source=google&amp;utm_medium=cpc&amp;utm_campaign=i_sustn_3q23_Merkle&amp;utm_content=all_MIM_UK_Non%20Brand%20Search_Exact_ESG&amp;utm_term=ESG&amp;promoid=c8hpk&amp;gad_source=1&amp;gbraid=0AAAAAogb</b:URL>
    <b:Month>June</b:Month>
    <b:Day>24</b:Day>
    <b:YearAccessed>2024</b:YearAccessed>
    <b:MonthAccessed>October</b:MonthAccessed>
    <b:DayAccessed>25</b:DayAccessed>
    <b:RefOrder>2</b:RefOrder>
  </b:Source>
  <b:Source>
    <b:Tag>EFa83</b:Tag>
    <b:SourceType>JournalArticle</b:SourceType>
    <b:Guid>{BAC9509F-8C29-AE42-A9CA-07E6013F59D6}</b:Guid>
    <b:Title>Separation of Ownership and Control</b:Title>
    <b:Year>1983</b:Year>
    <b:Pages>301-325</b:Pages>
    <b:Author>
      <b:Author>
        <b:NameList>
          <b:Person>
            <b:Last>E. Fama</b:Last>
            <b:First>M.</b:First>
            <b:Middle>Jensen</b:Middle>
          </b:Person>
        </b:NameList>
      </b:Author>
    </b:Author>
    <b:JournalName> Journal of Law and Economics</b:JournalName>
    <b:Volume>II</b:Volume>
    <b:Issue>26</b:Issue>
    <b:RefOrder>7</b:RefOrder>
  </b:Source>
  <b:Source>
    <b:Tag>Shl97</b:Tag>
    <b:SourceType>JournalArticle</b:SourceType>
    <b:Guid>{05DBB9FF-72B6-BD44-A983-D1906F75AE31}</b:Guid>
    <b:Author>
      <b:Author>
        <b:NameList>
          <b:Person>
            <b:Last>R.W.</b:Last>
            <b:First>Shleifer</b:First>
            <b:Middle>A. and Vishny</b:Middle>
          </b:Person>
        </b:NameList>
      </b:Author>
    </b:Author>
    <b:Title>A Survey of Corporate Governance. </b:Title>
    <b:JournalName>The Journal of Finance</b:JournalName>
    <b:Year>1997</b:Year>
    <b:Volume>II</b:Volume>
    <b:Issue>52</b:Issue>
    <b:Pages>737-783</b:Pages>
    <b:RefOrder>14</b:RefOrder>
  </b:Source>
  <b:Source>
    <b:Tag>Mat23</b:Tag>
    <b:SourceType>DocumentFromInternetSite</b:SourceType>
    <b:Guid>{74EC8770-2CD3-0945-9F38-ADD6AE07192D}</b:Guid>
    <b:Title>TESCO PERSONAL FINANCE PLC ANNUAL REPORT AND FINANCIAL STATEMENTS FOR THE YEAR ENDED 28 FEBRUARY 2023</b:Title>
    <b:Year>2023</b:Year>
    <b:Author>
      <b:Author>
        <b:NameList>
          <b:Person>
            <b:Last>Perkins</b:Last>
            <b:First>Matt</b:First>
          </b:Person>
        </b:NameList>
      </b:Author>
    </b:Author>
    <b:URL>https://bank.tescoplc.com/media/0l5oq5gb/tpf-annual-report-feb-2023-final.pdf</b:URL>
    <b:YearAccessed>2024</b:YearAccessed>
    <b:MonthAccessed>October</b:MonthAccessed>
    <b:DayAccessed>26</b:DayAccessed>
    <b:RefOrder>11</b:RefOrder>
  </b:Source>
  <b:Source>
    <b:Tag>Gur24</b:Tag>
    <b:SourceType>DocumentFromInternetSite</b:SourceType>
    <b:Guid>{F2FC9E4D-98D1-A946-9F4E-6D3F33D33A8D}</b:Guid>
    <b:Author>
      <b:Author>
        <b:NameList>
          <b:Person>
            <b:Last>Gurufocus</b:Last>
          </b:Person>
        </b:NameList>
      </b:Author>
    </b:Author>
    <b:Title>Tesco (TSCDY) ROA % : 4.50% (As of Aug. 2024)</b:Title>
    <b:URL>https://www.gurufocus.com/term/roa/TSCDY</b:URL>
    <b:Year>2024</b:Year>
    <b:YearAccessed>2024</b:YearAccessed>
    <b:MonthAccessed>October</b:MonthAccessed>
    <b:DayAccessed>26</b:DayAccessed>
    <b:RefOrder>12</b:RefOrder>
  </b:Source>
  <b:Source>
    <b:Tag>Cam17</b:Tag>
    <b:SourceType>DocumentFromInternetSite</b:SourceType>
    <b:Guid>{BCF971C3-8CED-4F43-871E-A80895FC21DA}</b:Guid>
    <b:Author>
      <b:Author>
        <b:NameList>
          <b:Person>
            <b:Last>Cottages</b:Last>
            <b:First>Cambridge</b:First>
          </b:Person>
        </b:NameList>
      </b:Author>
    </b:Author>
    <b:Title>EEPH</b:Title>
    <b:URL>https://www.eeph.org.uk</b:URL>
    <b:Year>2017</b:Year>
    <b:YearAccessed>2024</b:YearAccessed>
    <b:MonthAccessed>October</b:MonthAccessed>
    <b:DayAccessed>25</b:DayAccessed>
    <b:RefOrder>1</b:RefOrder>
  </b:Source>
  <b:Source>
    <b:Tag>Ann23</b:Tag>
    <b:SourceType>InternetSite</b:SourceType>
    <b:Guid>{1C181421-B89F-2E49-86B8-E92F553F7D6B}</b:Guid>
    <b:URL>https://www.annualreports.com/Company/tesco-plc</b:URL>
    <b:Year>2023</b:Year>
    <b:YearAccessed>2024</b:YearAccessed>
    <b:MonthAccessed>October</b:MonthAccessed>
    <b:DayAccessed>25</b:DayAccessed>
    <b:Author>
      <b:Author>
        <b:NameList>
          <b:Person>
            <b:Last>AnnualReports</b:Last>
          </b:Person>
        </b:NameList>
      </b:Author>
    </b:Author>
    <b:RefOrder>10</b:RefOrder>
  </b:Source>
  <b:Source>
    <b:Tag>MRa23</b:Tag>
    <b:SourceType>DocumentFromInternetSite</b:SourceType>
    <b:Guid>{065ABD82-7B55-8344-A539-10F9FDD2D2C1}</b:Guid>
    <b:Title>Howandwhat</b:Title>
    <b:URL>https://www.howandwhat.net/stakeholders-of-tesco-an-analysis-of-tescos-stakeholders/</b:URL>
    <b:Year>2023</b:Year>
    <b:YearAccessed>2024</b:YearAccessed>
    <b:MonthAccessed>October</b:MonthAccessed>
    <b:DayAccessed>27</b:DayAccessed>
    <b:Author>
      <b:Author>
        <b:NameList>
          <b:Person>
            <b:Last>Rahman</b:Last>
            <b:First>M.</b:First>
          </b:Person>
        </b:NameList>
      </b:Author>
    </b:Author>
    <b:Month>January</b:Month>
    <b:Day>07</b:Day>
    <b:RefOrder>15</b:RefOrder>
  </b:Source>
</b:Sources>
</file>

<file path=customXml/itemProps1.xml><?xml version="1.0" encoding="utf-8"?>
<ds:datastoreItem xmlns:ds="http://schemas.openxmlformats.org/officeDocument/2006/customXml" ds:itemID="{F5A2997A-2A47-E445-99D5-6D69F7910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TotalTime>
  <Pages>11</Pages>
  <Words>2221</Words>
  <Characters>12666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Adelina Andrusca (2128219)</dc:creator>
  <cp:keywords/>
  <dc:description/>
  <cp:lastModifiedBy>Adelina Andrusca (2128219)</cp:lastModifiedBy>
  <cp:revision>15</cp:revision>
  <dcterms:created xsi:type="dcterms:W3CDTF">2024-10-27T10:04:00Z</dcterms:created>
  <dcterms:modified xsi:type="dcterms:W3CDTF">2024-10-27T19:03:00Z</dcterms:modified>
</cp:coreProperties>
</file>