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DE7D6" w14:textId="181F80DE" w:rsidR="00F512F7" w:rsidRDefault="00F512F7" w:rsidP="00C824A8">
      <w:pPr>
        <w:jc w:val="center"/>
        <w:rPr>
          <w:u w:val="single"/>
        </w:rPr>
      </w:pPr>
      <w:r w:rsidRPr="00132368">
        <w:rPr>
          <w:u w:val="single"/>
        </w:rPr>
        <w:t>Secondary Source Analysis</w:t>
      </w:r>
    </w:p>
    <w:p w14:paraId="4D4A67FF" w14:textId="3A8481B2" w:rsidR="00132368" w:rsidRDefault="00132368" w:rsidP="00132368">
      <w:pPr>
        <w:jc w:val="center"/>
        <w:rPr>
          <w:u w:val="single"/>
        </w:rPr>
      </w:pPr>
    </w:p>
    <w:p w14:paraId="41AF5464" w14:textId="6409ABD7" w:rsidR="00CB68E1" w:rsidRDefault="00E0046E" w:rsidP="00132368">
      <w:r>
        <w:t xml:space="preserve">When analysing </w:t>
      </w:r>
      <w:r w:rsidR="009F4F2F">
        <w:t>C</w:t>
      </w:r>
      <w:r w:rsidR="0023384A">
        <w:t xml:space="preserve">hapter </w:t>
      </w:r>
      <w:r w:rsidR="009F4F2F">
        <w:t>N</w:t>
      </w:r>
      <w:r w:rsidR="0023384A">
        <w:t xml:space="preserve">ine from Casey’s </w:t>
      </w:r>
      <w:r w:rsidR="0023384A" w:rsidRPr="0023384A">
        <w:rPr>
          <w:i/>
        </w:rPr>
        <w:t>After Lives</w:t>
      </w:r>
      <w:r w:rsidR="0023384A">
        <w:rPr>
          <w:i/>
        </w:rPr>
        <w:t>: A guide to Heaven, Hell and Purgatory</w:t>
      </w:r>
      <w:r w:rsidR="0023384A">
        <w:t xml:space="preserve">, </w:t>
      </w:r>
      <w:r w:rsidR="002D16C1">
        <w:t>it is</w:t>
      </w:r>
      <w:r w:rsidR="0023384A">
        <w:t xml:space="preserve"> </w:t>
      </w:r>
      <w:r w:rsidR="002D16C1">
        <w:t>important to</w:t>
      </w:r>
      <w:r w:rsidR="0023384A">
        <w:t xml:space="preserve"> focus on the question he poses</w:t>
      </w:r>
      <w:r w:rsidR="008A0CB1">
        <w:t xml:space="preserve"> at the end of the chapter</w:t>
      </w:r>
      <w:r w:rsidR="0023384A">
        <w:t>,</w:t>
      </w:r>
      <w:r w:rsidR="009F4F2F">
        <w:t xml:space="preserve"> in</w:t>
      </w:r>
      <w:r w:rsidR="0023384A">
        <w:t xml:space="preserve"> asking whether or not </w:t>
      </w:r>
      <w:r w:rsidR="00300391">
        <w:t xml:space="preserve">purgatory was </w:t>
      </w:r>
      <w:r w:rsidR="00990A63">
        <w:t>‘one of the happiest inspirations of the church of Rome’.</w:t>
      </w:r>
      <w:r w:rsidR="00383D87">
        <w:rPr>
          <w:rStyle w:val="FootnoteReference"/>
        </w:rPr>
        <w:footnoteReference w:id="1"/>
      </w:r>
      <w:r w:rsidR="00990A63">
        <w:t xml:space="preserve"> The discussion during the chapter leads to this question, through </w:t>
      </w:r>
      <w:r w:rsidR="008A0CB1">
        <w:t>analysis</w:t>
      </w:r>
      <w:r w:rsidR="00990A63">
        <w:t xml:space="preserve"> of </w:t>
      </w:r>
      <w:r w:rsidR="00D1263F">
        <w:t xml:space="preserve">whether purgatory was actually a positive idea and how this relates to the significance the invention had on the church. </w:t>
      </w:r>
      <w:r w:rsidR="00CB68E1">
        <w:t xml:space="preserve">Casey begins his chapter by establishing the nature of Purgatory, both in idea and the controversy it caused. </w:t>
      </w:r>
      <w:r w:rsidR="00FE4EC0">
        <w:t xml:space="preserve">Early on in the chapter Casey suggests that the notion of purgatory transformed Christianity, despite the resistance from protestants. </w:t>
      </w:r>
      <w:r>
        <w:t xml:space="preserve">Logan </w:t>
      </w:r>
      <w:r w:rsidR="0023384A">
        <w:t>has a similar argument, stating that ‘it would be nearly impossible to exaggerate the significance of purgatory in the life of the medieval church’.</w:t>
      </w:r>
      <w:r w:rsidR="00556EF6">
        <w:rPr>
          <w:rStyle w:val="FootnoteReference"/>
        </w:rPr>
        <w:footnoteReference w:id="2"/>
      </w:r>
    </w:p>
    <w:p w14:paraId="36A695E5" w14:textId="24552AF0" w:rsidR="00AA44BE" w:rsidRDefault="00300391" w:rsidP="00132368">
      <w:r w:rsidRPr="00300391">
        <w:t xml:space="preserve">Casey identifies the money and power </w:t>
      </w:r>
      <w:r w:rsidR="00DC6ADA">
        <w:t>that the practice of indulgences</w:t>
      </w:r>
      <w:r w:rsidRPr="00300391">
        <w:t xml:space="preserve"> gave to the church, questioning whether the promoting of the idea was mainly one for profit. He also points to how in Christianity there is</w:t>
      </w:r>
      <w:r w:rsidR="008A0CB1">
        <w:t xml:space="preserve"> supposed to be</w:t>
      </w:r>
      <w:r w:rsidRPr="00300391">
        <w:t xml:space="preserve"> a ‘boiling gulf between salvation and damnation’.</w:t>
      </w:r>
      <w:r w:rsidR="00D2155B">
        <w:rPr>
          <w:rStyle w:val="FootnoteReference"/>
        </w:rPr>
        <w:footnoteReference w:id="3"/>
      </w:r>
      <w:r w:rsidRPr="00300391">
        <w:t xml:space="preserve"> The idea of purgatory opens up a less clear distinction between those that have sinned and those who lived what the </w:t>
      </w:r>
      <w:r w:rsidR="00FA4805">
        <w:t>c</w:t>
      </w:r>
      <w:r w:rsidRPr="00300391">
        <w:t xml:space="preserve">hurch considered a good life. </w:t>
      </w:r>
      <w:r w:rsidR="00701146">
        <w:t xml:space="preserve">The preacher Johann Tetzel was criticised heavily </w:t>
      </w:r>
      <w:r w:rsidR="00DA47E7">
        <w:t xml:space="preserve">for his sermons concerning indulgences. </w:t>
      </w:r>
      <w:r w:rsidR="00956880">
        <w:t>Myconius</w:t>
      </w:r>
      <w:r w:rsidR="00762EFE">
        <w:t xml:space="preserve"> was particularly angry about this, complaining that Tetzel</w:t>
      </w:r>
      <w:r w:rsidR="00517CA5">
        <w:t xml:space="preserve"> was claiming</w:t>
      </w:r>
      <w:r w:rsidR="00762EFE">
        <w:t xml:space="preserve"> ‘in the very moment the coin rang in the coffer, the soul </w:t>
      </w:r>
      <w:r w:rsidR="00517CA5">
        <w:t>rose up to heaven’,</w:t>
      </w:r>
      <w:r w:rsidR="00556EF6">
        <w:rPr>
          <w:rStyle w:val="FootnoteReference"/>
        </w:rPr>
        <w:footnoteReference w:id="4"/>
      </w:r>
      <w:r w:rsidR="00517CA5">
        <w:t xml:space="preserve"> and that the divinity of God was now in the transferred to the pope. This links to a quote that Casey uses, that ‘a man that hath money in his pocket cannot be damned</w:t>
      </w:r>
      <w:r w:rsidR="00556EF6">
        <w:t>’.</w:t>
      </w:r>
      <w:r w:rsidR="00556EF6">
        <w:rPr>
          <w:rStyle w:val="FootnoteReference"/>
        </w:rPr>
        <w:footnoteReference w:id="5"/>
      </w:r>
      <w:r w:rsidR="00517CA5">
        <w:t xml:space="preserve"> </w:t>
      </w:r>
      <w:r w:rsidR="00243B4C">
        <w:t xml:space="preserve">Casey’s conclusion </w:t>
      </w:r>
      <w:r w:rsidR="00DC6ADA">
        <w:t xml:space="preserve">regarding </w:t>
      </w:r>
      <w:r w:rsidR="00E3397E">
        <w:t xml:space="preserve">indulgences is that </w:t>
      </w:r>
      <w:r w:rsidR="00DC6ADA">
        <w:t xml:space="preserve">was a tool which increased the power for the church and promoted purgatory further. This indicates that the practice was a major part of making purgatory such an influential and transformative doctrine in Casey’s eyes. This is a logical argument as the opportunity for someone to affect their progress in the afterlife in a financial transaction with a trusted source such as the church would have been a universally appealing one, even if the person was planning on still committing a sin in the future and wanted to be excused from it. This will have still succeeded in seeming to be a positive and happy outcome for the individual and the church. </w:t>
      </w:r>
    </w:p>
    <w:p w14:paraId="7ED6FB86" w14:textId="284CCFE0" w:rsidR="00CB72EC" w:rsidRDefault="005B7FFE" w:rsidP="00132368">
      <w:r>
        <w:t>While</w:t>
      </w:r>
      <w:r w:rsidR="002A2499">
        <w:t xml:space="preserve"> </w:t>
      </w:r>
      <w:r>
        <w:t>from many visionary accounts</w:t>
      </w:r>
      <w:r w:rsidR="002A2499">
        <w:t>,</w:t>
      </w:r>
      <w:r w:rsidR="008A0CB1">
        <w:t xml:space="preserve"> despite being</w:t>
      </w:r>
      <w:r>
        <w:t xml:space="preserve"> associated with a certain pain and suffering, there are many mentions of joy and happiness from those in purgatory. This in part supports the question Casey poses at the end of the chapter. He presents a case that purgatory provided a fairer form of justice for those that died, describing how it ‘answered profound needs.’</w:t>
      </w:r>
      <w:r w:rsidR="002F45A0">
        <w:t xml:space="preserve"> </w:t>
      </w:r>
      <w:r w:rsidR="009370CA">
        <w:t xml:space="preserve">Casey’s argument in this respect is sound, as </w:t>
      </w:r>
      <w:r w:rsidR="005D4047">
        <w:t xml:space="preserve">he explains convincingly how purgatory was able to lessen the fear that surrounded the day of judgment, as it gave people another chance to repent and have their family and friends help them with this. </w:t>
      </w:r>
      <w:r w:rsidR="00E737E5">
        <w:t xml:space="preserve">The </w:t>
      </w:r>
      <w:r w:rsidR="00E737E5" w:rsidRPr="00E737E5">
        <w:rPr>
          <w:i/>
        </w:rPr>
        <w:t>Revelation of the Monk of Eynsham</w:t>
      </w:r>
      <w:r w:rsidR="00E737E5">
        <w:t xml:space="preserve"> provides a glimpse into th</w:t>
      </w:r>
      <w:r w:rsidR="005377D1">
        <w:t>is</w:t>
      </w:r>
      <w:r w:rsidR="00E737E5">
        <w:t xml:space="preserve"> positive image of purgatory. </w:t>
      </w:r>
      <w:r w:rsidR="00F93C7A">
        <w:t xml:space="preserve">Focusing on the story of the alcoholic goldsmith, </w:t>
      </w:r>
      <w:r w:rsidR="00854D8A">
        <w:t>this was</w:t>
      </w:r>
      <w:r w:rsidR="00F93C7A">
        <w:t xml:space="preserve"> </w:t>
      </w:r>
      <w:r w:rsidR="00990A63">
        <w:t>someone who appeared to be suffering but displayed nothing but joy</w:t>
      </w:r>
      <w:r w:rsidR="00286A38">
        <w:t xml:space="preserve">. He describes how he couldn’t control his drinking </w:t>
      </w:r>
      <w:r w:rsidR="00D126A4">
        <w:t xml:space="preserve">but was helped ‘by the mercy of God, who desires no man to be destroyed, I found solace in my devotion to the most blessed lord Saint </w:t>
      </w:r>
      <w:r w:rsidR="002C6AEC">
        <w:t>Nicholas’ and</w:t>
      </w:r>
      <w:r w:rsidR="00701146">
        <w:t xml:space="preserve"> worshipped him as much as possible.</w:t>
      </w:r>
      <w:r w:rsidR="007664D1">
        <w:rPr>
          <w:rStyle w:val="FootnoteReference"/>
        </w:rPr>
        <w:footnoteReference w:id="6"/>
      </w:r>
      <w:r w:rsidR="00701146">
        <w:t xml:space="preserve"> </w:t>
      </w:r>
      <w:r w:rsidR="002C6AEC">
        <w:t xml:space="preserve">This </w:t>
      </w:r>
      <w:r w:rsidR="002C6AEC">
        <w:lastRenderedPageBreak/>
        <w:t>suggests that the man’s plea for another chance upon his death is genuine, and links to Casey’s ideas of</w:t>
      </w:r>
      <w:r w:rsidR="008A0CB1">
        <w:t xml:space="preserve"> the</w:t>
      </w:r>
      <w:r w:rsidR="002C6AEC">
        <w:t xml:space="preserve"> fairness and humanity of purgatory. </w:t>
      </w:r>
      <w:r w:rsidR="00517CA5">
        <w:t xml:space="preserve">The passage also discusses how if someone was genuinely remorseful and </w:t>
      </w:r>
      <w:r w:rsidR="00F57504">
        <w:t>prayed to God and the holy saints, ‘their death might be an occasion of great cleansing instead’.</w:t>
      </w:r>
      <w:r w:rsidR="00556EF6">
        <w:rPr>
          <w:rStyle w:val="FootnoteReference"/>
        </w:rPr>
        <w:footnoteReference w:id="7"/>
      </w:r>
      <w:r w:rsidR="00CB72EC">
        <w:t xml:space="preserve"> </w:t>
      </w:r>
      <w:r w:rsidR="004C7E67">
        <w:t xml:space="preserve">Casey touches on this point as well during the chapter, discussing purgatory as a purifying process before </w:t>
      </w:r>
      <w:r w:rsidR="00E13B79">
        <w:t xml:space="preserve">someone ascends into heaven. The source emphasises this contrition that Casey points to being so crucial as the man </w:t>
      </w:r>
      <w:r w:rsidR="00E82247">
        <w:t xml:space="preserve">knew what he was doing was wrong before he knew he was going to die. </w:t>
      </w:r>
      <w:r w:rsidR="00B9370A">
        <w:t xml:space="preserve">The arguments he uses </w:t>
      </w:r>
      <w:r w:rsidR="009108D8">
        <w:t>in regard to</w:t>
      </w:r>
      <w:r w:rsidR="00B9370A">
        <w:t xml:space="preserve"> the mercy of purgatory are also echoed by the goldsmith</w:t>
      </w:r>
      <w:r w:rsidR="008E1361">
        <w:t>,</w:t>
      </w:r>
      <w:r w:rsidR="00B9370A">
        <w:t xml:space="preserve"> as he recognises the mercy </w:t>
      </w:r>
      <w:r w:rsidR="008E1361">
        <w:t xml:space="preserve">shown to him by God and Saint Nicholas. </w:t>
      </w:r>
      <w:r w:rsidR="00B92303">
        <w:t xml:space="preserve">There is also an emphasis on admitting his sin and submitting himself to God. Clearly, despite the difficulties he endured in his life and then into death, the character is much happier in his portrayal than those of people in hell, </w:t>
      </w:r>
      <w:r w:rsidR="005377D1">
        <w:t>as well as</w:t>
      </w:r>
      <w:r w:rsidR="008A0CB1">
        <w:t xml:space="preserve"> enjoying</w:t>
      </w:r>
      <w:r w:rsidR="005377D1">
        <w:t xml:space="preserve"> the forgiveness of God, both of </w:t>
      </w:r>
      <w:r w:rsidR="00B92303">
        <w:t>which supports Casey’s point. Also, from the point of view of the church it was able to educate t</w:t>
      </w:r>
      <w:r w:rsidR="0032778A">
        <w:t>he intended audience</w:t>
      </w:r>
      <w:r w:rsidR="00B92303">
        <w:t xml:space="preserve"> to confess their sins and </w:t>
      </w:r>
      <w:r w:rsidR="005377D1">
        <w:t xml:space="preserve">follow God. </w:t>
      </w:r>
    </w:p>
    <w:p w14:paraId="36E68773" w14:textId="5BC275EB" w:rsidR="00975C82" w:rsidRDefault="00975C82" w:rsidP="00132368">
      <w:r>
        <w:t>Casey’s</w:t>
      </w:r>
      <w:r w:rsidR="00E0046E">
        <w:t xml:space="preserve"> argument is that the nature of purgatory is </w:t>
      </w:r>
      <w:r w:rsidR="00300391">
        <w:t xml:space="preserve">fairer than the idea of simply heaven and hell, as it grants </w:t>
      </w:r>
      <w:r w:rsidR="00D24B6C">
        <w:t xml:space="preserve">people a chance to redeem themselves in the eyes of God. </w:t>
      </w:r>
      <w:r>
        <w:t xml:space="preserve">He </w:t>
      </w:r>
      <w:r w:rsidR="008A0CB1">
        <w:t xml:space="preserve">claims </w:t>
      </w:r>
      <w:r>
        <w:t xml:space="preserve">that even despite the abuses of power and minimal </w:t>
      </w:r>
      <w:r w:rsidR="008A0CB1">
        <w:t xml:space="preserve">scriptural </w:t>
      </w:r>
      <w:r>
        <w:t>evidence that it is possibly the churches happiest inspiration. One of the most convincing</w:t>
      </w:r>
      <w:r w:rsidR="00FA4805">
        <w:t xml:space="preserve"> </w:t>
      </w:r>
      <w:r w:rsidR="0013770A">
        <w:t xml:space="preserve">parts of Casey’s argument is when he discusses the detail of what these souls in purgatory are being said to have experienced. </w:t>
      </w:r>
      <w:r w:rsidR="001467C2">
        <w:t xml:space="preserve">One of these ideas is that </w:t>
      </w:r>
      <w:r w:rsidR="00A14874">
        <w:t xml:space="preserve">the </w:t>
      </w:r>
      <w:r w:rsidR="00FA4805">
        <w:t>C</w:t>
      </w:r>
      <w:r w:rsidR="00A14874">
        <w:t xml:space="preserve">hurch of Rome believed that is was through fear, rather than an ingrained goodness </w:t>
      </w:r>
      <w:r w:rsidR="008A0CB1">
        <w:t>of a person</w:t>
      </w:r>
      <w:r w:rsidR="00A14874">
        <w:t xml:space="preserve">, that would focus </w:t>
      </w:r>
      <w:r w:rsidR="00AC4F4B">
        <w:t xml:space="preserve">a </w:t>
      </w:r>
      <w:r w:rsidR="002F45A0">
        <w:t>person’s</w:t>
      </w:r>
      <w:r w:rsidR="00AC4F4B">
        <w:t xml:space="preserve"> mind on living a good life and being saved. </w:t>
      </w:r>
      <w:r w:rsidR="00940F38">
        <w:t>When reading the story mentioned above about the alcoholic goldsmith, it is interesting to note that in that story there is not necessarily an overriding message of fear, but of acceptance and gratitude towards Saint Nicholas and God for saving him. He is shown to have been essentially good, but weak, and now is able to repent for that weakness and eventually get to heaven</w:t>
      </w:r>
      <w:r w:rsidR="00A4130A">
        <w:t xml:space="preserve">. </w:t>
      </w:r>
    </w:p>
    <w:p w14:paraId="5733ACCA" w14:textId="0BB13B6F" w:rsidR="0013770A" w:rsidRPr="00B70DDA" w:rsidRDefault="0013770A" w:rsidP="00132368">
      <w:r w:rsidRPr="0013770A">
        <w:t xml:space="preserve">Casey mentions the significance of Dante’s </w:t>
      </w:r>
      <w:r w:rsidRPr="00B9370A">
        <w:rPr>
          <w:i/>
        </w:rPr>
        <w:t>Purgarito</w:t>
      </w:r>
      <w:r w:rsidRPr="0013770A">
        <w:t>, which describes both suffering and joy for those that pass-through purgatory. It is the joy however that supports Casey’s question at the conclusion of the chapter, as this hugely influential and popular text describes a journey through purgatory and the positives elements of it. We can see the elements he discusses in passages describing the experience such as ‘like a perplexed man who is reassured, whose fear changes to confidence when the truth is revealed to him’.</w:t>
      </w:r>
      <w:r w:rsidR="00556EF6">
        <w:rPr>
          <w:rStyle w:val="FootnoteReference"/>
        </w:rPr>
        <w:footnoteReference w:id="8"/>
      </w:r>
      <w:r w:rsidRPr="0013770A">
        <w:t xml:space="preserve"> Casey praises the way Dante discusses repentance </w:t>
      </w:r>
      <w:r w:rsidR="00B9370A">
        <w:t xml:space="preserve">and the way that sins are cleansed by their opposing virtues. </w:t>
      </w:r>
      <w:r w:rsidR="009108D8">
        <w:t xml:space="preserve">He uses the example of someone who has sinned by having pride with this purged by humility. This in fact gives the </w:t>
      </w:r>
      <w:r w:rsidR="00654A2B">
        <w:t xml:space="preserve">process a feeling of an education rather than the pure punishment of hell, in order to ready the soul for heaven. </w:t>
      </w:r>
    </w:p>
    <w:p w14:paraId="5DC6BEA2" w14:textId="40168A59" w:rsidR="005B7FFE" w:rsidRDefault="005B7FFE" w:rsidP="00132368">
      <w:r>
        <w:t xml:space="preserve">When looking at the historiography of this subject, it is important to contrast Casey’s work with that of Le Goff. </w:t>
      </w:r>
      <w:r w:rsidR="005377D1">
        <w:t xml:space="preserve">Callam criticises Le Goff’s </w:t>
      </w:r>
      <w:r w:rsidR="005377D1" w:rsidRPr="005377D1">
        <w:rPr>
          <w:i/>
        </w:rPr>
        <w:t>Birth of Purgatory</w:t>
      </w:r>
      <w:r w:rsidR="00AD66F3">
        <w:rPr>
          <w:i/>
        </w:rPr>
        <w:t xml:space="preserve"> </w:t>
      </w:r>
      <w:r w:rsidR="00B8093A">
        <w:t xml:space="preserve">for claiming that the doctrine rapidly developed as an invention after 1180, instead of being a slow and gradual evolution of a belief. </w:t>
      </w:r>
      <w:r w:rsidR="006A41EC">
        <w:t xml:space="preserve">Casey, like Le Goff, doubts the scriptural evidence for it but also frames purgatory as a slow manifestation of this belief. Le Goff </w:t>
      </w:r>
      <w:r w:rsidR="00A327C0">
        <w:t>wa</w:t>
      </w:r>
      <w:r w:rsidR="006A41EC">
        <w:t>s also keen to stress that he is not a theologian and did not want to focus on that</w:t>
      </w:r>
      <w:r w:rsidR="00B651FA">
        <w:t xml:space="preserve"> aspect</w:t>
      </w:r>
      <w:r w:rsidR="006A41EC">
        <w:t xml:space="preserve">, whereas Casey’s argument is completely centred around religion and how this influenced purgatory, which makes for a clearer argument. </w:t>
      </w:r>
      <w:r w:rsidR="00AD66F3">
        <w:t>Callam also describes Le Goff</w:t>
      </w:r>
      <w:r w:rsidR="005377D1">
        <w:t xml:space="preserve"> </w:t>
      </w:r>
      <w:r w:rsidR="0089072D">
        <w:t>as ‘insensitive’</w:t>
      </w:r>
      <w:r w:rsidR="00556EF6">
        <w:rPr>
          <w:rStyle w:val="FootnoteReference"/>
        </w:rPr>
        <w:footnoteReference w:id="9"/>
      </w:r>
      <w:r w:rsidR="0089072D">
        <w:t xml:space="preserve"> to the culture of the Middle Ages and offering no evidence of a radical change in </w:t>
      </w:r>
      <w:r w:rsidR="0089072D">
        <w:lastRenderedPageBreak/>
        <w:t>purgatory after 118</w:t>
      </w:r>
      <w:r w:rsidR="001878C2">
        <w:t xml:space="preserve">0, </w:t>
      </w:r>
      <w:r w:rsidR="005E30F8">
        <w:t>where he perceive</w:t>
      </w:r>
      <w:r w:rsidR="008A0CB1">
        <w:t>d</w:t>
      </w:r>
      <w:r w:rsidR="005E30F8">
        <w:t xml:space="preserve"> that it was a ‘state’ rather than a place. Casey is able to show </w:t>
      </w:r>
      <w:r w:rsidR="00391191">
        <w:t xml:space="preserve">a great deal of understanding to the people he covers, at one point discussing </w:t>
      </w:r>
      <w:r w:rsidR="00EB7E00">
        <w:t>how even if someone knows that there is joy to come, it does not lessen the pain they will feel</w:t>
      </w:r>
      <w:r w:rsidR="008A0CB1">
        <w:t xml:space="preserve"> in punishment</w:t>
      </w:r>
      <w:r w:rsidR="00EB7E00">
        <w:t xml:space="preserve">, as well as how punishment in purgatory can be in the form of regret and guilt, in themselves and in front of God. </w:t>
      </w:r>
    </w:p>
    <w:p w14:paraId="25462E08" w14:textId="6DF38BEA" w:rsidR="00FE4EC0" w:rsidRDefault="005E30F8" w:rsidP="00132368">
      <w:r>
        <w:t xml:space="preserve">Overall, Casey does an excellent </w:t>
      </w:r>
      <w:r w:rsidR="00D773AE">
        <w:t>job in discussing and framing the nature of purgatory during the Middle Ages. His concluding question is an insightful one, which raises an interesting debate. The happiness</w:t>
      </w:r>
      <w:r w:rsidR="00CE2865">
        <w:t xml:space="preserve"> and joy for souls</w:t>
      </w:r>
      <w:r w:rsidR="00D773AE">
        <w:t xml:space="preserve"> </w:t>
      </w:r>
      <w:r w:rsidR="00CE2865">
        <w:t>in</w:t>
      </w:r>
      <w:r w:rsidR="00D773AE">
        <w:t xml:space="preserve"> purgatory </w:t>
      </w:r>
      <w:r w:rsidR="00CE2865">
        <w:t xml:space="preserve">is explained well, with the emphasis on the justice and mercy it has compared to hell. </w:t>
      </w:r>
      <w:r w:rsidR="00700881">
        <w:t>His point in regard to fear and salvation is a particularly important point, as it connects the churches mindset and the nature of purgatory. You c</w:t>
      </w:r>
      <w:r w:rsidR="00FE0681">
        <w:t>an</w:t>
      </w:r>
      <w:r w:rsidR="00700881">
        <w:t xml:space="preserve"> argue that </w:t>
      </w:r>
      <w:r w:rsidR="00FE0681">
        <w:t>the mention of fear and the power of the church through indulgences lessens the happiness of purgatory, but the chapter still manages to maintain an argument of how purgatory is still represented in a happier and joyful way</w:t>
      </w:r>
      <w:r w:rsidR="003E4BCA">
        <w:t>, because the souls that are shown to</w:t>
      </w:r>
      <w:r w:rsidR="00B15D57">
        <w:t xml:space="preserve"> </w:t>
      </w:r>
      <w:r w:rsidR="003E4BCA">
        <w:t>be there are aware of the opportunity they have for redemption, so are joyous and grateful to God.</w:t>
      </w:r>
      <w:r w:rsidR="00FE0681">
        <w:t xml:space="preserve"> The example of Dante’s </w:t>
      </w:r>
      <w:r w:rsidR="00FE0681" w:rsidRPr="00FE0681">
        <w:rPr>
          <w:i/>
        </w:rPr>
        <w:t>Purgarito</w:t>
      </w:r>
      <w:r w:rsidR="00FE0681">
        <w:t xml:space="preserve"> is key to this as while there are vivid descriptions </w:t>
      </w:r>
      <w:r w:rsidR="00FC193B">
        <w:t xml:space="preserve">that are similar to hell, but there is also an emphasis </w:t>
      </w:r>
      <w:r w:rsidR="00252EE7">
        <w:t>on souls being saved by being cleansed of their sins and being purified so they can join God. It is this sense of a chance for redemption that Casey does a convincing job of showing as making purgatory as a much happier place, for people as well as the for the church. The church clearly benefited greatly as well as another method of control to play on fears of ending up in hell. This is why Casey manage</w:t>
      </w:r>
      <w:r w:rsidR="00FB0333">
        <w:t xml:space="preserve">d to write a compelling argument even in just a chapter rather than an entire book, and in explaining purgatory in a nuanced and sensitive manner. </w:t>
      </w:r>
    </w:p>
    <w:p w14:paraId="5B8D2D34" w14:textId="6FAEE3FF" w:rsidR="00BD1377" w:rsidRDefault="00BD1377" w:rsidP="00132368"/>
    <w:p w14:paraId="236D9A49" w14:textId="3EC4A4AE" w:rsidR="002B6F57" w:rsidRDefault="002B6F57" w:rsidP="00132368"/>
    <w:p w14:paraId="18EE8FF7" w14:textId="1315A7A9" w:rsidR="002B6F57" w:rsidRDefault="002B6F57" w:rsidP="00132368"/>
    <w:p w14:paraId="40CDC953" w14:textId="31B14135" w:rsidR="002B6F57" w:rsidRDefault="002B6F57" w:rsidP="00132368"/>
    <w:p w14:paraId="781F4FBD" w14:textId="6442FC6B" w:rsidR="002B6F57" w:rsidRDefault="002B6F57" w:rsidP="00132368"/>
    <w:p w14:paraId="78DA9153" w14:textId="7406120A" w:rsidR="002B6F57" w:rsidRDefault="002B6F57" w:rsidP="00132368"/>
    <w:p w14:paraId="27EEF143" w14:textId="14AA52E9" w:rsidR="002B6F57" w:rsidRDefault="002B6F57" w:rsidP="00132368"/>
    <w:p w14:paraId="653B77A1" w14:textId="3569442A" w:rsidR="002B6F57" w:rsidRDefault="002B6F57" w:rsidP="00132368"/>
    <w:p w14:paraId="2268CF95" w14:textId="29F0562E" w:rsidR="002B6F57" w:rsidRDefault="002B6F57" w:rsidP="00132368"/>
    <w:p w14:paraId="0BB95FBD" w14:textId="75F1D688" w:rsidR="002B6F57" w:rsidRDefault="002B6F57" w:rsidP="00132368"/>
    <w:p w14:paraId="65FAC7ED" w14:textId="60D4CA34" w:rsidR="00130C47" w:rsidRDefault="00130C47" w:rsidP="00C824A8"/>
    <w:p w14:paraId="5E5E1770" w14:textId="77777777" w:rsidR="00130C47" w:rsidRPr="00BD1377" w:rsidRDefault="00130C47" w:rsidP="00C824A8">
      <w:pPr>
        <w:rPr>
          <w:u w:val="single"/>
        </w:rPr>
      </w:pPr>
    </w:p>
    <w:p w14:paraId="14BD0C14" w14:textId="77777777" w:rsidR="00741E45" w:rsidRDefault="00741E45" w:rsidP="00BD1377">
      <w:pPr>
        <w:jc w:val="center"/>
        <w:rPr>
          <w:u w:val="single"/>
        </w:rPr>
      </w:pPr>
    </w:p>
    <w:p w14:paraId="7BF2B802" w14:textId="77777777" w:rsidR="00854D8A" w:rsidRDefault="00854D8A" w:rsidP="00BD1377">
      <w:pPr>
        <w:jc w:val="center"/>
        <w:rPr>
          <w:u w:val="single"/>
        </w:rPr>
      </w:pPr>
    </w:p>
    <w:p w14:paraId="735A3722" w14:textId="77777777" w:rsidR="002A2499" w:rsidRDefault="002A2499" w:rsidP="00BD1377">
      <w:pPr>
        <w:jc w:val="center"/>
        <w:rPr>
          <w:u w:val="single"/>
        </w:rPr>
      </w:pPr>
    </w:p>
    <w:p w14:paraId="35747704" w14:textId="725CF61A" w:rsidR="00BD1377" w:rsidRPr="00BD1377" w:rsidRDefault="00BD1377" w:rsidP="00BD1377">
      <w:pPr>
        <w:jc w:val="center"/>
        <w:rPr>
          <w:u w:val="single"/>
        </w:rPr>
      </w:pPr>
      <w:r w:rsidRPr="00BD1377">
        <w:rPr>
          <w:u w:val="single"/>
        </w:rPr>
        <w:lastRenderedPageBreak/>
        <w:t>Primary Source Analysis</w:t>
      </w:r>
    </w:p>
    <w:p w14:paraId="5006A5D3" w14:textId="77777777" w:rsidR="00BD1377" w:rsidRDefault="00BD1377" w:rsidP="00BD1377"/>
    <w:p w14:paraId="2A147389" w14:textId="5DEABC9E" w:rsidR="00BD1377" w:rsidRDefault="00BD1377" w:rsidP="00BD1377">
      <w:r>
        <w:t>The Vision of Thurkill is an example of visionary literature</w:t>
      </w:r>
      <w:r w:rsidR="008A6D64">
        <w:t>, which</w:t>
      </w:r>
      <w:r w:rsidR="008A6D64" w:rsidRPr="00B74DC3">
        <w:t xml:space="preserve"> Lynch describes as the ‘genre of the age’</w:t>
      </w:r>
      <w:r w:rsidR="008A6D64">
        <w:rPr>
          <w:rStyle w:val="FootnoteReference"/>
        </w:rPr>
        <w:footnoteReference w:id="10"/>
      </w:r>
      <w:r w:rsidR="008A6D64" w:rsidRPr="00B74DC3">
        <w:t xml:space="preserve"> from the twelfth to fourteenth centuries</w:t>
      </w:r>
      <w:r w:rsidR="008A6D64">
        <w:t>,</w:t>
      </w:r>
      <w:r>
        <w:t xml:space="preserve"> that was designed to educate its audience into the importance of confessing their sins in order to avoid the worst punishments of purgatory. His journey throughout the passage mirrors the journey the reader would have gone on and as a person of poverty offers a universal story. This is an especially important point because as Schmidt explains this perspective was rare, stating ‘it is unusual for clerics to take an interest in the utterances of the illiterate and to translate them into the language of the learned’.</w:t>
      </w:r>
      <w:r w:rsidR="00556EF6">
        <w:rPr>
          <w:rStyle w:val="FootnoteReference"/>
        </w:rPr>
        <w:footnoteReference w:id="11"/>
      </w:r>
    </w:p>
    <w:p w14:paraId="6DA1071D" w14:textId="554C58FB" w:rsidR="00BD1377" w:rsidRDefault="00BD1377" w:rsidP="00BD1377">
      <w:r>
        <w:t>The beginning of the passage immediately conjures up familiar images of light and dark, with the spirits further away from the wall darker and deformed. The deformity of the souls also c</w:t>
      </w:r>
      <w:r w:rsidR="00C6705B">
        <w:t>reates</w:t>
      </w:r>
      <w:r>
        <w:t xml:space="preserve"> an otherworldly image of these souls</w:t>
      </w:r>
      <w:r w:rsidR="00C6705B">
        <w:t>,</w:t>
      </w:r>
      <w:r>
        <w:t xml:space="preserve"> perhaps evok</w:t>
      </w:r>
      <w:r w:rsidR="00C6705B">
        <w:t>ing</w:t>
      </w:r>
      <w:r>
        <w:t xml:space="preserve"> a fear and repulsion at what could be waiting in the afterlife. A key theme of the passage is the emphasis on Thurkill being told that he must confess his sins in order to be redeemed and in particular needing absolution from the priest, which is another indication of the power that</w:t>
      </w:r>
      <w:r w:rsidR="00C6705B">
        <w:t xml:space="preserve"> belief in</w:t>
      </w:r>
      <w:r>
        <w:t xml:space="preserve"> purgatory gave the church. It is made clear that </w:t>
      </w:r>
      <w:r w:rsidR="00C6705B">
        <w:t>Thurkill</w:t>
      </w:r>
      <w:r>
        <w:t xml:space="preserve"> has sinned as he coughs at the stench of the pit and is proven to have not paid his tithes. This is a powerful message as it shows </w:t>
      </w:r>
      <w:r w:rsidR="0032778A">
        <w:t>how people could not hide from</w:t>
      </w:r>
      <w:r>
        <w:t xml:space="preserve"> th</w:t>
      </w:r>
      <w:r w:rsidR="0032778A">
        <w:t>eir</w:t>
      </w:r>
      <w:r>
        <w:t xml:space="preserve"> sins, even if like Thurkill, someone was too poor to pay their tithes. There is also a deliberate imagery with the idea of a foul smell and sin being connected, perhaps with the idea that these sins are a smell which people cannot simply wash away, because God will still know. </w:t>
      </w:r>
    </w:p>
    <w:p w14:paraId="559AD427" w14:textId="114B791B" w:rsidR="00BD1377" w:rsidRDefault="00A5450A" w:rsidP="00BD1377">
      <w:r>
        <w:t>A text such as Dante’s Inferno are</w:t>
      </w:r>
      <w:r w:rsidR="00BD1377">
        <w:t xml:space="preserve"> </w:t>
      </w:r>
      <w:r>
        <w:t>is a</w:t>
      </w:r>
      <w:r w:rsidR="00BD1377">
        <w:t xml:space="preserve"> much more optimistic portrayal than what typically was described in hell. In direct contrast to the knowledge that those in Thurkill’s vision have of the mercy of God, </w:t>
      </w:r>
      <w:r w:rsidR="008B17F4">
        <w:t>it describes</w:t>
      </w:r>
      <w:r w:rsidR="00BD1377">
        <w:t xml:space="preserve"> of those in hell that ‘they are not comforted by thoughts of rest, or even diminution of their pain’.</w:t>
      </w:r>
      <w:r w:rsidR="00556EF6">
        <w:rPr>
          <w:rStyle w:val="FootnoteReference"/>
        </w:rPr>
        <w:footnoteReference w:id="12"/>
      </w:r>
      <w:r w:rsidR="00BD1377">
        <w:t xml:space="preserve"> There is no optimism in this portrayal however, with a soul that is described as suffering so much they have forgotten someone they knew, describing himself as ‘a broken man in rain, and ruined by the sin of gluttony’.</w:t>
      </w:r>
      <w:r w:rsidR="00556EF6">
        <w:rPr>
          <w:rStyle w:val="FootnoteReference"/>
        </w:rPr>
        <w:footnoteReference w:id="13"/>
      </w:r>
      <w:r w:rsidR="00BD1377">
        <w:t xml:space="preserve"> The descriptions of fire in Thurkill’s vision are much like those in descriptions Dante provides but do not share the same violent tone to them. </w:t>
      </w:r>
    </w:p>
    <w:p w14:paraId="2FC9B64F" w14:textId="67FBD2AE" w:rsidR="00BD1377" w:rsidRDefault="00BD1377" w:rsidP="00BD1377">
      <w:r>
        <w:t>The key to the passage is that while all of these people had to pay for their sins, they equally had the opportunity to repent, and find their way to heaven. In discussing the purgatorial fire, it states ‘everyone was obliged to pass over this bridge before he or she could arrive at the mount of joy’.</w:t>
      </w:r>
      <w:r w:rsidR="00556EF6">
        <w:rPr>
          <w:rStyle w:val="FootnoteReference"/>
        </w:rPr>
        <w:footnoteReference w:id="14"/>
      </w:r>
      <w:r w:rsidR="00556EF6">
        <w:t xml:space="preserve"> </w:t>
      </w:r>
      <w:r>
        <w:t xml:space="preserve">Throughout the passage there is an end destination in mind, but the punishments of purgatory are a necessary passage for these people. It is mentioned that time spent there is shorter or longer depending on the severity of the crimes committed, so there is a similarity to hell in the way sins are punished but, in this instance, there is a reason for it, which is to earn the right to ascend to heaven. Unlike the </w:t>
      </w:r>
      <w:r w:rsidRPr="00DF60F4">
        <w:rPr>
          <w:i/>
        </w:rPr>
        <w:t>Vision of T</w:t>
      </w:r>
      <w:r w:rsidR="00C6705B">
        <w:rPr>
          <w:i/>
        </w:rPr>
        <w:t>u</w:t>
      </w:r>
      <w:r w:rsidRPr="00DF60F4">
        <w:rPr>
          <w:i/>
        </w:rPr>
        <w:t>ndale</w:t>
      </w:r>
      <w:r>
        <w:t xml:space="preserve">, in which the narrator takes a journey downward into the darkness of hell, this is an upward journey. When travelling across the bridge, Thurkill notices that certain souls are taking longer to cross than others. This description, as well as showing that people with different sins fared differently, is perhaps a reflection of beliefs at the time, such as the desire for indulgences, </w:t>
      </w:r>
      <w:r>
        <w:lastRenderedPageBreak/>
        <w:t xml:space="preserve">when someone was alive or for their family when they were dead, in order to lessen their time in purgatory. </w:t>
      </w:r>
    </w:p>
    <w:p w14:paraId="359263B7" w14:textId="1A3396AA" w:rsidR="00BD1377" w:rsidRDefault="00BD1377" w:rsidP="00BD1377">
      <w:r>
        <w:t>The end of the passage is particularly significant; in describing that the souls who arrived at the ‘hall of the church’,</w:t>
      </w:r>
      <w:r w:rsidR="00556EF6">
        <w:rPr>
          <w:rStyle w:val="FootnoteReference"/>
        </w:rPr>
        <w:footnoteReference w:id="15"/>
      </w:r>
      <w:r>
        <w:t xml:space="preserve"> despite vivid descriptions of torture remembered very little of what had happened. This is key because descriptions of hell focus on eternal punishment, fitting for their crimes. This passage shows that even though these souls are suffering, the end destination is a new start, where they are now pure and free of these sins. The fact that they cannot remember the torture they have endured is a much more merciful portrayal than we see of hell, giving a purpose and design to the punishment, instead of the never-ending torment of hell. This short passage manages to portray purgatory as a necessary journey that offers salvation and redemption to those that are prepared to confess to their sins.</w:t>
      </w:r>
    </w:p>
    <w:p w14:paraId="139D82E0" w14:textId="1CB2958E" w:rsidR="00B74DC3" w:rsidRDefault="00B74DC3" w:rsidP="00BD1377"/>
    <w:p w14:paraId="0A203BAF" w14:textId="119E6CE9" w:rsidR="00B74DC3" w:rsidRDefault="00B74DC3" w:rsidP="00BD1377"/>
    <w:p w14:paraId="05C4F34D" w14:textId="6FB67D7A" w:rsidR="00B74DC3" w:rsidRDefault="00B74DC3" w:rsidP="00BD1377"/>
    <w:p w14:paraId="46F8AD7A" w14:textId="4D23FA69" w:rsidR="00B74DC3" w:rsidRDefault="00B74DC3" w:rsidP="00BD1377"/>
    <w:p w14:paraId="784A66DB" w14:textId="5958E228" w:rsidR="00B74DC3" w:rsidRDefault="00B74DC3" w:rsidP="00BD1377"/>
    <w:p w14:paraId="41E90973" w14:textId="241C505A" w:rsidR="00B74DC3" w:rsidRDefault="00B74DC3" w:rsidP="00BD1377"/>
    <w:p w14:paraId="6D4362C9" w14:textId="4D31ADE8" w:rsidR="00B74DC3" w:rsidRDefault="00B74DC3" w:rsidP="00BD1377"/>
    <w:p w14:paraId="05E984E9" w14:textId="6A9C9A23" w:rsidR="00B74DC3" w:rsidRDefault="00B74DC3" w:rsidP="00BD1377"/>
    <w:p w14:paraId="14D21319" w14:textId="5A336C83" w:rsidR="00B74DC3" w:rsidRDefault="00B74DC3" w:rsidP="00BD1377"/>
    <w:p w14:paraId="01D6D3E8" w14:textId="298C177E" w:rsidR="00B74DC3" w:rsidRDefault="00B74DC3" w:rsidP="00BD1377"/>
    <w:p w14:paraId="7E6DF6B1" w14:textId="5B9DE4CD" w:rsidR="00B74DC3" w:rsidRDefault="00B74DC3" w:rsidP="00BD1377"/>
    <w:p w14:paraId="535F7A18" w14:textId="10DBBA98" w:rsidR="00B74DC3" w:rsidRDefault="00B74DC3" w:rsidP="00BD1377"/>
    <w:p w14:paraId="589224D2" w14:textId="799B70B1" w:rsidR="00B74DC3" w:rsidRDefault="00B74DC3" w:rsidP="00BD1377"/>
    <w:p w14:paraId="5B3F1F6D" w14:textId="1FA56C72" w:rsidR="00B74DC3" w:rsidRDefault="00B74DC3" w:rsidP="00BD1377"/>
    <w:p w14:paraId="283E0EB5" w14:textId="6FC6FF8E" w:rsidR="00B74DC3" w:rsidRDefault="00B74DC3" w:rsidP="00BD1377"/>
    <w:p w14:paraId="4046E791" w14:textId="7B2E7E9D" w:rsidR="00B74DC3" w:rsidRDefault="00B74DC3" w:rsidP="00BD1377"/>
    <w:p w14:paraId="14C26B0D" w14:textId="1A43E154" w:rsidR="002B6F57" w:rsidRDefault="002B6F57" w:rsidP="00BD1377"/>
    <w:p w14:paraId="392805F1" w14:textId="77777777" w:rsidR="00130C47" w:rsidRDefault="00130C47" w:rsidP="00BD1377"/>
    <w:p w14:paraId="47847DA1" w14:textId="40D464D4" w:rsidR="002B6F57" w:rsidRDefault="002B6F57" w:rsidP="00BD1377"/>
    <w:p w14:paraId="2F2CE811" w14:textId="68CF9FDA" w:rsidR="002B6F57" w:rsidRDefault="002B6F57" w:rsidP="00BD1377"/>
    <w:p w14:paraId="00345992" w14:textId="735CF4AD" w:rsidR="002B6F57" w:rsidRDefault="002B6F57" w:rsidP="00BD1377"/>
    <w:p w14:paraId="1B9B38B4" w14:textId="77777777" w:rsidR="002B34A4" w:rsidRDefault="002B34A4" w:rsidP="005C5892">
      <w:pPr>
        <w:rPr>
          <w:u w:val="single"/>
        </w:rPr>
      </w:pPr>
    </w:p>
    <w:p w14:paraId="1DB61575" w14:textId="2FB3B107" w:rsidR="00B74DC3" w:rsidRPr="00B74DC3" w:rsidRDefault="00B74DC3" w:rsidP="00C824A8">
      <w:pPr>
        <w:jc w:val="center"/>
        <w:rPr>
          <w:u w:val="single"/>
        </w:rPr>
      </w:pPr>
      <w:r w:rsidRPr="00B74DC3">
        <w:rPr>
          <w:u w:val="single"/>
        </w:rPr>
        <w:lastRenderedPageBreak/>
        <w:t>Key Theme – Resurrection</w:t>
      </w:r>
    </w:p>
    <w:p w14:paraId="6D61DC9A" w14:textId="77777777" w:rsidR="00B74DC3" w:rsidRPr="00B74DC3" w:rsidRDefault="00B74DC3" w:rsidP="00B74DC3">
      <w:pPr>
        <w:rPr>
          <w:u w:val="single"/>
        </w:rPr>
      </w:pPr>
    </w:p>
    <w:p w14:paraId="5F2F846A" w14:textId="429868BA" w:rsidR="00A05C4E" w:rsidRDefault="008A6D64" w:rsidP="000C7082">
      <w:pPr>
        <w:spacing w:after="0" w:line="240" w:lineRule="auto"/>
        <w:rPr>
          <w:rFonts w:ascii="Times New Roman" w:eastAsia="Calibri" w:hAnsi="Times New Roman" w:cs="Times New Roman"/>
          <w:sz w:val="24"/>
          <w:szCs w:val="24"/>
          <w:lang w:eastAsia="en-GB"/>
        </w:rPr>
      </w:pPr>
      <w:r w:rsidRPr="00B74DC3">
        <w:t>Bynum views resurrection as a belief linked</w:t>
      </w:r>
      <w:r w:rsidR="004459AE">
        <w:t xml:space="preserve"> primarily</w:t>
      </w:r>
      <w:r w:rsidRPr="00B74DC3">
        <w:t xml:space="preserve"> to iden</w:t>
      </w:r>
      <w:r w:rsidR="004459AE">
        <w:t xml:space="preserve">tity and </w:t>
      </w:r>
      <w:r w:rsidRPr="00B74DC3">
        <w:t>‘soul-body dualism’</w:t>
      </w:r>
      <w:r>
        <w:rPr>
          <w:rStyle w:val="FootnoteReference"/>
        </w:rPr>
        <w:footnoteReference w:id="16"/>
      </w:r>
      <w:r w:rsidR="004459AE">
        <w:t xml:space="preserve"> in the Middle Ages</w:t>
      </w:r>
      <w:r w:rsidR="00DD4AB7">
        <w:t>,</w:t>
      </w:r>
      <w:r>
        <w:t xml:space="preserve"> mean</w:t>
      </w:r>
      <w:r w:rsidR="00DD4AB7">
        <w:t>ing</w:t>
      </w:r>
      <w:r>
        <w:t xml:space="preserve"> that</w:t>
      </w:r>
      <w:r w:rsidR="00DD4AB7">
        <w:t xml:space="preserve"> in death</w:t>
      </w:r>
      <w:r>
        <w:t xml:space="preserve"> the fate of the soul was </w:t>
      </w:r>
      <w:r w:rsidR="00022045">
        <w:t xml:space="preserve">tied to </w:t>
      </w:r>
      <w:r>
        <w:t xml:space="preserve">the fate of the body. </w:t>
      </w:r>
      <w:r w:rsidR="004459AE">
        <w:t xml:space="preserve">She explains that while few people in modern times hold a belief of the body and soul being connected, this was the prevailing idea in the medieval period. </w:t>
      </w:r>
      <w:r w:rsidR="00DD4AB7">
        <w:t>This would explain reliquaries, as still holding the divinity of a saint but also the need for bodies to be buried in a certain way to ensure the soul had the best path to the afterlife.</w:t>
      </w:r>
      <w:r w:rsidR="0077026C">
        <w:t xml:space="preserve"> We can see the importance this had when Bynum discusses the cults of the holy foreskin and the tooth of Christ were discouraged</w:t>
      </w:r>
      <w:r w:rsidR="007B1168">
        <w:t xml:space="preserve"> because they implied ‘Christ had not risen in total bodily perfection’, and therefore raised the question as to whether all others were defective also.</w:t>
      </w:r>
      <w:r w:rsidR="00240CE5">
        <w:rPr>
          <w:rStyle w:val="FootnoteReference"/>
        </w:rPr>
        <w:footnoteReference w:id="17"/>
      </w:r>
      <w:r w:rsidR="00F80741">
        <w:t xml:space="preserve"> </w:t>
      </w:r>
      <w:r w:rsidR="007B1168">
        <w:t xml:space="preserve"> </w:t>
      </w:r>
      <w:r w:rsidR="00A05C4E">
        <w:t xml:space="preserve">This is relevant as there is a natural link between the resurrection and the idea of a purity for those that rise up on judgment day and ascend to heaven, and this belief raises the possibility that they would not be reunited with their </w:t>
      </w:r>
      <w:r w:rsidR="000C7082">
        <w:t xml:space="preserve">natural body upon resurrection. This is why identity is so key for this issue, as can be seen in the example of </w:t>
      </w:r>
      <w:r w:rsidR="000C7082" w:rsidRPr="000C7082">
        <w:rPr>
          <w:rFonts w:ascii="Calibri" w:eastAsia="Calibri" w:hAnsi="Calibri" w:cs="Times New Roman"/>
          <w:i/>
        </w:rPr>
        <w:t>A Disputacion Betwyx the Body and Wormes</w:t>
      </w:r>
      <w:r w:rsidR="000C7082">
        <w:rPr>
          <w:rFonts w:ascii="Calibri" w:eastAsia="Calibri" w:hAnsi="Calibri" w:cs="Times New Roman"/>
          <w:i/>
        </w:rPr>
        <w:t>,</w:t>
      </w:r>
      <w:r w:rsidR="000C7082" w:rsidRPr="000C7082">
        <w:rPr>
          <w:rFonts w:ascii="Calibri" w:eastAsia="Calibri" w:hAnsi="Calibri" w:cs="Times New Roman"/>
        </w:rPr>
        <w:t xml:space="preserve"> a dead woman being eaten by worms </w:t>
      </w:r>
      <w:r w:rsidR="000C7082">
        <w:rPr>
          <w:rFonts w:ascii="Calibri" w:eastAsia="Calibri" w:hAnsi="Calibri" w:cs="Times New Roman"/>
        </w:rPr>
        <w:t>discuss</w:t>
      </w:r>
      <w:r w:rsidR="00F02336">
        <w:rPr>
          <w:rFonts w:ascii="Calibri" w:eastAsia="Calibri" w:hAnsi="Calibri" w:cs="Times New Roman"/>
        </w:rPr>
        <w:t>es</w:t>
      </w:r>
      <w:r w:rsidR="000C7082">
        <w:rPr>
          <w:rFonts w:ascii="Calibri" w:eastAsia="Calibri" w:hAnsi="Calibri" w:cs="Times New Roman"/>
        </w:rPr>
        <w:t xml:space="preserve"> rising again,</w:t>
      </w:r>
      <w:r w:rsidR="000C7082" w:rsidRPr="000C7082">
        <w:rPr>
          <w:rFonts w:ascii="Calibri" w:eastAsia="Calibri" w:hAnsi="Calibri" w:cs="Times New Roman"/>
        </w:rPr>
        <w:t xml:space="preserve"> ‘with this body to be glorified’.</w:t>
      </w:r>
      <w:r w:rsidR="000C7082" w:rsidRPr="000C7082">
        <w:rPr>
          <w:rFonts w:ascii="Calibri" w:eastAsia="Calibri" w:hAnsi="Calibri" w:cs="Times New Roman"/>
          <w:vertAlign w:val="superscript"/>
        </w:rPr>
        <w:footnoteReference w:id="18"/>
      </w:r>
      <w:r w:rsidR="000C7082" w:rsidRPr="000C7082">
        <w:rPr>
          <w:rFonts w:ascii="Calibri" w:eastAsia="Calibri" w:hAnsi="Calibri" w:cs="Times New Roman"/>
        </w:rPr>
        <w:t xml:space="preserve"> As a source this is important because</w:t>
      </w:r>
      <w:r w:rsidR="000C7082">
        <w:rPr>
          <w:rFonts w:ascii="Calibri" w:eastAsia="Calibri" w:hAnsi="Calibri" w:cs="Times New Roman"/>
        </w:rPr>
        <w:t xml:space="preserve"> while</w:t>
      </w:r>
      <w:r w:rsidR="000C7082" w:rsidRPr="000C7082">
        <w:rPr>
          <w:rFonts w:ascii="Calibri" w:eastAsia="Calibri" w:hAnsi="Calibri" w:cs="Times New Roman"/>
        </w:rPr>
        <w:t xml:space="preserve"> she comes to this realisation after accepting her pride was wrong, </w:t>
      </w:r>
      <w:r w:rsidR="000C7082">
        <w:rPr>
          <w:rFonts w:ascii="Calibri" w:eastAsia="Calibri" w:hAnsi="Calibri" w:cs="Times New Roman"/>
        </w:rPr>
        <w:t>she is left reassuring herself that she will be return to the state she enjoyed while she was alive</w:t>
      </w:r>
      <w:r w:rsidR="00F02336">
        <w:rPr>
          <w:rFonts w:ascii="Calibri" w:eastAsia="Calibri" w:hAnsi="Calibri" w:cs="Times New Roman"/>
        </w:rPr>
        <w:t xml:space="preserve">, and will be united with God. </w:t>
      </w:r>
    </w:p>
    <w:p w14:paraId="6DF04ED5" w14:textId="77777777" w:rsidR="000C7082" w:rsidRPr="000C7082" w:rsidRDefault="000C7082" w:rsidP="000C7082">
      <w:pPr>
        <w:spacing w:after="0" w:line="240" w:lineRule="auto"/>
        <w:rPr>
          <w:rFonts w:ascii="Times New Roman" w:eastAsia="Calibri" w:hAnsi="Times New Roman" w:cs="Times New Roman"/>
          <w:sz w:val="24"/>
          <w:szCs w:val="24"/>
          <w:lang w:eastAsia="en-GB"/>
        </w:rPr>
      </w:pPr>
    </w:p>
    <w:p w14:paraId="6A25D272" w14:textId="734F9EC5" w:rsidR="00F02336" w:rsidRDefault="00B74DC3" w:rsidP="00B74DC3">
      <w:r w:rsidRPr="00B74DC3">
        <w:t>The importance given to burial, and the handling of the body after death can give us an insight into these ideas about resurrection. Aries discusses</w:t>
      </w:r>
      <w:r w:rsidR="00C7387B">
        <w:t xml:space="preserve"> how ‘</w:t>
      </w:r>
      <w:r w:rsidR="00C7387B" w:rsidRPr="00C7387B">
        <w:t>the idea of the Last Judgment is linked with that of the individual biography, but this biography ends on the last day, and not at the hour of death</w:t>
      </w:r>
      <w:r w:rsidR="00C7387B">
        <w:t>’</w:t>
      </w:r>
      <w:r w:rsidRPr="00B74DC3">
        <w:t>.</w:t>
      </w:r>
      <w:r w:rsidR="0020789B">
        <w:rPr>
          <w:rStyle w:val="FootnoteReference"/>
        </w:rPr>
        <w:footnoteReference w:id="19"/>
      </w:r>
      <w:r w:rsidRPr="00B74DC3">
        <w:t xml:space="preserve"> </w:t>
      </w:r>
      <w:r w:rsidR="00C7387B">
        <w:t xml:space="preserve">This increased the need and value of a funeral and burial that would ensure salvation. </w:t>
      </w:r>
      <w:r w:rsidR="005A3CDF">
        <w:t>Kings</w:t>
      </w:r>
      <w:r w:rsidR="00FD7031">
        <w:t xml:space="preserve"> for instance,</w:t>
      </w:r>
      <w:r w:rsidR="005A3CDF">
        <w:t xml:space="preserve"> were dressed in ceremonial robes </w:t>
      </w:r>
      <w:r w:rsidR="00FD7031">
        <w:t xml:space="preserve">and wore their crown, in order to identify them </w:t>
      </w:r>
      <w:r w:rsidR="00103670">
        <w:t>ready for the afterlife.</w:t>
      </w:r>
      <w:r w:rsidR="008C227D">
        <w:t xml:space="preserve"> While clearly this was a</w:t>
      </w:r>
      <w:r w:rsidR="0001214E">
        <w:t>n important</w:t>
      </w:r>
      <w:r w:rsidR="008C227D">
        <w:t xml:space="preserve"> ceremony for those in attendance</w:t>
      </w:r>
      <w:r w:rsidR="0001214E">
        <w:t>,</w:t>
      </w:r>
      <w:r w:rsidR="008C227D">
        <w:t xml:space="preserve"> it</w:t>
      </w:r>
      <w:r w:rsidR="00F02336">
        <w:t xml:space="preserve"> </w:t>
      </w:r>
      <w:r w:rsidR="003F6531">
        <w:t>had a greater meaning in laying the monarch to rest in the manner in which they lived,</w:t>
      </w:r>
      <w:r w:rsidR="005C5892">
        <w:t xml:space="preserve"> allying their identity to their body and soul as Bynum discussed. </w:t>
      </w:r>
    </w:p>
    <w:p w14:paraId="3F24E9A9" w14:textId="6BF67CFC" w:rsidR="00B74DC3" w:rsidRDefault="008C227D" w:rsidP="00B74DC3">
      <w:r>
        <w:t>In contrast,</w:t>
      </w:r>
      <w:r w:rsidR="00103670">
        <w:t xml:space="preserve"> </w:t>
      </w:r>
      <w:r>
        <w:t>p</w:t>
      </w:r>
      <w:r w:rsidR="00022045">
        <w:t xml:space="preserve">eople that were executed were not afforded a </w:t>
      </w:r>
      <w:r w:rsidR="004459AE">
        <w:t>consecrated burial and for those who were quartered, their body parts could often be sent to different corners of the country. This served as a statement to those who watched the executions as to not only the power of the King but perhaps of the threat to their own after life if they were killed in this way, unable to have their body rest in place ready for the final judgment.</w:t>
      </w:r>
      <w:r w:rsidR="00B569D1">
        <w:t xml:space="preserve"> In contrast to the King who would have been in a perfect position to be judged, they were being denied this security at death, as a lot of imagery concerning resurrection showed </w:t>
      </w:r>
      <w:r w:rsidR="00821678">
        <w:t>people rising from their graves in their previous form</w:t>
      </w:r>
      <w:r w:rsidR="00C148A2">
        <w:t xml:space="preserve"> such as in the Holy Thorn Reliquary</w:t>
      </w:r>
      <w:r w:rsidR="00821678">
        <w:t>,</w:t>
      </w:r>
      <w:r w:rsidR="00D0259E">
        <w:rPr>
          <w:rStyle w:val="FootnoteReference"/>
        </w:rPr>
        <w:footnoteReference w:id="20"/>
      </w:r>
      <w:r w:rsidR="00821678">
        <w:t xml:space="preserve"> not as </w:t>
      </w:r>
      <w:r w:rsidR="003E0EB4">
        <w:t>skeletons or unworldly beings</w:t>
      </w:r>
      <w:r w:rsidR="00B569D1">
        <w:t>.</w:t>
      </w:r>
      <w:r w:rsidR="004459AE">
        <w:t xml:space="preserve"> </w:t>
      </w:r>
      <w:r w:rsidR="005F10D6">
        <w:t xml:space="preserve">This is different to the case of </w:t>
      </w:r>
      <w:r w:rsidR="008576BE">
        <w:t>reliquaries and the</w:t>
      </w:r>
      <w:r w:rsidR="005F10D6">
        <w:t xml:space="preserve"> </w:t>
      </w:r>
      <w:r w:rsidR="008576BE">
        <w:t xml:space="preserve">Saints who </w:t>
      </w:r>
      <w:r w:rsidR="005F10D6">
        <w:t>had bones and parts separated in</w:t>
      </w:r>
      <w:r w:rsidR="008576BE">
        <w:t xml:space="preserve"> containers</w:t>
      </w:r>
      <w:r w:rsidR="00B569D1">
        <w:t>, but th</w:t>
      </w:r>
      <w:r w:rsidR="008576BE">
        <w:t>at</w:t>
      </w:r>
      <w:r w:rsidR="00B569D1">
        <w:t xml:space="preserve"> was designed as an extension of the divine</w:t>
      </w:r>
      <w:r w:rsidR="008576BE">
        <w:t xml:space="preserve">, to be worshiped and prayed over. </w:t>
      </w:r>
    </w:p>
    <w:p w14:paraId="7CEA688B" w14:textId="0DD1B38B" w:rsidR="00F13843" w:rsidRDefault="00F13843" w:rsidP="00B74DC3">
      <w:r w:rsidRPr="00B74DC3">
        <w:lastRenderedPageBreak/>
        <w:t>Significantly, Bynum mentions that the discussion surrounding resurrection lessened because of the significance of purgatory as a concept</w:t>
      </w:r>
      <w:r>
        <w:t>. This is important because purgatory became a journey that a person could go on after death where they could earn their way into heaven, with the ability to aid this during their life with by the purchase of indulgences for instance, or after their death with the help of prayers being made for them. The idea of the last judgment was of a day when everyone would be judged on how they had lived their lives, but purgatory evolved this by giving people the hope of earning their way to God, which would have been a much more optimistic outlook for people at this time. This was also a more beneficial doctrine for the Church of Rome to push, given the advantages of charging for indulgences. Ultimately, purgatory meant that the chance for salvation did not end with a person’s death, granting them a middle ground, whereas representations of the last judgment would commonly show an absolute divide between those allowed into heaven and those condemned to hell.</w:t>
      </w:r>
    </w:p>
    <w:p w14:paraId="298FB8A8" w14:textId="09ABCE2A" w:rsidR="00B42123" w:rsidRDefault="00B42123" w:rsidP="00B74DC3"/>
    <w:p w14:paraId="2CBD8ADE" w14:textId="77777777" w:rsidR="00E0596E" w:rsidRDefault="00E0596E" w:rsidP="00E0596E">
      <w:pPr>
        <w:rPr>
          <w:u w:val="single"/>
        </w:rPr>
      </w:pPr>
    </w:p>
    <w:p w14:paraId="541FA599" w14:textId="77777777" w:rsidR="00E0596E" w:rsidRDefault="00E0596E" w:rsidP="00B42123">
      <w:pPr>
        <w:jc w:val="center"/>
        <w:rPr>
          <w:u w:val="single"/>
        </w:rPr>
      </w:pPr>
    </w:p>
    <w:p w14:paraId="4AEE1D4E" w14:textId="77777777" w:rsidR="00E0596E" w:rsidRDefault="00E0596E" w:rsidP="00B42123">
      <w:pPr>
        <w:jc w:val="center"/>
        <w:rPr>
          <w:u w:val="single"/>
        </w:rPr>
      </w:pPr>
    </w:p>
    <w:p w14:paraId="58C68ED0" w14:textId="77777777" w:rsidR="00E0596E" w:rsidRDefault="00E0596E" w:rsidP="00B42123">
      <w:pPr>
        <w:jc w:val="center"/>
        <w:rPr>
          <w:u w:val="single"/>
        </w:rPr>
      </w:pPr>
    </w:p>
    <w:p w14:paraId="43E91E2C" w14:textId="77777777" w:rsidR="00E0596E" w:rsidRDefault="00E0596E" w:rsidP="00B42123">
      <w:pPr>
        <w:jc w:val="center"/>
        <w:rPr>
          <w:u w:val="single"/>
        </w:rPr>
      </w:pPr>
    </w:p>
    <w:p w14:paraId="2073AAE2" w14:textId="77777777" w:rsidR="00E0596E" w:rsidRDefault="00E0596E" w:rsidP="00B42123">
      <w:pPr>
        <w:jc w:val="center"/>
        <w:rPr>
          <w:u w:val="single"/>
        </w:rPr>
      </w:pPr>
    </w:p>
    <w:p w14:paraId="1B0B5940" w14:textId="77777777" w:rsidR="00E0596E" w:rsidRDefault="00E0596E" w:rsidP="00B42123">
      <w:pPr>
        <w:jc w:val="center"/>
        <w:rPr>
          <w:u w:val="single"/>
        </w:rPr>
      </w:pPr>
    </w:p>
    <w:p w14:paraId="4509722C" w14:textId="77777777" w:rsidR="00E0596E" w:rsidRDefault="00E0596E" w:rsidP="00B42123">
      <w:pPr>
        <w:jc w:val="center"/>
        <w:rPr>
          <w:u w:val="single"/>
        </w:rPr>
      </w:pPr>
    </w:p>
    <w:p w14:paraId="1123AD7B" w14:textId="77777777" w:rsidR="00E0596E" w:rsidRDefault="00E0596E" w:rsidP="00B42123">
      <w:pPr>
        <w:jc w:val="center"/>
        <w:rPr>
          <w:u w:val="single"/>
        </w:rPr>
      </w:pPr>
    </w:p>
    <w:p w14:paraId="741B9AB3" w14:textId="77777777" w:rsidR="00E0596E" w:rsidRDefault="00E0596E" w:rsidP="00B42123">
      <w:pPr>
        <w:jc w:val="center"/>
        <w:rPr>
          <w:u w:val="single"/>
        </w:rPr>
      </w:pPr>
    </w:p>
    <w:p w14:paraId="52097C82" w14:textId="77777777" w:rsidR="00E0596E" w:rsidRDefault="00E0596E" w:rsidP="00B42123">
      <w:pPr>
        <w:jc w:val="center"/>
        <w:rPr>
          <w:u w:val="single"/>
        </w:rPr>
      </w:pPr>
    </w:p>
    <w:p w14:paraId="3102F3FF" w14:textId="77777777" w:rsidR="00E0596E" w:rsidRDefault="00E0596E" w:rsidP="00B42123">
      <w:pPr>
        <w:jc w:val="center"/>
        <w:rPr>
          <w:u w:val="single"/>
        </w:rPr>
      </w:pPr>
    </w:p>
    <w:p w14:paraId="42955879" w14:textId="508AD8E3" w:rsidR="000C347B" w:rsidRDefault="000C347B" w:rsidP="00FD7031">
      <w:pPr>
        <w:rPr>
          <w:u w:val="single"/>
        </w:rPr>
      </w:pPr>
    </w:p>
    <w:p w14:paraId="79AF56E6" w14:textId="77777777" w:rsidR="005C5892" w:rsidRDefault="005C5892" w:rsidP="00FD7031">
      <w:pPr>
        <w:rPr>
          <w:u w:val="single"/>
        </w:rPr>
      </w:pPr>
    </w:p>
    <w:p w14:paraId="1B069D5D" w14:textId="77777777" w:rsidR="008A6D64" w:rsidRDefault="008A6D64" w:rsidP="00B42123">
      <w:pPr>
        <w:jc w:val="center"/>
        <w:rPr>
          <w:u w:val="single"/>
        </w:rPr>
      </w:pPr>
    </w:p>
    <w:p w14:paraId="24EAF9B2" w14:textId="77777777" w:rsidR="008A6D64" w:rsidRDefault="008A6D64" w:rsidP="00B42123">
      <w:pPr>
        <w:jc w:val="center"/>
        <w:rPr>
          <w:u w:val="single"/>
        </w:rPr>
      </w:pPr>
    </w:p>
    <w:p w14:paraId="1028DE47" w14:textId="77777777" w:rsidR="008A6D64" w:rsidRDefault="008A6D64" w:rsidP="00B42123">
      <w:pPr>
        <w:jc w:val="center"/>
        <w:rPr>
          <w:u w:val="single"/>
        </w:rPr>
      </w:pPr>
    </w:p>
    <w:p w14:paraId="66783D3F" w14:textId="77777777" w:rsidR="008A6D64" w:rsidRDefault="008A6D64" w:rsidP="00B42123">
      <w:pPr>
        <w:jc w:val="center"/>
        <w:rPr>
          <w:u w:val="single"/>
        </w:rPr>
      </w:pPr>
    </w:p>
    <w:p w14:paraId="00D633E8" w14:textId="77777777" w:rsidR="008A6D64" w:rsidRDefault="008A6D64" w:rsidP="00B42123">
      <w:pPr>
        <w:jc w:val="center"/>
        <w:rPr>
          <w:u w:val="single"/>
        </w:rPr>
      </w:pPr>
    </w:p>
    <w:p w14:paraId="5EC4D736" w14:textId="77777777" w:rsidR="008A6D64" w:rsidRDefault="008A6D64" w:rsidP="00B42123">
      <w:pPr>
        <w:jc w:val="center"/>
        <w:rPr>
          <w:u w:val="single"/>
        </w:rPr>
      </w:pPr>
    </w:p>
    <w:p w14:paraId="32925D06" w14:textId="77777777" w:rsidR="008A6D64" w:rsidRDefault="008A6D64" w:rsidP="00B42123">
      <w:pPr>
        <w:jc w:val="center"/>
        <w:rPr>
          <w:u w:val="single"/>
        </w:rPr>
      </w:pPr>
    </w:p>
    <w:p w14:paraId="1C3DC33D" w14:textId="77777777" w:rsidR="008A6D64" w:rsidRDefault="008A6D64" w:rsidP="00B42123">
      <w:pPr>
        <w:jc w:val="center"/>
        <w:rPr>
          <w:u w:val="single"/>
        </w:rPr>
      </w:pPr>
    </w:p>
    <w:p w14:paraId="34F1BB83" w14:textId="34076F18" w:rsidR="00B74DC3" w:rsidRPr="00B74DC3" w:rsidRDefault="00B74DC3" w:rsidP="00B42123">
      <w:pPr>
        <w:jc w:val="center"/>
        <w:rPr>
          <w:u w:val="single"/>
        </w:rPr>
      </w:pPr>
      <w:r w:rsidRPr="00B74DC3">
        <w:rPr>
          <w:u w:val="single"/>
        </w:rPr>
        <w:lastRenderedPageBreak/>
        <w:t>Image – Danse Macabre</w:t>
      </w:r>
    </w:p>
    <w:p w14:paraId="38B36363" w14:textId="77777777" w:rsidR="00B74DC3" w:rsidRPr="00B74DC3" w:rsidRDefault="00B74DC3" w:rsidP="00B74DC3">
      <w:pPr>
        <w:jc w:val="center"/>
        <w:rPr>
          <w:u w:val="single"/>
        </w:rPr>
      </w:pPr>
    </w:p>
    <w:p w14:paraId="3206B63A" w14:textId="0E0D1228" w:rsidR="00D35695" w:rsidRPr="00B74DC3" w:rsidRDefault="00B74DC3" w:rsidP="00D35695">
      <w:pPr>
        <w:jc w:val="both"/>
      </w:pPr>
      <w:r w:rsidRPr="00B74DC3">
        <w:t xml:space="preserve">The overriding message of the Danse Macabre, as seen in the extract from Pierre </w:t>
      </w:r>
      <w:r w:rsidR="008249FE">
        <w:t>L</w:t>
      </w:r>
      <w:r w:rsidRPr="00B74DC3">
        <w:t xml:space="preserve">e Rouge at the end of the fifteenth century, is that death is a fate that will befall everyone, regardless of the status they held in life. </w:t>
      </w:r>
      <w:r w:rsidR="00D35695" w:rsidRPr="00B74DC3">
        <w:t xml:space="preserve">As a comparison, another representation of the Danse Macabre from 1489, the novel, </w:t>
      </w:r>
      <w:r w:rsidR="00D35695" w:rsidRPr="00B74DC3">
        <w:rPr>
          <w:i/>
        </w:rPr>
        <w:t xml:space="preserve">des dodes dantz </w:t>
      </w:r>
      <w:r w:rsidR="00D35695" w:rsidRPr="00B74DC3">
        <w:t>relies less on imagery and more so on the message in the text. This text took on the form of a conversation between a figure and death, with death’s reply the important message to the reader. For example, when reading the chapter concerning the physician, he is under the impression that he has done enough good in his life to earn the acceptance of God, with death informing him that he has not cured out of ‘real charity’.</w:t>
      </w:r>
      <w:r w:rsidR="00D35695">
        <w:rPr>
          <w:rStyle w:val="FootnoteReference"/>
        </w:rPr>
        <w:footnoteReference w:id="21"/>
      </w:r>
      <w:r w:rsidR="00D35695" w:rsidRPr="00B74DC3">
        <w:t xml:space="preserve"> This portrayal is different to </w:t>
      </w:r>
      <w:r w:rsidR="00D35695">
        <w:t>L</w:t>
      </w:r>
      <w:r w:rsidR="00D35695" w:rsidRPr="00B74DC3">
        <w:t xml:space="preserve">e Rouge’s work as the images take place on different pages, allowing less interpretation of the interaction between the person and death. </w:t>
      </w:r>
    </w:p>
    <w:p w14:paraId="607D7184" w14:textId="4FB02012" w:rsidR="00B74DC3" w:rsidRPr="00B74DC3" w:rsidRDefault="00B74DC3" w:rsidP="00B74DC3">
      <w:pPr>
        <w:jc w:val="both"/>
      </w:pPr>
      <w:r w:rsidRPr="00B74DC3">
        <w:t xml:space="preserve">On the top row, the image appears to show two Bishop level figures, perhaps positioned at the top as they are representative of God on earth. This is an important image as that even those who have the highest status in serving God are just as vulnerable. Significantly, these figures are backing away from the deathly character, clearly not in control of the process or comforted by the thought that they had led a good life. The image of the monk is similar, as he is almost reeling from death, turning his head away and placing his hands over his chest, in almost a protective manner. He is literally being confronted by death face to face, and is perhaps choosing a moment to pray, in order to protect himself or ensure his salvation. </w:t>
      </w:r>
    </w:p>
    <w:p w14:paraId="4778CCB0" w14:textId="2FE0A6CF" w:rsidR="00B74DC3" w:rsidRPr="00B74DC3" w:rsidRDefault="00B74DC3" w:rsidP="00B74DC3">
      <w:pPr>
        <w:jc w:val="both"/>
      </w:pPr>
      <w:r w:rsidRPr="00B74DC3">
        <w:t>An image on the bottom row shows a child being held by the hand of death. This is a striking image compared to the others as the child is lying in bed and death is arched towards him, perhaps in a sympathetic manner. Huizinga believed that people in the Middle Ages are not represented as being sorrowful over death</w:t>
      </w:r>
      <w:r w:rsidR="00EE5DED">
        <w:t>,</w:t>
      </w:r>
      <w:r w:rsidRPr="00B74DC3">
        <w:t xml:space="preserve"> apart from descriptions of Children’s deaths.</w:t>
      </w:r>
      <w:r w:rsidR="00EE5DED">
        <w:rPr>
          <w:rStyle w:val="FootnoteReference"/>
        </w:rPr>
        <w:footnoteReference w:id="22"/>
      </w:r>
      <w:r w:rsidRPr="00B74DC3">
        <w:t xml:space="preserve"> He uses the example of the dance of death of women, with a sentimental goodbye from a young girl to her mother.</w:t>
      </w:r>
      <w:r w:rsidR="00EE5DED">
        <w:rPr>
          <w:rStyle w:val="FootnoteReference"/>
        </w:rPr>
        <w:footnoteReference w:id="23"/>
      </w:r>
      <w:r w:rsidRPr="00B74DC3">
        <w:t xml:space="preserve"> This image appears to show this emotion in relation to the death of a child as a young figure lying in bed, helpless, such as this can only send a message of compassion. This must also be due to the fact that a child at this stage would not have been able to have sinned and lead a bad life, so is deserving of a humane death, and we can see the way people at this time approached the death of children with the images of Abraham’s Bosom, as a comforting and safe place for deceased children to go free of judgment or punishment. </w:t>
      </w:r>
    </w:p>
    <w:p w14:paraId="53B14BD2" w14:textId="792E43EB" w:rsidR="00C92430" w:rsidRDefault="00782F27" w:rsidP="00B74DC3">
      <w:r>
        <w:t>Death is</w:t>
      </w:r>
      <w:r w:rsidR="00D35695" w:rsidRPr="00D35695">
        <w:t xml:space="preserve"> a uniting force and it is important to establish that the portrayal of each person and death</w:t>
      </w:r>
      <w:r>
        <w:t xml:space="preserve"> in the </w:t>
      </w:r>
      <w:r w:rsidRPr="00782F27">
        <w:rPr>
          <w:i/>
        </w:rPr>
        <w:t>Dance Macabre</w:t>
      </w:r>
      <w:r w:rsidR="00D35695" w:rsidRPr="00D35695">
        <w:t xml:space="preserve"> is different</w:t>
      </w:r>
      <w:r w:rsidR="00C92430">
        <w:t xml:space="preserve">. </w:t>
      </w:r>
      <w:r w:rsidR="00CB3155">
        <w:t>L</w:t>
      </w:r>
      <w:r w:rsidR="00CB3155" w:rsidRPr="00B74DC3">
        <w:t xml:space="preserve">e Rouge’s image will perhaps have been </w:t>
      </w:r>
      <w:r w:rsidR="00CB3155">
        <w:t>so</w:t>
      </w:r>
      <w:r w:rsidR="00CB3155" w:rsidRPr="00B74DC3">
        <w:t xml:space="preserve"> striking </w:t>
      </w:r>
      <w:r w:rsidR="00CB3155">
        <w:t>because</w:t>
      </w:r>
      <w:r w:rsidR="00CB3155" w:rsidRPr="00B74DC3">
        <w:t xml:space="preserve"> even those who could not read could understand the nature of all of these people placed on the same background, as a uniform presentation for a universal fate.</w:t>
      </w:r>
      <w:r w:rsidR="00732E48">
        <w:t xml:space="preserve"> They will have been able to </w:t>
      </w:r>
      <w:r w:rsidR="009F6455">
        <w:t xml:space="preserve">identify each figure, such as the Bishops and Monks by the tools they have in their hands, and this would have been an image which would have resonated. Particularly as these tools were essentially the instruments to carry out God’s work. Some of the less holy figures in the images are less resistant to converse with Death, showing that facing up to this fate was not dependent on someone’s status. </w:t>
      </w:r>
    </w:p>
    <w:p w14:paraId="4CD5B3A2" w14:textId="71F5A014" w:rsidR="00B74DC3" w:rsidRPr="00B74DC3" w:rsidRDefault="00B74DC3" w:rsidP="00C92430">
      <w:pPr>
        <w:jc w:val="both"/>
      </w:pPr>
      <w:r w:rsidRPr="00B74DC3">
        <w:t xml:space="preserve">Huzinga claims that the representations of death in the Middle Ages focused purely on fear, with a compromised emotional response. This image of the Danse Macabre does not support this viewpoint </w:t>
      </w:r>
      <w:r w:rsidRPr="00B74DC3">
        <w:lastRenderedPageBreak/>
        <w:t>as it provides a more nuanced portrayal than Huzinga appears to describe, as the figures in the images have different and significant reactions to death. He also mentions ‘the agony of death’</w:t>
      </w:r>
      <w:r w:rsidR="00EE5DED">
        <w:rPr>
          <w:rStyle w:val="FootnoteReference"/>
        </w:rPr>
        <w:footnoteReference w:id="24"/>
      </w:r>
      <w:r w:rsidRPr="00B74DC3">
        <w:t xml:space="preserve"> but this portrayal shows no suffering or pain for those involved, instead they are simply being led away by an upbeat figure representing death. The images seemingly represent a moment of realisation about what is happening to them and evoke sympathy and reflection far more than any revulsion or misery that Huzinga discusses.</w:t>
      </w:r>
      <w:r w:rsidR="00C92430" w:rsidRPr="00C92430">
        <w:t xml:space="preserve"> </w:t>
      </w:r>
      <w:r w:rsidRPr="00B74DC3">
        <w:t>The reactions shown indicate apprehension amongst a few of the figures and seeing an important figure like a Bishop not in any sort of control is striking but also hum</w:t>
      </w:r>
      <w:r w:rsidR="00D35695">
        <w:t>bling</w:t>
      </w:r>
      <w:r w:rsidRPr="00B74DC3">
        <w:t xml:space="preserve">. Huzinga claims that the medieval person was surrounded by death so much that it lessened their emotional release, but these images show an awareness of the fragility of life and nature of death that strikes a chord in an emotional way, without resorting to shock or awe. </w:t>
      </w:r>
    </w:p>
    <w:p w14:paraId="36C08A75" w14:textId="0263B722" w:rsidR="00B74DC3" w:rsidRDefault="00B74DC3" w:rsidP="00BD1377"/>
    <w:p w14:paraId="467552AA" w14:textId="1DF13042" w:rsidR="00B42123" w:rsidRDefault="00B42123" w:rsidP="00BD1377"/>
    <w:p w14:paraId="48D51F0E" w14:textId="33153613" w:rsidR="00B42123" w:rsidRDefault="00B42123" w:rsidP="00BD1377"/>
    <w:p w14:paraId="4FC85683" w14:textId="53ABB0BC" w:rsidR="00B42123" w:rsidRDefault="00B42123" w:rsidP="00BD1377"/>
    <w:p w14:paraId="7CA811A2" w14:textId="56B95EEC" w:rsidR="00B42123" w:rsidRDefault="00B42123" w:rsidP="00BD1377"/>
    <w:p w14:paraId="207B734E" w14:textId="3B033C92" w:rsidR="00B42123" w:rsidRDefault="00B42123" w:rsidP="00BD1377"/>
    <w:p w14:paraId="06378097" w14:textId="1A4CC247" w:rsidR="00B42123" w:rsidRDefault="00B42123" w:rsidP="00BD1377"/>
    <w:p w14:paraId="0DC5D1B9" w14:textId="790B54F6" w:rsidR="00B42123" w:rsidRDefault="00B42123" w:rsidP="00BD1377"/>
    <w:p w14:paraId="42C74865" w14:textId="72311B3D" w:rsidR="00B42123" w:rsidRDefault="00B42123" w:rsidP="00BD1377"/>
    <w:p w14:paraId="60EED71D" w14:textId="45BF595D" w:rsidR="00B42123" w:rsidRDefault="00B42123" w:rsidP="00BD1377"/>
    <w:p w14:paraId="58D418DA" w14:textId="5BCA5BC1" w:rsidR="00B42123" w:rsidRDefault="00B42123" w:rsidP="00BD1377"/>
    <w:p w14:paraId="7D2EDEEA" w14:textId="0A2AB51E" w:rsidR="00B42123" w:rsidRDefault="00B42123" w:rsidP="00BD1377"/>
    <w:p w14:paraId="2372E7FD" w14:textId="0A3A8F35" w:rsidR="00B42123" w:rsidRDefault="00B42123" w:rsidP="00BD1377"/>
    <w:p w14:paraId="0394A3DF" w14:textId="785F5DA7" w:rsidR="00B42123" w:rsidRDefault="00B42123" w:rsidP="00BD1377"/>
    <w:p w14:paraId="7D98BFFB" w14:textId="680A0B2C" w:rsidR="00B42123" w:rsidRDefault="00B42123" w:rsidP="00BD1377"/>
    <w:p w14:paraId="645B9516" w14:textId="287361BB" w:rsidR="00B42123" w:rsidRDefault="00B42123" w:rsidP="00BD1377"/>
    <w:p w14:paraId="6D791C9F" w14:textId="5A4BE9DC" w:rsidR="00B42123" w:rsidRDefault="00B42123" w:rsidP="00BD1377"/>
    <w:p w14:paraId="2D577E8E" w14:textId="109EDB11" w:rsidR="00B42123" w:rsidRDefault="00B42123" w:rsidP="00BD1377"/>
    <w:p w14:paraId="0B45D662" w14:textId="5FF404D9" w:rsidR="00130C47" w:rsidRDefault="00130C47" w:rsidP="00BD1377"/>
    <w:p w14:paraId="132F35A5" w14:textId="5A468A8A" w:rsidR="00FD7031" w:rsidRDefault="00FD7031" w:rsidP="00D0259E"/>
    <w:p w14:paraId="5F3DC3E5" w14:textId="77777777" w:rsidR="00D0259E" w:rsidRDefault="00D0259E" w:rsidP="00D0259E">
      <w:pPr>
        <w:rPr>
          <w:u w:val="single"/>
        </w:rPr>
      </w:pPr>
    </w:p>
    <w:p w14:paraId="2F9C3564" w14:textId="77777777" w:rsidR="005C5892" w:rsidRDefault="005C5892" w:rsidP="00130C47">
      <w:pPr>
        <w:jc w:val="center"/>
        <w:rPr>
          <w:u w:val="single"/>
        </w:rPr>
      </w:pPr>
    </w:p>
    <w:p w14:paraId="5686B51C" w14:textId="77777777" w:rsidR="005C5892" w:rsidRDefault="005C5892" w:rsidP="00130C47">
      <w:pPr>
        <w:jc w:val="center"/>
        <w:rPr>
          <w:u w:val="single"/>
        </w:rPr>
      </w:pPr>
    </w:p>
    <w:p w14:paraId="6F0149B1" w14:textId="16B91C7D" w:rsidR="00130C47" w:rsidRDefault="00130C47" w:rsidP="00130C47">
      <w:pPr>
        <w:jc w:val="center"/>
        <w:rPr>
          <w:u w:val="single"/>
        </w:rPr>
      </w:pPr>
      <w:r w:rsidRPr="00130C47">
        <w:rPr>
          <w:u w:val="single"/>
        </w:rPr>
        <w:lastRenderedPageBreak/>
        <w:t>Bibliography</w:t>
      </w:r>
    </w:p>
    <w:p w14:paraId="7C400763" w14:textId="640474E0" w:rsidR="00130C47" w:rsidRDefault="00130C47" w:rsidP="00130C47">
      <w:pPr>
        <w:jc w:val="center"/>
        <w:rPr>
          <w:u w:val="single"/>
        </w:rPr>
      </w:pPr>
      <w:r>
        <w:rPr>
          <w:u w:val="single"/>
        </w:rPr>
        <w:t>Primary Sources</w:t>
      </w:r>
    </w:p>
    <w:p w14:paraId="3CBA79DC" w14:textId="77777777" w:rsidR="00130C47" w:rsidRDefault="00130C47" w:rsidP="00130C47">
      <w:r>
        <w:t xml:space="preserve">Alighieri, Dante. </w:t>
      </w:r>
      <w:r w:rsidRPr="00C9725C">
        <w:rPr>
          <w:i/>
        </w:rPr>
        <w:t>Inferno</w:t>
      </w:r>
      <w:r>
        <w:t xml:space="preserve"> (As provided by course reader). </w:t>
      </w:r>
    </w:p>
    <w:p w14:paraId="53924102" w14:textId="2E57DD81" w:rsidR="00130C47" w:rsidRDefault="00130C47" w:rsidP="00130C47">
      <w:bookmarkStart w:id="3" w:name="_Hlk536368001"/>
      <w:r>
        <w:t>Alighieri, Dante</w:t>
      </w:r>
      <w:bookmarkEnd w:id="3"/>
      <w:r>
        <w:t xml:space="preserve">. </w:t>
      </w:r>
      <w:r w:rsidRPr="006723C8">
        <w:rPr>
          <w:i/>
        </w:rPr>
        <w:t>The Divine Comedy: Purgatorio</w:t>
      </w:r>
      <w:r>
        <w:rPr>
          <w:i/>
        </w:rPr>
        <w:t xml:space="preserve"> </w:t>
      </w:r>
      <w:r>
        <w:t xml:space="preserve">(1973, Princeton University Press, Princeton). </w:t>
      </w:r>
    </w:p>
    <w:p w14:paraId="7BD95D06" w14:textId="7BE4FF09" w:rsidR="00E4686D" w:rsidRPr="00E4686D" w:rsidRDefault="00E4686D" w:rsidP="00130C47">
      <w:r>
        <w:t xml:space="preserve">British Museum. </w:t>
      </w:r>
      <w:r w:rsidRPr="00E4686D">
        <w:rPr>
          <w:i/>
        </w:rPr>
        <w:t>The Holy Thorn Reliquary</w:t>
      </w:r>
      <w:r>
        <w:rPr>
          <w:i/>
        </w:rPr>
        <w:t xml:space="preserve"> </w:t>
      </w:r>
      <w:hyperlink r:id="rId6" w:history="1">
        <w:r w:rsidRPr="00E4686D">
          <w:rPr>
            <w:rStyle w:val="Hyperlink"/>
          </w:rPr>
          <w:t>https://www.britishmuseum.org/research/collection_online/collection_object_details/collection_image_gallery.aspx?assetId=562294001&amp;objectId=42845&amp;partId=1</w:t>
        </w:r>
      </w:hyperlink>
      <w:r w:rsidRPr="00E4686D">
        <w:t xml:space="preserve"> </w:t>
      </w:r>
      <w:r>
        <w:t>[Last Accessed: 29</w:t>
      </w:r>
      <w:r w:rsidRPr="00E4686D">
        <w:rPr>
          <w:vertAlign w:val="superscript"/>
        </w:rPr>
        <w:t>th</w:t>
      </w:r>
      <w:r>
        <w:t xml:space="preserve"> January]. </w:t>
      </w:r>
    </w:p>
    <w:p w14:paraId="564CB48F" w14:textId="2683AD40" w:rsidR="00130C47" w:rsidRDefault="00130C47" w:rsidP="00130C47">
      <w:r>
        <w:t>(Ed.) Gardiner,</w:t>
      </w:r>
      <w:r w:rsidRPr="00DF60F4">
        <w:t xml:space="preserve"> Eileen</w:t>
      </w:r>
      <w:r>
        <w:t xml:space="preserve">. </w:t>
      </w:r>
      <w:r w:rsidRPr="00DF60F4">
        <w:rPr>
          <w:i/>
        </w:rPr>
        <w:t>Visions of Heaven and Hell Before Dante</w:t>
      </w:r>
      <w:r w:rsidRPr="00AB599D">
        <w:t xml:space="preserve"> (New York, 1989) pp. 221-223</w:t>
      </w:r>
      <w:r>
        <w:t>.</w:t>
      </w:r>
    </w:p>
    <w:p w14:paraId="5B23C46B" w14:textId="10EB1767" w:rsidR="00130C47" w:rsidRDefault="00130C47" w:rsidP="00130C47">
      <w:pPr>
        <w:rPr>
          <w:i/>
        </w:rPr>
      </w:pPr>
      <w:r>
        <w:t>Horton, Randy.</w:t>
      </w:r>
      <w:r>
        <w:rPr>
          <w:i/>
        </w:rPr>
        <w:t xml:space="preserve"> </w:t>
      </w:r>
      <w:r w:rsidRPr="006723C8">
        <w:rPr>
          <w:i/>
        </w:rPr>
        <w:t>The Reformation, Primary Sources</w:t>
      </w:r>
      <w:r>
        <w:rPr>
          <w:i/>
        </w:rPr>
        <w:t xml:space="preserve"> </w:t>
      </w:r>
      <w:hyperlink r:id="rId7" w:history="1">
        <w:r w:rsidRPr="00B03EFD">
          <w:rPr>
            <w:rStyle w:val="Hyperlink"/>
          </w:rPr>
          <w:t>https://randy_horton.myteachersite.org/teacher/files/documents/ref%20primary%20sources%20-%20tetzel%20&amp;%20indulgences.pdf</w:t>
        </w:r>
      </w:hyperlink>
      <w:r>
        <w:t xml:space="preserve"> [Last Accessed: 27</w:t>
      </w:r>
      <w:r w:rsidRPr="00FB0E14">
        <w:rPr>
          <w:vertAlign w:val="superscript"/>
        </w:rPr>
        <w:t>th</w:t>
      </w:r>
      <w:r>
        <w:t xml:space="preserve"> January 2019]. </w:t>
      </w:r>
      <w:r>
        <w:rPr>
          <w:i/>
        </w:rPr>
        <w:t xml:space="preserve"> </w:t>
      </w:r>
    </w:p>
    <w:p w14:paraId="234B68A2" w14:textId="77777777" w:rsidR="00130C47" w:rsidRDefault="00130C47" w:rsidP="00130C47">
      <w:r>
        <w:t xml:space="preserve">Le Rouge, Pierre. </w:t>
      </w:r>
      <w:r w:rsidRPr="007863E0">
        <w:rPr>
          <w:i/>
        </w:rPr>
        <w:t>Danse Macabre</w:t>
      </w:r>
      <w:r>
        <w:t xml:space="preserve"> c. 1491-92. </w:t>
      </w:r>
    </w:p>
    <w:p w14:paraId="381B8B70" w14:textId="57B7BF1E" w:rsidR="00130C47" w:rsidRDefault="00130C47" w:rsidP="00130C47">
      <w:r>
        <w:t xml:space="preserve">Monk of Eynsham, </w:t>
      </w:r>
      <w:r w:rsidRPr="00EA5263">
        <w:rPr>
          <w:i/>
        </w:rPr>
        <w:t xml:space="preserve">The Revelation </w:t>
      </w:r>
      <w:r>
        <w:t xml:space="preserve">c. 1470s. (As provided in the course reader). </w:t>
      </w:r>
    </w:p>
    <w:p w14:paraId="024F8379" w14:textId="5DEF3F0B" w:rsidR="00130C47" w:rsidRDefault="00130C47" w:rsidP="00653943">
      <w:r>
        <w:t xml:space="preserve">Schmidt, Paul Gerhard. </w:t>
      </w:r>
      <w:r w:rsidRPr="00D73C4D">
        <w:rPr>
          <w:i/>
        </w:rPr>
        <w:t>The</w:t>
      </w:r>
      <w:r>
        <w:t xml:space="preserve"> </w:t>
      </w:r>
      <w:r w:rsidRPr="00DF60F4">
        <w:rPr>
          <w:i/>
        </w:rPr>
        <w:t>Vision of Thurkill</w:t>
      </w:r>
      <w:r>
        <w:t>, J</w:t>
      </w:r>
      <w:r w:rsidRPr="00D73C4D">
        <w:t>ournal of the Warburg and Courtauld Institutes, 1</w:t>
      </w:r>
      <w:r w:rsidRPr="00D73C4D">
        <w:rPr>
          <w:vertAlign w:val="superscript"/>
        </w:rPr>
        <w:t>st</w:t>
      </w:r>
      <w:r w:rsidRPr="00D73C4D">
        <w:t xml:space="preserve"> January 1978, Vol.</w:t>
      </w:r>
      <w:r>
        <w:t xml:space="preserve"> </w:t>
      </w:r>
      <w:r w:rsidRPr="00D73C4D">
        <w:t>41, pp.</w:t>
      </w:r>
      <w:r>
        <w:t xml:space="preserve"> </w:t>
      </w:r>
      <w:r w:rsidRPr="00D73C4D">
        <w:t>50-64</w:t>
      </w:r>
      <w:r>
        <w:t xml:space="preserve">. </w:t>
      </w:r>
    </w:p>
    <w:p w14:paraId="3E526801" w14:textId="4CF3F7EC" w:rsidR="000C7082" w:rsidRDefault="000C7082" w:rsidP="00653943">
      <w:r>
        <w:t>Unknown Author</w:t>
      </w:r>
      <w:r>
        <w:rPr>
          <w:i/>
        </w:rPr>
        <w:t>. A Disputacion Betwyx the Body and Wormes</w:t>
      </w:r>
      <w:r>
        <w:t xml:space="preserve"> (As provided by course reader).</w:t>
      </w:r>
    </w:p>
    <w:p w14:paraId="2728D549" w14:textId="77777777" w:rsidR="00130C47" w:rsidRDefault="00130C47" w:rsidP="00130C47">
      <w:r>
        <w:t xml:space="preserve">Unknown Author. </w:t>
      </w:r>
      <w:r w:rsidRPr="007D66CD">
        <w:rPr>
          <w:i/>
        </w:rPr>
        <w:t>Lubeck’s Dance of Death</w:t>
      </w:r>
      <w:r>
        <w:rPr>
          <w:i/>
        </w:rPr>
        <w:t>: The Physician</w:t>
      </w:r>
      <w:r w:rsidRPr="007D66CD">
        <w:rPr>
          <w:i/>
        </w:rPr>
        <w:t xml:space="preserve"> </w:t>
      </w:r>
      <w:hyperlink r:id="rId8" w:history="1">
        <w:r w:rsidRPr="00B03D80">
          <w:rPr>
            <w:rStyle w:val="Hyperlink"/>
          </w:rPr>
          <w:t>http://www.dodedans.com/E1489.htm</w:t>
        </w:r>
      </w:hyperlink>
      <w:r>
        <w:t xml:space="preserve"> [Last Accessed: 27</w:t>
      </w:r>
      <w:r w:rsidRPr="007D66CD">
        <w:rPr>
          <w:vertAlign w:val="superscript"/>
        </w:rPr>
        <w:t>th</w:t>
      </w:r>
      <w:r>
        <w:t xml:space="preserve"> January]. </w:t>
      </w:r>
    </w:p>
    <w:p w14:paraId="3B8BCC85" w14:textId="77777777" w:rsidR="00E4686D" w:rsidRDefault="00E4686D" w:rsidP="00130C47">
      <w:pPr>
        <w:jc w:val="center"/>
      </w:pPr>
    </w:p>
    <w:p w14:paraId="2EFE7655" w14:textId="62F06627" w:rsidR="00130C47" w:rsidRDefault="00130C47" w:rsidP="00130C47">
      <w:pPr>
        <w:jc w:val="center"/>
        <w:rPr>
          <w:u w:val="single"/>
        </w:rPr>
      </w:pPr>
      <w:r>
        <w:rPr>
          <w:u w:val="single"/>
        </w:rPr>
        <w:t>Secondary Sources</w:t>
      </w:r>
    </w:p>
    <w:p w14:paraId="1CF59B11" w14:textId="77777777" w:rsidR="00130C47" w:rsidRDefault="00130C47" w:rsidP="00130C47">
      <w:r w:rsidRPr="0020789B">
        <w:t xml:space="preserve">Ariès, Philippe. </w:t>
      </w:r>
      <w:r w:rsidRPr="00E14FD7">
        <w:rPr>
          <w:i/>
        </w:rPr>
        <w:t>Western Attitudes Toward Death: From the Middle Ages to the Present</w:t>
      </w:r>
      <w:r w:rsidRPr="0020789B">
        <w:t xml:space="preserve"> </w:t>
      </w:r>
      <w:r>
        <w:t>(1975,</w:t>
      </w:r>
      <w:r w:rsidRPr="0020789B">
        <w:t xml:space="preserve"> Johns Hopkins University Press</w:t>
      </w:r>
      <w:r>
        <w:t xml:space="preserve">). </w:t>
      </w:r>
    </w:p>
    <w:p w14:paraId="154A9566" w14:textId="77777777" w:rsidR="00130C47" w:rsidRDefault="00130C47" w:rsidP="00130C47">
      <w:r>
        <w:t xml:space="preserve">Bynum, Caroline Walker. </w:t>
      </w:r>
      <w:r w:rsidRPr="00233F9A">
        <w:rPr>
          <w:i/>
        </w:rPr>
        <w:t>Death and Resurrection in the Middle Ages: Some Modem Implications</w:t>
      </w:r>
      <w:r>
        <w:t xml:space="preserve">, </w:t>
      </w:r>
      <w:r w:rsidRPr="00233F9A">
        <w:t>Proceedings of the American Philosophical Society, Vol. 142, Dec</w:t>
      </w:r>
      <w:r>
        <w:t>ember</w:t>
      </w:r>
      <w:r w:rsidRPr="00233F9A">
        <w:t xml:space="preserve"> 1998, pp. 589-596</w:t>
      </w:r>
      <w:r>
        <w:t xml:space="preserve">. </w:t>
      </w:r>
    </w:p>
    <w:p w14:paraId="695222B3" w14:textId="77777777" w:rsidR="00130C47" w:rsidRDefault="00130C47" w:rsidP="00130C47">
      <w:r>
        <w:t xml:space="preserve">Bynum, Caroline Walker. </w:t>
      </w:r>
      <w:r w:rsidRPr="00A04E3E">
        <w:rPr>
          <w:i/>
        </w:rPr>
        <w:t>Material Continuity, Personal Survival, and the Resurrection of the Body: A Scholastic Discussion in Its Medieval and Modern Contexts</w:t>
      </w:r>
      <w:r>
        <w:rPr>
          <w:i/>
        </w:rPr>
        <w:t xml:space="preserve">, </w:t>
      </w:r>
      <w:r w:rsidRPr="00A04E3E">
        <w:t>History of Religions</w:t>
      </w:r>
      <w:r>
        <w:t xml:space="preserve">, </w:t>
      </w:r>
      <w:r w:rsidRPr="00A04E3E">
        <w:t>Vol. 30, Aug</w:t>
      </w:r>
      <w:r>
        <w:t>ust</w:t>
      </w:r>
      <w:r w:rsidRPr="00A04E3E">
        <w:t xml:space="preserve"> 199</w:t>
      </w:r>
      <w:r>
        <w:t>0</w:t>
      </w:r>
      <w:r w:rsidRPr="00A04E3E">
        <w:t>, pp. 51-85</w:t>
      </w:r>
      <w:r>
        <w:t>.</w:t>
      </w:r>
    </w:p>
    <w:p w14:paraId="6E128E58" w14:textId="2FDA56D8" w:rsidR="00130C47" w:rsidRPr="00FB0E14" w:rsidRDefault="00130C47" w:rsidP="00130C47">
      <w:r>
        <w:t xml:space="preserve">Callam, Daniel. </w:t>
      </w:r>
      <w:r w:rsidRPr="00FB0E14">
        <w:rPr>
          <w:i/>
        </w:rPr>
        <w:t>The Birth of Purgatory (Book Review)</w:t>
      </w:r>
      <w:r>
        <w:rPr>
          <w:i/>
        </w:rPr>
        <w:t xml:space="preserve">, </w:t>
      </w:r>
      <w:r w:rsidRPr="00FB0E14">
        <w:t>Canadian Journal of History,</w:t>
      </w:r>
      <w:r>
        <w:t xml:space="preserve"> December</w:t>
      </w:r>
      <w:r w:rsidRPr="00FB0E14">
        <w:t xml:space="preserve"> 1985, Vol.20</w:t>
      </w:r>
      <w:r>
        <w:t>,</w:t>
      </w:r>
      <w:r w:rsidRPr="00FB0E14">
        <w:t xml:space="preserve"> p</w:t>
      </w:r>
      <w:r>
        <w:t xml:space="preserve">p. </w:t>
      </w:r>
      <w:r w:rsidRPr="00FB0E14">
        <w:t>410-413.</w:t>
      </w:r>
      <w:r>
        <w:t xml:space="preserve"> </w:t>
      </w:r>
    </w:p>
    <w:p w14:paraId="58EBAAAC" w14:textId="77777777" w:rsidR="00130C47" w:rsidRDefault="00130C47" w:rsidP="00130C47">
      <w:r>
        <w:t xml:space="preserve">Casey, John. </w:t>
      </w:r>
      <w:r w:rsidRPr="002B6F57">
        <w:rPr>
          <w:i/>
        </w:rPr>
        <w:t>After Lives: A guide to Heaven, Hell and Purgatory</w:t>
      </w:r>
      <w:r>
        <w:rPr>
          <w:i/>
        </w:rPr>
        <w:t xml:space="preserve"> </w:t>
      </w:r>
      <w:r>
        <w:t>(2009,</w:t>
      </w:r>
      <w:r w:rsidRPr="002B6F57">
        <w:t xml:space="preserve"> Oxford University Press</w:t>
      </w:r>
      <w:r>
        <w:t xml:space="preserve">, New York). </w:t>
      </w:r>
    </w:p>
    <w:p w14:paraId="73CC8789" w14:textId="54F03CB7" w:rsidR="00130C47" w:rsidRDefault="00130C47" w:rsidP="00130C47">
      <w:bookmarkStart w:id="4" w:name="_Hlk536367319"/>
      <w:bookmarkStart w:id="5" w:name="_Hlk536374930"/>
      <w:r>
        <w:t xml:space="preserve">Huizinga, Johan. </w:t>
      </w:r>
      <w:r w:rsidRPr="007D66CD">
        <w:rPr>
          <w:i/>
        </w:rPr>
        <w:t>The Waning of the Middle Ages</w:t>
      </w:r>
      <w:r>
        <w:t xml:space="preserve">, </w:t>
      </w:r>
      <w:r w:rsidRPr="007D66CD">
        <w:rPr>
          <w:i/>
        </w:rPr>
        <w:t>Chapter Six: The Vision of Death</w:t>
      </w:r>
      <w:r>
        <w:t xml:space="preserve"> (As provided by course reader). </w:t>
      </w:r>
    </w:p>
    <w:p w14:paraId="1F562B59" w14:textId="7EBCDC2E" w:rsidR="00B8093A" w:rsidRPr="00B8093A" w:rsidRDefault="00B8093A" w:rsidP="00130C47">
      <w:r>
        <w:t xml:space="preserve">Le Goff, Jacques. </w:t>
      </w:r>
      <w:r w:rsidRPr="00B8093A">
        <w:rPr>
          <w:i/>
        </w:rPr>
        <w:t>The Birth of Purgatory</w:t>
      </w:r>
      <w:r>
        <w:rPr>
          <w:i/>
        </w:rPr>
        <w:t xml:space="preserve"> </w:t>
      </w:r>
      <w:r>
        <w:t xml:space="preserve">(1986, </w:t>
      </w:r>
      <w:r w:rsidRPr="00B8093A">
        <w:t xml:space="preserve">University </w:t>
      </w:r>
      <w:r w:rsidR="00E4686D">
        <w:t>o</w:t>
      </w:r>
      <w:r w:rsidRPr="00B8093A">
        <w:t>f Chicago Press</w:t>
      </w:r>
      <w:r>
        <w:t xml:space="preserve">, Chicago). </w:t>
      </w:r>
    </w:p>
    <w:bookmarkEnd w:id="4"/>
    <w:bookmarkEnd w:id="5"/>
    <w:p w14:paraId="7177800B" w14:textId="77777777" w:rsidR="00130C47" w:rsidRPr="00DC2919" w:rsidRDefault="00130C47" w:rsidP="00130C47">
      <w:r>
        <w:t xml:space="preserve">Logan, F. Donald. </w:t>
      </w:r>
      <w:r w:rsidRPr="00DC2919">
        <w:rPr>
          <w:i/>
        </w:rPr>
        <w:t>A History of the Church in the Middle Ages</w:t>
      </w:r>
      <w:r>
        <w:rPr>
          <w:i/>
        </w:rPr>
        <w:t xml:space="preserve"> </w:t>
      </w:r>
      <w:r>
        <w:t xml:space="preserve">(2002, Routledge, London). </w:t>
      </w:r>
    </w:p>
    <w:p w14:paraId="49955F65" w14:textId="02798E98" w:rsidR="00130C47" w:rsidRPr="00130C47" w:rsidRDefault="00130C47" w:rsidP="00BD1377">
      <w:r>
        <w:t xml:space="preserve">Lynch, Kathryn L. </w:t>
      </w:r>
      <w:r w:rsidRPr="005114D5">
        <w:rPr>
          <w:i/>
        </w:rPr>
        <w:t>The High Medieval Dream Vision</w:t>
      </w:r>
      <w:r>
        <w:t xml:space="preserve"> (1988, Stanford University Press, Stanford).</w:t>
      </w:r>
      <w:r w:rsidRPr="00130C47">
        <w:t xml:space="preserve"> </w:t>
      </w:r>
    </w:p>
    <w:sectPr w:rsidR="00130C47" w:rsidRPr="00130C4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44D0DA" w14:textId="77777777" w:rsidR="00B0293D" w:rsidRDefault="00B0293D" w:rsidP="00383D87">
      <w:pPr>
        <w:spacing w:after="0" w:line="240" w:lineRule="auto"/>
      </w:pPr>
      <w:r>
        <w:separator/>
      </w:r>
    </w:p>
  </w:endnote>
  <w:endnote w:type="continuationSeparator" w:id="0">
    <w:p w14:paraId="572722E7" w14:textId="77777777" w:rsidR="00B0293D" w:rsidRDefault="00B0293D" w:rsidP="00383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32B268" w14:textId="77777777" w:rsidR="00B0293D" w:rsidRDefault="00B0293D" w:rsidP="00383D87">
      <w:pPr>
        <w:spacing w:after="0" w:line="240" w:lineRule="auto"/>
      </w:pPr>
      <w:r>
        <w:separator/>
      </w:r>
    </w:p>
  </w:footnote>
  <w:footnote w:type="continuationSeparator" w:id="0">
    <w:p w14:paraId="3E1F6676" w14:textId="77777777" w:rsidR="00B0293D" w:rsidRDefault="00B0293D" w:rsidP="00383D87">
      <w:pPr>
        <w:spacing w:after="0" w:line="240" w:lineRule="auto"/>
      </w:pPr>
      <w:r>
        <w:continuationSeparator/>
      </w:r>
    </w:p>
  </w:footnote>
  <w:footnote w:id="1">
    <w:p w14:paraId="3624D866" w14:textId="2EA9663A" w:rsidR="00383D87" w:rsidRDefault="00383D87">
      <w:pPr>
        <w:pStyle w:val="FootnoteText"/>
      </w:pPr>
      <w:r>
        <w:rPr>
          <w:rStyle w:val="FootnoteReference"/>
        </w:rPr>
        <w:footnoteRef/>
      </w:r>
      <w:r w:rsidR="00DC2919">
        <w:t xml:space="preserve"> J.</w:t>
      </w:r>
      <w:r>
        <w:t xml:space="preserve"> </w:t>
      </w:r>
      <w:r w:rsidR="00DC2919" w:rsidRPr="00DC2919">
        <w:t>Casey,</w:t>
      </w:r>
      <w:r w:rsidR="00DC2919" w:rsidRPr="00DC2919">
        <w:rPr>
          <w:i/>
        </w:rPr>
        <w:t xml:space="preserve"> After Lives: A guide to Heaven, Hell and Purgatory</w:t>
      </w:r>
      <w:r w:rsidR="00DC2919" w:rsidRPr="00DC2919">
        <w:t>. (2009, Oxford University Press, New York).</w:t>
      </w:r>
      <w:r w:rsidR="00DC2919">
        <w:t xml:space="preserve"> p. 242. </w:t>
      </w:r>
    </w:p>
  </w:footnote>
  <w:footnote w:id="2">
    <w:p w14:paraId="2AA1B45B" w14:textId="1418E326" w:rsidR="00556EF6" w:rsidRDefault="00556EF6">
      <w:pPr>
        <w:pStyle w:val="FootnoteText"/>
      </w:pPr>
      <w:r>
        <w:rPr>
          <w:rStyle w:val="FootnoteReference"/>
        </w:rPr>
        <w:footnoteRef/>
      </w:r>
      <w:r w:rsidR="00746D5B" w:rsidRPr="00746D5B">
        <w:t xml:space="preserve"> F. Donald</w:t>
      </w:r>
      <w:r w:rsidR="00746D5B">
        <w:t xml:space="preserve"> Logan,</w:t>
      </w:r>
      <w:r w:rsidR="00746D5B" w:rsidRPr="00746D5B">
        <w:t xml:space="preserve"> </w:t>
      </w:r>
      <w:r w:rsidR="00746D5B" w:rsidRPr="00746D5B">
        <w:rPr>
          <w:i/>
        </w:rPr>
        <w:t>A History of the Church in the Middle Ages</w:t>
      </w:r>
      <w:r w:rsidR="00746D5B" w:rsidRPr="00746D5B">
        <w:t xml:space="preserve"> (2002, Routledge, London).</w:t>
      </w:r>
      <w:r w:rsidR="00746D5B">
        <w:t xml:space="preserve"> p. 287. </w:t>
      </w:r>
    </w:p>
  </w:footnote>
  <w:footnote w:id="3">
    <w:p w14:paraId="5A7AFC00" w14:textId="4E1A936F" w:rsidR="00D2155B" w:rsidRDefault="00D2155B">
      <w:pPr>
        <w:pStyle w:val="FootnoteText"/>
      </w:pPr>
      <w:r>
        <w:rPr>
          <w:rStyle w:val="FootnoteReference"/>
        </w:rPr>
        <w:footnoteRef/>
      </w:r>
      <w:r>
        <w:t xml:space="preserve"> Casey, p. 277. </w:t>
      </w:r>
    </w:p>
  </w:footnote>
  <w:footnote w:id="4">
    <w:p w14:paraId="78D34788" w14:textId="1A60685A" w:rsidR="00556EF6" w:rsidRDefault="00556EF6">
      <w:pPr>
        <w:pStyle w:val="FootnoteText"/>
      </w:pPr>
      <w:r>
        <w:rPr>
          <w:rStyle w:val="FootnoteReference"/>
        </w:rPr>
        <w:footnoteRef/>
      </w:r>
      <w:r>
        <w:t xml:space="preserve"> </w:t>
      </w:r>
      <w:r w:rsidR="008A3A99">
        <w:t xml:space="preserve">Randy </w:t>
      </w:r>
      <w:r w:rsidR="008A3A99" w:rsidRPr="008A3A99">
        <w:t xml:space="preserve">Horton, </w:t>
      </w:r>
      <w:r w:rsidR="008A3A99" w:rsidRPr="008A3A99">
        <w:rPr>
          <w:i/>
        </w:rPr>
        <w:t>The Reformation, Primary Sources</w:t>
      </w:r>
      <w:r w:rsidR="008A3A99" w:rsidRPr="008A3A99">
        <w:t xml:space="preserve"> </w:t>
      </w:r>
      <w:hyperlink r:id="rId1" w:history="1">
        <w:r w:rsidR="008A3A99" w:rsidRPr="00B03EFD">
          <w:rPr>
            <w:rStyle w:val="Hyperlink"/>
          </w:rPr>
          <w:t>https://randy_horton.myteachersite.org/teacher/files/documents/ref%20primary%20sources%20-%20tetzel%20&amp;%20indulgences.pdf</w:t>
        </w:r>
      </w:hyperlink>
      <w:r w:rsidR="008A3A99">
        <w:t xml:space="preserve"> </w:t>
      </w:r>
      <w:r w:rsidR="008A3A99" w:rsidRPr="008A3A99">
        <w:t xml:space="preserve">[Last Accessed: 27th January 2019].  </w:t>
      </w:r>
    </w:p>
  </w:footnote>
  <w:footnote w:id="5">
    <w:p w14:paraId="78276C5A" w14:textId="65642EEC" w:rsidR="00556EF6" w:rsidRDefault="00556EF6">
      <w:pPr>
        <w:pStyle w:val="FootnoteText"/>
      </w:pPr>
      <w:r>
        <w:rPr>
          <w:rStyle w:val="FootnoteReference"/>
        </w:rPr>
        <w:footnoteRef/>
      </w:r>
      <w:r>
        <w:t xml:space="preserve"> </w:t>
      </w:r>
      <w:r w:rsidR="008A3A99">
        <w:t xml:space="preserve">Casey, p. 277. </w:t>
      </w:r>
    </w:p>
  </w:footnote>
  <w:footnote w:id="6">
    <w:p w14:paraId="6A6D59EB" w14:textId="7D0F1638" w:rsidR="007664D1" w:rsidRDefault="007664D1">
      <w:pPr>
        <w:pStyle w:val="FootnoteText"/>
      </w:pPr>
      <w:r>
        <w:rPr>
          <w:rStyle w:val="FootnoteReference"/>
        </w:rPr>
        <w:footnoteRef/>
      </w:r>
      <w:r>
        <w:t xml:space="preserve"> </w:t>
      </w:r>
      <w:r w:rsidR="00EA5263" w:rsidRPr="00EA5263">
        <w:t xml:space="preserve">Monk of Eynsham, </w:t>
      </w:r>
      <w:r w:rsidR="00EA5263" w:rsidRPr="00EA5263">
        <w:rPr>
          <w:i/>
        </w:rPr>
        <w:t>The Revelation</w:t>
      </w:r>
      <w:r w:rsidR="00EA5263" w:rsidRPr="00EA5263">
        <w:t xml:space="preserve"> c. 1470s. (As provided in the course reader).</w:t>
      </w:r>
      <w:r w:rsidR="00EA5263">
        <w:t xml:space="preserve"> p. 6. </w:t>
      </w:r>
    </w:p>
  </w:footnote>
  <w:footnote w:id="7">
    <w:p w14:paraId="6668D305" w14:textId="19081B93" w:rsidR="00556EF6" w:rsidRDefault="00556EF6">
      <w:pPr>
        <w:pStyle w:val="FootnoteText"/>
      </w:pPr>
      <w:r>
        <w:rPr>
          <w:rStyle w:val="FootnoteReference"/>
        </w:rPr>
        <w:footnoteRef/>
      </w:r>
      <w:r>
        <w:t xml:space="preserve"> </w:t>
      </w:r>
      <w:r w:rsidR="00BC5185">
        <w:t xml:space="preserve">Monk of Eynsham, p. 8. </w:t>
      </w:r>
    </w:p>
  </w:footnote>
  <w:footnote w:id="8">
    <w:p w14:paraId="2941CCAB" w14:textId="5B34D0CC" w:rsidR="00556EF6" w:rsidRDefault="00556EF6">
      <w:pPr>
        <w:pStyle w:val="FootnoteText"/>
      </w:pPr>
      <w:r>
        <w:rPr>
          <w:rStyle w:val="FootnoteReference"/>
        </w:rPr>
        <w:footnoteRef/>
      </w:r>
      <w:r>
        <w:t xml:space="preserve"> </w:t>
      </w:r>
      <w:r w:rsidR="00BC5185">
        <w:t xml:space="preserve">Dante </w:t>
      </w:r>
      <w:r w:rsidR="00BC5185" w:rsidRPr="00BC5185">
        <w:t xml:space="preserve">Alighieri, </w:t>
      </w:r>
      <w:r w:rsidR="00BC5185" w:rsidRPr="00BC5185">
        <w:rPr>
          <w:i/>
        </w:rPr>
        <w:t>The Divine Comedy: Purgatorio</w:t>
      </w:r>
      <w:r w:rsidR="00BC5185" w:rsidRPr="00BC5185">
        <w:t xml:space="preserve"> (1973, Princeton University Press, Princeton).</w:t>
      </w:r>
      <w:r w:rsidR="00BC5185">
        <w:t xml:space="preserve"> p. 91. </w:t>
      </w:r>
    </w:p>
  </w:footnote>
  <w:footnote w:id="9">
    <w:p w14:paraId="472CB66F" w14:textId="2CD67863" w:rsidR="00A4211B" w:rsidRPr="00FB0E14" w:rsidRDefault="00556EF6" w:rsidP="00A4211B">
      <w:r>
        <w:rPr>
          <w:rStyle w:val="FootnoteReference"/>
        </w:rPr>
        <w:footnoteRef/>
      </w:r>
      <w:r w:rsidR="00A4211B">
        <w:t xml:space="preserve"> Daniel</w:t>
      </w:r>
      <w:r>
        <w:t xml:space="preserve"> </w:t>
      </w:r>
      <w:r w:rsidR="00A4211B">
        <w:t xml:space="preserve">Callam, </w:t>
      </w:r>
      <w:r w:rsidR="00A4211B" w:rsidRPr="00FB0E14">
        <w:rPr>
          <w:i/>
        </w:rPr>
        <w:t>The Birth of Purgatory (Book Review)</w:t>
      </w:r>
      <w:r w:rsidR="00A4211B">
        <w:rPr>
          <w:i/>
        </w:rPr>
        <w:t xml:space="preserve">, </w:t>
      </w:r>
      <w:r w:rsidR="00A4211B" w:rsidRPr="00FB0E14">
        <w:t>Canadian Journal of History,</w:t>
      </w:r>
      <w:r w:rsidR="00A4211B">
        <w:t xml:space="preserve"> December</w:t>
      </w:r>
      <w:r w:rsidR="00A4211B" w:rsidRPr="00FB0E14">
        <w:t xml:space="preserve"> 1985, Vol.20</w:t>
      </w:r>
      <w:r w:rsidR="00A4211B">
        <w:t>,</w:t>
      </w:r>
      <w:r w:rsidR="00A4211B" w:rsidRPr="00FB0E14">
        <w:t xml:space="preserve"> p</w:t>
      </w:r>
      <w:r w:rsidR="00A4211B">
        <w:t xml:space="preserve">. </w:t>
      </w:r>
      <w:r w:rsidR="00A4211B" w:rsidRPr="00FB0E14">
        <w:t>41</w:t>
      </w:r>
      <w:r w:rsidR="0087069A">
        <w:t xml:space="preserve">1. </w:t>
      </w:r>
      <w:r w:rsidR="00A4211B">
        <w:t xml:space="preserve"> </w:t>
      </w:r>
    </w:p>
    <w:p w14:paraId="03568311" w14:textId="6D011E19" w:rsidR="00556EF6" w:rsidRDefault="00556EF6">
      <w:pPr>
        <w:pStyle w:val="FootnoteText"/>
      </w:pPr>
    </w:p>
  </w:footnote>
  <w:footnote w:id="10">
    <w:p w14:paraId="1152E393" w14:textId="6DB1BEC2" w:rsidR="008A6D64" w:rsidRDefault="008A6D64">
      <w:pPr>
        <w:pStyle w:val="FootnoteText"/>
      </w:pPr>
      <w:r>
        <w:rPr>
          <w:rStyle w:val="FootnoteReference"/>
        </w:rPr>
        <w:footnoteRef/>
      </w:r>
      <w:r>
        <w:t xml:space="preserve"> </w:t>
      </w:r>
      <w:r w:rsidRPr="008A6D64">
        <w:t>Kathryn L.</w:t>
      </w:r>
      <w:r>
        <w:t xml:space="preserve"> Lynch,</w:t>
      </w:r>
      <w:r w:rsidRPr="008A6D64">
        <w:t xml:space="preserve"> </w:t>
      </w:r>
      <w:r w:rsidRPr="008A6D64">
        <w:rPr>
          <w:i/>
        </w:rPr>
        <w:t>The High Medieval Dream Vision</w:t>
      </w:r>
      <w:r w:rsidRPr="008A6D64">
        <w:t xml:space="preserve"> (1988, Stanford University Press, Stanford).</w:t>
      </w:r>
      <w:r>
        <w:t xml:space="preserve"> p. 1. </w:t>
      </w:r>
    </w:p>
  </w:footnote>
  <w:footnote w:id="11">
    <w:p w14:paraId="1D11D24F" w14:textId="291CAB13" w:rsidR="00556EF6" w:rsidRDefault="00556EF6">
      <w:pPr>
        <w:pStyle w:val="FootnoteText"/>
      </w:pPr>
      <w:r>
        <w:rPr>
          <w:rStyle w:val="FootnoteReference"/>
        </w:rPr>
        <w:footnoteRef/>
      </w:r>
      <w:r>
        <w:t xml:space="preserve"> </w:t>
      </w:r>
      <w:r w:rsidR="00D73C4D" w:rsidRPr="00D73C4D">
        <w:t>Paul Gerhard</w:t>
      </w:r>
      <w:r w:rsidR="00D73C4D">
        <w:t xml:space="preserve"> Schmidt</w:t>
      </w:r>
      <w:r w:rsidR="00D73C4D" w:rsidRPr="00D73C4D">
        <w:t xml:space="preserve">. </w:t>
      </w:r>
      <w:r w:rsidR="00D73C4D" w:rsidRPr="00D73C4D">
        <w:rPr>
          <w:i/>
        </w:rPr>
        <w:t>The Vision of Thurkill</w:t>
      </w:r>
      <w:r w:rsidR="00D73C4D" w:rsidRPr="00D73C4D">
        <w:t>, Journal of the Warburg and Courtauld Institutes, 1st January 1978, Vol. 41, p. 50</w:t>
      </w:r>
      <w:r w:rsidR="00D73C4D">
        <w:t xml:space="preserve">. </w:t>
      </w:r>
    </w:p>
  </w:footnote>
  <w:footnote w:id="12">
    <w:p w14:paraId="784E5769" w14:textId="38F89BE4" w:rsidR="00556EF6" w:rsidRDefault="00556EF6">
      <w:pPr>
        <w:pStyle w:val="FootnoteText"/>
      </w:pPr>
      <w:r>
        <w:rPr>
          <w:rStyle w:val="FootnoteReference"/>
        </w:rPr>
        <w:footnoteRef/>
      </w:r>
      <w:r>
        <w:t xml:space="preserve"> </w:t>
      </w:r>
      <w:r w:rsidR="00D73C4D">
        <w:t xml:space="preserve">Dante </w:t>
      </w:r>
      <w:r w:rsidR="00D73C4D" w:rsidRPr="00D73C4D">
        <w:t xml:space="preserve">Alighieri, </w:t>
      </w:r>
      <w:r w:rsidR="00D73C4D" w:rsidRPr="00D73C4D">
        <w:rPr>
          <w:i/>
        </w:rPr>
        <w:t>Inferno</w:t>
      </w:r>
      <w:r w:rsidR="00D73C4D" w:rsidRPr="00D73C4D">
        <w:t xml:space="preserve"> (As provided by course reader).</w:t>
      </w:r>
      <w:r w:rsidR="00D73C4D">
        <w:t xml:space="preserve"> p. </w:t>
      </w:r>
      <w:r w:rsidR="00C9725C">
        <w:t>5</w:t>
      </w:r>
      <w:r w:rsidR="00D73C4D">
        <w:t xml:space="preserve">1. </w:t>
      </w:r>
    </w:p>
  </w:footnote>
  <w:footnote w:id="13">
    <w:p w14:paraId="45F80BC7" w14:textId="1D2E93F2" w:rsidR="00556EF6" w:rsidRPr="00C9725C" w:rsidRDefault="00556EF6">
      <w:pPr>
        <w:pStyle w:val="FootnoteText"/>
      </w:pPr>
      <w:r>
        <w:rPr>
          <w:rStyle w:val="FootnoteReference"/>
        </w:rPr>
        <w:footnoteRef/>
      </w:r>
      <w:r>
        <w:t xml:space="preserve"> </w:t>
      </w:r>
      <w:r w:rsidR="00D73C4D">
        <w:t xml:space="preserve">Dante, </w:t>
      </w:r>
      <w:r w:rsidR="00D73C4D" w:rsidRPr="00D73C4D">
        <w:rPr>
          <w:i/>
        </w:rPr>
        <w:t>Inferno</w:t>
      </w:r>
      <w:r w:rsidR="00C9725C">
        <w:rPr>
          <w:i/>
        </w:rPr>
        <w:t xml:space="preserve">, </w:t>
      </w:r>
      <w:r w:rsidR="00C9725C">
        <w:t xml:space="preserve">p. 61. </w:t>
      </w:r>
    </w:p>
  </w:footnote>
  <w:footnote w:id="14">
    <w:p w14:paraId="16E35BE6" w14:textId="4CDF5A45" w:rsidR="00556EF6" w:rsidRDefault="00556EF6">
      <w:pPr>
        <w:pStyle w:val="FootnoteText"/>
      </w:pPr>
      <w:r>
        <w:rPr>
          <w:rStyle w:val="FootnoteReference"/>
        </w:rPr>
        <w:footnoteRef/>
      </w:r>
      <w:r>
        <w:t xml:space="preserve"> </w:t>
      </w:r>
      <w:r w:rsidR="00174F84" w:rsidRPr="00174F84">
        <w:t>(Ed.)</w:t>
      </w:r>
      <w:r w:rsidR="00174F84">
        <w:t xml:space="preserve"> Eileen</w:t>
      </w:r>
      <w:r w:rsidR="00174F84" w:rsidRPr="00174F84">
        <w:t xml:space="preserve"> Gardiner, </w:t>
      </w:r>
      <w:r w:rsidR="00174F84" w:rsidRPr="00174F84">
        <w:rPr>
          <w:i/>
        </w:rPr>
        <w:t>Visions of Heaven and Hell Before Dante</w:t>
      </w:r>
      <w:r w:rsidR="00174F84" w:rsidRPr="00174F84">
        <w:t xml:space="preserve"> (New York, 1989) pp. 221-223.</w:t>
      </w:r>
    </w:p>
  </w:footnote>
  <w:footnote w:id="15">
    <w:p w14:paraId="20980B73" w14:textId="2EDCA8FE" w:rsidR="00556EF6" w:rsidRPr="00174F84" w:rsidRDefault="00556EF6">
      <w:pPr>
        <w:pStyle w:val="FootnoteText"/>
      </w:pPr>
      <w:r>
        <w:rPr>
          <w:rStyle w:val="FootnoteReference"/>
        </w:rPr>
        <w:footnoteRef/>
      </w:r>
      <w:r>
        <w:t xml:space="preserve"> </w:t>
      </w:r>
      <w:r w:rsidR="00174F84" w:rsidRPr="00174F84">
        <w:t xml:space="preserve">Gardiner, </w:t>
      </w:r>
      <w:r w:rsidR="00174F84" w:rsidRPr="00174F84">
        <w:rPr>
          <w:i/>
        </w:rPr>
        <w:t>Visions of Heaven and Hell Before Dante</w:t>
      </w:r>
      <w:r w:rsidR="00174F84">
        <w:t xml:space="preserve">, p. </w:t>
      </w:r>
      <w:r w:rsidR="00E45180">
        <w:t xml:space="preserve">221-223. </w:t>
      </w:r>
    </w:p>
  </w:footnote>
  <w:footnote w:id="16">
    <w:p w14:paraId="48299404" w14:textId="12182904" w:rsidR="008A6D64" w:rsidRDefault="008A6D64" w:rsidP="008A6D64">
      <w:pPr>
        <w:pStyle w:val="FootnoteText"/>
      </w:pPr>
      <w:r>
        <w:rPr>
          <w:rStyle w:val="FootnoteReference"/>
        </w:rPr>
        <w:footnoteRef/>
      </w:r>
      <w:r>
        <w:t xml:space="preserve"> </w:t>
      </w:r>
      <w:r w:rsidRPr="00293A01">
        <w:t>Caroline Walker</w:t>
      </w:r>
      <w:r>
        <w:t xml:space="preserve"> Bynum</w:t>
      </w:r>
      <w:r w:rsidR="00240CE5">
        <w:t>,</w:t>
      </w:r>
      <w:r w:rsidRPr="00293A01">
        <w:t xml:space="preserve"> </w:t>
      </w:r>
      <w:bookmarkStart w:id="0" w:name="_Hlk536630094"/>
      <w:r w:rsidRPr="00293A01">
        <w:rPr>
          <w:i/>
        </w:rPr>
        <w:t>Material Continuity, Personal Survival, and the Resurrection of the Body</w:t>
      </w:r>
      <w:bookmarkEnd w:id="0"/>
      <w:r w:rsidRPr="00293A01">
        <w:rPr>
          <w:i/>
        </w:rPr>
        <w:t>: A Scholastic Discussion in Its Medieval and Modern Contexts</w:t>
      </w:r>
      <w:r w:rsidRPr="00293A01">
        <w:t>, History of Religions, Vol. 30, August 1990, p</w:t>
      </w:r>
      <w:r>
        <w:t>. 60.</w:t>
      </w:r>
    </w:p>
  </w:footnote>
  <w:footnote w:id="17">
    <w:p w14:paraId="37E1BC3D" w14:textId="7143A750" w:rsidR="00240CE5" w:rsidRPr="00240CE5" w:rsidRDefault="00240CE5">
      <w:pPr>
        <w:pStyle w:val="FootnoteText"/>
      </w:pPr>
      <w:r>
        <w:rPr>
          <w:rStyle w:val="FootnoteReference"/>
        </w:rPr>
        <w:footnoteRef/>
      </w:r>
      <w:r>
        <w:t xml:space="preserve"> Bynum, </w:t>
      </w:r>
      <w:r w:rsidRPr="00293A01">
        <w:rPr>
          <w:i/>
        </w:rPr>
        <w:t>Material Continuity, Personal Survival, and the Resurrection of the Body</w:t>
      </w:r>
      <w:r>
        <w:rPr>
          <w:i/>
        </w:rPr>
        <w:t xml:space="preserve">, </w:t>
      </w:r>
      <w:r>
        <w:t xml:space="preserve">p. 55. </w:t>
      </w:r>
    </w:p>
  </w:footnote>
  <w:footnote w:id="18">
    <w:p w14:paraId="3475668A" w14:textId="77777777" w:rsidR="000C7082" w:rsidRDefault="000C7082" w:rsidP="000C7082">
      <w:pPr>
        <w:pStyle w:val="FootnoteText"/>
        <w:rPr>
          <w:rFonts w:ascii="Calibri" w:hAnsi="Calibri"/>
        </w:rPr>
      </w:pPr>
      <w:r>
        <w:rPr>
          <w:rStyle w:val="FootnoteReference"/>
        </w:rPr>
        <w:footnoteRef/>
      </w:r>
      <w:r>
        <w:t xml:space="preserve"> </w:t>
      </w:r>
      <w:bookmarkStart w:id="1" w:name="_Hlk536635963"/>
      <w:r>
        <w:t>Unknown Author</w:t>
      </w:r>
      <w:r>
        <w:rPr>
          <w:i/>
        </w:rPr>
        <w:t>. A Disputacion Betwyx the Body and Wormes</w:t>
      </w:r>
      <w:r>
        <w:t xml:space="preserve"> (As provided by course reader).</w:t>
      </w:r>
      <w:bookmarkEnd w:id="1"/>
    </w:p>
  </w:footnote>
  <w:footnote w:id="19">
    <w:p w14:paraId="0002D867" w14:textId="5E64D605" w:rsidR="0020789B" w:rsidRDefault="0020789B">
      <w:pPr>
        <w:pStyle w:val="FootnoteText"/>
      </w:pPr>
      <w:r>
        <w:rPr>
          <w:rStyle w:val="FootnoteReference"/>
        </w:rPr>
        <w:footnoteRef/>
      </w:r>
      <w:r>
        <w:t xml:space="preserve"> </w:t>
      </w:r>
      <w:r w:rsidR="00194D63">
        <w:t xml:space="preserve">Phillipe </w:t>
      </w:r>
      <w:r w:rsidR="00194D63" w:rsidRPr="00194D63">
        <w:t xml:space="preserve">Ariès, </w:t>
      </w:r>
      <w:r w:rsidR="00194D63" w:rsidRPr="00194D63">
        <w:rPr>
          <w:i/>
        </w:rPr>
        <w:t>Western Attitudes Toward Death: From the Middle Ages to the Present</w:t>
      </w:r>
      <w:r w:rsidR="00194D63" w:rsidRPr="00194D63">
        <w:t xml:space="preserve"> (1975, Johns Hopkins University Press).</w:t>
      </w:r>
      <w:r w:rsidR="00194D63">
        <w:t xml:space="preserve"> </w:t>
      </w:r>
      <w:r w:rsidR="00C7387B">
        <w:t xml:space="preserve">p. </w:t>
      </w:r>
      <w:r w:rsidR="00C84650">
        <w:t xml:space="preserve">33. </w:t>
      </w:r>
    </w:p>
  </w:footnote>
  <w:footnote w:id="20">
    <w:p w14:paraId="3A1257A8" w14:textId="4FBD03AA" w:rsidR="00D0259E" w:rsidRDefault="00D0259E">
      <w:pPr>
        <w:pStyle w:val="FootnoteText"/>
      </w:pPr>
      <w:r>
        <w:rPr>
          <w:rStyle w:val="FootnoteReference"/>
        </w:rPr>
        <w:footnoteRef/>
      </w:r>
      <w:r>
        <w:t xml:space="preserve"> </w:t>
      </w:r>
      <w:r w:rsidRPr="00D0259E">
        <w:t>British Museum</w:t>
      </w:r>
      <w:r>
        <w:t>,</w:t>
      </w:r>
      <w:r w:rsidRPr="00D0259E">
        <w:t xml:space="preserve"> </w:t>
      </w:r>
      <w:r w:rsidRPr="00D0259E">
        <w:rPr>
          <w:i/>
        </w:rPr>
        <w:t>The Holy Thorn Reliquary</w:t>
      </w:r>
      <w:r w:rsidRPr="00D0259E">
        <w:t xml:space="preserve"> </w:t>
      </w:r>
      <w:hyperlink r:id="rId2" w:history="1">
        <w:r w:rsidRPr="00C10CE2">
          <w:rPr>
            <w:rStyle w:val="Hyperlink"/>
          </w:rPr>
          <w:t>https://www.britishmuseum.org/research/collection_online/collection_object_details/collection_image_gallery.aspx?assetId=562294001&amp;objectId=42845&amp;partId=1</w:t>
        </w:r>
      </w:hyperlink>
      <w:r>
        <w:t xml:space="preserve"> </w:t>
      </w:r>
      <w:r w:rsidRPr="00D0259E">
        <w:t>[Last Accessed: 29th January].</w:t>
      </w:r>
    </w:p>
  </w:footnote>
  <w:footnote w:id="21">
    <w:p w14:paraId="46898E16" w14:textId="77777777" w:rsidR="00D35695" w:rsidRDefault="00D35695" w:rsidP="00D35695">
      <w:pPr>
        <w:pStyle w:val="FootnoteText"/>
      </w:pPr>
      <w:r>
        <w:rPr>
          <w:rStyle w:val="FootnoteReference"/>
        </w:rPr>
        <w:footnoteRef/>
      </w:r>
      <w:r>
        <w:t xml:space="preserve"> </w:t>
      </w:r>
      <w:r w:rsidRPr="007863E0">
        <w:t xml:space="preserve">Unknown Author. </w:t>
      </w:r>
      <w:r w:rsidRPr="007863E0">
        <w:rPr>
          <w:i/>
        </w:rPr>
        <w:t>Lubeck’s Dance of Death: The Physician</w:t>
      </w:r>
      <w:r w:rsidRPr="007863E0">
        <w:t xml:space="preserve"> </w:t>
      </w:r>
      <w:hyperlink r:id="rId3" w:history="1">
        <w:r w:rsidRPr="00B03D80">
          <w:rPr>
            <w:rStyle w:val="Hyperlink"/>
          </w:rPr>
          <w:t>http://www.dodedans.com/E1489.htm</w:t>
        </w:r>
      </w:hyperlink>
      <w:r>
        <w:t xml:space="preserve"> </w:t>
      </w:r>
      <w:r w:rsidRPr="007863E0">
        <w:t>[Last Accessed: 27th January].</w:t>
      </w:r>
    </w:p>
  </w:footnote>
  <w:footnote w:id="22">
    <w:p w14:paraId="02529BA7" w14:textId="5FBDFD9B" w:rsidR="00EE5DED" w:rsidRDefault="00EE5DED">
      <w:pPr>
        <w:pStyle w:val="FootnoteText"/>
      </w:pPr>
      <w:r>
        <w:rPr>
          <w:rStyle w:val="FootnoteReference"/>
        </w:rPr>
        <w:footnoteRef/>
      </w:r>
      <w:r>
        <w:t xml:space="preserve"> </w:t>
      </w:r>
      <w:r w:rsidR="001D3550">
        <w:t>Johan</w:t>
      </w:r>
      <w:bookmarkStart w:id="2" w:name="_GoBack"/>
      <w:bookmarkEnd w:id="2"/>
      <w:r w:rsidR="001D3550">
        <w:t xml:space="preserve"> </w:t>
      </w:r>
      <w:r w:rsidR="007863E0" w:rsidRPr="007863E0">
        <w:t xml:space="preserve">Huizinga, </w:t>
      </w:r>
      <w:r w:rsidR="007863E0" w:rsidRPr="007863E0">
        <w:rPr>
          <w:i/>
        </w:rPr>
        <w:t>The Waning of the Middle Ages, Chapter Six: The Vision of Death</w:t>
      </w:r>
      <w:r w:rsidR="007863E0" w:rsidRPr="007863E0">
        <w:t xml:space="preserve"> (As provided by course reader).</w:t>
      </w:r>
      <w:r w:rsidR="007863E0">
        <w:t xml:space="preserve"> p. 135. </w:t>
      </w:r>
    </w:p>
  </w:footnote>
  <w:footnote w:id="23">
    <w:p w14:paraId="3D564FA3" w14:textId="7951A68D" w:rsidR="00EE5DED" w:rsidRDefault="00EE5DED">
      <w:pPr>
        <w:pStyle w:val="FootnoteText"/>
      </w:pPr>
      <w:r>
        <w:rPr>
          <w:rStyle w:val="FootnoteReference"/>
        </w:rPr>
        <w:footnoteRef/>
      </w:r>
      <w:r>
        <w:t xml:space="preserve"> </w:t>
      </w:r>
      <w:proofErr w:type="gramStart"/>
      <w:r w:rsidR="007863E0" w:rsidRPr="007863E0">
        <w:rPr>
          <w:i/>
        </w:rPr>
        <w:t>Ibid,.</w:t>
      </w:r>
      <w:proofErr w:type="gramEnd"/>
    </w:p>
  </w:footnote>
  <w:footnote w:id="24">
    <w:p w14:paraId="1FE52C66" w14:textId="029CE37A" w:rsidR="008A0E3F" w:rsidRDefault="00EE5DED">
      <w:pPr>
        <w:pStyle w:val="FootnoteText"/>
      </w:pPr>
      <w:r>
        <w:rPr>
          <w:rStyle w:val="FootnoteReference"/>
        </w:rPr>
        <w:footnoteRef/>
      </w:r>
      <w:r>
        <w:t xml:space="preserve"> </w:t>
      </w:r>
      <w:r w:rsidR="007863E0">
        <w:t xml:space="preserve">Huizinga, p. 132.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E8778" w14:textId="3353B91A" w:rsidR="00B42123" w:rsidRPr="00B42123" w:rsidRDefault="00B42123" w:rsidP="00B42123">
    <w:pPr>
      <w:pStyle w:val="Header"/>
      <w:jc w:val="center"/>
      <w:rPr>
        <w:u w:val="single"/>
      </w:rPr>
    </w:pPr>
    <w:r w:rsidRPr="00B42123">
      <w:rPr>
        <w:u w:val="single"/>
      </w:rPr>
      <w:t>Death, Dying and the Macabre - Portfolio</w:t>
    </w:r>
  </w:p>
  <w:p w14:paraId="60B4CF44" w14:textId="77777777" w:rsidR="00B42123" w:rsidRDefault="00B421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6F3"/>
    <w:rsid w:val="00006459"/>
    <w:rsid w:val="0001214E"/>
    <w:rsid w:val="00022045"/>
    <w:rsid w:val="00045466"/>
    <w:rsid w:val="00082D3B"/>
    <w:rsid w:val="000C347B"/>
    <w:rsid w:val="000C7082"/>
    <w:rsid w:val="000E1ADB"/>
    <w:rsid w:val="000E3CA8"/>
    <w:rsid w:val="000E43F6"/>
    <w:rsid w:val="00103670"/>
    <w:rsid w:val="00114FD3"/>
    <w:rsid w:val="00130C47"/>
    <w:rsid w:val="00132368"/>
    <w:rsid w:val="0013770A"/>
    <w:rsid w:val="001467C2"/>
    <w:rsid w:val="00174F84"/>
    <w:rsid w:val="001878C2"/>
    <w:rsid w:val="00194D63"/>
    <w:rsid w:val="001B33F9"/>
    <w:rsid w:val="001D3550"/>
    <w:rsid w:val="001D74E1"/>
    <w:rsid w:val="001F48FA"/>
    <w:rsid w:val="00203B23"/>
    <w:rsid w:val="0020789B"/>
    <w:rsid w:val="0023384A"/>
    <w:rsid w:val="00233F9A"/>
    <w:rsid w:val="00240CE5"/>
    <w:rsid w:val="00243B4C"/>
    <w:rsid w:val="00252EE7"/>
    <w:rsid w:val="00267AC5"/>
    <w:rsid w:val="00286A38"/>
    <w:rsid w:val="00293A01"/>
    <w:rsid w:val="002A2499"/>
    <w:rsid w:val="002B34A4"/>
    <w:rsid w:val="002B6F57"/>
    <w:rsid w:val="002C3CD8"/>
    <w:rsid w:val="002C6AEC"/>
    <w:rsid w:val="002D16C1"/>
    <w:rsid w:val="002E1088"/>
    <w:rsid w:val="002F45A0"/>
    <w:rsid w:val="002F4C20"/>
    <w:rsid w:val="00300391"/>
    <w:rsid w:val="0032778A"/>
    <w:rsid w:val="00383D87"/>
    <w:rsid w:val="00391191"/>
    <w:rsid w:val="003A710F"/>
    <w:rsid w:val="003C50CC"/>
    <w:rsid w:val="003E0EB4"/>
    <w:rsid w:val="003E4BCA"/>
    <w:rsid w:val="003F6531"/>
    <w:rsid w:val="00402332"/>
    <w:rsid w:val="00436C7F"/>
    <w:rsid w:val="004459AE"/>
    <w:rsid w:val="004743DB"/>
    <w:rsid w:val="004C7BB3"/>
    <w:rsid w:val="004C7E67"/>
    <w:rsid w:val="004E5012"/>
    <w:rsid w:val="005114D5"/>
    <w:rsid w:val="00517CA5"/>
    <w:rsid w:val="00523814"/>
    <w:rsid w:val="005377D1"/>
    <w:rsid w:val="00556EF6"/>
    <w:rsid w:val="00574BE9"/>
    <w:rsid w:val="005A3CDF"/>
    <w:rsid w:val="005B7FFE"/>
    <w:rsid w:val="005C5892"/>
    <w:rsid w:val="005D4047"/>
    <w:rsid w:val="005D4F58"/>
    <w:rsid w:val="005E30F8"/>
    <w:rsid w:val="005F10D6"/>
    <w:rsid w:val="005F3DEC"/>
    <w:rsid w:val="00633CDA"/>
    <w:rsid w:val="00652292"/>
    <w:rsid w:val="00653943"/>
    <w:rsid w:val="00653E36"/>
    <w:rsid w:val="00654A2B"/>
    <w:rsid w:val="006723C8"/>
    <w:rsid w:val="006A41EC"/>
    <w:rsid w:val="006A5348"/>
    <w:rsid w:val="00700881"/>
    <w:rsid w:val="00701146"/>
    <w:rsid w:val="00730C5F"/>
    <w:rsid w:val="00732E48"/>
    <w:rsid w:val="00740BEE"/>
    <w:rsid w:val="00741E45"/>
    <w:rsid w:val="00746D5B"/>
    <w:rsid w:val="00753460"/>
    <w:rsid w:val="00760849"/>
    <w:rsid w:val="00762EFE"/>
    <w:rsid w:val="007664D1"/>
    <w:rsid w:val="0077026C"/>
    <w:rsid w:val="007711E8"/>
    <w:rsid w:val="00775920"/>
    <w:rsid w:val="00782F27"/>
    <w:rsid w:val="00785B2F"/>
    <w:rsid w:val="007863E0"/>
    <w:rsid w:val="00790B1A"/>
    <w:rsid w:val="007B1168"/>
    <w:rsid w:val="007C13D2"/>
    <w:rsid w:val="007C1580"/>
    <w:rsid w:val="007D66CD"/>
    <w:rsid w:val="00821678"/>
    <w:rsid w:val="008249FE"/>
    <w:rsid w:val="008403EA"/>
    <w:rsid w:val="008420E7"/>
    <w:rsid w:val="00854D8A"/>
    <w:rsid w:val="008576BE"/>
    <w:rsid w:val="0087069A"/>
    <w:rsid w:val="0089072D"/>
    <w:rsid w:val="008A0CB1"/>
    <w:rsid w:val="008A0E3F"/>
    <w:rsid w:val="008A3A99"/>
    <w:rsid w:val="008A6D64"/>
    <w:rsid w:val="008B17F4"/>
    <w:rsid w:val="008B7636"/>
    <w:rsid w:val="008C227D"/>
    <w:rsid w:val="008D1DBF"/>
    <w:rsid w:val="008D67D3"/>
    <w:rsid w:val="008E1361"/>
    <w:rsid w:val="009108D8"/>
    <w:rsid w:val="009222D2"/>
    <w:rsid w:val="009370CA"/>
    <w:rsid w:val="00940F38"/>
    <w:rsid w:val="00956880"/>
    <w:rsid w:val="00975C82"/>
    <w:rsid w:val="00990A63"/>
    <w:rsid w:val="009A694B"/>
    <w:rsid w:val="009F4F2F"/>
    <w:rsid w:val="009F6455"/>
    <w:rsid w:val="00A01B3D"/>
    <w:rsid w:val="00A022CE"/>
    <w:rsid w:val="00A04E3E"/>
    <w:rsid w:val="00A05C4E"/>
    <w:rsid w:val="00A14874"/>
    <w:rsid w:val="00A327C0"/>
    <w:rsid w:val="00A4130A"/>
    <w:rsid w:val="00A4211B"/>
    <w:rsid w:val="00A5450A"/>
    <w:rsid w:val="00A86927"/>
    <w:rsid w:val="00AA1239"/>
    <w:rsid w:val="00AA44BE"/>
    <w:rsid w:val="00AB49FB"/>
    <w:rsid w:val="00AB599D"/>
    <w:rsid w:val="00AC4F4B"/>
    <w:rsid w:val="00AD66F3"/>
    <w:rsid w:val="00AD730F"/>
    <w:rsid w:val="00B0293D"/>
    <w:rsid w:val="00B06530"/>
    <w:rsid w:val="00B07F83"/>
    <w:rsid w:val="00B15D57"/>
    <w:rsid w:val="00B26559"/>
    <w:rsid w:val="00B42123"/>
    <w:rsid w:val="00B53008"/>
    <w:rsid w:val="00B569D1"/>
    <w:rsid w:val="00B64E4A"/>
    <w:rsid w:val="00B651FA"/>
    <w:rsid w:val="00B70DDA"/>
    <w:rsid w:val="00B71488"/>
    <w:rsid w:val="00B74DC3"/>
    <w:rsid w:val="00B8093A"/>
    <w:rsid w:val="00B8236C"/>
    <w:rsid w:val="00B92303"/>
    <w:rsid w:val="00B9370A"/>
    <w:rsid w:val="00B954C3"/>
    <w:rsid w:val="00BB1904"/>
    <w:rsid w:val="00BC5185"/>
    <w:rsid w:val="00BD1377"/>
    <w:rsid w:val="00BD3508"/>
    <w:rsid w:val="00C148A2"/>
    <w:rsid w:val="00C6705B"/>
    <w:rsid w:val="00C7387B"/>
    <w:rsid w:val="00C824A8"/>
    <w:rsid w:val="00C84650"/>
    <w:rsid w:val="00C92430"/>
    <w:rsid w:val="00C9725C"/>
    <w:rsid w:val="00CB3155"/>
    <w:rsid w:val="00CB68E1"/>
    <w:rsid w:val="00CB6FEE"/>
    <w:rsid w:val="00CB72EC"/>
    <w:rsid w:val="00CE2865"/>
    <w:rsid w:val="00CF0EF3"/>
    <w:rsid w:val="00D00306"/>
    <w:rsid w:val="00D01165"/>
    <w:rsid w:val="00D01FAF"/>
    <w:rsid w:val="00D0259E"/>
    <w:rsid w:val="00D11F20"/>
    <w:rsid w:val="00D1263F"/>
    <w:rsid w:val="00D126A4"/>
    <w:rsid w:val="00D17AB6"/>
    <w:rsid w:val="00D2155B"/>
    <w:rsid w:val="00D24B6C"/>
    <w:rsid w:val="00D35695"/>
    <w:rsid w:val="00D53E5B"/>
    <w:rsid w:val="00D73C4D"/>
    <w:rsid w:val="00D773AE"/>
    <w:rsid w:val="00DA36D4"/>
    <w:rsid w:val="00DA47E7"/>
    <w:rsid w:val="00DA76F3"/>
    <w:rsid w:val="00DC2919"/>
    <w:rsid w:val="00DC6ADA"/>
    <w:rsid w:val="00DD10D6"/>
    <w:rsid w:val="00DD4AB7"/>
    <w:rsid w:val="00DF60F4"/>
    <w:rsid w:val="00E0046E"/>
    <w:rsid w:val="00E0596E"/>
    <w:rsid w:val="00E13B79"/>
    <w:rsid w:val="00E14FD7"/>
    <w:rsid w:val="00E3397E"/>
    <w:rsid w:val="00E45180"/>
    <w:rsid w:val="00E4686D"/>
    <w:rsid w:val="00E57E8F"/>
    <w:rsid w:val="00E737E5"/>
    <w:rsid w:val="00E82247"/>
    <w:rsid w:val="00E96EB5"/>
    <w:rsid w:val="00EA5263"/>
    <w:rsid w:val="00EB7E00"/>
    <w:rsid w:val="00EC73C1"/>
    <w:rsid w:val="00ED1BD4"/>
    <w:rsid w:val="00EE5DED"/>
    <w:rsid w:val="00F02336"/>
    <w:rsid w:val="00F13843"/>
    <w:rsid w:val="00F21486"/>
    <w:rsid w:val="00F512F7"/>
    <w:rsid w:val="00F57504"/>
    <w:rsid w:val="00F6523E"/>
    <w:rsid w:val="00F80741"/>
    <w:rsid w:val="00F93C7A"/>
    <w:rsid w:val="00FA4805"/>
    <w:rsid w:val="00FB0333"/>
    <w:rsid w:val="00FB0BBC"/>
    <w:rsid w:val="00FB0E14"/>
    <w:rsid w:val="00FC193B"/>
    <w:rsid w:val="00FC2760"/>
    <w:rsid w:val="00FC464D"/>
    <w:rsid w:val="00FD7031"/>
    <w:rsid w:val="00FD736B"/>
    <w:rsid w:val="00FE0681"/>
    <w:rsid w:val="00FE4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ECE4AE"/>
  <w15:chartTrackingRefBased/>
  <w15:docId w15:val="{283B5943-B5C5-45E4-B3D2-027011195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3D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3D87"/>
    <w:rPr>
      <w:sz w:val="20"/>
      <w:szCs w:val="20"/>
    </w:rPr>
  </w:style>
  <w:style w:type="character" w:styleId="FootnoteReference">
    <w:name w:val="footnote reference"/>
    <w:basedOn w:val="DefaultParagraphFont"/>
    <w:uiPriority w:val="99"/>
    <w:semiHidden/>
    <w:unhideWhenUsed/>
    <w:rsid w:val="00383D87"/>
    <w:rPr>
      <w:vertAlign w:val="superscript"/>
    </w:rPr>
  </w:style>
  <w:style w:type="character" w:styleId="Hyperlink">
    <w:name w:val="Hyperlink"/>
    <w:basedOn w:val="DefaultParagraphFont"/>
    <w:uiPriority w:val="99"/>
    <w:unhideWhenUsed/>
    <w:rsid w:val="00FB0E14"/>
    <w:rPr>
      <w:color w:val="0563C1" w:themeColor="hyperlink"/>
      <w:u w:val="single"/>
    </w:rPr>
  </w:style>
  <w:style w:type="character" w:styleId="UnresolvedMention">
    <w:name w:val="Unresolved Mention"/>
    <w:basedOn w:val="DefaultParagraphFont"/>
    <w:uiPriority w:val="99"/>
    <w:semiHidden/>
    <w:unhideWhenUsed/>
    <w:rsid w:val="00FB0E14"/>
    <w:rPr>
      <w:color w:val="605E5C"/>
      <w:shd w:val="clear" w:color="auto" w:fill="E1DFDD"/>
    </w:rPr>
  </w:style>
  <w:style w:type="paragraph" w:styleId="Header">
    <w:name w:val="header"/>
    <w:basedOn w:val="Normal"/>
    <w:link w:val="HeaderChar"/>
    <w:uiPriority w:val="99"/>
    <w:unhideWhenUsed/>
    <w:rsid w:val="00B421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123"/>
  </w:style>
  <w:style w:type="paragraph" w:styleId="Footer">
    <w:name w:val="footer"/>
    <w:basedOn w:val="Normal"/>
    <w:link w:val="FooterChar"/>
    <w:uiPriority w:val="99"/>
    <w:unhideWhenUsed/>
    <w:rsid w:val="00B421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989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dedans.com/E1489.htm" TargetMode="External"/><Relationship Id="rId3" Type="http://schemas.openxmlformats.org/officeDocument/2006/relationships/webSettings" Target="webSettings.xml"/><Relationship Id="rId7" Type="http://schemas.openxmlformats.org/officeDocument/2006/relationships/hyperlink" Target="https://randy_horton.myteachersite.org/teacher/files/documents/ref%20primary%20sources%20-%20tetzel%20&amp;%20indulgenc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ishmuseum.org/research/collection_online/collection_object_details/collection_image_gallery.aspx?assetId=562294001&amp;objectId=42845&amp;partId=1"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dodedans.com/E1489.htm" TargetMode="External"/><Relationship Id="rId2" Type="http://schemas.openxmlformats.org/officeDocument/2006/relationships/hyperlink" Target="https://www.britishmuseum.org/research/collection_online/collection_object_details/collection_image_gallery.aspx?assetId=562294001&amp;objectId=42845&amp;partId=1" TargetMode="External"/><Relationship Id="rId1" Type="http://schemas.openxmlformats.org/officeDocument/2006/relationships/hyperlink" Target="https://randy_horton.myteachersite.org/teacher/files/documents/ref%20primary%20sources%20-%20tetzel%20&amp;%20indulgenc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TotalTime>
  <Pages>10</Pages>
  <Words>3826</Words>
  <Characters>21814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91</cp:revision>
  <dcterms:created xsi:type="dcterms:W3CDTF">2019-01-27T14:32:00Z</dcterms:created>
  <dcterms:modified xsi:type="dcterms:W3CDTF">2019-02-01T11:44:00Z</dcterms:modified>
</cp:coreProperties>
</file>