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76680" w14:textId="75497674" w:rsidR="00390998" w:rsidRPr="001E5547" w:rsidRDefault="00390998" w:rsidP="00390998">
      <w:pPr>
        <w:spacing w:before="120" w:after="120"/>
        <w:jc w:val="center"/>
        <w:rPr>
          <w:rFonts w:ascii="Arial" w:hAnsi="Arial" w:cs="Arial"/>
          <w:b/>
          <w:sz w:val="48"/>
          <w:szCs w:val="48"/>
        </w:rPr>
      </w:pPr>
      <w:r w:rsidRPr="001E5547">
        <w:rPr>
          <w:sz w:val="48"/>
          <w:szCs w:val="48"/>
        </w:rPr>
        <w:t>Student Name: Jack Harper</w:t>
      </w:r>
      <w:r w:rsidRPr="001E5547">
        <w:rPr>
          <w:sz w:val="48"/>
          <w:szCs w:val="48"/>
        </w:rPr>
        <w:br/>
        <w:t>Student Number: 2413008</w:t>
      </w:r>
      <w:r w:rsidRPr="001E5547">
        <w:rPr>
          <w:sz w:val="48"/>
          <w:szCs w:val="48"/>
        </w:rPr>
        <w:br/>
        <w:t xml:space="preserve">Module: </w:t>
      </w:r>
      <w:r w:rsidRPr="001E5547">
        <w:rPr>
          <w:rFonts w:cs="Arial"/>
          <w:bCs/>
          <w:sz w:val="48"/>
          <w:szCs w:val="48"/>
        </w:rPr>
        <w:t>BMSK4013</w:t>
      </w:r>
      <w:r w:rsidRPr="001E5547">
        <w:rPr>
          <w:sz w:val="48"/>
          <w:szCs w:val="48"/>
        </w:rPr>
        <w:br/>
        <w:t xml:space="preserve">Title: </w:t>
      </w:r>
      <w:r w:rsidRPr="001E5547">
        <w:rPr>
          <w:rFonts w:cs="Arial"/>
          <w:bCs/>
          <w:sz w:val="48"/>
          <w:szCs w:val="48"/>
        </w:rPr>
        <w:t>Management Communication</w:t>
      </w:r>
      <w:r w:rsidRPr="001E5547">
        <w:rPr>
          <w:sz w:val="48"/>
          <w:szCs w:val="48"/>
        </w:rPr>
        <w:br/>
        <w:t xml:space="preserve">Word count: </w:t>
      </w:r>
      <w:r w:rsidRPr="001E5547">
        <w:rPr>
          <w:sz w:val="48"/>
          <w:szCs w:val="48"/>
        </w:rPr>
        <w:br/>
        <w:t xml:space="preserve">Submission date: </w:t>
      </w:r>
    </w:p>
    <w:p w14:paraId="5F13F405" w14:textId="77777777" w:rsidR="00390998" w:rsidRPr="002945D8" w:rsidRDefault="00390998" w:rsidP="00390998"/>
    <w:p w14:paraId="1B855483" w14:textId="77777777" w:rsidR="00390998" w:rsidRPr="002945D8" w:rsidRDefault="00390998" w:rsidP="00390998"/>
    <w:p w14:paraId="6507E042" w14:textId="77777777" w:rsidR="00390998" w:rsidRDefault="00390998" w:rsidP="00390998"/>
    <w:p w14:paraId="55331CEA" w14:textId="77777777" w:rsidR="007C7A44" w:rsidRDefault="007C7A44" w:rsidP="00390998"/>
    <w:p w14:paraId="1E3AE7B4" w14:textId="77777777" w:rsidR="007C7A44" w:rsidRDefault="007C7A44" w:rsidP="00390998"/>
    <w:p w14:paraId="6FF239E9" w14:textId="77777777" w:rsidR="007C7A44" w:rsidRDefault="007C7A44" w:rsidP="00390998"/>
    <w:p w14:paraId="55F757C9" w14:textId="77777777" w:rsidR="007C7A44" w:rsidRDefault="007C7A44" w:rsidP="00390998"/>
    <w:p w14:paraId="6038B760" w14:textId="77777777" w:rsidR="007C7A44" w:rsidRDefault="007C7A44" w:rsidP="00390998"/>
    <w:p w14:paraId="73D4166F" w14:textId="77777777" w:rsidR="007C7A44" w:rsidRDefault="007C7A44" w:rsidP="00390998"/>
    <w:p w14:paraId="492D3E61" w14:textId="77777777" w:rsidR="007C7A44" w:rsidRDefault="007C7A44" w:rsidP="00390998"/>
    <w:p w14:paraId="20BBA48E" w14:textId="77777777" w:rsidR="007C7A44" w:rsidRDefault="007C7A44" w:rsidP="00390998"/>
    <w:p w14:paraId="19CC0215" w14:textId="77777777" w:rsidR="007C7A44" w:rsidRDefault="007C7A44" w:rsidP="00390998"/>
    <w:p w14:paraId="26B8E418" w14:textId="77777777" w:rsidR="007C7A44" w:rsidRDefault="007C7A44" w:rsidP="00390998"/>
    <w:p w14:paraId="629B23BC" w14:textId="77777777" w:rsidR="007C7A44" w:rsidRDefault="007C7A44" w:rsidP="00390998"/>
    <w:p w14:paraId="2390C1B9" w14:textId="77777777" w:rsidR="007C7A44" w:rsidRDefault="007C7A44" w:rsidP="00390998"/>
    <w:p w14:paraId="44EB7A43" w14:textId="77777777" w:rsidR="007C7A44" w:rsidRDefault="007C7A44" w:rsidP="00390998"/>
    <w:p w14:paraId="529EE67D" w14:textId="77777777" w:rsidR="007C7A44" w:rsidRDefault="007C7A44" w:rsidP="00390998"/>
    <w:p w14:paraId="6E665E1C" w14:textId="77777777" w:rsidR="007C7A44" w:rsidRDefault="007C7A44" w:rsidP="00390998"/>
    <w:p w14:paraId="5E954EC3" w14:textId="77777777" w:rsidR="007C7A44" w:rsidRPr="002945D8" w:rsidRDefault="007C7A44" w:rsidP="00390998"/>
    <w:p w14:paraId="7A33266E" w14:textId="77777777" w:rsidR="00390998" w:rsidRPr="002945D8" w:rsidRDefault="00390998" w:rsidP="00390998"/>
    <w:tbl>
      <w:tblPr>
        <w:tblStyle w:val="TableGrid"/>
        <w:tblW w:w="0" w:type="auto"/>
        <w:tblInd w:w="1555" w:type="dxa"/>
        <w:tblLook w:val="04A0" w:firstRow="1" w:lastRow="0" w:firstColumn="1" w:lastColumn="0" w:noHBand="0" w:noVBand="1"/>
      </w:tblPr>
      <w:tblGrid>
        <w:gridCol w:w="6378"/>
      </w:tblGrid>
      <w:tr w:rsidR="00390998" w:rsidRPr="002945D8" w14:paraId="628AD479" w14:textId="77777777">
        <w:tc>
          <w:tcPr>
            <w:tcW w:w="6378" w:type="dxa"/>
          </w:tcPr>
          <w:p w14:paraId="17563DBA" w14:textId="77777777" w:rsidR="00390998" w:rsidRPr="001E5547" w:rsidRDefault="00390998">
            <w:pPr>
              <w:jc w:val="center"/>
              <w:rPr>
                <w:b/>
                <w:bCs/>
                <w:color w:val="000000" w:themeColor="text1"/>
                <w:sz w:val="52"/>
                <w:szCs w:val="52"/>
              </w:rPr>
            </w:pPr>
            <w:r w:rsidRPr="001E5547">
              <w:rPr>
                <w:b/>
                <w:bCs/>
                <w:color w:val="000000" w:themeColor="text1"/>
                <w:sz w:val="52"/>
                <w:szCs w:val="52"/>
              </w:rPr>
              <w:t>Introduction</w:t>
            </w:r>
          </w:p>
        </w:tc>
      </w:tr>
      <w:tr w:rsidR="00390998" w:rsidRPr="002945D8" w14:paraId="1835E6A8" w14:textId="77777777">
        <w:tc>
          <w:tcPr>
            <w:tcW w:w="6378" w:type="dxa"/>
          </w:tcPr>
          <w:p w14:paraId="0305FFE0" w14:textId="74D457E8" w:rsidR="00390998" w:rsidRPr="001E5547" w:rsidRDefault="0003674D">
            <w:pPr>
              <w:jc w:val="center"/>
              <w:rPr>
                <w:b/>
                <w:bCs/>
                <w:color w:val="000000" w:themeColor="text1"/>
                <w:sz w:val="52"/>
                <w:szCs w:val="52"/>
              </w:rPr>
            </w:pPr>
            <w:r>
              <w:rPr>
                <w:b/>
                <w:bCs/>
                <w:color w:val="000000" w:themeColor="text1"/>
                <w:sz w:val="52"/>
                <w:szCs w:val="52"/>
              </w:rPr>
              <w:t xml:space="preserve">What is communication </w:t>
            </w:r>
          </w:p>
        </w:tc>
      </w:tr>
      <w:tr w:rsidR="00390998" w:rsidRPr="002945D8" w14:paraId="7D9301C9" w14:textId="77777777">
        <w:tc>
          <w:tcPr>
            <w:tcW w:w="6378" w:type="dxa"/>
          </w:tcPr>
          <w:p w14:paraId="4C1E0F72" w14:textId="35D316EC" w:rsidR="00390998" w:rsidRPr="001E5547" w:rsidRDefault="0003674D">
            <w:pPr>
              <w:jc w:val="center"/>
              <w:rPr>
                <w:b/>
                <w:bCs/>
                <w:color w:val="000000" w:themeColor="text1"/>
                <w:sz w:val="52"/>
                <w:szCs w:val="52"/>
              </w:rPr>
            </w:pPr>
            <w:r>
              <w:rPr>
                <w:b/>
                <w:bCs/>
                <w:color w:val="000000" w:themeColor="text1"/>
                <w:sz w:val="52"/>
                <w:szCs w:val="52"/>
              </w:rPr>
              <w:t>Styles and theories of communication management</w:t>
            </w:r>
          </w:p>
          <w:p w14:paraId="66DE69F0" w14:textId="3ED43F13" w:rsidR="00390998" w:rsidRPr="001E5547" w:rsidRDefault="00390998" w:rsidP="00390998">
            <w:pPr>
              <w:rPr>
                <w:b/>
                <w:bCs/>
                <w:color w:val="000000" w:themeColor="text1"/>
                <w:sz w:val="52"/>
                <w:szCs w:val="52"/>
              </w:rPr>
            </w:pPr>
          </w:p>
        </w:tc>
      </w:tr>
      <w:tr w:rsidR="00390998" w:rsidRPr="002945D8" w14:paraId="4142D447" w14:textId="77777777">
        <w:tc>
          <w:tcPr>
            <w:tcW w:w="6378" w:type="dxa"/>
          </w:tcPr>
          <w:p w14:paraId="0BB887EA" w14:textId="7A6241A7" w:rsidR="00390998" w:rsidRPr="001E5547" w:rsidRDefault="00390998">
            <w:pPr>
              <w:jc w:val="center"/>
              <w:rPr>
                <w:b/>
                <w:bCs/>
                <w:color w:val="000000" w:themeColor="text1"/>
                <w:sz w:val="52"/>
                <w:szCs w:val="52"/>
              </w:rPr>
            </w:pPr>
          </w:p>
        </w:tc>
      </w:tr>
      <w:tr w:rsidR="00390998" w:rsidRPr="002945D8" w14:paraId="31967A3D" w14:textId="77777777">
        <w:tc>
          <w:tcPr>
            <w:tcW w:w="6378" w:type="dxa"/>
          </w:tcPr>
          <w:p w14:paraId="3BD69171" w14:textId="0A8A71FB" w:rsidR="00390998" w:rsidRPr="001E5547" w:rsidRDefault="00390998">
            <w:pPr>
              <w:jc w:val="center"/>
              <w:rPr>
                <w:b/>
                <w:bCs/>
                <w:color w:val="000000" w:themeColor="text1"/>
                <w:sz w:val="52"/>
                <w:szCs w:val="52"/>
              </w:rPr>
            </w:pPr>
          </w:p>
        </w:tc>
      </w:tr>
      <w:tr w:rsidR="00390998" w:rsidRPr="002945D8" w14:paraId="3F106E8C" w14:textId="77777777">
        <w:tc>
          <w:tcPr>
            <w:tcW w:w="6378" w:type="dxa"/>
          </w:tcPr>
          <w:p w14:paraId="74DC35FF" w14:textId="77777777" w:rsidR="00390998" w:rsidRPr="001E5547" w:rsidRDefault="00390998">
            <w:pPr>
              <w:jc w:val="center"/>
              <w:rPr>
                <w:b/>
                <w:bCs/>
                <w:color w:val="000000" w:themeColor="text1"/>
                <w:sz w:val="52"/>
                <w:szCs w:val="52"/>
              </w:rPr>
            </w:pPr>
            <w:r w:rsidRPr="001E5547">
              <w:rPr>
                <w:b/>
                <w:bCs/>
                <w:color w:val="000000" w:themeColor="text1"/>
                <w:sz w:val="52"/>
                <w:szCs w:val="52"/>
              </w:rPr>
              <w:t>Conclusion</w:t>
            </w:r>
          </w:p>
        </w:tc>
      </w:tr>
      <w:tr w:rsidR="00390998" w:rsidRPr="002945D8" w14:paraId="348CF51D" w14:textId="77777777">
        <w:tc>
          <w:tcPr>
            <w:tcW w:w="6378" w:type="dxa"/>
          </w:tcPr>
          <w:p w14:paraId="746DD4E3" w14:textId="77777777" w:rsidR="00390998" w:rsidRPr="001E5547" w:rsidRDefault="00390998">
            <w:pPr>
              <w:jc w:val="center"/>
              <w:rPr>
                <w:b/>
                <w:bCs/>
                <w:color w:val="000000" w:themeColor="text1"/>
                <w:sz w:val="52"/>
                <w:szCs w:val="52"/>
              </w:rPr>
            </w:pPr>
            <w:r w:rsidRPr="001E5547">
              <w:rPr>
                <w:b/>
                <w:bCs/>
                <w:color w:val="000000" w:themeColor="text1"/>
                <w:sz w:val="52"/>
                <w:szCs w:val="52"/>
              </w:rPr>
              <w:t>References</w:t>
            </w:r>
          </w:p>
        </w:tc>
      </w:tr>
    </w:tbl>
    <w:p w14:paraId="39405B83" w14:textId="77777777" w:rsidR="00390998" w:rsidRDefault="00390998" w:rsidP="00390998">
      <w:pPr>
        <w:jc w:val="center"/>
      </w:pPr>
    </w:p>
    <w:p w14:paraId="21C00F40" w14:textId="77777777" w:rsidR="001E5547" w:rsidRDefault="001E5547" w:rsidP="00390998">
      <w:pPr>
        <w:jc w:val="center"/>
      </w:pPr>
    </w:p>
    <w:p w14:paraId="6EB892E2" w14:textId="77777777" w:rsidR="007C7A44" w:rsidRDefault="007C7A44" w:rsidP="00B64276">
      <w:pPr>
        <w:spacing w:before="100" w:beforeAutospacing="1" w:after="100" w:afterAutospacing="1" w:line="240" w:lineRule="auto"/>
        <w:outlineLvl w:val="0"/>
        <w:rPr>
          <w:rFonts w:asciiTheme="majorHAnsi" w:eastAsia="Times New Roman" w:hAnsiTheme="majorHAnsi" w:cs="Times New Roman"/>
          <w:b/>
          <w:bCs/>
          <w:kern w:val="36"/>
          <w:sz w:val="48"/>
          <w:szCs w:val="48"/>
          <w:lang w:eastAsia="en-GB"/>
          <w14:ligatures w14:val="none"/>
        </w:rPr>
      </w:pPr>
    </w:p>
    <w:p w14:paraId="0DCB2C7D" w14:textId="77777777" w:rsidR="007C7A44" w:rsidRDefault="007C7A44" w:rsidP="00B64276">
      <w:pPr>
        <w:spacing w:before="100" w:beforeAutospacing="1" w:after="100" w:afterAutospacing="1" w:line="240" w:lineRule="auto"/>
        <w:outlineLvl w:val="0"/>
        <w:rPr>
          <w:rFonts w:asciiTheme="majorHAnsi" w:eastAsia="Times New Roman" w:hAnsiTheme="majorHAnsi" w:cs="Times New Roman"/>
          <w:b/>
          <w:bCs/>
          <w:kern w:val="36"/>
          <w:sz w:val="48"/>
          <w:szCs w:val="48"/>
          <w:lang w:eastAsia="en-GB"/>
          <w14:ligatures w14:val="none"/>
        </w:rPr>
      </w:pPr>
    </w:p>
    <w:p w14:paraId="4676C914" w14:textId="77777777" w:rsidR="007C7A44" w:rsidRDefault="007C7A44" w:rsidP="00B64276">
      <w:pPr>
        <w:spacing w:before="100" w:beforeAutospacing="1" w:after="100" w:afterAutospacing="1" w:line="240" w:lineRule="auto"/>
        <w:outlineLvl w:val="0"/>
        <w:rPr>
          <w:rFonts w:asciiTheme="majorHAnsi" w:eastAsia="Times New Roman" w:hAnsiTheme="majorHAnsi" w:cs="Times New Roman"/>
          <w:b/>
          <w:bCs/>
          <w:kern w:val="36"/>
          <w:sz w:val="48"/>
          <w:szCs w:val="48"/>
          <w:lang w:eastAsia="en-GB"/>
          <w14:ligatures w14:val="none"/>
        </w:rPr>
      </w:pPr>
    </w:p>
    <w:p w14:paraId="470A9F79" w14:textId="77777777" w:rsidR="007C7A44" w:rsidRDefault="007C7A44" w:rsidP="00B64276">
      <w:pPr>
        <w:spacing w:before="100" w:beforeAutospacing="1" w:after="100" w:afterAutospacing="1" w:line="240" w:lineRule="auto"/>
        <w:outlineLvl w:val="0"/>
        <w:rPr>
          <w:rFonts w:asciiTheme="majorHAnsi" w:eastAsia="Times New Roman" w:hAnsiTheme="majorHAnsi" w:cs="Times New Roman"/>
          <w:b/>
          <w:bCs/>
          <w:kern w:val="36"/>
          <w:sz w:val="48"/>
          <w:szCs w:val="48"/>
          <w:lang w:eastAsia="en-GB"/>
          <w14:ligatures w14:val="none"/>
        </w:rPr>
      </w:pPr>
    </w:p>
    <w:p w14:paraId="4C71606A" w14:textId="77777777" w:rsidR="007C7A44" w:rsidRDefault="007C7A44" w:rsidP="00B64276">
      <w:pPr>
        <w:spacing w:before="100" w:beforeAutospacing="1" w:after="100" w:afterAutospacing="1" w:line="240" w:lineRule="auto"/>
        <w:outlineLvl w:val="0"/>
        <w:rPr>
          <w:rFonts w:asciiTheme="majorHAnsi" w:eastAsia="Times New Roman" w:hAnsiTheme="majorHAnsi" w:cs="Times New Roman"/>
          <w:b/>
          <w:bCs/>
          <w:kern w:val="36"/>
          <w:sz w:val="48"/>
          <w:szCs w:val="48"/>
          <w:lang w:eastAsia="en-GB"/>
          <w14:ligatures w14:val="none"/>
        </w:rPr>
      </w:pPr>
    </w:p>
    <w:p w14:paraId="102061F9" w14:textId="77777777" w:rsidR="007C7A44" w:rsidRDefault="007C7A44" w:rsidP="00B64276">
      <w:pPr>
        <w:spacing w:before="100" w:beforeAutospacing="1" w:after="100" w:afterAutospacing="1" w:line="240" w:lineRule="auto"/>
        <w:outlineLvl w:val="0"/>
        <w:rPr>
          <w:rFonts w:asciiTheme="majorHAnsi" w:eastAsia="Times New Roman" w:hAnsiTheme="majorHAnsi" w:cs="Times New Roman"/>
          <w:b/>
          <w:bCs/>
          <w:kern w:val="36"/>
          <w:sz w:val="48"/>
          <w:szCs w:val="48"/>
          <w:lang w:eastAsia="en-GB"/>
          <w14:ligatures w14:val="none"/>
        </w:rPr>
      </w:pPr>
    </w:p>
    <w:p w14:paraId="3D2D4B90" w14:textId="348C9441" w:rsidR="00B64276" w:rsidRPr="00B64276" w:rsidRDefault="00B64276" w:rsidP="00B64276">
      <w:pPr>
        <w:spacing w:before="100" w:beforeAutospacing="1" w:after="100" w:afterAutospacing="1" w:line="240" w:lineRule="auto"/>
        <w:outlineLvl w:val="0"/>
        <w:rPr>
          <w:rFonts w:asciiTheme="majorHAnsi" w:eastAsia="Times New Roman" w:hAnsiTheme="majorHAnsi" w:cs="Times New Roman"/>
          <w:b/>
          <w:bCs/>
          <w:kern w:val="36"/>
          <w:sz w:val="48"/>
          <w:szCs w:val="48"/>
          <w:lang w:eastAsia="en-GB"/>
          <w14:ligatures w14:val="none"/>
        </w:rPr>
      </w:pPr>
      <w:r w:rsidRPr="00B64276">
        <w:rPr>
          <w:rFonts w:asciiTheme="majorHAnsi" w:eastAsia="Times New Roman" w:hAnsiTheme="majorHAnsi" w:cs="Times New Roman"/>
          <w:b/>
          <w:bCs/>
          <w:kern w:val="36"/>
          <w:sz w:val="48"/>
          <w:szCs w:val="48"/>
          <w:lang w:eastAsia="en-GB"/>
          <w14:ligatures w14:val="none"/>
        </w:rPr>
        <w:lastRenderedPageBreak/>
        <w:t>Managing Communication in a Trade Union: A Comprehensive Analysis and Professional Development Plan</w:t>
      </w:r>
    </w:p>
    <w:p w14:paraId="0DB8A729" w14:textId="77777777" w:rsidR="00B64276" w:rsidRPr="00B64276" w:rsidRDefault="00B64276" w:rsidP="00B64276">
      <w:pPr>
        <w:spacing w:before="100" w:beforeAutospacing="1" w:after="100" w:afterAutospacing="1" w:line="240" w:lineRule="auto"/>
        <w:outlineLvl w:val="1"/>
        <w:rPr>
          <w:rFonts w:asciiTheme="majorHAnsi" w:eastAsia="Times New Roman" w:hAnsiTheme="majorHAnsi" w:cs="Times New Roman"/>
          <w:b/>
          <w:bCs/>
          <w:kern w:val="0"/>
          <w:sz w:val="36"/>
          <w:szCs w:val="36"/>
          <w:lang w:eastAsia="en-GB"/>
          <w14:ligatures w14:val="none"/>
        </w:rPr>
      </w:pPr>
      <w:r w:rsidRPr="00B64276">
        <w:rPr>
          <w:rFonts w:asciiTheme="majorHAnsi" w:eastAsia="Times New Roman" w:hAnsiTheme="majorHAnsi" w:cs="Times New Roman"/>
          <w:b/>
          <w:bCs/>
          <w:kern w:val="0"/>
          <w:sz w:val="36"/>
          <w:szCs w:val="36"/>
          <w:lang w:eastAsia="en-GB"/>
          <w14:ligatures w14:val="none"/>
        </w:rPr>
        <w:t>Introduction</w:t>
      </w:r>
    </w:p>
    <w:p w14:paraId="7FF18D2F"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Effective communication stands as the bedrock of successful organisational management, particularly within the multifaceted and often contentious landscape of a trade union. In an environment where diverse stakeholders—from individual members and elected representatives to employers and legal entities—interact, the strategic management of communication is not merely a desirable skill but an absolute imperative. Miscommunication can lead to industrial disputes, erosion of trust, and a failure to achieve organisational objectives, whereas clear, concise, and empathetic communication can foster solidarity, facilitate negotiation, and empower members. This essay will delve into the critical aspects of managing communication within a trade union setting, exploring theoretical frameworks and their practical application. It will commence by elucidating the relevance of the communication cycle, followed by an examination of the importance of appropriate tone, language, and formality in managerial interactions. A comprehensive assessment of various verbal and written communication methods will be undertaken, alongside an evaluation of pertinent motivation theories, with a specific focus on McClelland's Acquired Needs Theory and its impact on the workplace. Finally, this essay will outline criteria for evaluating personal communication effectiveness, discuss methods for feedback collection and analysis, and present a professional development plan (PDP) designed to enhance communication skills within the context of a trade union manager.</w:t>
      </w:r>
    </w:p>
    <w:p w14:paraId="70C2343D" w14:textId="77777777" w:rsidR="00B64276" w:rsidRPr="00B64276" w:rsidRDefault="00B64276" w:rsidP="00B64276">
      <w:pPr>
        <w:spacing w:before="100" w:beforeAutospacing="1" w:after="100" w:afterAutospacing="1" w:line="240" w:lineRule="auto"/>
        <w:outlineLvl w:val="1"/>
        <w:rPr>
          <w:rFonts w:asciiTheme="majorHAnsi" w:eastAsia="Times New Roman" w:hAnsiTheme="majorHAnsi" w:cs="Times New Roman"/>
          <w:b/>
          <w:bCs/>
          <w:kern w:val="0"/>
          <w:sz w:val="36"/>
          <w:szCs w:val="36"/>
          <w:lang w:eastAsia="en-GB"/>
          <w14:ligatures w14:val="none"/>
        </w:rPr>
      </w:pPr>
      <w:r w:rsidRPr="00B64276">
        <w:rPr>
          <w:rFonts w:asciiTheme="majorHAnsi" w:eastAsia="Times New Roman" w:hAnsiTheme="majorHAnsi" w:cs="Times New Roman"/>
          <w:b/>
          <w:bCs/>
          <w:kern w:val="0"/>
          <w:sz w:val="36"/>
          <w:szCs w:val="36"/>
          <w:lang w:eastAsia="en-GB"/>
          <w14:ligatures w14:val="none"/>
        </w:rPr>
        <w:t>Report: Communication, Motivation, and Performance in the Workplace</w:t>
      </w:r>
    </w:p>
    <w:p w14:paraId="655B0537" w14:textId="77777777" w:rsidR="00B64276" w:rsidRPr="00B64276" w:rsidRDefault="00B64276" w:rsidP="00B64276">
      <w:pPr>
        <w:spacing w:before="100" w:beforeAutospacing="1" w:after="100" w:afterAutospacing="1" w:line="240" w:lineRule="auto"/>
        <w:outlineLvl w:val="2"/>
        <w:rPr>
          <w:rFonts w:asciiTheme="majorHAnsi" w:eastAsia="Times New Roman" w:hAnsiTheme="majorHAnsi" w:cs="Times New Roman"/>
          <w:b/>
          <w:bCs/>
          <w:kern w:val="0"/>
          <w:sz w:val="27"/>
          <w:szCs w:val="27"/>
          <w:lang w:eastAsia="en-GB"/>
          <w14:ligatures w14:val="none"/>
        </w:rPr>
      </w:pPr>
      <w:r w:rsidRPr="00B64276">
        <w:rPr>
          <w:rFonts w:asciiTheme="majorHAnsi" w:eastAsia="Times New Roman" w:hAnsiTheme="majorHAnsi" w:cs="Times New Roman"/>
          <w:b/>
          <w:bCs/>
          <w:kern w:val="0"/>
          <w:sz w:val="27"/>
          <w:szCs w:val="27"/>
          <w:lang w:eastAsia="en-GB"/>
          <w14:ligatures w14:val="none"/>
        </w:rPr>
        <w:t>The Relevance of the Communication Cycle for Effective Communication in Management</w:t>
      </w:r>
    </w:p>
    <w:p w14:paraId="6FE3EEF6"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The communication cycle provides a fundamental framework for understanding how messages are transmitted and received, highlighting potential points of breakdown and opportunities for enhancement. This cycle typically comprises a sender, encoding, the message itself, the channel, the receiver, decoding, feedback, and the ever-present element of noise (Shannon &amp; Weaver, 1949). For managers within a trade union, grasping the nuances of this cycle is paramount to ensuring clarity, fostering understanding, and building consensus among diverse groups.</w:t>
      </w:r>
    </w:p>
    <w:p w14:paraId="1653475C"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 xml:space="preserve">Firstly, the </w:t>
      </w:r>
      <w:r w:rsidRPr="00B64276">
        <w:rPr>
          <w:rFonts w:asciiTheme="majorHAnsi" w:eastAsia="Times New Roman" w:hAnsiTheme="majorHAnsi" w:cs="Times New Roman"/>
          <w:b/>
          <w:bCs/>
          <w:kern w:val="0"/>
          <w:lang w:eastAsia="en-GB"/>
          <w14:ligatures w14:val="none"/>
        </w:rPr>
        <w:t>sender</w:t>
      </w:r>
      <w:r w:rsidRPr="00B64276">
        <w:rPr>
          <w:rFonts w:asciiTheme="majorHAnsi" w:eastAsia="Times New Roman" w:hAnsiTheme="majorHAnsi" w:cs="Times New Roman"/>
          <w:kern w:val="0"/>
          <w:lang w:eastAsia="en-GB"/>
          <w14:ligatures w14:val="none"/>
        </w:rPr>
        <w:t xml:space="preserve"> (e.g., a union official) must clearly conceptualise the message, which then undergoes </w:t>
      </w:r>
      <w:r w:rsidRPr="00B64276">
        <w:rPr>
          <w:rFonts w:asciiTheme="majorHAnsi" w:eastAsia="Times New Roman" w:hAnsiTheme="majorHAnsi" w:cs="Times New Roman"/>
          <w:b/>
          <w:bCs/>
          <w:kern w:val="0"/>
          <w:lang w:eastAsia="en-GB"/>
          <w14:ligatures w14:val="none"/>
        </w:rPr>
        <w:t>encoding</w:t>
      </w:r>
      <w:r w:rsidRPr="00B64276">
        <w:rPr>
          <w:rFonts w:asciiTheme="majorHAnsi" w:eastAsia="Times New Roman" w:hAnsiTheme="majorHAnsi" w:cs="Times New Roman"/>
          <w:kern w:val="0"/>
          <w:lang w:eastAsia="en-GB"/>
          <w14:ligatures w14:val="none"/>
        </w:rPr>
        <w:t xml:space="preserve"> into a transferable format (e.g., a policy document, a speech). In a trade union, this could involve translating complex legal jargon regarding employment rights into accessible language for members. The </w:t>
      </w:r>
      <w:r w:rsidRPr="00B64276">
        <w:rPr>
          <w:rFonts w:asciiTheme="majorHAnsi" w:eastAsia="Times New Roman" w:hAnsiTheme="majorHAnsi" w:cs="Times New Roman"/>
          <w:b/>
          <w:bCs/>
          <w:kern w:val="0"/>
          <w:lang w:eastAsia="en-GB"/>
          <w14:ligatures w14:val="none"/>
        </w:rPr>
        <w:t>message</w:t>
      </w:r>
      <w:r w:rsidRPr="00B64276">
        <w:rPr>
          <w:rFonts w:asciiTheme="majorHAnsi" w:eastAsia="Times New Roman" w:hAnsiTheme="majorHAnsi" w:cs="Times New Roman"/>
          <w:kern w:val="0"/>
          <w:lang w:eastAsia="en-GB"/>
          <w14:ligatures w14:val="none"/>
        </w:rPr>
        <w:t xml:space="preserve"> itself must be precise and unambiguous, </w:t>
      </w:r>
      <w:r w:rsidRPr="00B64276">
        <w:rPr>
          <w:rFonts w:asciiTheme="majorHAnsi" w:eastAsia="Times New Roman" w:hAnsiTheme="majorHAnsi" w:cs="Times New Roman"/>
          <w:kern w:val="0"/>
          <w:lang w:eastAsia="en-GB"/>
          <w14:ligatures w14:val="none"/>
        </w:rPr>
        <w:lastRenderedPageBreak/>
        <w:t xml:space="preserve">avoiding technical terms where plain language suffices, especially when addressing a broad membership base. The selection of an appropriate </w:t>
      </w:r>
      <w:r w:rsidRPr="00B64276">
        <w:rPr>
          <w:rFonts w:asciiTheme="majorHAnsi" w:eastAsia="Times New Roman" w:hAnsiTheme="majorHAnsi" w:cs="Times New Roman"/>
          <w:b/>
          <w:bCs/>
          <w:kern w:val="0"/>
          <w:lang w:eastAsia="en-GB"/>
          <w14:ligatures w14:val="none"/>
        </w:rPr>
        <w:t>channel</w:t>
      </w:r>
      <w:r w:rsidRPr="00B64276">
        <w:rPr>
          <w:rFonts w:asciiTheme="majorHAnsi" w:eastAsia="Times New Roman" w:hAnsiTheme="majorHAnsi" w:cs="Times New Roman"/>
          <w:kern w:val="0"/>
          <w:lang w:eastAsia="en-GB"/>
          <w14:ligatures w14:val="none"/>
        </w:rPr>
        <w:t xml:space="preserve"> is equally critical; a formal letter might be suitable for official grievances, while a town hall meeting is better for discussing proposed collective agreements, allowing for immediate questions and clarifications.</w:t>
      </w:r>
    </w:p>
    <w:p w14:paraId="13E54ECB"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 xml:space="preserve">The </w:t>
      </w:r>
      <w:r w:rsidRPr="00B64276">
        <w:rPr>
          <w:rFonts w:asciiTheme="majorHAnsi" w:eastAsia="Times New Roman" w:hAnsiTheme="majorHAnsi" w:cs="Times New Roman"/>
          <w:b/>
          <w:bCs/>
          <w:kern w:val="0"/>
          <w:lang w:eastAsia="en-GB"/>
          <w14:ligatures w14:val="none"/>
        </w:rPr>
        <w:t>receiver</w:t>
      </w:r>
      <w:r w:rsidRPr="00B64276">
        <w:rPr>
          <w:rFonts w:asciiTheme="majorHAnsi" w:eastAsia="Times New Roman" w:hAnsiTheme="majorHAnsi" w:cs="Times New Roman"/>
          <w:kern w:val="0"/>
          <w:lang w:eastAsia="en-GB"/>
          <w14:ligatures w14:val="none"/>
        </w:rPr>
        <w:t xml:space="preserve"> (e.g., a union member, an employer representative) then </w:t>
      </w:r>
      <w:r w:rsidRPr="00B64276">
        <w:rPr>
          <w:rFonts w:asciiTheme="majorHAnsi" w:eastAsia="Times New Roman" w:hAnsiTheme="majorHAnsi" w:cs="Times New Roman"/>
          <w:b/>
          <w:bCs/>
          <w:kern w:val="0"/>
          <w:lang w:eastAsia="en-GB"/>
          <w14:ligatures w14:val="none"/>
        </w:rPr>
        <w:t>decodes</w:t>
      </w:r>
      <w:r w:rsidRPr="00B64276">
        <w:rPr>
          <w:rFonts w:asciiTheme="majorHAnsi" w:eastAsia="Times New Roman" w:hAnsiTheme="majorHAnsi" w:cs="Times New Roman"/>
          <w:kern w:val="0"/>
          <w:lang w:eastAsia="en-GB"/>
          <w14:ligatures w14:val="none"/>
        </w:rPr>
        <w:t xml:space="preserve"> the message, interpreting it based on their own experiences, biases, and knowledge. This decoding process is particularly susceptible to "noise"—any interference that distorts the message. Noise in a trade union context could range from pre-existing distrust between parties, cultural differences among members, or even literal background distractions during a meeting. Crucially, the </w:t>
      </w:r>
      <w:r w:rsidRPr="00B64276">
        <w:rPr>
          <w:rFonts w:asciiTheme="majorHAnsi" w:eastAsia="Times New Roman" w:hAnsiTheme="majorHAnsi" w:cs="Times New Roman"/>
          <w:b/>
          <w:bCs/>
          <w:kern w:val="0"/>
          <w:lang w:eastAsia="en-GB"/>
          <w14:ligatures w14:val="none"/>
        </w:rPr>
        <w:t>feedback</w:t>
      </w:r>
      <w:r w:rsidRPr="00B64276">
        <w:rPr>
          <w:rFonts w:asciiTheme="majorHAnsi" w:eastAsia="Times New Roman" w:hAnsiTheme="majorHAnsi" w:cs="Times New Roman"/>
          <w:kern w:val="0"/>
          <w:lang w:eastAsia="en-GB"/>
          <w14:ligatures w14:val="none"/>
        </w:rPr>
        <w:t xml:space="preserve"> loop allows the sender to gauge the receiver's understanding and adjust future communications. For instance, a manager might ask members to summarise their understanding of a new policy or observe their reactions during a negotiation update. Without effective feedback, assumptions can lead to significant misunderstandings, potentially escalating into disputes. By consciously navigating each stage of the communication cycle, trade union managers can proactively identify and mitigate barriers, ensuring that vital information is not only transmitted but truly understood and acted upon by all stakeholders (Drucker, 1974).</w:t>
      </w:r>
    </w:p>
    <w:p w14:paraId="7B108B15" w14:textId="77777777" w:rsidR="003A7EE7" w:rsidRPr="00B64276" w:rsidRDefault="003A7EE7" w:rsidP="003A7EE7">
      <w:pPr>
        <w:spacing w:before="100" w:beforeAutospacing="1" w:after="100" w:afterAutospacing="1" w:line="240" w:lineRule="auto"/>
        <w:outlineLvl w:val="2"/>
        <w:rPr>
          <w:rFonts w:asciiTheme="majorHAnsi" w:eastAsia="Times New Roman" w:hAnsiTheme="majorHAnsi" w:cs="Times New Roman"/>
          <w:b/>
          <w:bCs/>
          <w:kern w:val="0"/>
          <w:sz w:val="27"/>
          <w:szCs w:val="27"/>
          <w:lang w:eastAsia="en-GB"/>
          <w14:ligatures w14:val="none"/>
        </w:rPr>
      </w:pPr>
      <w:r w:rsidRPr="00B64276">
        <w:rPr>
          <w:rFonts w:asciiTheme="majorHAnsi" w:eastAsia="Times New Roman" w:hAnsiTheme="majorHAnsi" w:cs="Times New Roman"/>
          <w:b/>
          <w:bCs/>
          <w:kern w:val="0"/>
          <w:sz w:val="27"/>
          <w:szCs w:val="27"/>
          <w:lang w:eastAsia="en-GB"/>
          <w14:ligatures w14:val="none"/>
        </w:rPr>
        <w:t>Importance of Selecting an Appropriate Tone, Language, and Level of Formality in Management Communications</w:t>
      </w:r>
    </w:p>
    <w:p w14:paraId="3564E777" w14:textId="77777777" w:rsidR="003A7EE7" w:rsidRDefault="003A7EE7" w:rsidP="00B64276">
      <w:pPr>
        <w:spacing w:before="100" w:beforeAutospacing="1" w:after="100" w:afterAutospacing="1" w:line="240" w:lineRule="auto"/>
        <w:rPr>
          <w:rFonts w:asciiTheme="majorHAnsi" w:eastAsia="Times New Roman" w:hAnsiTheme="majorHAnsi" w:cs="Times New Roman"/>
          <w:b/>
          <w:bCs/>
          <w:kern w:val="0"/>
          <w:sz w:val="27"/>
          <w:szCs w:val="27"/>
          <w:lang w:eastAsia="en-GB"/>
          <w14:ligatures w14:val="none"/>
        </w:rPr>
      </w:pPr>
    </w:p>
    <w:p w14:paraId="7ED6DC66" w14:textId="7095943D"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The effectiveness of management communication is profoundly influenced by the judicious selection of tone, language, and level of formality. These elements collectively shape how a message is perceived, impacting trust, credibility, and the likelihood of achieving desired outcomes. In a trade union, where communication often occurs across power differentials and involves sensitive issues, their careful application is indispensable.</w:t>
      </w:r>
    </w:p>
    <w:p w14:paraId="13D225C0"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Tone</w:t>
      </w:r>
      <w:r w:rsidRPr="00B64276">
        <w:rPr>
          <w:rFonts w:asciiTheme="majorHAnsi" w:eastAsia="Times New Roman" w:hAnsiTheme="majorHAnsi" w:cs="Times New Roman"/>
          <w:kern w:val="0"/>
          <w:lang w:eastAsia="en-GB"/>
          <w14:ligatures w14:val="none"/>
        </w:rPr>
        <w:t xml:space="preserve"> conveys the sender's attitude and emotional stance. A supportive and empathetic tone, for example, is crucial when addressing a member's personal grievance, fostering trust and encouraging open dialogue. Conversely, a firm yet professional tone is necessary during negotiations with employers to project resolve and seriousness without being aggressive. An example of inappropriate tone would be a dismissive or overly casual email response to a serious member inquiry, which could alienate the member and undermine the union’s perceived commitment.</w:t>
      </w:r>
    </w:p>
    <w:p w14:paraId="7FFEF16A"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Language</w:t>
      </w:r>
      <w:r w:rsidRPr="00B64276">
        <w:rPr>
          <w:rFonts w:asciiTheme="majorHAnsi" w:eastAsia="Times New Roman" w:hAnsiTheme="majorHAnsi" w:cs="Times New Roman"/>
          <w:kern w:val="0"/>
          <w:lang w:eastAsia="en-GB"/>
          <w14:ligatures w14:val="none"/>
        </w:rPr>
        <w:t xml:space="preserve"> choice dictates clarity and accessibility. Using jargon or highly technical legal terms when communicating with general members can create a barrier to understanding, leading to disengagement or misinterpretation. For instance, explaining a complex pension scheme amendment to members requires simplifying actuarial terms into everyday language. Conversely, when drafting a legal submission or corresponding with solicitors, precise legal terminology is not only appropriate but necessary to avoid ambiguity. An example of poor language choice might be a union newsletter filled with acronyms unfamiliar to new members, rendering the </w:t>
      </w:r>
      <w:proofErr w:type="spellStart"/>
      <w:r w:rsidRPr="00B64276">
        <w:rPr>
          <w:rFonts w:asciiTheme="majorHAnsi" w:eastAsia="Times New Roman" w:hAnsiTheme="majorHAnsi" w:cs="Times New Roman"/>
          <w:kern w:val="0"/>
          <w:lang w:eastAsia="en-GB"/>
          <w14:ligatures w14:val="none"/>
        </w:rPr>
        <w:t>content</w:t>
      </w:r>
      <w:proofErr w:type="spellEnd"/>
      <w:r w:rsidRPr="00B64276">
        <w:rPr>
          <w:rFonts w:asciiTheme="majorHAnsi" w:eastAsia="Times New Roman" w:hAnsiTheme="majorHAnsi" w:cs="Times New Roman"/>
          <w:kern w:val="0"/>
          <w:lang w:eastAsia="en-GB"/>
          <w14:ligatures w14:val="none"/>
        </w:rPr>
        <w:t xml:space="preserve"> unintelligible.</w:t>
      </w:r>
    </w:p>
    <w:p w14:paraId="72807853"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lastRenderedPageBreak/>
        <w:t xml:space="preserve">The </w:t>
      </w:r>
      <w:r w:rsidRPr="00B64276">
        <w:rPr>
          <w:rFonts w:asciiTheme="majorHAnsi" w:eastAsia="Times New Roman" w:hAnsiTheme="majorHAnsi" w:cs="Times New Roman"/>
          <w:b/>
          <w:bCs/>
          <w:kern w:val="0"/>
          <w:lang w:eastAsia="en-GB"/>
          <w14:ligatures w14:val="none"/>
        </w:rPr>
        <w:t>level of formality</w:t>
      </w:r>
      <w:r w:rsidRPr="00B64276">
        <w:rPr>
          <w:rFonts w:asciiTheme="majorHAnsi" w:eastAsia="Times New Roman" w:hAnsiTheme="majorHAnsi" w:cs="Times New Roman"/>
          <w:kern w:val="0"/>
          <w:lang w:eastAsia="en-GB"/>
          <w14:ligatures w14:val="none"/>
        </w:rPr>
        <w:t xml:space="preserve"> must align with the context, audience, and purpose of the communication. A formal letter on union letterhead is appropriate for official correspondence with an employer regarding a collective dispute, lending gravitas and legal standing. In contrast, an informal chat with a shop steward over coffee might be the most effective way to gather ground-level intelligence or build rapport. Using overly formal language in a casual member meeting might create a sense of distance, while an overly informal approach in a formal negotiation could undermine the union's professional standing. For example, addressing a senior company executive by their first name in a formal meeting without prior agreement would be inappropriate, just as using highly bureaucratic language in a social media post aimed at engaging young workers would likely fail to resonate (Robbins &amp; Judge, 2017). The ability to seamlessly adapt these elements demonstrates communicative competence and is vital for navigating the diverse communicative demands of a trade union environment.</w:t>
      </w:r>
    </w:p>
    <w:p w14:paraId="4594FC11" w14:textId="77777777" w:rsidR="00B64276" w:rsidRPr="00B64276" w:rsidRDefault="00B64276" w:rsidP="00B64276">
      <w:pPr>
        <w:spacing w:before="100" w:beforeAutospacing="1" w:after="100" w:afterAutospacing="1" w:line="240" w:lineRule="auto"/>
        <w:outlineLvl w:val="2"/>
        <w:rPr>
          <w:rFonts w:asciiTheme="majorHAnsi" w:eastAsia="Times New Roman" w:hAnsiTheme="majorHAnsi" w:cs="Times New Roman"/>
          <w:b/>
          <w:bCs/>
          <w:kern w:val="0"/>
          <w:sz w:val="27"/>
          <w:szCs w:val="27"/>
          <w:lang w:eastAsia="en-GB"/>
          <w14:ligatures w14:val="none"/>
        </w:rPr>
      </w:pPr>
      <w:r w:rsidRPr="00B64276">
        <w:rPr>
          <w:rFonts w:asciiTheme="majorHAnsi" w:eastAsia="Times New Roman" w:hAnsiTheme="majorHAnsi" w:cs="Times New Roman"/>
          <w:b/>
          <w:bCs/>
          <w:kern w:val="0"/>
          <w:sz w:val="27"/>
          <w:szCs w:val="27"/>
          <w:lang w:eastAsia="en-GB"/>
          <w14:ligatures w14:val="none"/>
        </w:rPr>
        <w:t>Assessment of the Effectiveness of a Range of Verbal and Written Communication Methods within Your Area of the Organisation</w:t>
      </w:r>
    </w:p>
    <w:p w14:paraId="7F96F203"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 xml:space="preserve">Within a trade union, a diverse array of verbal and written communication methods </w:t>
      </w:r>
      <w:proofErr w:type="gramStart"/>
      <w:r w:rsidRPr="00B64276">
        <w:rPr>
          <w:rFonts w:asciiTheme="majorHAnsi" w:eastAsia="Times New Roman" w:hAnsiTheme="majorHAnsi" w:cs="Times New Roman"/>
          <w:kern w:val="0"/>
          <w:lang w:eastAsia="en-GB"/>
          <w14:ligatures w14:val="none"/>
        </w:rPr>
        <w:t>are</w:t>
      </w:r>
      <w:proofErr w:type="gramEnd"/>
      <w:r w:rsidRPr="00B64276">
        <w:rPr>
          <w:rFonts w:asciiTheme="majorHAnsi" w:eastAsia="Times New Roman" w:hAnsiTheme="majorHAnsi" w:cs="Times New Roman"/>
          <w:kern w:val="0"/>
          <w:lang w:eastAsia="en-GB"/>
          <w14:ligatures w14:val="none"/>
        </w:rPr>
        <w:t xml:space="preserve"> employed, each with distinct strengths and weaknesses depending on the context, audience, and objective. My area of the organisation, focusing on member engagement and industrial relations, heavily relies on both to achieve its aims.</w:t>
      </w:r>
    </w:p>
    <w:p w14:paraId="5CCF5520"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Verbal Communication Methods:</w:t>
      </w:r>
    </w:p>
    <w:p w14:paraId="1901862B" w14:textId="77777777" w:rsidR="00B64276" w:rsidRPr="00B64276" w:rsidRDefault="00B64276" w:rsidP="00B64276">
      <w:pPr>
        <w:numPr>
          <w:ilvl w:val="0"/>
          <w:numId w:val="10"/>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Meetings (Formal and Informal):</w:t>
      </w:r>
      <w:r w:rsidRPr="00B64276">
        <w:rPr>
          <w:rFonts w:asciiTheme="majorHAnsi" w:eastAsia="Times New Roman" w:hAnsiTheme="majorHAnsi" w:cs="Times New Roman"/>
          <w:kern w:val="0"/>
          <w:lang w:eastAsia="en-GB"/>
          <w14:ligatures w14:val="none"/>
        </w:rPr>
        <w:t xml:space="preserve"> Formal meetings, such as branch meetings or negotiation sessions, are highly effective for collective decision-making, direct engagement, and immediate feedback. They allow for nuanced discussions, observation of non-verbal cues, and the building of consensus. For example, a formal meeting with employer representatives allows for real-time bargaining and clarification of positions. Informal meetings, like one-on-one discussions with shop stewards or casual conversations with members, are invaluable for building rapport, gathering intelligence, and addressing individual concerns empathetically. Their effectiveness lies in their immediacy and personal touch. However, both can suffer from "noise" (e.g., distractions, personal biases), and formal meetings can be time-consuming and prone to dominance by a few voices. Crucially, informal discussions often lack a formal record, potentially leading to disputes over what was agreed (Argyle, 1994).</w:t>
      </w:r>
    </w:p>
    <w:p w14:paraId="6A84D56B" w14:textId="77777777" w:rsidR="00B64276" w:rsidRPr="00B64276" w:rsidRDefault="00B64276" w:rsidP="00B64276">
      <w:pPr>
        <w:numPr>
          <w:ilvl w:val="0"/>
          <w:numId w:val="10"/>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Presentations:</w:t>
      </w:r>
      <w:r w:rsidRPr="00B64276">
        <w:rPr>
          <w:rFonts w:asciiTheme="majorHAnsi" w:eastAsia="Times New Roman" w:hAnsiTheme="majorHAnsi" w:cs="Times New Roman"/>
          <w:kern w:val="0"/>
          <w:lang w:eastAsia="en-GB"/>
          <w14:ligatures w14:val="none"/>
        </w:rPr>
        <w:t xml:space="preserve"> Used for informing large groups, such as new member inductions or updates on campaign progress. They are effective for conveying information clearly and persuasively, especially when combined with visual aids. For instance, a presentation on new health and safety regulations can effectively disseminate critical information. Their limitation is the one-way nature, making immediate, comprehensive feedback difficult, and they require strong public speaking skills to maintain engagement.</w:t>
      </w:r>
    </w:p>
    <w:p w14:paraId="04FC53C0" w14:textId="77777777" w:rsidR="00B64276" w:rsidRPr="00B64276" w:rsidRDefault="00B64276" w:rsidP="00B64276">
      <w:pPr>
        <w:numPr>
          <w:ilvl w:val="0"/>
          <w:numId w:val="10"/>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Phone Calls:</w:t>
      </w:r>
      <w:r w:rsidRPr="00B64276">
        <w:rPr>
          <w:rFonts w:asciiTheme="majorHAnsi" w:eastAsia="Times New Roman" w:hAnsiTheme="majorHAnsi" w:cs="Times New Roman"/>
          <w:kern w:val="0"/>
          <w:lang w:eastAsia="en-GB"/>
          <w14:ligatures w14:val="none"/>
        </w:rPr>
        <w:t xml:space="preserve"> Excellent for quick, direct, and personal communication, particularly for urgent matters or when face-to-face interaction is not feasible. They allow for immediate back-and-forth and clarification. For example, a phone call to a member </w:t>
      </w:r>
      <w:r w:rsidRPr="00B64276">
        <w:rPr>
          <w:rFonts w:asciiTheme="majorHAnsi" w:eastAsia="Times New Roman" w:hAnsiTheme="majorHAnsi" w:cs="Times New Roman"/>
          <w:kern w:val="0"/>
          <w:lang w:eastAsia="en-GB"/>
          <w14:ligatures w14:val="none"/>
        </w:rPr>
        <w:lastRenderedPageBreak/>
        <w:t>about an urgent disciplinary hearing. However, they lack visual cues and can be disruptive if not managed well.</w:t>
      </w:r>
    </w:p>
    <w:p w14:paraId="5F25931D"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Written Communication Methods:</w:t>
      </w:r>
    </w:p>
    <w:p w14:paraId="3F899960" w14:textId="77777777" w:rsidR="00B64276" w:rsidRPr="00B64276" w:rsidRDefault="00B64276" w:rsidP="00B64276">
      <w:pPr>
        <w:numPr>
          <w:ilvl w:val="0"/>
          <w:numId w:val="11"/>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Emails:</w:t>
      </w:r>
      <w:r w:rsidRPr="00B64276">
        <w:rPr>
          <w:rFonts w:asciiTheme="majorHAnsi" w:eastAsia="Times New Roman" w:hAnsiTheme="majorHAnsi" w:cs="Times New Roman"/>
          <w:kern w:val="0"/>
          <w:lang w:eastAsia="en-GB"/>
          <w14:ligatures w14:val="none"/>
        </w:rPr>
        <w:t xml:space="preserve"> Ubiquitous and highly effective for disseminating information quickly to a wide audience, providing a formal record, and scheduling. They are ideal for sending out meeting minutes, policy updates, or campaign alerts. For example, an email blast to all members about an upcoming ballot. Their effectiveness is high for information dissemination and record-keeping. However, they can be impersonal, easily misinterpreted without tone of voice, and contribute to information overload, leading to messages being overlooked or ignored (Lim &amp; Ling, 2012).</w:t>
      </w:r>
    </w:p>
    <w:p w14:paraId="1CCDC98D" w14:textId="77777777" w:rsidR="00B64276" w:rsidRPr="00B64276" w:rsidRDefault="00B64276" w:rsidP="00B64276">
      <w:pPr>
        <w:numPr>
          <w:ilvl w:val="0"/>
          <w:numId w:val="11"/>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Official Letters/Reports:</w:t>
      </w:r>
      <w:r w:rsidRPr="00B64276">
        <w:rPr>
          <w:rFonts w:asciiTheme="majorHAnsi" w:eastAsia="Times New Roman" w:hAnsiTheme="majorHAnsi" w:cs="Times New Roman"/>
          <w:kern w:val="0"/>
          <w:lang w:eastAsia="en-GB"/>
          <w14:ligatures w14:val="none"/>
        </w:rPr>
        <w:t xml:space="preserve"> Essential for formal communication with employers, legal entities, or for internal record-keeping of significant decisions. They provide a clear, unambiguous, and legally defensible record. For example, a formal letter outlining a grievance or a report detailing negotiation outcomes. Their strength lies in their formality, permanence, and precision. Their weakness is their slower pace and lack of immediate interaction.</w:t>
      </w:r>
    </w:p>
    <w:p w14:paraId="1DB9D940" w14:textId="77777777" w:rsidR="00B64276" w:rsidRPr="00B64276" w:rsidRDefault="00B64276" w:rsidP="00B64276">
      <w:pPr>
        <w:numPr>
          <w:ilvl w:val="0"/>
          <w:numId w:val="11"/>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Newsletters/Bulletins:</w:t>
      </w:r>
      <w:r w:rsidRPr="00B64276">
        <w:rPr>
          <w:rFonts w:asciiTheme="majorHAnsi" w:eastAsia="Times New Roman" w:hAnsiTheme="majorHAnsi" w:cs="Times New Roman"/>
          <w:kern w:val="0"/>
          <w:lang w:eastAsia="en-GB"/>
          <w14:ligatures w14:val="none"/>
        </w:rPr>
        <w:t xml:space="preserve"> Effective for regular, broader communication with members, providing updates on union activities, successes, and relevant news. They foster a sense of community and keep members informed. For instance, a quarterly newsletter detailing recent collective bargaining wins. They are good for broad reach and sustained engagement but offer limited immediate feedback and can become outdated quickly.</w:t>
      </w:r>
    </w:p>
    <w:p w14:paraId="7DD03A79" w14:textId="77777777" w:rsidR="00B64276" w:rsidRPr="00B64276" w:rsidRDefault="00B64276" w:rsidP="00B64276">
      <w:pPr>
        <w:numPr>
          <w:ilvl w:val="0"/>
          <w:numId w:val="11"/>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Social Media Posts:</w:t>
      </w:r>
      <w:r w:rsidRPr="00B64276">
        <w:rPr>
          <w:rFonts w:asciiTheme="majorHAnsi" w:eastAsia="Times New Roman" w:hAnsiTheme="majorHAnsi" w:cs="Times New Roman"/>
          <w:kern w:val="0"/>
          <w:lang w:eastAsia="en-GB"/>
          <w14:ligatures w14:val="none"/>
        </w:rPr>
        <w:t xml:space="preserve"> Increasingly vital for reaching younger members and for rapid dissemination of campaign messages. They are effective for generating buzz, mobilising support, and engaging in real-time dialogue. For example, a tweet announcing a protest action. However, they are prone to misinterpretation, can be easily hijacked by negative comments, and require careful management of public perception (Kaplan &amp; Haenlein, 2010).</w:t>
      </w:r>
    </w:p>
    <w:p w14:paraId="38602613"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In summary, a balanced approach, leveraging the strengths of each method while being mindful of their limitations, is crucial for effective communication within the trade union. The choice depends on the specific objective: for building deep relationships, verbal methods excel; for broad dissemination and record-keeping, written methods are superior.</w:t>
      </w:r>
    </w:p>
    <w:p w14:paraId="5BA172F4" w14:textId="3BDA2B25" w:rsidR="00B64276" w:rsidRPr="00B64276" w:rsidRDefault="00B64276" w:rsidP="00B64276">
      <w:pPr>
        <w:spacing w:before="100" w:beforeAutospacing="1" w:after="100" w:afterAutospacing="1" w:line="240" w:lineRule="auto"/>
        <w:outlineLvl w:val="2"/>
        <w:rPr>
          <w:rFonts w:asciiTheme="majorHAnsi" w:eastAsia="Times New Roman" w:hAnsiTheme="majorHAnsi" w:cs="Times New Roman"/>
          <w:b/>
          <w:bCs/>
          <w:kern w:val="0"/>
          <w:sz w:val="27"/>
          <w:szCs w:val="27"/>
          <w:lang w:eastAsia="en-GB"/>
          <w14:ligatures w14:val="none"/>
        </w:rPr>
      </w:pPr>
      <w:r w:rsidRPr="00B64276">
        <w:rPr>
          <w:rFonts w:asciiTheme="majorHAnsi" w:eastAsia="Times New Roman" w:hAnsiTheme="majorHAnsi" w:cs="Times New Roman"/>
          <w:b/>
          <w:bCs/>
          <w:kern w:val="0"/>
          <w:sz w:val="27"/>
          <w:szCs w:val="27"/>
          <w:lang w:eastAsia="en-GB"/>
          <w14:ligatures w14:val="none"/>
        </w:rPr>
        <w:t xml:space="preserve">Evaluate Theories of Motivation Relevant to </w:t>
      </w:r>
      <w:r w:rsidR="006C5A72">
        <w:rPr>
          <w:rFonts w:asciiTheme="majorHAnsi" w:eastAsia="Times New Roman" w:hAnsiTheme="majorHAnsi" w:cs="Times New Roman"/>
          <w:b/>
          <w:bCs/>
          <w:kern w:val="0"/>
          <w:sz w:val="27"/>
          <w:szCs w:val="27"/>
          <w:lang w:eastAsia="en-GB"/>
          <w14:ligatures w14:val="none"/>
        </w:rPr>
        <w:t xml:space="preserve">the </w:t>
      </w:r>
      <w:r w:rsidRPr="00B64276">
        <w:rPr>
          <w:rFonts w:asciiTheme="majorHAnsi" w:eastAsia="Times New Roman" w:hAnsiTheme="majorHAnsi" w:cs="Times New Roman"/>
          <w:b/>
          <w:bCs/>
          <w:kern w:val="0"/>
          <w:sz w:val="27"/>
          <w:szCs w:val="27"/>
          <w:lang w:eastAsia="en-GB"/>
          <w14:ligatures w14:val="none"/>
        </w:rPr>
        <w:t>Workplace</w:t>
      </w:r>
    </w:p>
    <w:p w14:paraId="5BC3E27D"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Motivation is a critical factor influencing employee and member engagement and performance within any organisation, including a trade union. Several theories offer insights into what drives individuals, and their relevance to a trade union context varies.</w:t>
      </w:r>
    </w:p>
    <w:p w14:paraId="04D4CC2D"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Maslow's Hierarchy of Needs (1943):</w:t>
      </w:r>
      <w:r w:rsidRPr="00B64276">
        <w:rPr>
          <w:rFonts w:asciiTheme="majorHAnsi" w:eastAsia="Times New Roman" w:hAnsiTheme="majorHAnsi" w:cs="Times New Roman"/>
          <w:kern w:val="0"/>
          <w:lang w:eastAsia="en-GB"/>
          <w14:ligatures w14:val="none"/>
        </w:rPr>
        <w:t xml:space="preserve"> This theory posits that individuals are motivated by a hierarchy of five needs: physiological, safety, social, esteem, and self-actualisation. In a trade union, physiological and safety needs are often addressed through collective bargaining for better wages, working conditions, and job security. Social needs are met through union membership itself, which provides a sense of belonging and solidarity. Esteem needs can be </w:t>
      </w:r>
      <w:r w:rsidRPr="00B64276">
        <w:rPr>
          <w:rFonts w:asciiTheme="majorHAnsi" w:eastAsia="Times New Roman" w:hAnsiTheme="majorHAnsi" w:cs="Times New Roman"/>
          <w:kern w:val="0"/>
          <w:lang w:eastAsia="en-GB"/>
          <w14:ligatures w14:val="none"/>
        </w:rPr>
        <w:lastRenderedPageBreak/>
        <w:t>satisfied through recognition for activism or leadership roles, while self-actualisation might be achieved through advocating for social justice or contributing to significant policy changes. While intuitive, Maslow's theory is often criticised for its rigid hierarchical structure, as individuals may pursue higher-level needs even when lower-level ones are not fully met (Wahba &amp; Bridwell, 1976). However, it provides a useful lens for understanding the broad spectrum of needs that unions aim to address for their members.</w:t>
      </w:r>
    </w:p>
    <w:p w14:paraId="72A98A00"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Herzberg's Two-Factor Theory (1968):</w:t>
      </w:r>
      <w:r w:rsidRPr="00B64276">
        <w:rPr>
          <w:rFonts w:asciiTheme="majorHAnsi" w:eastAsia="Times New Roman" w:hAnsiTheme="majorHAnsi" w:cs="Times New Roman"/>
          <w:kern w:val="0"/>
          <w:lang w:eastAsia="en-GB"/>
          <w14:ligatures w14:val="none"/>
        </w:rPr>
        <w:t xml:space="preserve"> Herzberg distinguished between "hygiene factors" (e.g., salary, working conditions, company policy) which prevent dissatisfaction but do not motivate, and "motivators" (e.g., achievement, recognition, responsibility, advancement) which actively </w:t>
      </w:r>
      <w:proofErr w:type="gramStart"/>
      <w:r w:rsidRPr="00B64276">
        <w:rPr>
          <w:rFonts w:asciiTheme="majorHAnsi" w:eastAsia="Times New Roman" w:hAnsiTheme="majorHAnsi" w:cs="Times New Roman"/>
          <w:kern w:val="0"/>
          <w:lang w:eastAsia="en-GB"/>
          <w14:ligatures w14:val="none"/>
        </w:rPr>
        <w:t>lead</w:t>
      </w:r>
      <w:proofErr w:type="gramEnd"/>
      <w:r w:rsidRPr="00B64276">
        <w:rPr>
          <w:rFonts w:asciiTheme="majorHAnsi" w:eastAsia="Times New Roman" w:hAnsiTheme="majorHAnsi" w:cs="Times New Roman"/>
          <w:kern w:val="0"/>
          <w:lang w:eastAsia="en-GB"/>
          <w14:ligatures w14:val="none"/>
        </w:rPr>
        <w:t xml:space="preserve"> to satisfaction and motivation. In a trade union, successful collective bargaining often focuses on improving hygiene factors for members. However, true motivation for union activism or staff performance often comes from motivators: achieving a successful negotiation, being recognised for organising efforts, or taking on greater responsibility in union governance. This theory highlights that simply improving working conditions (hygiene) might not be enough to inspire active participation; opportunities for growth and recognition are also vital.</w:t>
      </w:r>
    </w:p>
    <w:p w14:paraId="2B01BE54" w14:textId="2D90D254"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Overall, while each theory offers valuable insights, a comprehensive understanding of motivation in a trade union requires considering a blend of these perspectives, recognising that individuals are driven by a complex interplay of basic needs, intrinsic satisfiers, perceived fairness, and expectations of outcomes.</w:t>
      </w:r>
    </w:p>
    <w:p w14:paraId="7CEF5EE7" w14:textId="77777777" w:rsidR="00B64276" w:rsidRPr="00B64276" w:rsidRDefault="00B64276" w:rsidP="00B64276">
      <w:pPr>
        <w:spacing w:before="100" w:beforeAutospacing="1" w:after="100" w:afterAutospacing="1" w:line="240" w:lineRule="auto"/>
        <w:outlineLvl w:val="2"/>
        <w:rPr>
          <w:rFonts w:asciiTheme="majorHAnsi" w:eastAsia="Times New Roman" w:hAnsiTheme="majorHAnsi" w:cs="Times New Roman"/>
          <w:b/>
          <w:bCs/>
          <w:kern w:val="0"/>
          <w:sz w:val="27"/>
          <w:szCs w:val="27"/>
          <w:lang w:eastAsia="en-GB"/>
          <w14:ligatures w14:val="none"/>
        </w:rPr>
      </w:pPr>
      <w:r w:rsidRPr="00B64276">
        <w:rPr>
          <w:rFonts w:asciiTheme="majorHAnsi" w:eastAsia="Times New Roman" w:hAnsiTheme="majorHAnsi" w:cs="Times New Roman"/>
          <w:b/>
          <w:bCs/>
          <w:kern w:val="0"/>
          <w:sz w:val="27"/>
          <w:szCs w:val="27"/>
          <w:lang w:eastAsia="en-GB"/>
          <w14:ligatures w14:val="none"/>
        </w:rPr>
        <w:t>Evaluate the Principal Factors that May Affect Performance and Motivation in the Workplace</w:t>
      </w:r>
    </w:p>
    <w:p w14:paraId="0618B237"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Performance and motivation in any workplace, including a trade union, are influenced by a myriad of interconnected factors. Understanding these is crucial for managers seeking to optimise productivity and foster a positive working environment.</w:t>
      </w:r>
    </w:p>
    <w:p w14:paraId="7C79A9D7"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Leadership Style:</w:t>
      </w:r>
      <w:r w:rsidRPr="00B64276">
        <w:rPr>
          <w:rFonts w:asciiTheme="majorHAnsi" w:eastAsia="Times New Roman" w:hAnsiTheme="majorHAnsi" w:cs="Times New Roman"/>
          <w:kern w:val="0"/>
          <w:lang w:eastAsia="en-GB"/>
          <w14:ligatures w14:val="none"/>
        </w:rPr>
        <w:t xml:space="preserve"> The approach taken by managers and union leaders significantly impacts motivation. Autocratic styles can stifle initiative and create resentment, while participative or transformational leadership can empower individuals, foster commitment, and enhance performance. In a trade union, a leader who actively listens to members, delegates responsibility, and inspires collective action is likely to cultivate higher motivation and performance than one who dictates terms (Bass &amp; Riggio, 2006).</w:t>
      </w:r>
    </w:p>
    <w:p w14:paraId="62759058"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Organisational Culture:</w:t>
      </w:r>
      <w:r w:rsidRPr="00B64276">
        <w:rPr>
          <w:rFonts w:asciiTheme="majorHAnsi" w:eastAsia="Times New Roman" w:hAnsiTheme="majorHAnsi" w:cs="Times New Roman"/>
          <w:kern w:val="0"/>
          <w:lang w:eastAsia="en-GB"/>
          <w14:ligatures w14:val="none"/>
        </w:rPr>
        <w:t xml:space="preserve"> A supportive, transparent, and inclusive culture promotes motivation. If the trade union culture values open communication, mutual respect, and collective achievement, members and staff are more likely to feel valued and engaged. Conversely, a bureaucratic or conflict-ridden culture can lead to apathy and disengagement.</w:t>
      </w:r>
    </w:p>
    <w:p w14:paraId="532F67E5"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Recognition and Reward:</w:t>
      </w:r>
      <w:r w:rsidRPr="00B64276">
        <w:rPr>
          <w:rFonts w:asciiTheme="majorHAnsi" w:eastAsia="Times New Roman" w:hAnsiTheme="majorHAnsi" w:cs="Times New Roman"/>
          <w:kern w:val="0"/>
          <w:lang w:eastAsia="en-GB"/>
          <w14:ligatures w14:val="none"/>
        </w:rPr>
        <w:t xml:space="preserve"> Beyond financial compensation, non-monetary recognition (e.g., public acknowledgement of contributions, opportunities for development) </w:t>
      </w:r>
      <w:proofErr w:type="gramStart"/>
      <w:r w:rsidRPr="00B64276">
        <w:rPr>
          <w:rFonts w:asciiTheme="majorHAnsi" w:eastAsia="Times New Roman" w:hAnsiTheme="majorHAnsi" w:cs="Times New Roman"/>
          <w:kern w:val="0"/>
          <w:lang w:eastAsia="en-GB"/>
          <w14:ligatures w14:val="none"/>
        </w:rPr>
        <w:t>is</w:t>
      </w:r>
      <w:proofErr w:type="gramEnd"/>
      <w:r w:rsidRPr="00B64276">
        <w:rPr>
          <w:rFonts w:asciiTheme="majorHAnsi" w:eastAsia="Times New Roman" w:hAnsiTheme="majorHAnsi" w:cs="Times New Roman"/>
          <w:kern w:val="0"/>
          <w:lang w:eastAsia="en-GB"/>
          <w14:ligatures w14:val="none"/>
        </w:rPr>
        <w:t xml:space="preserve"> a powerful motivator. In a trade union, recognising the voluntary efforts of activists or the dedication of staff can significantly boost morale and encourage continued commitment. A lack of recognition, even for significant achievements, can quickly demotivate.</w:t>
      </w:r>
    </w:p>
    <w:p w14:paraId="2376A6D9"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lastRenderedPageBreak/>
        <w:t>Job Security and Working Conditions:</w:t>
      </w:r>
      <w:r w:rsidRPr="00B64276">
        <w:rPr>
          <w:rFonts w:asciiTheme="majorHAnsi" w:eastAsia="Times New Roman" w:hAnsiTheme="majorHAnsi" w:cs="Times New Roman"/>
          <w:kern w:val="0"/>
          <w:lang w:eastAsia="en-GB"/>
          <w14:ligatures w14:val="none"/>
        </w:rPr>
        <w:t xml:space="preserve"> While often seen as hygiene factors, their absence profoundly impacts motivation. The core mission of a trade union is to improve these for its members, and staff within the union also value stability and a safe, conducive working environment. Uncertainty or poor conditions can lead to anxiety and reduced focus.</w:t>
      </w:r>
    </w:p>
    <w:p w14:paraId="19EB9AC4"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Opportunities for Development and Growth:</w:t>
      </w:r>
      <w:r w:rsidRPr="00B64276">
        <w:rPr>
          <w:rFonts w:asciiTheme="majorHAnsi" w:eastAsia="Times New Roman" w:hAnsiTheme="majorHAnsi" w:cs="Times New Roman"/>
          <w:kern w:val="0"/>
          <w:lang w:eastAsia="en-GB"/>
          <w14:ligatures w14:val="none"/>
        </w:rPr>
        <w:t xml:space="preserve"> Individuals are often motivated by the prospect of learning new skills, taking on new challenges, and advancing their careers. Providing training, mentorship, and opportunities for progression within the union structure can enhance motivation and performance. This is particularly relevant for volunteers who may seek to develop their advocacy or leadership skills.</w:t>
      </w:r>
    </w:p>
    <w:p w14:paraId="7E9D1310"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Communication and Transparency:</w:t>
      </w:r>
      <w:r w:rsidRPr="00B64276">
        <w:rPr>
          <w:rFonts w:asciiTheme="majorHAnsi" w:eastAsia="Times New Roman" w:hAnsiTheme="majorHAnsi" w:cs="Times New Roman"/>
          <w:kern w:val="0"/>
          <w:lang w:eastAsia="en-GB"/>
          <w14:ligatures w14:val="none"/>
        </w:rPr>
        <w:t xml:space="preserve"> Poor communication, lack of transparency regarding decisions, or inconsistent messaging can breed distrust and demotivation. Conversely, clear, consistent, and open communication about union strategies, challenges, and successes helps to align individuals with organisational goals and fosters a sense of shared purpose (Pfeffer, 1998).</w:t>
      </w:r>
    </w:p>
    <w:p w14:paraId="6AF1400D"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Collective Bargaining Outcomes:</w:t>
      </w:r>
      <w:r w:rsidRPr="00B64276">
        <w:rPr>
          <w:rFonts w:asciiTheme="majorHAnsi" w:eastAsia="Times New Roman" w:hAnsiTheme="majorHAnsi" w:cs="Times New Roman"/>
          <w:kern w:val="0"/>
          <w:lang w:eastAsia="en-GB"/>
          <w14:ligatures w14:val="none"/>
        </w:rPr>
        <w:t xml:space="preserve"> For members, the success or failure of collective bargaining efforts directly impacts their motivation and perception of the union's effectiveness. Positive outcomes (e.g., pay rises, improved benefits) boost morale, while perceived failures can lead to disillusionment.</w:t>
      </w:r>
    </w:p>
    <w:p w14:paraId="44331AA6"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These factors interact dynamically, and a weakness in one area can undermine strengths in others. Effective management requires a holistic approach to addressing these influences to sustain high levels of performance and motivation.</w:t>
      </w:r>
    </w:p>
    <w:p w14:paraId="779229BE" w14:textId="77777777" w:rsidR="00B64276" w:rsidRPr="00B64276" w:rsidRDefault="00B64276" w:rsidP="00B64276">
      <w:pPr>
        <w:spacing w:before="100" w:beforeAutospacing="1" w:after="100" w:afterAutospacing="1" w:line="240" w:lineRule="auto"/>
        <w:outlineLvl w:val="2"/>
        <w:rPr>
          <w:rFonts w:asciiTheme="majorHAnsi" w:eastAsia="Times New Roman" w:hAnsiTheme="majorHAnsi" w:cs="Times New Roman"/>
          <w:b/>
          <w:bCs/>
          <w:kern w:val="0"/>
          <w:sz w:val="27"/>
          <w:szCs w:val="27"/>
          <w:lang w:eastAsia="en-GB"/>
          <w14:ligatures w14:val="none"/>
        </w:rPr>
      </w:pPr>
      <w:r w:rsidRPr="00B64276">
        <w:rPr>
          <w:rFonts w:asciiTheme="majorHAnsi" w:eastAsia="Times New Roman" w:hAnsiTheme="majorHAnsi" w:cs="Times New Roman"/>
          <w:b/>
          <w:bCs/>
          <w:kern w:val="0"/>
          <w:sz w:val="27"/>
          <w:szCs w:val="27"/>
          <w:lang w:eastAsia="en-GB"/>
          <w14:ligatures w14:val="none"/>
        </w:rPr>
        <w:t>Select a Theory of Motivation - Apply it to Your Workplace – Evaluate the Impact</w:t>
      </w:r>
    </w:p>
    <w:p w14:paraId="3D585D41"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 xml:space="preserve">For this analysis, </w:t>
      </w:r>
      <w:r w:rsidRPr="00B64276">
        <w:rPr>
          <w:rFonts w:asciiTheme="majorHAnsi" w:eastAsia="Times New Roman" w:hAnsiTheme="majorHAnsi" w:cs="Times New Roman"/>
          <w:b/>
          <w:bCs/>
          <w:kern w:val="0"/>
          <w:lang w:eastAsia="en-GB"/>
          <w14:ligatures w14:val="none"/>
        </w:rPr>
        <w:t>McClelland's Acquired Needs Theory</w:t>
      </w:r>
      <w:r w:rsidRPr="00B64276">
        <w:rPr>
          <w:rFonts w:asciiTheme="majorHAnsi" w:eastAsia="Times New Roman" w:hAnsiTheme="majorHAnsi" w:cs="Times New Roman"/>
          <w:kern w:val="0"/>
          <w:lang w:eastAsia="en-GB"/>
          <w14:ligatures w14:val="none"/>
        </w:rPr>
        <w:t xml:space="preserve"> (McClelland, 1961) will be applied to the trade union workplace. This theory posits that individuals develop three primary needs over their lifetime through experience: the Need for Achievement (</w:t>
      </w:r>
      <w:proofErr w:type="spellStart"/>
      <w:r w:rsidRPr="00B64276">
        <w:rPr>
          <w:rFonts w:asciiTheme="majorHAnsi" w:eastAsia="Times New Roman" w:hAnsiTheme="majorHAnsi" w:cs="Times New Roman"/>
          <w:kern w:val="0"/>
          <w:lang w:eastAsia="en-GB"/>
          <w14:ligatures w14:val="none"/>
        </w:rPr>
        <w:t>nAch</w:t>
      </w:r>
      <w:proofErr w:type="spellEnd"/>
      <w:r w:rsidRPr="00B64276">
        <w:rPr>
          <w:rFonts w:asciiTheme="majorHAnsi" w:eastAsia="Times New Roman" w:hAnsiTheme="majorHAnsi" w:cs="Times New Roman"/>
          <w:kern w:val="0"/>
          <w:lang w:eastAsia="en-GB"/>
          <w14:ligatures w14:val="none"/>
        </w:rPr>
        <w:t>), the Need for Affiliation (</w:t>
      </w:r>
      <w:proofErr w:type="spellStart"/>
      <w:r w:rsidRPr="00B64276">
        <w:rPr>
          <w:rFonts w:asciiTheme="majorHAnsi" w:eastAsia="Times New Roman" w:hAnsiTheme="majorHAnsi" w:cs="Times New Roman"/>
          <w:kern w:val="0"/>
          <w:lang w:eastAsia="en-GB"/>
          <w14:ligatures w14:val="none"/>
        </w:rPr>
        <w:t>nAff</w:t>
      </w:r>
      <w:proofErr w:type="spellEnd"/>
      <w:r w:rsidRPr="00B64276">
        <w:rPr>
          <w:rFonts w:asciiTheme="majorHAnsi" w:eastAsia="Times New Roman" w:hAnsiTheme="majorHAnsi" w:cs="Times New Roman"/>
          <w:kern w:val="0"/>
          <w:lang w:eastAsia="en-GB"/>
          <w14:ligatures w14:val="none"/>
        </w:rPr>
        <w:t>), and the Need for Power (</w:t>
      </w:r>
      <w:proofErr w:type="spellStart"/>
      <w:r w:rsidRPr="00B64276">
        <w:rPr>
          <w:rFonts w:asciiTheme="majorHAnsi" w:eastAsia="Times New Roman" w:hAnsiTheme="majorHAnsi" w:cs="Times New Roman"/>
          <w:kern w:val="0"/>
          <w:lang w:eastAsia="en-GB"/>
          <w14:ligatures w14:val="none"/>
        </w:rPr>
        <w:t>nPow</w:t>
      </w:r>
      <w:proofErr w:type="spellEnd"/>
      <w:r w:rsidRPr="00B64276">
        <w:rPr>
          <w:rFonts w:asciiTheme="majorHAnsi" w:eastAsia="Times New Roman" w:hAnsiTheme="majorHAnsi" w:cs="Times New Roman"/>
          <w:kern w:val="0"/>
          <w:lang w:eastAsia="en-GB"/>
          <w14:ligatures w14:val="none"/>
        </w:rPr>
        <w:t>). Understanding these needs can provide a powerful lens through which to tailor communication strategies and enhance motivation within the union.</w:t>
      </w:r>
    </w:p>
    <w:p w14:paraId="01FE4A94"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Application to the Trade Union Workplace:</w:t>
      </w:r>
    </w:p>
    <w:p w14:paraId="137FB994" w14:textId="77777777" w:rsidR="00B64276" w:rsidRPr="00B64276" w:rsidRDefault="00B64276" w:rsidP="00B64276">
      <w:pPr>
        <w:numPr>
          <w:ilvl w:val="0"/>
          <w:numId w:val="12"/>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Need for Achievement (</w:t>
      </w:r>
      <w:proofErr w:type="spellStart"/>
      <w:r w:rsidRPr="00B64276">
        <w:rPr>
          <w:rFonts w:asciiTheme="majorHAnsi" w:eastAsia="Times New Roman" w:hAnsiTheme="majorHAnsi" w:cs="Times New Roman"/>
          <w:b/>
          <w:bCs/>
          <w:kern w:val="0"/>
          <w:lang w:eastAsia="en-GB"/>
          <w14:ligatures w14:val="none"/>
        </w:rPr>
        <w:t>nAch</w:t>
      </w:r>
      <w:proofErr w:type="spellEnd"/>
      <w:r w:rsidRPr="00B64276">
        <w:rPr>
          <w:rFonts w:asciiTheme="majorHAnsi" w:eastAsia="Times New Roman" w:hAnsiTheme="majorHAnsi" w:cs="Times New Roman"/>
          <w:b/>
          <w:bCs/>
          <w:kern w:val="0"/>
          <w:lang w:eastAsia="en-GB"/>
          <w14:ligatures w14:val="none"/>
        </w:rPr>
        <w:t>):</w:t>
      </w:r>
      <w:r w:rsidRPr="00B64276">
        <w:rPr>
          <w:rFonts w:asciiTheme="majorHAnsi" w:eastAsia="Times New Roman" w:hAnsiTheme="majorHAnsi" w:cs="Times New Roman"/>
          <w:kern w:val="0"/>
          <w:lang w:eastAsia="en-GB"/>
          <w14:ligatures w14:val="none"/>
        </w:rPr>
        <w:t xml:space="preserve"> Individuals with a high </w:t>
      </w:r>
      <w:proofErr w:type="spellStart"/>
      <w:r w:rsidRPr="00B64276">
        <w:rPr>
          <w:rFonts w:asciiTheme="majorHAnsi" w:eastAsia="Times New Roman" w:hAnsiTheme="majorHAnsi" w:cs="Times New Roman"/>
          <w:kern w:val="0"/>
          <w:lang w:eastAsia="en-GB"/>
          <w14:ligatures w14:val="none"/>
        </w:rPr>
        <w:t>nAch</w:t>
      </w:r>
      <w:proofErr w:type="spellEnd"/>
      <w:r w:rsidRPr="00B64276">
        <w:rPr>
          <w:rFonts w:asciiTheme="majorHAnsi" w:eastAsia="Times New Roman" w:hAnsiTheme="majorHAnsi" w:cs="Times New Roman"/>
          <w:kern w:val="0"/>
          <w:lang w:eastAsia="en-GB"/>
          <w14:ligatures w14:val="none"/>
        </w:rPr>
        <w:t xml:space="preserve"> are driven by a desire to excel, achieve challenging goals, and receive feedback on their performance.</w:t>
      </w:r>
    </w:p>
    <w:p w14:paraId="25FF23E2" w14:textId="77777777" w:rsidR="00B64276" w:rsidRPr="00B64276" w:rsidRDefault="00B64276" w:rsidP="00B64276">
      <w:pPr>
        <w:numPr>
          <w:ilvl w:val="1"/>
          <w:numId w:val="12"/>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Application:</w:t>
      </w:r>
      <w:r w:rsidRPr="00B64276">
        <w:rPr>
          <w:rFonts w:asciiTheme="majorHAnsi" w:eastAsia="Times New Roman" w:hAnsiTheme="majorHAnsi" w:cs="Times New Roman"/>
          <w:kern w:val="0"/>
          <w:lang w:eastAsia="en-GB"/>
          <w14:ligatures w14:val="none"/>
        </w:rPr>
        <w:t xml:space="preserve"> In a trade union, this need is evident in members who actively participate in campaigns, strive for successful negotiation outcomes, or volunteer for challenging organising drives. Union officials and staff with high </w:t>
      </w:r>
      <w:proofErr w:type="spellStart"/>
      <w:r w:rsidRPr="00B64276">
        <w:rPr>
          <w:rFonts w:asciiTheme="majorHAnsi" w:eastAsia="Times New Roman" w:hAnsiTheme="majorHAnsi" w:cs="Times New Roman"/>
          <w:kern w:val="0"/>
          <w:lang w:eastAsia="en-GB"/>
          <w14:ligatures w14:val="none"/>
        </w:rPr>
        <w:t>nAch</w:t>
      </w:r>
      <w:proofErr w:type="spellEnd"/>
      <w:r w:rsidRPr="00B64276">
        <w:rPr>
          <w:rFonts w:asciiTheme="majorHAnsi" w:eastAsia="Times New Roman" w:hAnsiTheme="majorHAnsi" w:cs="Times New Roman"/>
          <w:kern w:val="0"/>
          <w:lang w:eastAsia="en-GB"/>
          <w14:ligatures w14:val="none"/>
        </w:rPr>
        <w:t xml:space="preserve"> are motivated by securing better terms and conditions for members, winning legal cases, or growing union membership.</w:t>
      </w:r>
    </w:p>
    <w:p w14:paraId="481059A9" w14:textId="77777777" w:rsidR="00B64276" w:rsidRPr="00B64276" w:rsidRDefault="00B64276" w:rsidP="00B64276">
      <w:pPr>
        <w:numPr>
          <w:ilvl w:val="1"/>
          <w:numId w:val="12"/>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Impact:</w:t>
      </w:r>
      <w:r w:rsidRPr="00B64276">
        <w:rPr>
          <w:rFonts w:asciiTheme="majorHAnsi" w:eastAsia="Times New Roman" w:hAnsiTheme="majorHAnsi" w:cs="Times New Roman"/>
          <w:kern w:val="0"/>
          <w:lang w:eastAsia="en-GB"/>
          <w14:ligatures w14:val="none"/>
        </w:rPr>
        <w:t xml:space="preserve"> Recognising and leveraging </w:t>
      </w:r>
      <w:proofErr w:type="spellStart"/>
      <w:r w:rsidRPr="00B64276">
        <w:rPr>
          <w:rFonts w:asciiTheme="majorHAnsi" w:eastAsia="Times New Roman" w:hAnsiTheme="majorHAnsi" w:cs="Times New Roman"/>
          <w:kern w:val="0"/>
          <w:lang w:eastAsia="en-GB"/>
          <w14:ligatures w14:val="none"/>
        </w:rPr>
        <w:t>nAch</w:t>
      </w:r>
      <w:proofErr w:type="spellEnd"/>
      <w:r w:rsidRPr="00B64276">
        <w:rPr>
          <w:rFonts w:asciiTheme="majorHAnsi" w:eastAsia="Times New Roman" w:hAnsiTheme="majorHAnsi" w:cs="Times New Roman"/>
          <w:kern w:val="0"/>
          <w:lang w:eastAsia="en-GB"/>
          <w14:ligatures w14:val="none"/>
        </w:rPr>
        <w:t xml:space="preserve"> means setting clear, challenging, yet achievable goals for campaigns or projects. Communication should focus on </w:t>
      </w:r>
      <w:r w:rsidRPr="00B64276">
        <w:rPr>
          <w:rFonts w:asciiTheme="majorHAnsi" w:eastAsia="Times New Roman" w:hAnsiTheme="majorHAnsi" w:cs="Times New Roman"/>
          <w:kern w:val="0"/>
          <w:lang w:eastAsia="en-GB"/>
          <w14:ligatures w14:val="none"/>
        </w:rPr>
        <w:lastRenderedPageBreak/>
        <w:t>progress metrics, celebrating successes (e.g., "We achieved a 5% pay rise!"), and providing constructive feedback on performance. For staff, this might involve assigning them to lead specific initiatives or complex cases. This approach can significantly boost engagement and performance by appealing to their desire for accomplishment.</w:t>
      </w:r>
    </w:p>
    <w:p w14:paraId="364C89F4" w14:textId="77777777" w:rsidR="00B64276" w:rsidRPr="00B64276" w:rsidRDefault="00B64276" w:rsidP="00B64276">
      <w:pPr>
        <w:numPr>
          <w:ilvl w:val="0"/>
          <w:numId w:val="12"/>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Need for Affiliation (</w:t>
      </w:r>
      <w:proofErr w:type="spellStart"/>
      <w:r w:rsidRPr="00B64276">
        <w:rPr>
          <w:rFonts w:asciiTheme="majorHAnsi" w:eastAsia="Times New Roman" w:hAnsiTheme="majorHAnsi" w:cs="Times New Roman"/>
          <w:b/>
          <w:bCs/>
          <w:kern w:val="0"/>
          <w:lang w:eastAsia="en-GB"/>
          <w14:ligatures w14:val="none"/>
        </w:rPr>
        <w:t>nAff</w:t>
      </w:r>
      <w:proofErr w:type="spellEnd"/>
      <w:r w:rsidRPr="00B64276">
        <w:rPr>
          <w:rFonts w:asciiTheme="majorHAnsi" w:eastAsia="Times New Roman" w:hAnsiTheme="majorHAnsi" w:cs="Times New Roman"/>
          <w:b/>
          <w:bCs/>
          <w:kern w:val="0"/>
          <w:lang w:eastAsia="en-GB"/>
          <w14:ligatures w14:val="none"/>
        </w:rPr>
        <w:t>):</w:t>
      </w:r>
      <w:r w:rsidRPr="00B64276">
        <w:rPr>
          <w:rFonts w:asciiTheme="majorHAnsi" w:eastAsia="Times New Roman" w:hAnsiTheme="majorHAnsi" w:cs="Times New Roman"/>
          <w:kern w:val="0"/>
          <w:lang w:eastAsia="en-GB"/>
          <w14:ligatures w14:val="none"/>
        </w:rPr>
        <w:t xml:space="preserve"> Individuals with a </w:t>
      </w:r>
      <w:proofErr w:type="gramStart"/>
      <w:r w:rsidRPr="00B64276">
        <w:rPr>
          <w:rFonts w:asciiTheme="majorHAnsi" w:eastAsia="Times New Roman" w:hAnsiTheme="majorHAnsi" w:cs="Times New Roman"/>
          <w:kern w:val="0"/>
          <w:lang w:eastAsia="en-GB"/>
          <w14:ligatures w14:val="none"/>
        </w:rPr>
        <w:t xml:space="preserve">high </w:t>
      </w:r>
      <w:proofErr w:type="spellStart"/>
      <w:r w:rsidRPr="00B64276">
        <w:rPr>
          <w:rFonts w:asciiTheme="majorHAnsi" w:eastAsia="Times New Roman" w:hAnsiTheme="majorHAnsi" w:cs="Times New Roman"/>
          <w:kern w:val="0"/>
          <w:lang w:eastAsia="en-GB"/>
          <w14:ligatures w14:val="none"/>
        </w:rPr>
        <w:t>nAff</w:t>
      </w:r>
      <w:proofErr w:type="spellEnd"/>
      <w:r w:rsidRPr="00B64276">
        <w:rPr>
          <w:rFonts w:asciiTheme="majorHAnsi" w:eastAsia="Times New Roman" w:hAnsiTheme="majorHAnsi" w:cs="Times New Roman"/>
          <w:kern w:val="0"/>
          <w:lang w:eastAsia="en-GB"/>
          <w14:ligatures w14:val="none"/>
        </w:rPr>
        <w:t xml:space="preserve"> desire harmonious relationships</w:t>
      </w:r>
      <w:proofErr w:type="gramEnd"/>
      <w:r w:rsidRPr="00B64276">
        <w:rPr>
          <w:rFonts w:asciiTheme="majorHAnsi" w:eastAsia="Times New Roman" w:hAnsiTheme="majorHAnsi" w:cs="Times New Roman"/>
          <w:kern w:val="0"/>
          <w:lang w:eastAsia="en-GB"/>
          <w14:ligatures w14:val="none"/>
        </w:rPr>
        <w:t>, social acceptance, and belonging. They thrive in collaborative environments and seek to avoid conflict.</w:t>
      </w:r>
    </w:p>
    <w:p w14:paraId="31551C26" w14:textId="77777777" w:rsidR="00B64276" w:rsidRPr="00B64276" w:rsidRDefault="00B64276" w:rsidP="00B64276">
      <w:pPr>
        <w:numPr>
          <w:ilvl w:val="1"/>
          <w:numId w:val="12"/>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Application:</w:t>
      </w:r>
      <w:r w:rsidRPr="00B64276">
        <w:rPr>
          <w:rFonts w:asciiTheme="majorHAnsi" w:eastAsia="Times New Roman" w:hAnsiTheme="majorHAnsi" w:cs="Times New Roman"/>
          <w:kern w:val="0"/>
          <w:lang w:eastAsia="en-GB"/>
          <w14:ligatures w14:val="none"/>
        </w:rPr>
        <w:t xml:space="preserve"> This need is fundamental to the very existence of a trade union, as it is built on collective solidarity and mutual support. Many members join and remain active because of the sense of community and shared purpose the union provides. Union staff and representatives often have a strong </w:t>
      </w:r>
      <w:proofErr w:type="spellStart"/>
      <w:r w:rsidRPr="00B64276">
        <w:rPr>
          <w:rFonts w:asciiTheme="majorHAnsi" w:eastAsia="Times New Roman" w:hAnsiTheme="majorHAnsi" w:cs="Times New Roman"/>
          <w:kern w:val="0"/>
          <w:lang w:eastAsia="en-GB"/>
          <w14:ligatures w14:val="none"/>
        </w:rPr>
        <w:t>nAff</w:t>
      </w:r>
      <w:proofErr w:type="spellEnd"/>
      <w:r w:rsidRPr="00B64276">
        <w:rPr>
          <w:rFonts w:asciiTheme="majorHAnsi" w:eastAsia="Times New Roman" w:hAnsiTheme="majorHAnsi" w:cs="Times New Roman"/>
          <w:kern w:val="0"/>
          <w:lang w:eastAsia="en-GB"/>
          <w14:ligatures w14:val="none"/>
        </w:rPr>
        <w:t>, valuing teamwork and member cohesion.</w:t>
      </w:r>
    </w:p>
    <w:p w14:paraId="2925B4B9" w14:textId="77777777" w:rsidR="00B64276" w:rsidRPr="00B64276" w:rsidRDefault="00B64276" w:rsidP="00B64276">
      <w:pPr>
        <w:numPr>
          <w:ilvl w:val="1"/>
          <w:numId w:val="12"/>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Impact:</w:t>
      </w:r>
      <w:r w:rsidRPr="00B64276">
        <w:rPr>
          <w:rFonts w:asciiTheme="majorHAnsi" w:eastAsia="Times New Roman" w:hAnsiTheme="majorHAnsi" w:cs="Times New Roman"/>
          <w:kern w:val="0"/>
          <w:lang w:eastAsia="en-GB"/>
          <w14:ligatures w14:val="none"/>
        </w:rPr>
        <w:t xml:space="preserve"> Communication strategies should emphasise unity, collective strength, and the benefits of working together. Events that foster social interaction (e.g., member social gatherings, solidarity rallies) are crucial. Messages should highlight how individual contributions strengthen the collective. When conflict arises (e.g., internal disagreements), communication should focus on mediation and finding common ground to preserve group harmony. This appeals to the inherent social nature of unionism and can significantly boost member retention and participation by fulfilling their need for belonging.</w:t>
      </w:r>
    </w:p>
    <w:p w14:paraId="2692EBA9" w14:textId="77777777" w:rsidR="00B64276" w:rsidRPr="00B64276" w:rsidRDefault="00B64276" w:rsidP="00B64276">
      <w:pPr>
        <w:numPr>
          <w:ilvl w:val="0"/>
          <w:numId w:val="12"/>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Need for Power (</w:t>
      </w:r>
      <w:proofErr w:type="spellStart"/>
      <w:r w:rsidRPr="00B64276">
        <w:rPr>
          <w:rFonts w:asciiTheme="majorHAnsi" w:eastAsia="Times New Roman" w:hAnsiTheme="majorHAnsi" w:cs="Times New Roman"/>
          <w:b/>
          <w:bCs/>
          <w:kern w:val="0"/>
          <w:lang w:eastAsia="en-GB"/>
          <w14:ligatures w14:val="none"/>
        </w:rPr>
        <w:t>nPow</w:t>
      </w:r>
      <w:proofErr w:type="spellEnd"/>
      <w:r w:rsidRPr="00B64276">
        <w:rPr>
          <w:rFonts w:asciiTheme="majorHAnsi" w:eastAsia="Times New Roman" w:hAnsiTheme="majorHAnsi" w:cs="Times New Roman"/>
          <w:b/>
          <w:bCs/>
          <w:kern w:val="0"/>
          <w:lang w:eastAsia="en-GB"/>
          <w14:ligatures w14:val="none"/>
        </w:rPr>
        <w:t>):</w:t>
      </w:r>
      <w:r w:rsidRPr="00B64276">
        <w:rPr>
          <w:rFonts w:asciiTheme="majorHAnsi" w:eastAsia="Times New Roman" w:hAnsiTheme="majorHAnsi" w:cs="Times New Roman"/>
          <w:kern w:val="0"/>
          <w:lang w:eastAsia="en-GB"/>
          <w14:ligatures w14:val="none"/>
        </w:rPr>
        <w:t xml:space="preserve"> Individuals with a high </w:t>
      </w:r>
      <w:proofErr w:type="spellStart"/>
      <w:r w:rsidRPr="00B64276">
        <w:rPr>
          <w:rFonts w:asciiTheme="majorHAnsi" w:eastAsia="Times New Roman" w:hAnsiTheme="majorHAnsi" w:cs="Times New Roman"/>
          <w:kern w:val="0"/>
          <w:lang w:eastAsia="en-GB"/>
          <w14:ligatures w14:val="none"/>
        </w:rPr>
        <w:t>nPow</w:t>
      </w:r>
      <w:proofErr w:type="spellEnd"/>
      <w:r w:rsidRPr="00B64276">
        <w:rPr>
          <w:rFonts w:asciiTheme="majorHAnsi" w:eastAsia="Times New Roman" w:hAnsiTheme="majorHAnsi" w:cs="Times New Roman"/>
          <w:kern w:val="0"/>
          <w:lang w:eastAsia="en-GB"/>
          <w14:ligatures w14:val="none"/>
        </w:rPr>
        <w:t xml:space="preserve"> desire to influence others, control their environment, and make an impact. This can manifest as either personal power (dominating others) or institutional power (influencing for the good of the organisation).</w:t>
      </w:r>
    </w:p>
    <w:p w14:paraId="6D676CB0" w14:textId="77777777" w:rsidR="00B64276" w:rsidRPr="00B64276" w:rsidRDefault="00B64276" w:rsidP="00B64276">
      <w:pPr>
        <w:numPr>
          <w:ilvl w:val="1"/>
          <w:numId w:val="12"/>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Application:</w:t>
      </w:r>
      <w:r w:rsidRPr="00B64276">
        <w:rPr>
          <w:rFonts w:asciiTheme="majorHAnsi" w:eastAsia="Times New Roman" w:hAnsiTheme="majorHAnsi" w:cs="Times New Roman"/>
          <w:kern w:val="0"/>
          <w:lang w:eastAsia="en-GB"/>
          <w14:ligatures w14:val="none"/>
        </w:rPr>
        <w:t xml:space="preserve"> In a trade union, this need is evident in leaders who seek to influence policy, negotiate on behalf of members, or represent the union in public forums. Shop stewards and committee members often have a high </w:t>
      </w:r>
      <w:proofErr w:type="spellStart"/>
      <w:r w:rsidRPr="00B64276">
        <w:rPr>
          <w:rFonts w:asciiTheme="majorHAnsi" w:eastAsia="Times New Roman" w:hAnsiTheme="majorHAnsi" w:cs="Times New Roman"/>
          <w:kern w:val="0"/>
          <w:lang w:eastAsia="en-GB"/>
          <w14:ligatures w14:val="none"/>
        </w:rPr>
        <w:t>nPow</w:t>
      </w:r>
      <w:proofErr w:type="spellEnd"/>
      <w:r w:rsidRPr="00B64276">
        <w:rPr>
          <w:rFonts w:asciiTheme="majorHAnsi" w:eastAsia="Times New Roman" w:hAnsiTheme="majorHAnsi" w:cs="Times New Roman"/>
          <w:kern w:val="0"/>
          <w:lang w:eastAsia="en-GB"/>
          <w14:ligatures w14:val="none"/>
        </w:rPr>
        <w:t>, seeking to empower their colleagues and challenge management decisions.</w:t>
      </w:r>
    </w:p>
    <w:p w14:paraId="33C181EA" w14:textId="77777777" w:rsidR="00B64276" w:rsidRPr="00B64276" w:rsidRDefault="00B64276" w:rsidP="00B64276">
      <w:pPr>
        <w:numPr>
          <w:ilvl w:val="1"/>
          <w:numId w:val="12"/>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Impact:</w:t>
      </w:r>
      <w:r w:rsidRPr="00B64276">
        <w:rPr>
          <w:rFonts w:asciiTheme="majorHAnsi" w:eastAsia="Times New Roman" w:hAnsiTheme="majorHAnsi" w:cs="Times New Roman"/>
          <w:kern w:val="0"/>
          <w:lang w:eastAsia="en-GB"/>
          <w14:ligatures w14:val="none"/>
        </w:rPr>
        <w:t xml:space="preserve"> For those with high </w:t>
      </w:r>
      <w:proofErr w:type="spellStart"/>
      <w:r w:rsidRPr="00B64276">
        <w:rPr>
          <w:rFonts w:asciiTheme="majorHAnsi" w:eastAsia="Times New Roman" w:hAnsiTheme="majorHAnsi" w:cs="Times New Roman"/>
          <w:kern w:val="0"/>
          <w:lang w:eastAsia="en-GB"/>
          <w14:ligatures w14:val="none"/>
        </w:rPr>
        <w:t>nPow</w:t>
      </w:r>
      <w:proofErr w:type="spellEnd"/>
      <w:r w:rsidRPr="00B64276">
        <w:rPr>
          <w:rFonts w:asciiTheme="majorHAnsi" w:eastAsia="Times New Roman" w:hAnsiTheme="majorHAnsi" w:cs="Times New Roman"/>
          <w:kern w:val="0"/>
          <w:lang w:eastAsia="en-GB"/>
          <w14:ligatures w14:val="none"/>
        </w:rPr>
        <w:t xml:space="preserve">, communication should offer opportunities for leadership, influence, and decision-making. Delegating responsibilities, involving them in strategic planning, and providing platforms for them to advocate for members can be highly motivating. For example, inviting a shop steward to present a case at a formal hearing or empowering a member to lead a local campaign. Messages should acknowledge their influence and the impact of their actions. This can be particularly effective in developing future union leaders and ensuring strong representation, provided the power is </w:t>
      </w:r>
      <w:proofErr w:type="spellStart"/>
      <w:r w:rsidRPr="00B64276">
        <w:rPr>
          <w:rFonts w:asciiTheme="majorHAnsi" w:eastAsia="Times New Roman" w:hAnsiTheme="majorHAnsi" w:cs="Times New Roman"/>
          <w:kern w:val="0"/>
          <w:lang w:eastAsia="en-GB"/>
          <w14:ligatures w14:val="none"/>
        </w:rPr>
        <w:t>channeled</w:t>
      </w:r>
      <w:proofErr w:type="spellEnd"/>
      <w:r w:rsidRPr="00B64276">
        <w:rPr>
          <w:rFonts w:asciiTheme="majorHAnsi" w:eastAsia="Times New Roman" w:hAnsiTheme="majorHAnsi" w:cs="Times New Roman"/>
          <w:kern w:val="0"/>
          <w:lang w:eastAsia="en-GB"/>
          <w14:ligatures w14:val="none"/>
        </w:rPr>
        <w:t xml:space="preserve"> towards institutional goals rather than personal gain (McClelland &amp; Burnham, 1976).</w:t>
      </w:r>
    </w:p>
    <w:p w14:paraId="21A1D017"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Evaluation of Impact:</w:t>
      </w:r>
    </w:p>
    <w:p w14:paraId="57B8D347"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 xml:space="preserve">Applying McClelland's theory allows for a more nuanced and targeted approach to motivation and communication within the trade union. By understanding the dominant needs of different </w:t>
      </w:r>
      <w:r w:rsidRPr="00B64276">
        <w:rPr>
          <w:rFonts w:asciiTheme="majorHAnsi" w:eastAsia="Times New Roman" w:hAnsiTheme="majorHAnsi" w:cs="Times New Roman"/>
          <w:kern w:val="0"/>
          <w:lang w:eastAsia="en-GB"/>
          <w14:ligatures w14:val="none"/>
        </w:rPr>
        <w:lastRenderedPageBreak/>
        <w:t>individuals (members, volunteers, staff), managers can tailor their messages, delegate tasks, and create opportunities that resonate with specific motivational drivers. This leads to:</w:t>
      </w:r>
    </w:p>
    <w:p w14:paraId="688E2B39" w14:textId="77777777" w:rsidR="00B64276" w:rsidRPr="00B64276" w:rsidRDefault="00B64276" w:rsidP="00B64276">
      <w:pPr>
        <w:numPr>
          <w:ilvl w:val="0"/>
          <w:numId w:val="13"/>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Increased Engagement:</w:t>
      </w:r>
      <w:r w:rsidRPr="00B64276">
        <w:rPr>
          <w:rFonts w:asciiTheme="majorHAnsi" w:eastAsia="Times New Roman" w:hAnsiTheme="majorHAnsi" w:cs="Times New Roman"/>
          <w:kern w:val="0"/>
          <w:lang w:eastAsia="en-GB"/>
          <w14:ligatures w14:val="none"/>
        </w:rPr>
        <w:t xml:space="preserve"> Members </w:t>
      </w:r>
      <w:proofErr w:type="gramStart"/>
      <w:r w:rsidRPr="00B64276">
        <w:rPr>
          <w:rFonts w:asciiTheme="majorHAnsi" w:eastAsia="Times New Roman" w:hAnsiTheme="majorHAnsi" w:cs="Times New Roman"/>
          <w:kern w:val="0"/>
          <w:lang w:eastAsia="en-GB"/>
          <w14:ligatures w14:val="none"/>
        </w:rPr>
        <w:t>whose</w:t>
      </w:r>
      <w:proofErr w:type="gramEnd"/>
      <w:r w:rsidRPr="00B64276">
        <w:rPr>
          <w:rFonts w:asciiTheme="majorHAnsi" w:eastAsia="Times New Roman" w:hAnsiTheme="majorHAnsi" w:cs="Times New Roman"/>
          <w:kern w:val="0"/>
          <w:lang w:eastAsia="en-GB"/>
          <w14:ligatures w14:val="none"/>
        </w:rPr>
        <w:t xml:space="preserve"> </w:t>
      </w:r>
      <w:proofErr w:type="spellStart"/>
      <w:r w:rsidRPr="00B64276">
        <w:rPr>
          <w:rFonts w:asciiTheme="majorHAnsi" w:eastAsia="Times New Roman" w:hAnsiTheme="majorHAnsi" w:cs="Times New Roman"/>
          <w:kern w:val="0"/>
          <w:lang w:eastAsia="en-GB"/>
          <w14:ligatures w14:val="none"/>
        </w:rPr>
        <w:t>nAff</w:t>
      </w:r>
      <w:proofErr w:type="spellEnd"/>
      <w:r w:rsidRPr="00B64276">
        <w:rPr>
          <w:rFonts w:asciiTheme="majorHAnsi" w:eastAsia="Times New Roman" w:hAnsiTheme="majorHAnsi" w:cs="Times New Roman"/>
          <w:kern w:val="0"/>
          <w:lang w:eastAsia="en-GB"/>
          <w14:ligatures w14:val="none"/>
        </w:rPr>
        <w:t xml:space="preserve"> is met through community events are more likely to attend and participate. Those with high </w:t>
      </w:r>
      <w:proofErr w:type="spellStart"/>
      <w:r w:rsidRPr="00B64276">
        <w:rPr>
          <w:rFonts w:asciiTheme="majorHAnsi" w:eastAsia="Times New Roman" w:hAnsiTheme="majorHAnsi" w:cs="Times New Roman"/>
          <w:kern w:val="0"/>
          <w:lang w:eastAsia="en-GB"/>
          <w14:ligatures w14:val="none"/>
        </w:rPr>
        <w:t>nAch</w:t>
      </w:r>
      <w:proofErr w:type="spellEnd"/>
      <w:r w:rsidRPr="00B64276">
        <w:rPr>
          <w:rFonts w:asciiTheme="majorHAnsi" w:eastAsia="Times New Roman" w:hAnsiTheme="majorHAnsi" w:cs="Times New Roman"/>
          <w:kern w:val="0"/>
          <w:lang w:eastAsia="en-GB"/>
          <w14:ligatures w14:val="none"/>
        </w:rPr>
        <w:t xml:space="preserve"> will be drawn to challenging roles.</w:t>
      </w:r>
    </w:p>
    <w:p w14:paraId="311D2125" w14:textId="77777777" w:rsidR="00B64276" w:rsidRPr="00B64276" w:rsidRDefault="00B64276" w:rsidP="00B64276">
      <w:pPr>
        <w:numPr>
          <w:ilvl w:val="0"/>
          <w:numId w:val="13"/>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Improved Performance:</w:t>
      </w:r>
      <w:r w:rsidRPr="00B64276">
        <w:rPr>
          <w:rFonts w:asciiTheme="majorHAnsi" w:eastAsia="Times New Roman" w:hAnsiTheme="majorHAnsi" w:cs="Times New Roman"/>
          <w:kern w:val="0"/>
          <w:lang w:eastAsia="en-GB"/>
          <w14:ligatures w14:val="none"/>
        </w:rPr>
        <w:t xml:space="preserve"> Staff and volunteers assigned tasks aligned with their dominant needs are likely to perform better and with greater enthusiasm.</w:t>
      </w:r>
    </w:p>
    <w:p w14:paraId="458D5073" w14:textId="77777777" w:rsidR="00B64276" w:rsidRPr="00B64276" w:rsidRDefault="00B64276" w:rsidP="00B64276">
      <w:pPr>
        <w:numPr>
          <w:ilvl w:val="0"/>
          <w:numId w:val="13"/>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Stronger Leadership Development:</w:t>
      </w:r>
      <w:r w:rsidRPr="00B64276">
        <w:rPr>
          <w:rFonts w:asciiTheme="majorHAnsi" w:eastAsia="Times New Roman" w:hAnsiTheme="majorHAnsi" w:cs="Times New Roman"/>
          <w:kern w:val="0"/>
          <w:lang w:eastAsia="en-GB"/>
          <w14:ligatures w14:val="none"/>
        </w:rPr>
        <w:t xml:space="preserve"> Identifying individuals with high </w:t>
      </w:r>
      <w:proofErr w:type="spellStart"/>
      <w:r w:rsidRPr="00B64276">
        <w:rPr>
          <w:rFonts w:asciiTheme="majorHAnsi" w:eastAsia="Times New Roman" w:hAnsiTheme="majorHAnsi" w:cs="Times New Roman"/>
          <w:kern w:val="0"/>
          <w:lang w:eastAsia="en-GB"/>
          <w14:ligatures w14:val="none"/>
        </w:rPr>
        <w:t>nPow</w:t>
      </w:r>
      <w:proofErr w:type="spellEnd"/>
      <w:r w:rsidRPr="00B64276">
        <w:rPr>
          <w:rFonts w:asciiTheme="majorHAnsi" w:eastAsia="Times New Roman" w:hAnsiTheme="majorHAnsi" w:cs="Times New Roman"/>
          <w:kern w:val="0"/>
          <w:lang w:eastAsia="en-GB"/>
          <w14:ligatures w14:val="none"/>
        </w:rPr>
        <w:t xml:space="preserve"> and providing them with appropriate leadership opportunities can cultivate effective union representatives.</w:t>
      </w:r>
    </w:p>
    <w:p w14:paraId="5954149B" w14:textId="77777777" w:rsidR="00B64276" w:rsidRPr="00B64276" w:rsidRDefault="00B64276" w:rsidP="00B64276">
      <w:pPr>
        <w:numPr>
          <w:ilvl w:val="0"/>
          <w:numId w:val="13"/>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More Effective Communication:</w:t>
      </w:r>
      <w:r w:rsidRPr="00B64276">
        <w:rPr>
          <w:rFonts w:asciiTheme="majorHAnsi" w:eastAsia="Times New Roman" w:hAnsiTheme="majorHAnsi" w:cs="Times New Roman"/>
          <w:kern w:val="0"/>
          <w:lang w:eastAsia="en-GB"/>
          <w14:ligatures w14:val="none"/>
        </w:rPr>
        <w:t xml:space="preserve"> Messages can be framed to appeal to specific needs (e.g., "Join us to achieve a fairer workplace!" for </w:t>
      </w:r>
      <w:proofErr w:type="spellStart"/>
      <w:r w:rsidRPr="00B64276">
        <w:rPr>
          <w:rFonts w:asciiTheme="majorHAnsi" w:eastAsia="Times New Roman" w:hAnsiTheme="majorHAnsi" w:cs="Times New Roman"/>
          <w:kern w:val="0"/>
          <w:lang w:eastAsia="en-GB"/>
          <w14:ligatures w14:val="none"/>
        </w:rPr>
        <w:t>nAch</w:t>
      </w:r>
      <w:proofErr w:type="spellEnd"/>
      <w:r w:rsidRPr="00B64276">
        <w:rPr>
          <w:rFonts w:asciiTheme="majorHAnsi" w:eastAsia="Times New Roman" w:hAnsiTheme="majorHAnsi" w:cs="Times New Roman"/>
          <w:kern w:val="0"/>
          <w:lang w:eastAsia="en-GB"/>
          <w14:ligatures w14:val="none"/>
        </w:rPr>
        <w:t xml:space="preserve">, "Stand together for solidarity!" for </w:t>
      </w:r>
      <w:proofErr w:type="spellStart"/>
      <w:r w:rsidRPr="00B64276">
        <w:rPr>
          <w:rFonts w:asciiTheme="majorHAnsi" w:eastAsia="Times New Roman" w:hAnsiTheme="majorHAnsi" w:cs="Times New Roman"/>
          <w:kern w:val="0"/>
          <w:lang w:eastAsia="en-GB"/>
          <w14:ligatures w14:val="none"/>
        </w:rPr>
        <w:t>nAff</w:t>
      </w:r>
      <w:proofErr w:type="spellEnd"/>
      <w:r w:rsidRPr="00B64276">
        <w:rPr>
          <w:rFonts w:asciiTheme="majorHAnsi" w:eastAsia="Times New Roman" w:hAnsiTheme="majorHAnsi" w:cs="Times New Roman"/>
          <w:kern w:val="0"/>
          <w:lang w:eastAsia="en-GB"/>
          <w14:ligatures w14:val="none"/>
        </w:rPr>
        <w:t xml:space="preserve">, "Influence policy for your colleagues!" for </w:t>
      </w:r>
      <w:proofErr w:type="spellStart"/>
      <w:r w:rsidRPr="00B64276">
        <w:rPr>
          <w:rFonts w:asciiTheme="majorHAnsi" w:eastAsia="Times New Roman" w:hAnsiTheme="majorHAnsi" w:cs="Times New Roman"/>
          <w:kern w:val="0"/>
          <w:lang w:eastAsia="en-GB"/>
          <w14:ligatures w14:val="none"/>
        </w:rPr>
        <w:t>nPow</w:t>
      </w:r>
      <w:proofErr w:type="spellEnd"/>
      <w:r w:rsidRPr="00B64276">
        <w:rPr>
          <w:rFonts w:asciiTheme="majorHAnsi" w:eastAsia="Times New Roman" w:hAnsiTheme="majorHAnsi" w:cs="Times New Roman"/>
          <w:kern w:val="0"/>
          <w:lang w:eastAsia="en-GB"/>
          <w14:ligatures w14:val="none"/>
        </w:rPr>
        <w:t>).</w:t>
      </w:r>
    </w:p>
    <w:p w14:paraId="09A76D6E"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The challenge lies in accurately identifying individual needs, which requires good observational skills and open communication. However, the impact of aligning communication and opportunities with these fundamental psychological drivers can be profound, leading to a more motivated, engaged, and ultimately, a more effective trade union.</w:t>
      </w:r>
    </w:p>
    <w:p w14:paraId="771DD6BF" w14:textId="77777777" w:rsidR="00B64276" w:rsidRPr="00B64276" w:rsidRDefault="00B64276" w:rsidP="00B64276">
      <w:pPr>
        <w:spacing w:before="100" w:beforeAutospacing="1" w:after="100" w:afterAutospacing="1" w:line="240" w:lineRule="auto"/>
        <w:outlineLvl w:val="2"/>
        <w:rPr>
          <w:rFonts w:asciiTheme="majorHAnsi" w:eastAsia="Times New Roman" w:hAnsiTheme="majorHAnsi" w:cs="Times New Roman"/>
          <w:b/>
          <w:bCs/>
          <w:kern w:val="0"/>
          <w:sz w:val="27"/>
          <w:szCs w:val="27"/>
          <w:lang w:eastAsia="en-GB"/>
          <w14:ligatures w14:val="none"/>
        </w:rPr>
      </w:pPr>
      <w:r w:rsidRPr="00B64276">
        <w:rPr>
          <w:rFonts w:asciiTheme="majorHAnsi" w:eastAsia="Times New Roman" w:hAnsiTheme="majorHAnsi" w:cs="Times New Roman"/>
          <w:b/>
          <w:bCs/>
          <w:kern w:val="0"/>
          <w:sz w:val="27"/>
          <w:szCs w:val="27"/>
          <w:lang w:eastAsia="en-GB"/>
          <w14:ligatures w14:val="none"/>
        </w:rPr>
        <w:t>Develop Appropriate Criteria to Evaluate Own Ability to Communicate Effectively</w:t>
      </w:r>
    </w:p>
    <w:p w14:paraId="4EC449A8"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To systematically evaluate my own communication effectiveness as a manager within a trade union, it is essential to establish clear, measurable criteria. These criteria should encompass both the technical aspects of communication and its impact on the audience and organisational objectives. Building upon established communication principles, I propose the following:</w:t>
      </w:r>
    </w:p>
    <w:p w14:paraId="5B4A9E00" w14:textId="77777777" w:rsidR="00B64276" w:rsidRPr="00B64276" w:rsidRDefault="00B64276" w:rsidP="00B64276">
      <w:pPr>
        <w:numPr>
          <w:ilvl w:val="0"/>
          <w:numId w:val="14"/>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Clarity and Conciseness:</w:t>
      </w:r>
    </w:p>
    <w:p w14:paraId="589C5C63" w14:textId="77777777" w:rsidR="00B64276" w:rsidRPr="00B64276" w:rsidRDefault="00B64276" w:rsidP="00B64276">
      <w:pPr>
        <w:numPr>
          <w:ilvl w:val="1"/>
          <w:numId w:val="14"/>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Criteria:</w:t>
      </w:r>
      <w:r w:rsidRPr="00B64276">
        <w:rPr>
          <w:rFonts w:asciiTheme="majorHAnsi" w:eastAsia="Times New Roman" w:hAnsiTheme="majorHAnsi" w:cs="Times New Roman"/>
          <w:kern w:val="0"/>
          <w:lang w:eastAsia="en-GB"/>
          <w14:ligatures w14:val="none"/>
        </w:rPr>
        <w:t xml:space="preserve"> Is the message easily understood by the intended audience? Is it free from jargon (unless appropriate for the audience)? Is it direct and to the point, avoiding unnecessary words or convoluted sentences?</w:t>
      </w:r>
    </w:p>
    <w:p w14:paraId="01911B82" w14:textId="77777777" w:rsidR="00B64276" w:rsidRPr="00B64276" w:rsidRDefault="00B64276" w:rsidP="00B64276">
      <w:pPr>
        <w:numPr>
          <w:ilvl w:val="1"/>
          <w:numId w:val="14"/>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Measurement:</w:t>
      </w:r>
      <w:r w:rsidRPr="00B64276">
        <w:rPr>
          <w:rFonts w:asciiTheme="majorHAnsi" w:eastAsia="Times New Roman" w:hAnsiTheme="majorHAnsi" w:cs="Times New Roman"/>
          <w:kern w:val="0"/>
          <w:lang w:eastAsia="en-GB"/>
          <w14:ligatures w14:val="none"/>
        </w:rPr>
        <w:t xml:space="preserve"> Feedback indicating understanding, absence of follow-up questions for clarification, ability of audience to summarise key points accurately.</w:t>
      </w:r>
    </w:p>
    <w:p w14:paraId="36D90007" w14:textId="77777777" w:rsidR="00B64276" w:rsidRPr="00B64276" w:rsidRDefault="00B64276" w:rsidP="00B64276">
      <w:pPr>
        <w:numPr>
          <w:ilvl w:val="0"/>
          <w:numId w:val="14"/>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Completeness and Accuracy:</w:t>
      </w:r>
    </w:p>
    <w:p w14:paraId="3DE2D00E" w14:textId="77777777" w:rsidR="00B64276" w:rsidRPr="00B64276" w:rsidRDefault="00B64276" w:rsidP="00B64276">
      <w:pPr>
        <w:numPr>
          <w:ilvl w:val="1"/>
          <w:numId w:val="14"/>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Criteria:</w:t>
      </w:r>
      <w:r w:rsidRPr="00B64276">
        <w:rPr>
          <w:rFonts w:asciiTheme="majorHAnsi" w:eastAsia="Times New Roman" w:hAnsiTheme="majorHAnsi" w:cs="Times New Roman"/>
          <w:kern w:val="0"/>
          <w:lang w:eastAsia="en-GB"/>
          <w14:ligatures w14:val="none"/>
        </w:rPr>
        <w:t xml:space="preserve"> Does the message contain all necessary information? Is the information presented factually correct and verifiable?</w:t>
      </w:r>
    </w:p>
    <w:p w14:paraId="41548147" w14:textId="77777777" w:rsidR="00B64276" w:rsidRPr="00B64276" w:rsidRDefault="00B64276" w:rsidP="00B64276">
      <w:pPr>
        <w:numPr>
          <w:ilvl w:val="1"/>
          <w:numId w:val="14"/>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Measurement:</w:t>
      </w:r>
      <w:r w:rsidRPr="00B64276">
        <w:rPr>
          <w:rFonts w:asciiTheme="majorHAnsi" w:eastAsia="Times New Roman" w:hAnsiTheme="majorHAnsi" w:cs="Times New Roman"/>
          <w:kern w:val="0"/>
          <w:lang w:eastAsia="en-GB"/>
          <w14:ligatures w14:val="none"/>
        </w:rPr>
        <w:t xml:space="preserve"> Absence of critical information gaps, no factual errors identified by recipients, successful execution of tasks based on the communication.</w:t>
      </w:r>
    </w:p>
    <w:p w14:paraId="61F0529D" w14:textId="77777777" w:rsidR="00B64276" w:rsidRPr="00B64276" w:rsidRDefault="00B64276" w:rsidP="00B64276">
      <w:pPr>
        <w:numPr>
          <w:ilvl w:val="0"/>
          <w:numId w:val="14"/>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Appropriateness (Tone, Language, Formality, Channel):</w:t>
      </w:r>
    </w:p>
    <w:p w14:paraId="5B9E385C" w14:textId="77777777" w:rsidR="00B64276" w:rsidRPr="00B64276" w:rsidRDefault="00B64276" w:rsidP="00B64276">
      <w:pPr>
        <w:numPr>
          <w:ilvl w:val="1"/>
          <w:numId w:val="14"/>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Criteria:</w:t>
      </w:r>
      <w:r w:rsidRPr="00B64276">
        <w:rPr>
          <w:rFonts w:asciiTheme="majorHAnsi" w:eastAsia="Times New Roman" w:hAnsiTheme="majorHAnsi" w:cs="Times New Roman"/>
          <w:kern w:val="0"/>
          <w:lang w:eastAsia="en-GB"/>
          <w14:ligatures w14:val="none"/>
        </w:rPr>
        <w:t xml:space="preserve"> Is the tone suitable for the message and audience (e.g., empathetic, firm, encouraging)? Is the language appropriate for the audience's comprehension level? Is the level of formality consistent with the context and </w:t>
      </w:r>
      <w:r w:rsidRPr="00B64276">
        <w:rPr>
          <w:rFonts w:asciiTheme="majorHAnsi" w:eastAsia="Times New Roman" w:hAnsiTheme="majorHAnsi" w:cs="Times New Roman"/>
          <w:kern w:val="0"/>
          <w:lang w:eastAsia="en-GB"/>
          <w14:ligatures w14:val="none"/>
        </w:rPr>
        <w:lastRenderedPageBreak/>
        <w:t xml:space="preserve">relationship? </w:t>
      </w:r>
      <w:proofErr w:type="gramStart"/>
      <w:r w:rsidRPr="00B64276">
        <w:rPr>
          <w:rFonts w:asciiTheme="majorHAnsi" w:eastAsia="Times New Roman" w:hAnsiTheme="majorHAnsi" w:cs="Times New Roman"/>
          <w:kern w:val="0"/>
          <w:lang w:eastAsia="en-GB"/>
          <w14:ligatures w14:val="none"/>
        </w:rPr>
        <w:t>Was</w:t>
      </w:r>
      <w:proofErr w:type="gramEnd"/>
      <w:r w:rsidRPr="00B64276">
        <w:rPr>
          <w:rFonts w:asciiTheme="majorHAnsi" w:eastAsia="Times New Roman" w:hAnsiTheme="majorHAnsi" w:cs="Times New Roman"/>
          <w:kern w:val="0"/>
          <w:lang w:eastAsia="en-GB"/>
          <w14:ligatures w14:val="none"/>
        </w:rPr>
        <w:t xml:space="preserve"> the most effective channel chosen for the message (e.g., email for record, meeting for discussion)?</w:t>
      </w:r>
    </w:p>
    <w:p w14:paraId="5FE50DC4" w14:textId="77777777" w:rsidR="00B64276" w:rsidRPr="00B64276" w:rsidRDefault="00B64276" w:rsidP="00B64276">
      <w:pPr>
        <w:numPr>
          <w:ilvl w:val="1"/>
          <w:numId w:val="14"/>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Measurement:</w:t>
      </w:r>
      <w:r w:rsidRPr="00B64276">
        <w:rPr>
          <w:rFonts w:asciiTheme="majorHAnsi" w:eastAsia="Times New Roman" w:hAnsiTheme="majorHAnsi" w:cs="Times New Roman"/>
          <w:kern w:val="0"/>
          <w:lang w:eastAsia="en-GB"/>
          <w14:ligatures w14:val="none"/>
        </w:rPr>
        <w:t xml:space="preserve"> Positive feedback on tone, lack of misinterpretations due to inappropriate language/formality, observed engagement levels in chosen channel.</w:t>
      </w:r>
    </w:p>
    <w:p w14:paraId="714E0B11" w14:textId="77777777" w:rsidR="00B64276" w:rsidRPr="00B64276" w:rsidRDefault="00B64276" w:rsidP="00B64276">
      <w:pPr>
        <w:numPr>
          <w:ilvl w:val="0"/>
          <w:numId w:val="14"/>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Active Listening and Empathy (for verbal communication):</w:t>
      </w:r>
    </w:p>
    <w:p w14:paraId="5A0B7679" w14:textId="77777777" w:rsidR="00B64276" w:rsidRPr="00B64276" w:rsidRDefault="00B64276" w:rsidP="00B64276">
      <w:pPr>
        <w:numPr>
          <w:ilvl w:val="1"/>
          <w:numId w:val="14"/>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Criteria:</w:t>
      </w:r>
      <w:r w:rsidRPr="00B64276">
        <w:rPr>
          <w:rFonts w:asciiTheme="majorHAnsi" w:eastAsia="Times New Roman" w:hAnsiTheme="majorHAnsi" w:cs="Times New Roman"/>
          <w:kern w:val="0"/>
          <w:lang w:eastAsia="en-GB"/>
          <w14:ligatures w14:val="none"/>
        </w:rPr>
        <w:t xml:space="preserve"> Do I actively listen to understand, rather than just to respond? Do I demonstrate empathy and acknowledge the speaker's perspective, especially in sensitive situations (e.g., grievance handling)?</w:t>
      </w:r>
    </w:p>
    <w:p w14:paraId="04CCDDFF" w14:textId="77777777" w:rsidR="00B64276" w:rsidRPr="00B64276" w:rsidRDefault="00B64276" w:rsidP="00B64276">
      <w:pPr>
        <w:numPr>
          <w:ilvl w:val="1"/>
          <w:numId w:val="14"/>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Measurement:</w:t>
      </w:r>
      <w:r w:rsidRPr="00B64276">
        <w:rPr>
          <w:rFonts w:asciiTheme="majorHAnsi" w:eastAsia="Times New Roman" w:hAnsiTheme="majorHAnsi" w:cs="Times New Roman"/>
          <w:kern w:val="0"/>
          <w:lang w:eastAsia="en-GB"/>
          <w14:ligatures w14:val="none"/>
        </w:rPr>
        <w:t xml:space="preserve"> Feedback from interlocutors on feeling heard and understood, ability to accurately summarise others' points, successful de-escalation of conflicts.</w:t>
      </w:r>
    </w:p>
    <w:p w14:paraId="426D318A" w14:textId="77777777" w:rsidR="00B64276" w:rsidRPr="00B64276" w:rsidRDefault="00B64276" w:rsidP="00B64276">
      <w:pPr>
        <w:numPr>
          <w:ilvl w:val="0"/>
          <w:numId w:val="14"/>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Persuasiveness and Impact:</w:t>
      </w:r>
    </w:p>
    <w:p w14:paraId="721253EC" w14:textId="77777777" w:rsidR="00B64276" w:rsidRPr="00B64276" w:rsidRDefault="00B64276" w:rsidP="00B64276">
      <w:pPr>
        <w:numPr>
          <w:ilvl w:val="1"/>
          <w:numId w:val="14"/>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Criteria:</w:t>
      </w:r>
      <w:r w:rsidRPr="00B64276">
        <w:rPr>
          <w:rFonts w:asciiTheme="majorHAnsi" w:eastAsia="Times New Roman" w:hAnsiTheme="majorHAnsi" w:cs="Times New Roman"/>
          <w:kern w:val="0"/>
          <w:lang w:eastAsia="en-GB"/>
          <w14:ligatures w14:val="none"/>
        </w:rPr>
        <w:t xml:space="preserve"> Does the communication achieve its intended objective (e.g., mobilising members, gaining agreement, resolving a dispute)? Does it inspire action or change behaviour where required?</w:t>
      </w:r>
    </w:p>
    <w:p w14:paraId="442A67F1" w14:textId="77777777" w:rsidR="00B64276" w:rsidRPr="00B64276" w:rsidRDefault="00B64276" w:rsidP="00B64276">
      <w:pPr>
        <w:numPr>
          <w:ilvl w:val="1"/>
          <w:numId w:val="14"/>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Measurement:</w:t>
      </w:r>
      <w:r w:rsidRPr="00B64276">
        <w:rPr>
          <w:rFonts w:asciiTheme="majorHAnsi" w:eastAsia="Times New Roman" w:hAnsiTheme="majorHAnsi" w:cs="Times New Roman"/>
          <w:kern w:val="0"/>
          <w:lang w:eastAsia="en-GB"/>
          <w14:ligatures w14:val="none"/>
        </w:rPr>
        <w:t xml:space="preserve"> Observed changes in behaviour, successful achievement of campaign goals, positive negotiation outcomes, increased member participation.</w:t>
      </w:r>
    </w:p>
    <w:p w14:paraId="29E24EE9" w14:textId="77777777" w:rsidR="00B64276" w:rsidRPr="00B64276" w:rsidRDefault="00B64276" w:rsidP="00B64276">
      <w:pPr>
        <w:numPr>
          <w:ilvl w:val="0"/>
          <w:numId w:val="14"/>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Timeliness:</w:t>
      </w:r>
    </w:p>
    <w:p w14:paraId="69FA099F" w14:textId="77777777" w:rsidR="00B64276" w:rsidRPr="00B64276" w:rsidRDefault="00B64276" w:rsidP="00B64276">
      <w:pPr>
        <w:numPr>
          <w:ilvl w:val="1"/>
          <w:numId w:val="14"/>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Criteria:</w:t>
      </w:r>
      <w:r w:rsidRPr="00B64276">
        <w:rPr>
          <w:rFonts w:asciiTheme="majorHAnsi" w:eastAsia="Times New Roman" w:hAnsiTheme="majorHAnsi" w:cs="Times New Roman"/>
          <w:kern w:val="0"/>
          <w:lang w:eastAsia="en-GB"/>
          <w14:ligatures w14:val="none"/>
        </w:rPr>
        <w:t xml:space="preserve"> Is the communication delivered at the most opportune moment? Is it proactive rather than reactive where possible?</w:t>
      </w:r>
    </w:p>
    <w:p w14:paraId="385015D1" w14:textId="77777777" w:rsidR="00B64276" w:rsidRPr="00B64276" w:rsidRDefault="00B64276" w:rsidP="00B64276">
      <w:pPr>
        <w:numPr>
          <w:ilvl w:val="1"/>
          <w:numId w:val="14"/>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Measurement:</w:t>
      </w:r>
      <w:r w:rsidRPr="00B64276">
        <w:rPr>
          <w:rFonts w:asciiTheme="majorHAnsi" w:eastAsia="Times New Roman" w:hAnsiTheme="majorHAnsi" w:cs="Times New Roman"/>
          <w:kern w:val="0"/>
          <w:lang w:eastAsia="en-GB"/>
          <w14:ligatures w14:val="none"/>
        </w:rPr>
        <w:t xml:space="preserve"> Feedback on promptness, avoidance of missed opportunities or deadlines due to delayed communication.</w:t>
      </w:r>
    </w:p>
    <w:p w14:paraId="7361D2D5" w14:textId="77777777" w:rsidR="00B64276" w:rsidRPr="00B64276" w:rsidRDefault="00B64276" w:rsidP="00B64276">
      <w:pPr>
        <w:numPr>
          <w:ilvl w:val="0"/>
          <w:numId w:val="14"/>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Adaptability:</w:t>
      </w:r>
    </w:p>
    <w:p w14:paraId="0AE22267" w14:textId="77777777" w:rsidR="00B64276" w:rsidRPr="00B64276" w:rsidRDefault="00B64276" w:rsidP="00B64276">
      <w:pPr>
        <w:numPr>
          <w:ilvl w:val="1"/>
          <w:numId w:val="14"/>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Criteria:</w:t>
      </w:r>
      <w:r w:rsidRPr="00B64276">
        <w:rPr>
          <w:rFonts w:asciiTheme="majorHAnsi" w:eastAsia="Times New Roman" w:hAnsiTheme="majorHAnsi" w:cs="Times New Roman"/>
          <w:kern w:val="0"/>
          <w:lang w:eastAsia="en-GB"/>
          <w14:ligatures w14:val="none"/>
        </w:rPr>
        <w:t xml:space="preserve"> Can I adjust my communication style, content, and delivery based on the audience, situation, and feedback received?</w:t>
      </w:r>
    </w:p>
    <w:p w14:paraId="204E87FC" w14:textId="77777777" w:rsidR="00B64276" w:rsidRPr="00B64276" w:rsidRDefault="00B64276" w:rsidP="00B64276">
      <w:pPr>
        <w:numPr>
          <w:ilvl w:val="1"/>
          <w:numId w:val="14"/>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Measurement:</w:t>
      </w:r>
      <w:r w:rsidRPr="00B64276">
        <w:rPr>
          <w:rFonts w:asciiTheme="majorHAnsi" w:eastAsia="Times New Roman" w:hAnsiTheme="majorHAnsi" w:cs="Times New Roman"/>
          <w:kern w:val="0"/>
          <w:lang w:eastAsia="en-GB"/>
          <w14:ligatures w14:val="none"/>
        </w:rPr>
        <w:t xml:space="preserve"> Observed flexibility in approach, positive outcomes across diverse communicative challenges.</w:t>
      </w:r>
    </w:p>
    <w:p w14:paraId="7FC39BB8"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These criteria provide a robust framework for self-assessment and for soliciting targeted feedback, enabling a systematic approach to identifying strengths and areas for improvement in my communication skills.</w:t>
      </w:r>
    </w:p>
    <w:p w14:paraId="0E39E57F" w14:textId="77777777" w:rsidR="00B64276" w:rsidRPr="00B64276" w:rsidRDefault="00B64276" w:rsidP="00B64276">
      <w:pPr>
        <w:spacing w:before="100" w:beforeAutospacing="1" w:after="100" w:afterAutospacing="1" w:line="240" w:lineRule="auto"/>
        <w:outlineLvl w:val="2"/>
        <w:rPr>
          <w:rFonts w:asciiTheme="majorHAnsi" w:eastAsia="Times New Roman" w:hAnsiTheme="majorHAnsi" w:cs="Times New Roman"/>
          <w:b/>
          <w:bCs/>
          <w:kern w:val="0"/>
          <w:sz w:val="27"/>
          <w:szCs w:val="27"/>
          <w:lang w:eastAsia="en-GB"/>
          <w14:ligatures w14:val="none"/>
        </w:rPr>
      </w:pPr>
      <w:r w:rsidRPr="00B64276">
        <w:rPr>
          <w:rFonts w:asciiTheme="majorHAnsi" w:eastAsia="Times New Roman" w:hAnsiTheme="majorHAnsi" w:cs="Times New Roman"/>
          <w:b/>
          <w:bCs/>
          <w:kern w:val="0"/>
          <w:sz w:val="27"/>
          <w:szCs w:val="27"/>
          <w:lang w:eastAsia="en-GB"/>
          <w14:ligatures w14:val="none"/>
        </w:rPr>
        <w:t>Collect and Analyse Feedback on Own Verbal and Written Communication Skills</w:t>
      </w:r>
    </w:p>
    <w:p w14:paraId="5E25F228"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Collecting and analysing feedback is a cornerstone of professional development, providing objective insights into communication effectiveness that self-perception alone cannot offer. For a manager in a trade union, feedback should be sought from a variety of sources to gain a comprehensive view.</w:t>
      </w:r>
    </w:p>
    <w:p w14:paraId="771B6523" w14:textId="77777777" w:rsidR="003A7EE7" w:rsidRDefault="003A7EE7" w:rsidP="00B64276">
      <w:pPr>
        <w:spacing w:before="100" w:beforeAutospacing="1" w:after="100" w:afterAutospacing="1" w:line="240" w:lineRule="auto"/>
        <w:rPr>
          <w:rFonts w:asciiTheme="majorHAnsi" w:eastAsia="Times New Roman" w:hAnsiTheme="majorHAnsi" w:cs="Times New Roman"/>
          <w:b/>
          <w:bCs/>
          <w:kern w:val="0"/>
          <w:lang w:eastAsia="en-GB"/>
          <w14:ligatures w14:val="none"/>
        </w:rPr>
      </w:pPr>
    </w:p>
    <w:p w14:paraId="3DD02ADD" w14:textId="77777777" w:rsidR="003A7EE7" w:rsidRDefault="003A7EE7" w:rsidP="00B64276">
      <w:pPr>
        <w:spacing w:before="100" w:beforeAutospacing="1" w:after="100" w:afterAutospacing="1" w:line="240" w:lineRule="auto"/>
        <w:rPr>
          <w:rFonts w:asciiTheme="majorHAnsi" w:eastAsia="Times New Roman" w:hAnsiTheme="majorHAnsi" w:cs="Times New Roman"/>
          <w:b/>
          <w:bCs/>
          <w:kern w:val="0"/>
          <w:lang w:eastAsia="en-GB"/>
          <w14:ligatures w14:val="none"/>
        </w:rPr>
      </w:pPr>
    </w:p>
    <w:p w14:paraId="70C7CB22" w14:textId="7103E75F"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Methods for Collecting Feedback:</w:t>
      </w:r>
    </w:p>
    <w:p w14:paraId="3BC8D90E" w14:textId="77777777" w:rsidR="00B64276" w:rsidRPr="00B64276" w:rsidRDefault="00B64276" w:rsidP="00B64276">
      <w:pPr>
        <w:numPr>
          <w:ilvl w:val="0"/>
          <w:numId w:val="15"/>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lastRenderedPageBreak/>
        <w:t>360-Degree Feedback:</w:t>
      </w:r>
      <w:r w:rsidRPr="00B64276">
        <w:rPr>
          <w:rFonts w:asciiTheme="majorHAnsi" w:eastAsia="Times New Roman" w:hAnsiTheme="majorHAnsi" w:cs="Times New Roman"/>
          <w:kern w:val="0"/>
          <w:lang w:eastAsia="en-GB"/>
          <w14:ligatures w14:val="none"/>
        </w:rPr>
        <w:t xml:space="preserve"> This involves soliciting feedback from superiors, peers, direct reports (if applicable), and key external stakeholders (e.g., union members, employer representatives).</w:t>
      </w:r>
    </w:p>
    <w:p w14:paraId="233BB1C0" w14:textId="77777777" w:rsidR="00B64276" w:rsidRPr="00B64276" w:rsidRDefault="00B64276" w:rsidP="00B64276">
      <w:pPr>
        <w:numPr>
          <w:ilvl w:val="1"/>
          <w:numId w:val="15"/>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Verbal:</w:t>
      </w:r>
      <w:r w:rsidRPr="00B64276">
        <w:rPr>
          <w:rFonts w:asciiTheme="majorHAnsi" w:eastAsia="Times New Roman" w:hAnsiTheme="majorHAnsi" w:cs="Times New Roman"/>
          <w:kern w:val="0"/>
          <w:lang w:eastAsia="en-GB"/>
          <w14:ligatures w14:val="none"/>
        </w:rPr>
        <w:t xml:space="preserve"> Asking direct questions after meetings or presentations (e.g., "Was my explanation of the new policy clear?", "Did I address your concerns adequately?"). For sensitive issues, a more structured feedback session might be necessary.</w:t>
      </w:r>
    </w:p>
    <w:p w14:paraId="441EC70D" w14:textId="77777777" w:rsidR="00B64276" w:rsidRPr="00B64276" w:rsidRDefault="00B64276" w:rsidP="00B64276">
      <w:pPr>
        <w:numPr>
          <w:ilvl w:val="1"/>
          <w:numId w:val="15"/>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Written:</w:t>
      </w:r>
      <w:r w:rsidRPr="00B64276">
        <w:rPr>
          <w:rFonts w:asciiTheme="majorHAnsi" w:eastAsia="Times New Roman" w:hAnsiTheme="majorHAnsi" w:cs="Times New Roman"/>
          <w:kern w:val="0"/>
          <w:lang w:eastAsia="en-GB"/>
          <w14:ligatures w14:val="none"/>
        </w:rPr>
        <w:t xml:space="preserve"> Anonymous surveys (e.g., Google Forms) distributed to members after a campaign or to colleagues after a project, asking specific questions about clarity, tone, and impact of written communications (emails, reports, newsletters). Formal performance reviews often include sections on communication skills.</w:t>
      </w:r>
    </w:p>
    <w:p w14:paraId="6BC70F51" w14:textId="77777777" w:rsidR="00B64276" w:rsidRPr="00B64276" w:rsidRDefault="00B64276" w:rsidP="00B64276">
      <w:pPr>
        <w:numPr>
          <w:ilvl w:val="0"/>
          <w:numId w:val="15"/>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Direct Observation:</w:t>
      </w:r>
      <w:r w:rsidRPr="00B64276">
        <w:rPr>
          <w:rFonts w:asciiTheme="majorHAnsi" w:eastAsia="Times New Roman" w:hAnsiTheme="majorHAnsi" w:cs="Times New Roman"/>
          <w:kern w:val="0"/>
          <w:lang w:eastAsia="en-GB"/>
          <w14:ligatures w14:val="none"/>
        </w:rPr>
        <w:t xml:space="preserve"> Asking a trusted colleague or mentor to observe my communication in specific settings (e.g., leading a meeting, presenting a grievance) and provide structured feedback.</w:t>
      </w:r>
    </w:p>
    <w:p w14:paraId="4EA38F36" w14:textId="77777777" w:rsidR="00B64276" w:rsidRPr="00B64276" w:rsidRDefault="00B64276" w:rsidP="00B64276">
      <w:pPr>
        <w:numPr>
          <w:ilvl w:val="0"/>
          <w:numId w:val="15"/>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Self-Reflection and Recording:</w:t>
      </w:r>
      <w:r w:rsidRPr="00B64276">
        <w:rPr>
          <w:rFonts w:asciiTheme="majorHAnsi" w:eastAsia="Times New Roman" w:hAnsiTheme="majorHAnsi" w:cs="Times New Roman"/>
          <w:kern w:val="0"/>
          <w:lang w:eastAsia="en-GB"/>
          <w14:ligatures w14:val="none"/>
        </w:rPr>
        <w:t xml:space="preserve"> Reviewing recordings of my own presentations or meetings (if permissible) to critically assess verbal delivery, body language, and active listening. Reviewing my own written communications before sending them, looking for clarity, conciseness, and tone.</w:t>
      </w:r>
    </w:p>
    <w:p w14:paraId="73B9DCF6" w14:textId="77777777" w:rsidR="00B64276" w:rsidRPr="00B64276" w:rsidRDefault="00B64276" w:rsidP="00B64276">
      <w:pPr>
        <w:numPr>
          <w:ilvl w:val="0"/>
          <w:numId w:val="15"/>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Informal Conversations:</w:t>
      </w:r>
      <w:r w:rsidRPr="00B64276">
        <w:rPr>
          <w:rFonts w:asciiTheme="majorHAnsi" w:eastAsia="Times New Roman" w:hAnsiTheme="majorHAnsi" w:cs="Times New Roman"/>
          <w:kern w:val="0"/>
          <w:lang w:eastAsia="en-GB"/>
          <w14:ligatures w14:val="none"/>
        </w:rPr>
        <w:t xml:space="preserve"> Regularly engaging in brief, informal check-ins with colleagues and members, asking for their thoughts on recent communications.</w:t>
      </w:r>
    </w:p>
    <w:p w14:paraId="3C5EBB1C"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Analysing Feedback:</w:t>
      </w:r>
    </w:p>
    <w:p w14:paraId="193CF0D3"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Once collected, feedback needs to be systematically analysed to identify patterns, recurring themes, and specific areas for improvement.</w:t>
      </w:r>
    </w:p>
    <w:p w14:paraId="51EF8559" w14:textId="77777777" w:rsidR="00B64276" w:rsidRPr="00B64276" w:rsidRDefault="00B64276" w:rsidP="00B64276">
      <w:pPr>
        <w:numPr>
          <w:ilvl w:val="0"/>
          <w:numId w:val="16"/>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Categorisation:</w:t>
      </w:r>
      <w:r w:rsidRPr="00B64276">
        <w:rPr>
          <w:rFonts w:asciiTheme="majorHAnsi" w:eastAsia="Times New Roman" w:hAnsiTheme="majorHAnsi" w:cs="Times New Roman"/>
          <w:kern w:val="0"/>
          <w:lang w:eastAsia="en-GB"/>
          <w14:ligatures w14:val="none"/>
        </w:rPr>
        <w:t xml:space="preserve"> Group feedback according to the established criteria (Clarity, Conciseness, Appropriateness, Active Listening, Persuasiveness, Timeliness, Adaptability).</w:t>
      </w:r>
    </w:p>
    <w:p w14:paraId="6CDB9819" w14:textId="77777777" w:rsidR="00B64276" w:rsidRPr="00B64276" w:rsidRDefault="00B64276" w:rsidP="00B64276">
      <w:pPr>
        <w:numPr>
          <w:ilvl w:val="0"/>
          <w:numId w:val="16"/>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Pattern Identification:</w:t>
      </w:r>
      <w:r w:rsidRPr="00B64276">
        <w:rPr>
          <w:rFonts w:asciiTheme="majorHAnsi" w:eastAsia="Times New Roman" w:hAnsiTheme="majorHAnsi" w:cs="Times New Roman"/>
          <w:kern w:val="0"/>
          <w:lang w:eastAsia="en-GB"/>
          <w14:ligatures w14:val="none"/>
        </w:rPr>
        <w:t xml:space="preserve"> Look for consistent messages across different sources. If multiple individuals from various groups (e.g., members and colleagues) consistently state that written reports are too verbose, this indicates a clear area for improvement. Conversely, consistent praise for active listening in one-on-one interactions highlights a strength.</w:t>
      </w:r>
    </w:p>
    <w:p w14:paraId="3F66DF15" w14:textId="77777777" w:rsidR="00B64276" w:rsidRPr="00B64276" w:rsidRDefault="00B64276" w:rsidP="00B64276">
      <w:pPr>
        <w:numPr>
          <w:ilvl w:val="0"/>
          <w:numId w:val="16"/>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Specific Examples:</w:t>
      </w:r>
      <w:r w:rsidRPr="00B64276">
        <w:rPr>
          <w:rFonts w:asciiTheme="majorHAnsi" w:eastAsia="Times New Roman" w:hAnsiTheme="majorHAnsi" w:cs="Times New Roman"/>
          <w:kern w:val="0"/>
          <w:lang w:eastAsia="en-GB"/>
          <w14:ligatures w14:val="none"/>
        </w:rPr>
        <w:t xml:space="preserve"> Pay attention to specific examples provided in the feedback. "Your email about the strike ballot was unclear about the voting deadline" is more actionable than "Your emails are sometimes unclear."</w:t>
      </w:r>
    </w:p>
    <w:p w14:paraId="688906F6" w14:textId="77777777" w:rsidR="00B64276" w:rsidRPr="00B64276" w:rsidRDefault="00B64276" w:rsidP="00B64276">
      <w:pPr>
        <w:numPr>
          <w:ilvl w:val="0"/>
          <w:numId w:val="16"/>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Discrepancy Analysis:</w:t>
      </w:r>
      <w:r w:rsidRPr="00B64276">
        <w:rPr>
          <w:rFonts w:asciiTheme="majorHAnsi" w:eastAsia="Times New Roman" w:hAnsiTheme="majorHAnsi" w:cs="Times New Roman"/>
          <w:kern w:val="0"/>
          <w:lang w:eastAsia="en-GB"/>
          <w14:ligatures w14:val="none"/>
        </w:rPr>
        <w:t xml:space="preserve"> Compare self-assessment with external feedback. Are there areas where I perceive myself as strong, but others identify as weaknesses? This can reveal blind spots.</w:t>
      </w:r>
    </w:p>
    <w:p w14:paraId="6BDCFF81" w14:textId="77777777" w:rsidR="00B64276" w:rsidRPr="00B64276" w:rsidRDefault="00B64276" w:rsidP="00B64276">
      <w:pPr>
        <w:numPr>
          <w:ilvl w:val="0"/>
          <w:numId w:val="16"/>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Prioritisation:</w:t>
      </w:r>
      <w:r w:rsidRPr="00B64276">
        <w:rPr>
          <w:rFonts w:asciiTheme="majorHAnsi" w:eastAsia="Times New Roman" w:hAnsiTheme="majorHAnsi" w:cs="Times New Roman"/>
          <w:kern w:val="0"/>
          <w:lang w:eastAsia="en-GB"/>
          <w14:ligatures w14:val="none"/>
        </w:rPr>
        <w:t xml:space="preserve"> Based on the analysis, prioritise areas for improvement. Which weaknesses have the greatest negative impact? Which strengths can be further leveraged?</w:t>
      </w:r>
    </w:p>
    <w:p w14:paraId="1842E689"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 xml:space="preserve">For instance, if feedback reveals that my verbal communication in large meetings is perceived as too formal and lacking empathy, while my written reports are consistently praised for their </w:t>
      </w:r>
      <w:r w:rsidRPr="00B64276">
        <w:rPr>
          <w:rFonts w:asciiTheme="majorHAnsi" w:eastAsia="Times New Roman" w:hAnsiTheme="majorHAnsi" w:cs="Times New Roman"/>
          <w:kern w:val="0"/>
          <w:lang w:eastAsia="en-GB"/>
          <w14:ligatures w14:val="none"/>
        </w:rPr>
        <w:lastRenderedPageBreak/>
        <w:t xml:space="preserve">accuracy, the analysis </w:t>
      </w:r>
      <w:proofErr w:type="gramStart"/>
      <w:r w:rsidRPr="00B64276">
        <w:rPr>
          <w:rFonts w:asciiTheme="majorHAnsi" w:eastAsia="Times New Roman" w:hAnsiTheme="majorHAnsi" w:cs="Times New Roman"/>
          <w:kern w:val="0"/>
          <w:lang w:eastAsia="en-GB"/>
          <w14:ligatures w14:val="none"/>
        </w:rPr>
        <w:t>would</w:t>
      </w:r>
      <w:proofErr w:type="gramEnd"/>
      <w:r w:rsidRPr="00B64276">
        <w:rPr>
          <w:rFonts w:asciiTheme="majorHAnsi" w:eastAsia="Times New Roman" w:hAnsiTheme="majorHAnsi" w:cs="Times New Roman"/>
          <w:kern w:val="0"/>
          <w:lang w:eastAsia="en-GB"/>
          <w14:ligatures w14:val="none"/>
        </w:rPr>
        <w:t xml:space="preserve"> highlight a need to adjust verbal tone and active listening in group settings, while reinforcing the strengths in written accuracy. This systematic approach transforms raw feedback into actionable insights for professional development.</w:t>
      </w:r>
    </w:p>
    <w:p w14:paraId="5992D42F" w14:textId="77777777" w:rsidR="00B64276" w:rsidRPr="00B64276" w:rsidRDefault="00B64276" w:rsidP="00B64276">
      <w:pPr>
        <w:spacing w:before="100" w:beforeAutospacing="1" w:after="100" w:afterAutospacing="1" w:line="240" w:lineRule="auto"/>
        <w:outlineLvl w:val="2"/>
        <w:rPr>
          <w:rFonts w:asciiTheme="majorHAnsi" w:eastAsia="Times New Roman" w:hAnsiTheme="majorHAnsi" w:cs="Times New Roman"/>
          <w:b/>
          <w:bCs/>
          <w:kern w:val="0"/>
          <w:sz w:val="27"/>
          <w:szCs w:val="27"/>
          <w:lang w:eastAsia="en-GB"/>
          <w14:ligatures w14:val="none"/>
        </w:rPr>
      </w:pPr>
      <w:r w:rsidRPr="00B64276">
        <w:rPr>
          <w:rFonts w:asciiTheme="majorHAnsi" w:eastAsia="Times New Roman" w:hAnsiTheme="majorHAnsi" w:cs="Times New Roman"/>
          <w:b/>
          <w:bCs/>
          <w:kern w:val="0"/>
          <w:sz w:val="27"/>
          <w:szCs w:val="27"/>
          <w:lang w:eastAsia="en-GB"/>
          <w14:ligatures w14:val="none"/>
        </w:rPr>
        <w:t>Evaluate Own Communication Skills as a Manager, Identifying Strengths and Areas for Improvement</w:t>
      </w:r>
    </w:p>
    <w:p w14:paraId="70E2F4AD"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Based on the hypothetical application of the criteria and feedback collection methods outlined above, I can now evaluate my communication skills as a manager within a trade union, identifying both strengths and areas requiring development.</w:t>
      </w:r>
    </w:p>
    <w:p w14:paraId="4DD17660"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Identified Strengths:</w:t>
      </w:r>
    </w:p>
    <w:p w14:paraId="77B71F82" w14:textId="77777777" w:rsidR="00B64276" w:rsidRPr="00B64276" w:rsidRDefault="00B64276" w:rsidP="00B64276">
      <w:pPr>
        <w:numPr>
          <w:ilvl w:val="0"/>
          <w:numId w:val="17"/>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Strong Written Accuracy and Completeness:</w:t>
      </w:r>
      <w:r w:rsidRPr="00B64276">
        <w:rPr>
          <w:rFonts w:asciiTheme="majorHAnsi" w:eastAsia="Times New Roman" w:hAnsiTheme="majorHAnsi" w:cs="Times New Roman"/>
          <w:kern w:val="0"/>
          <w:lang w:eastAsia="en-GB"/>
          <w14:ligatures w14:val="none"/>
        </w:rPr>
        <w:t xml:space="preserve"> Feedback consistently indicates that my written communications, particularly official reports and policy summaries, are highly accurate, comprehensive, and well-researched. This ensures that critical information is reliably conveyed and provides a solid basis for record-keeping and formal proceedings. This is vital in a trade union context where precision in documentation (e.g., grievance forms, negotiation minutes) is paramount.</w:t>
      </w:r>
    </w:p>
    <w:p w14:paraId="4740A7E0" w14:textId="77777777" w:rsidR="00B64276" w:rsidRPr="00B64276" w:rsidRDefault="00B64276" w:rsidP="00B64276">
      <w:pPr>
        <w:numPr>
          <w:ilvl w:val="0"/>
          <w:numId w:val="17"/>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Effective Persuasion in Formal Settings:</w:t>
      </w:r>
      <w:r w:rsidRPr="00B64276">
        <w:rPr>
          <w:rFonts w:asciiTheme="majorHAnsi" w:eastAsia="Times New Roman" w:hAnsiTheme="majorHAnsi" w:cs="Times New Roman"/>
          <w:kern w:val="0"/>
          <w:lang w:eastAsia="en-GB"/>
          <w14:ligatures w14:val="none"/>
        </w:rPr>
        <w:t xml:space="preserve"> In structured environments such as negotiation meetings with employers or presentations to union committees, I demonstrate a strong ability to articulate arguments logically and persuasively. My capacity to present a clear, evidence-based case contributes significantly to achieving positive outcomes in collective bargaining and policy advocacy. This aligns well with the "Persuasiveness and Impact" criterion.</w:t>
      </w:r>
    </w:p>
    <w:p w14:paraId="16751AB6" w14:textId="77777777" w:rsidR="00B64276" w:rsidRPr="00B64276" w:rsidRDefault="00B64276" w:rsidP="00B64276">
      <w:pPr>
        <w:numPr>
          <w:ilvl w:val="0"/>
          <w:numId w:val="17"/>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Timeliness in Urgent Communications:</w:t>
      </w:r>
      <w:r w:rsidRPr="00B64276">
        <w:rPr>
          <w:rFonts w:asciiTheme="majorHAnsi" w:eastAsia="Times New Roman" w:hAnsiTheme="majorHAnsi" w:cs="Times New Roman"/>
          <w:kern w:val="0"/>
          <w:lang w:eastAsia="en-GB"/>
          <w14:ligatures w14:val="none"/>
        </w:rPr>
        <w:t xml:space="preserve"> I am adept at disseminating urgent information promptly, particularly through digital channels like email and internal messaging systems. This ensures that members and colleagues are informed of critical developments (e.g., ballot deadlines, immediate industrial action updates) without delay, which is crucial for mobilisation and rapid response.</w:t>
      </w:r>
    </w:p>
    <w:p w14:paraId="258E85E5"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Identified Areas for Improvement:</w:t>
      </w:r>
    </w:p>
    <w:p w14:paraId="67B36A7F" w14:textId="77777777" w:rsidR="00B64276" w:rsidRPr="00B64276" w:rsidRDefault="00B64276" w:rsidP="00B64276">
      <w:pPr>
        <w:numPr>
          <w:ilvl w:val="0"/>
          <w:numId w:val="18"/>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Adapting Verbal Tone and Formality in Diverse Settings:</w:t>
      </w:r>
      <w:r w:rsidRPr="00B64276">
        <w:rPr>
          <w:rFonts w:asciiTheme="majorHAnsi" w:eastAsia="Times New Roman" w:hAnsiTheme="majorHAnsi" w:cs="Times New Roman"/>
          <w:kern w:val="0"/>
          <w:lang w:eastAsia="en-GB"/>
          <w14:ligatures w14:val="none"/>
        </w:rPr>
        <w:t xml:space="preserve"> While effective in formal settings, feedback suggests that my verbal communication can sometimes be perceived as overly formal or lacking sufficient empathy in more informal or sensitive member interactions. For example, during one-on-one grievance discussions, members occasionally report feeling a slight disconnect, indicating a need to soften my tone and adopt more approachable language to build deeper rapport and trust. This directly relates to the "Appropriateness" and "Active Listening and Empathy" criteria.</w:t>
      </w:r>
    </w:p>
    <w:p w14:paraId="69096ED7" w14:textId="77777777" w:rsidR="00B64276" w:rsidRPr="00B64276" w:rsidRDefault="00B64276" w:rsidP="00B64276">
      <w:pPr>
        <w:numPr>
          <w:ilvl w:val="0"/>
          <w:numId w:val="18"/>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Conciseness in Written Communications (Internal):</w:t>
      </w:r>
      <w:r w:rsidRPr="00B64276">
        <w:rPr>
          <w:rFonts w:asciiTheme="majorHAnsi" w:eastAsia="Times New Roman" w:hAnsiTheme="majorHAnsi" w:cs="Times New Roman"/>
          <w:kern w:val="0"/>
          <w:lang w:eastAsia="en-GB"/>
          <w14:ligatures w14:val="none"/>
        </w:rPr>
        <w:t xml:space="preserve"> While formal reports are complete, internal emails and memos can sometimes be overly detailed or verbose, leading to information overload for busy colleagues and members. This affects the "Clarity and Conciseness" criterion, potentially reducing engagement with less critical internal communications.</w:t>
      </w:r>
    </w:p>
    <w:p w14:paraId="29EE0CBE" w14:textId="77777777" w:rsidR="00B64276" w:rsidRPr="00B64276" w:rsidRDefault="00B64276" w:rsidP="00B64276">
      <w:pPr>
        <w:numPr>
          <w:ilvl w:val="0"/>
          <w:numId w:val="18"/>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lastRenderedPageBreak/>
        <w:t>Proactive Feedback Seeking:</w:t>
      </w:r>
      <w:r w:rsidRPr="00B64276">
        <w:rPr>
          <w:rFonts w:asciiTheme="majorHAnsi" w:eastAsia="Times New Roman" w:hAnsiTheme="majorHAnsi" w:cs="Times New Roman"/>
          <w:kern w:val="0"/>
          <w:lang w:eastAsia="en-GB"/>
          <w14:ligatures w14:val="none"/>
        </w:rPr>
        <w:t xml:space="preserve"> While I respond well to solicited feedback, I could be more proactive in establishing regular, informal feedback loops, particularly after significant communication events (e.g., a new campaign launch). This would allow for more immediate adjustments and a continuous improvement cycle, rather than waiting for formal reviews. This relates to the "Collection and Analysis of Feedback" process itself.</w:t>
      </w:r>
    </w:p>
    <w:p w14:paraId="2C6B9850" w14:textId="77777777" w:rsidR="00B64276" w:rsidRPr="00B64276" w:rsidRDefault="00B64276" w:rsidP="00B64276">
      <w:pPr>
        <w:numPr>
          <w:ilvl w:val="0"/>
          <w:numId w:val="18"/>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Managing "Noise" in Group Discussions:</w:t>
      </w:r>
      <w:r w:rsidRPr="00B64276">
        <w:rPr>
          <w:rFonts w:asciiTheme="majorHAnsi" w:eastAsia="Times New Roman" w:hAnsiTheme="majorHAnsi" w:cs="Times New Roman"/>
          <w:kern w:val="0"/>
          <w:lang w:eastAsia="en-GB"/>
          <w14:ligatures w14:val="none"/>
        </w:rPr>
        <w:t xml:space="preserve"> In larger group meetings or heated discussions, I sometimes struggle to effectively manage "noise" – whether it's literal interruptions, emotional outbursts, or underlying biases – which can hinder the clear transmission and reception of messages. This impacts the overall effectiveness of the "Communication Cycle" in these dynamic environments.</w:t>
      </w:r>
    </w:p>
    <w:p w14:paraId="36BEECE3"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This self-evaluation, informed by hypothetical feedback, provides a clear roadmap for targeted professional development, ensuring that efforts are directed towards enhancing specific communication competencies that are most critical for my role as a trade union manager.</w:t>
      </w:r>
    </w:p>
    <w:p w14:paraId="5592804E" w14:textId="77777777" w:rsidR="00B64276" w:rsidRPr="00B64276" w:rsidRDefault="00B64276" w:rsidP="00B64276">
      <w:pPr>
        <w:spacing w:before="100" w:beforeAutospacing="1" w:after="100" w:afterAutospacing="1" w:line="240" w:lineRule="auto"/>
        <w:outlineLvl w:val="1"/>
        <w:rPr>
          <w:rFonts w:asciiTheme="majorHAnsi" w:eastAsia="Times New Roman" w:hAnsiTheme="majorHAnsi" w:cs="Times New Roman"/>
          <w:b/>
          <w:bCs/>
          <w:kern w:val="0"/>
          <w:sz w:val="36"/>
          <w:szCs w:val="36"/>
          <w:lang w:eastAsia="en-GB"/>
          <w14:ligatures w14:val="none"/>
        </w:rPr>
      </w:pPr>
      <w:r w:rsidRPr="00B64276">
        <w:rPr>
          <w:rFonts w:asciiTheme="majorHAnsi" w:eastAsia="Times New Roman" w:hAnsiTheme="majorHAnsi" w:cs="Times New Roman"/>
          <w:b/>
          <w:bCs/>
          <w:kern w:val="0"/>
          <w:sz w:val="36"/>
          <w:szCs w:val="36"/>
          <w:lang w:eastAsia="en-GB"/>
          <w14:ligatures w14:val="none"/>
        </w:rPr>
        <w:t>Professional Development Plan (PDP)</w:t>
      </w:r>
    </w:p>
    <w:p w14:paraId="705100E2" w14:textId="10F55101"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b/>
          <w:bCs/>
          <w:kern w:val="0"/>
          <w:lang w:eastAsia="en-GB"/>
          <w14:ligatures w14:val="none"/>
        </w:rPr>
        <w:t>Name:</w:t>
      </w:r>
      <w:r w:rsidRPr="00B64276">
        <w:rPr>
          <w:rFonts w:asciiTheme="majorHAnsi" w:eastAsia="Times New Roman" w:hAnsiTheme="majorHAnsi" w:cs="Times New Roman"/>
          <w:kern w:val="0"/>
          <w:lang w:eastAsia="en-GB"/>
          <w14:ligatures w14:val="none"/>
        </w:rPr>
        <w:t xml:space="preserve"> </w:t>
      </w:r>
      <w:r w:rsidR="00CF2E1F">
        <w:rPr>
          <w:rFonts w:asciiTheme="majorHAnsi" w:eastAsia="Times New Roman" w:hAnsiTheme="majorHAnsi" w:cs="Times New Roman"/>
          <w:kern w:val="0"/>
          <w:lang w:eastAsia="en-GB"/>
          <w14:ligatures w14:val="none"/>
        </w:rPr>
        <w:t>Jack Harper</w:t>
      </w:r>
      <w:r w:rsidRPr="00B64276">
        <w:rPr>
          <w:rFonts w:asciiTheme="majorHAnsi" w:eastAsia="Times New Roman" w:hAnsiTheme="majorHAnsi" w:cs="Times New Roman"/>
          <w:kern w:val="0"/>
          <w:lang w:eastAsia="en-GB"/>
          <w14:ligatures w14:val="none"/>
        </w:rPr>
        <w:t xml:space="preserve"> </w:t>
      </w:r>
      <w:r w:rsidRPr="00B64276">
        <w:rPr>
          <w:rFonts w:asciiTheme="majorHAnsi" w:eastAsia="Times New Roman" w:hAnsiTheme="majorHAnsi" w:cs="Times New Roman"/>
          <w:b/>
          <w:bCs/>
          <w:kern w:val="0"/>
          <w:lang w:eastAsia="en-GB"/>
          <w14:ligatures w14:val="none"/>
        </w:rPr>
        <w:t>Role:</w:t>
      </w:r>
      <w:r w:rsidRPr="00B64276">
        <w:rPr>
          <w:rFonts w:asciiTheme="majorHAnsi" w:eastAsia="Times New Roman" w:hAnsiTheme="majorHAnsi" w:cs="Times New Roman"/>
          <w:kern w:val="0"/>
          <w:lang w:eastAsia="en-GB"/>
          <w14:ligatures w14:val="none"/>
        </w:rPr>
        <w:t xml:space="preserve"> </w:t>
      </w:r>
      <w:r w:rsidR="00CF2E1F">
        <w:rPr>
          <w:rFonts w:asciiTheme="majorHAnsi" w:eastAsia="Times New Roman" w:hAnsiTheme="majorHAnsi" w:cs="Times New Roman"/>
          <w:kern w:val="0"/>
          <w:lang w:eastAsia="en-GB"/>
          <w14:ligatures w14:val="none"/>
        </w:rPr>
        <w:t xml:space="preserve">Union </w:t>
      </w:r>
      <w:r w:rsidR="001F7BFD">
        <w:rPr>
          <w:rFonts w:asciiTheme="majorHAnsi" w:eastAsia="Times New Roman" w:hAnsiTheme="majorHAnsi" w:cs="Times New Roman"/>
          <w:kern w:val="0"/>
          <w:lang w:eastAsia="en-GB"/>
          <w14:ligatures w14:val="none"/>
        </w:rPr>
        <w:t>Organiser</w:t>
      </w:r>
      <w:r w:rsidRPr="00B64276">
        <w:rPr>
          <w:rFonts w:asciiTheme="majorHAnsi" w:eastAsia="Times New Roman" w:hAnsiTheme="majorHAnsi" w:cs="Times New Roman"/>
          <w:kern w:val="0"/>
          <w:lang w:eastAsia="en-GB"/>
          <w14:ligatures w14:val="none"/>
        </w:rPr>
        <w:t xml:space="preserve"> </w:t>
      </w:r>
      <w:r w:rsidRPr="00B64276">
        <w:rPr>
          <w:rFonts w:asciiTheme="majorHAnsi" w:eastAsia="Times New Roman" w:hAnsiTheme="majorHAnsi" w:cs="Times New Roman"/>
          <w:b/>
          <w:bCs/>
          <w:kern w:val="0"/>
          <w:lang w:eastAsia="en-GB"/>
          <w14:ligatures w14:val="none"/>
        </w:rPr>
        <w:t>Organisation:</w:t>
      </w:r>
      <w:r w:rsidRPr="00B64276">
        <w:rPr>
          <w:rFonts w:asciiTheme="majorHAnsi" w:eastAsia="Times New Roman" w:hAnsiTheme="majorHAnsi" w:cs="Times New Roman"/>
          <w:kern w:val="0"/>
          <w:lang w:eastAsia="en-GB"/>
          <w14:ligatures w14:val="none"/>
        </w:rPr>
        <w:t xml:space="preserve"> </w:t>
      </w:r>
      <w:r w:rsidR="001F7BFD">
        <w:rPr>
          <w:rFonts w:asciiTheme="majorHAnsi" w:eastAsia="Times New Roman" w:hAnsiTheme="majorHAnsi" w:cs="Times New Roman"/>
          <w:kern w:val="0"/>
          <w:lang w:eastAsia="en-GB"/>
          <w14:ligatures w14:val="none"/>
        </w:rPr>
        <w:t>Community Union</w:t>
      </w:r>
      <w:r w:rsidRPr="00B64276">
        <w:rPr>
          <w:rFonts w:asciiTheme="majorHAnsi" w:eastAsia="Times New Roman" w:hAnsiTheme="majorHAnsi" w:cs="Times New Roman"/>
          <w:kern w:val="0"/>
          <w:lang w:eastAsia="en-GB"/>
          <w14:ligatures w14:val="none"/>
        </w:rPr>
        <w:t xml:space="preserve"> </w:t>
      </w:r>
      <w:r w:rsidRPr="00B64276">
        <w:rPr>
          <w:rFonts w:asciiTheme="majorHAnsi" w:eastAsia="Times New Roman" w:hAnsiTheme="majorHAnsi" w:cs="Times New Roman"/>
          <w:b/>
          <w:bCs/>
          <w:kern w:val="0"/>
          <w:lang w:eastAsia="en-GB"/>
          <w14:ligatures w14:val="none"/>
        </w:rPr>
        <w:t>Date:</w:t>
      </w:r>
      <w:r w:rsidRPr="00B64276">
        <w:rPr>
          <w:rFonts w:asciiTheme="majorHAnsi" w:eastAsia="Times New Roman" w:hAnsiTheme="majorHAnsi" w:cs="Times New Roman"/>
          <w:kern w:val="0"/>
          <w:lang w:eastAsia="en-GB"/>
          <w14:ligatures w14:val="none"/>
        </w:rPr>
        <w:t xml:space="preserve"> </w:t>
      </w:r>
      <w:r w:rsidR="001F7BFD">
        <w:rPr>
          <w:rFonts w:asciiTheme="majorHAnsi" w:eastAsia="Times New Roman" w:hAnsiTheme="majorHAnsi" w:cs="Times New Roman"/>
          <w:kern w:val="0"/>
          <w:lang w:eastAsia="en-GB"/>
          <w14:ligatures w14:val="none"/>
        </w:rPr>
        <w:t>27/05/25</w:t>
      </w:r>
    </w:p>
    <w:p w14:paraId="6E9BC20E" w14:textId="77777777" w:rsidR="00B64276" w:rsidRPr="00B64276" w:rsidRDefault="00B64276" w:rsidP="00B64276">
      <w:pPr>
        <w:spacing w:before="100" w:beforeAutospacing="1" w:after="100" w:afterAutospacing="1" w:line="240" w:lineRule="auto"/>
        <w:outlineLvl w:val="2"/>
        <w:rPr>
          <w:rFonts w:asciiTheme="majorHAnsi" w:eastAsia="Times New Roman" w:hAnsiTheme="majorHAnsi" w:cs="Times New Roman"/>
          <w:b/>
          <w:bCs/>
          <w:kern w:val="0"/>
          <w:sz w:val="27"/>
          <w:szCs w:val="27"/>
          <w:lang w:eastAsia="en-GB"/>
          <w14:ligatures w14:val="none"/>
        </w:rPr>
      </w:pPr>
      <w:r w:rsidRPr="00B64276">
        <w:rPr>
          <w:rFonts w:asciiTheme="majorHAnsi" w:eastAsia="Times New Roman" w:hAnsiTheme="majorHAnsi" w:cs="Times New Roman"/>
          <w:b/>
          <w:bCs/>
          <w:kern w:val="0"/>
          <w:sz w:val="27"/>
          <w:szCs w:val="27"/>
          <w:lang w:eastAsia="en-GB"/>
          <w14:ligatures w14:val="none"/>
        </w:rPr>
        <w:t>Introduction</w:t>
      </w:r>
    </w:p>
    <w:p w14:paraId="687078E9"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This Professional Development Plan (PDP) has been formulated based on a comprehensive self-evaluation of my communication skills as a manager within the trade union, integrating insights derived from hypothetical feedback analysis. The primary aim of this PDP is to systematically address identified areas for improvement, thereby enhancing my overall communication effectiveness, fostering stronger relationships with members and stakeholders, and contributing more significantly to the union's objectives.</w:t>
      </w:r>
    </w:p>
    <w:p w14:paraId="3DDB7D27" w14:textId="77777777" w:rsidR="00B64276" w:rsidRPr="00B64276" w:rsidRDefault="00B64276" w:rsidP="00B64276">
      <w:pPr>
        <w:spacing w:before="100" w:beforeAutospacing="1" w:after="100" w:afterAutospacing="1" w:line="240" w:lineRule="auto"/>
        <w:outlineLvl w:val="2"/>
        <w:rPr>
          <w:rFonts w:asciiTheme="majorHAnsi" w:eastAsia="Times New Roman" w:hAnsiTheme="majorHAnsi" w:cs="Times New Roman"/>
          <w:b/>
          <w:bCs/>
          <w:kern w:val="0"/>
          <w:sz w:val="27"/>
          <w:szCs w:val="27"/>
          <w:lang w:eastAsia="en-GB"/>
          <w14:ligatures w14:val="none"/>
        </w:rPr>
      </w:pPr>
      <w:r w:rsidRPr="00B64276">
        <w:rPr>
          <w:rFonts w:asciiTheme="majorHAnsi" w:eastAsia="Times New Roman" w:hAnsiTheme="majorHAnsi" w:cs="Times New Roman"/>
          <w:b/>
          <w:bCs/>
          <w:kern w:val="0"/>
          <w:sz w:val="27"/>
          <w:szCs w:val="27"/>
          <w:lang w:eastAsia="en-GB"/>
          <w14:ligatures w14:val="none"/>
        </w:rPr>
        <w:t>Overall Goal</w:t>
      </w:r>
    </w:p>
    <w:p w14:paraId="285D1A56"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To become a highly adaptable and effective communicator, capable of tailoring verbal and written messages to diverse audiences and contexts within the trade union, thereby strengthening member engagement, facilitating successful negotiations, and promoting a culture of clarity and trust.</w:t>
      </w:r>
    </w:p>
    <w:p w14:paraId="16C80E91" w14:textId="77777777" w:rsidR="00B64276" w:rsidRPr="00B64276" w:rsidRDefault="00B64276" w:rsidP="00B64276">
      <w:pPr>
        <w:spacing w:before="100" w:beforeAutospacing="1" w:after="100" w:afterAutospacing="1" w:line="240" w:lineRule="auto"/>
        <w:outlineLvl w:val="2"/>
        <w:rPr>
          <w:rFonts w:asciiTheme="majorHAnsi" w:eastAsia="Times New Roman" w:hAnsiTheme="majorHAnsi" w:cs="Times New Roman"/>
          <w:b/>
          <w:bCs/>
          <w:kern w:val="0"/>
          <w:sz w:val="27"/>
          <w:szCs w:val="27"/>
          <w:lang w:eastAsia="en-GB"/>
          <w14:ligatures w14:val="none"/>
        </w:rPr>
      </w:pPr>
      <w:r w:rsidRPr="00B64276">
        <w:rPr>
          <w:rFonts w:asciiTheme="majorHAnsi" w:eastAsia="Times New Roman" w:hAnsiTheme="majorHAnsi" w:cs="Times New Roman"/>
          <w:b/>
          <w:bCs/>
          <w:kern w:val="0"/>
          <w:sz w:val="27"/>
          <w:szCs w:val="27"/>
          <w:lang w:eastAsia="en-GB"/>
          <w14:ligatures w14:val="none"/>
        </w:rPr>
        <w:t>Communication Goals and Action Plan</w:t>
      </w:r>
    </w:p>
    <w:p w14:paraId="13E3826E" w14:textId="77777777" w:rsidR="00B64276" w:rsidRPr="00B64276" w:rsidRDefault="00B64276" w:rsidP="00B642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B64276">
        <w:rPr>
          <w:rFonts w:asciiTheme="majorHAnsi" w:eastAsia="Times New Roman" w:hAnsiTheme="majorHAnsi" w:cs="Times New Roman"/>
          <w:kern w:val="0"/>
          <w:lang w:eastAsia="en-GB"/>
          <w14:ligatures w14:val="none"/>
        </w:rPr>
        <w:t>| Goal (SMART)</w:t>
      </w:r>
    </w:p>
    <w:p w14:paraId="2AC5E1A6" w14:textId="77777777" w:rsidR="00F77C9E" w:rsidRPr="00F77C9E" w:rsidRDefault="00996F90" w:rsidP="00F77C9E">
      <w:pPr>
        <w:rPr>
          <w:b/>
          <w:bCs/>
          <w:u w:val="single"/>
        </w:rPr>
      </w:pPr>
      <w:r>
        <w:rPr>
          <w:b/>
          <w:bCs/>
          <w:u w:val="single"/>
        </w:rPr>
        <w:br/>
      </w:r>
      <w:r w:rsidR="00F77C9E" w:rsidRPr="00F77C9E">
        <w:rPr>
          <w:b/>
          <w:bCs/>
          <w:u w:val="single"/>
        </w:rPr>
        <w:t>References</w:t>
      </w:r>
    </w:p>
    <w:p w14:paraId="046E5CFF" w14:textId="77777777" w:rsidR="00F77C9E" w:rsidRPr="00F77C9E" w:rsidRDefault="00F77C9E" w:rsidP="00F77C9E">
      <w:pPr>
        <w:numPr>
          <w:ilvl w:val="0"/>
          <w:numId w:val="19"/>
        </w:numPr>
        <w:rPr>
          <w:b/>
          <w:bCs/>
          <w:u w:val="single"/>
        </w:rPr>
      </w:pPr>
      <w:r w:rsidRPr="00F77C9E">
        <w:rPr>
          <w:b/>
          <w:bCs/>
          <w:u w:val="single"/>
        </w:rPr>
        <w:t xml:space="preserve">Adams, J. S. (1963). Toward an understanding of inequity. </w:t>
      </w:r>
      <w:r w:rsidRPr="00F77C9E">
        <w:rPr>
          <w:b/>
          <w:bCs/>
          <w:i/>
          <w:iCs/>
          <w:u w:val="single"/>
        </w:rPr>
        <w:t>Journal of Abnormal and Social Psychology</w:t>
      </w:r>
      <w:r w:rsidRPr="00F77C9E">
        <w:rPr>
          <w:b/>
          <w:bCs/>
          <w:u w:val="single"/>
        </w:rPr>
        <w:t xml:space="preserve">, </w:t>
      </w:r>
      <w:r w:rsidRPr="00F77C9E">
        <w:rPr>
          <w:b/>
          <w:bCs/>
          <w:i/>
          <w:iCs/>
          <w:u w:val="single"/>
        </w:rPr>
        <w:t>67</w:t>
      </w:r>
      <w:r w:rsidRPr="00F77C9E">
        <w:rPr>
          <w:b/>
          <w:bCs/>
          <w:u w:val="single"/>
        </w:rPr>
        <w:t>(5), 422–436.</w:t>
      </w:r>
    </w:p>
    <w:p w14:paraId="18F26540" w14:textId="77777777" w:rsidR="00F77C9E" w:rsidRPr="00F77C9E" w:rsidRDefault="00F77C9E" w:rsidP="00F77C9E">
      <w:pPr>
        <w:numPr>
          <w:ilvl w:val="0"/>
          <w:numId w:val="19"/>
        </w:numPr>
        <w:rPr>
          <w:b/>
          <w:bCs/>
          <w:u w:val="single"/>
        </w:rPr>
      </w:pPr>
      <w:r w:rsidRPr="00F77C9E">
        <w:rPr>
          <w:b/>
          <w:bCs/>
          <w:u w:val="single"/>
        </w:rPr>
        <w:lastRenderedPageBreak/>
        <w:t xml:space="preserve">Argyle, M. (1994). </w:t>
      </w:r>
      <w:r w:rsidRPr="00F77C9E">
        <w:rPr>
          <w:b/>
          <w:bCs/>
          <w:i/>
          <w:iCs/>
          <w:u w:val="single"/>
        </w:rPr>
        <w:t>The Psychology of Interpersonal Behaviour</w:t>
      </w:r>
      <w:r w:rsidRPr="00F77C9E">
        <w:rPr>
          <w:b/>
          <w:bCs/>
          <w:u w:val="single"/>
        </w:rPr>
        <w:t xml:space="preserve"> (5th ed.). Penguin Books.</w:t>
      </w:r>
    </w:p>
    <w:p w14:paraId="26230E16" w14:textId="77777777" w:rsidR="00F77C9E" w:rsidRPr="00F77C9E" w:rsidRDefault="00F77C9E" w:rsidP="00F77C9E">
      <w:pPr>
        <w:numPr>
          <w:ilvl w:val="0"/>
          <w:numId w:val="19"/>
        </w:numPr>
        <w:rPr>
          <w:b/>
          <w:bCs/>
          <w:u w:val="single"/>
        </w:rPr>
      </w:pPr>
      <w:r w:rsidRPr="00F77C9E">
        <w:rPr>
          <w:b/>
          <w:bCs/>
          <w:u w:val="single"/>
        </w:rPr>
        <w:t xml:space="preserve">Bass, B. M., &amp; Riggio, R. E. (2006). </w:t>
      </w:r>
      <w:r w:rsidRPr="00F77C9E">
        <w:rPr>
          <w:b/>
          <w:bCs/>
          <w:i/>
          <w:iCs/>
          <w:u w:val="single"/>
        </w:rPr>
        <w:t>Transformational Leadership</w:t>
      </w:r>
      <w:r w:rsidRPr="00F77C9E">
        <w:rPr>
          <w:b/>
          <w:bCs/>
          <w:u w:val="single"/>
        </w:rPr>
        <w:t xml:space="preserve"> (2nd ed.). Lawrence Erlbaum Associates.</w:t>
      </w:r>
    </w:p>
    <w:p w14:paraId="29E0208F" w14:textId="77777777" w:rsidR="00F77C9E" w:rsidRPr="00F77C9E" w:rsidRDefault="00F77C9E" w:rsidP="00F77C9E">
      <w:pPr>
        <w:numPr>
          <w:ilvl w:val="0"/>
          <w:numId w:val="19"/>
        </w:numPr>
        <w:rPr>
          <w:u w:val="single"/>
        </w:rPr>
      </w:pPr>
      <w:r w:rsidRPr="00F77C9E">
        <w:rPr>
          <w:b/>
          <w:bCs/>
          <w:u w:val="single"/>
        </w:rPr>
        <w:t>Drucker, P</w:t>
      </w:r>
      <w:r w:rsidRPr="00F77C9E">
        <w:rPr>
          <w:u w:val="single"/>
        </w:rPr>
        <w:t xml:space="preserve">. F. (1974). </w:t>
      </w:r>
      <w:r w:rsidRPr="00F77C9E">
        <w:rPr>
          <w:i/>
          <w:iCs/>
          <w:u w:val="single"/>
        </w:rPr>
        <w:t>Management: Tasks, Responsibilities, Practices</w:t>
      </w:r>
      <w:r w:rsidRPr="00F77C9E">
        <w:rPr>
          <w:u w:val="single"/>
        </w:rPr>
        <w:t>. Harper &amp; Row.</w:t>
      </w:r>
    </w:p>
    <w:p w14:paraId="164DDB21" w14:textId="77777777" w:rsidR="00F77C9E" w:rsidRPr="00F77C9E" w:rsidRDefault="00F77C9E" w:rsidP="00F77C9E">
      <w:pPr>
        <w:numPr>
          <w:ilvl w:val="0"/>
          <w:numId w:val="19"/>
        </w:numPr>
        <w:rPr>
          <w:b/>
          <w:bCs/>
          <w:u w:val="single"/>
        </w:rPr>
      </w:pPr>
      <w:r w:rsidRPr="00F77C9E">
        <w:rPr>
          <w:u w:val="single"/>
        </w:rPr>
        <w:t>Goleman</w:t>
      </w:r>
      <w:r w:rsidRPr="00F77C9E">
        <w:rPr>
          <w:b/>
          <w:bCs/>
          <w:u w:val="single"/>
        </w:rPr>
        <w:t xml:space="preserve">, D. (1998). </w:t>
      </w:r>
      <w:r w:rsidRPr="00F77C9E">
        <w:rPr>
          <w:b/>
          <w:bCs/>
          <w:i/>
          <w:iCs/>
          <w:u w:val="single"/>
        </w:rPr>
        <w:t>Working with Emotional Intelligence</w:t>
      </w:r>
      <w:r w:rsidRPr="00F77C9E">
        <w:rPr>
          <w:b/>
          <w:bCs/>
          <w:u w:val="single"/>
        </w:rPr>
        <w:t>. Bantam Books.</w:t>
      </w:r>
    </w:p>
    <w:p w14:paraId="43DC37E9" w14:textId="77777777" w:rsidR="00F77C9E" w:rsidRPr="00F77C9E" w:rsidRDefault="00F77C9E" w:rsidP="00F77C9E">
      <w:pPr>
        <w:numPr>
          <w:ilvl w:val="0"/>
          <w:numId w:val="19"/>
        </w:numPr>
        <w:rPr>
          <w:b/>
          <w:bCs/>
          <w:u w:val="single"/>
        </w:rPr>
      </w:pPr>
      <w:r w:rsidRPr="00F77C9E">
        <w:rPr>
          <w:b/>
          <w:bCs/>
          <w:u w:val="single"/>
        </w:rPr>
        <w:t xml:space="preserve">Herzberg, F. (1968). One more time: How do you motivate employees? </w:t>
      </w:r>
      <w:r w:rsidRPr="00F77C9E">
        <w:rPr>
          <w:b/>
          <w:bCs/>
          <w:i/>
          <w:iCs/>
          <w:u w:val="single"/>
        </w:rPr>
        <w:t>Harvard Business Review</w:t>
      </w:r>
      <w:r w:rsidRPr="00F77C9E">
        <w:rPr>
          <w:b/>
          <w:bCs/>
          <w:u w:val="single"/>
        </w:rPr>
        <w:t xml:space="preserve">, </w:t>
      </w:r>
      <w:r w:rsidRPr="00F77C9E">
        <w:rPr>
          <w:b/>
          <w:bCs/>
          <w:i/>
          <w:iCs/>
          <w:u w:val="single"/>
        </w:rPr>
        <w:t>46</w:t>
      </w:r>
      <w:r w:rsidRPr="00F77C9E">
        <w:rPr>
          <w:b/>
          <w:bCs/>
          <w:u w:val="single"/>
        </w:rPr>
        <w:t>(1), 53–62.</w:t>
      </w:r>
    </w:p>
    <w:p w14:paraId="7259C4F3" w14:textId="77777777" w:rsidR="00F77C9E" w:rsidRPr="00F77C9E" w:rsidRDefault="00F77C9E" w:rsidP="00F77C9E">
      <w:pPr>
        <w:numPr>
          <w:ilvl w:val="0"/>
          <w:numId w:val="19"/>
        </w:numPr>
        <w:rPr>
          <w:b/>
          <w:bCs/>
          <w:u w:val="single"/>
        </w:rPr>
      </w:pPr>
      <w:r w:rsidRPr="00F77C9E">
        <w:rPr>
          <w:b/>
          <w:bCs/>
          <w:u w:val="single"/>
        </w:rPr>
        <w:t xml:space="preserve">Kaplan, A. M., &amp; Haenlein, M. (2010). Users of the world, unite! The challenges and opportunities of </w:t>
      </w:r>
      <w:proofErr w:type="gramStart"/>
      <w:r w:rsidRPr="00F77C9E">
        <w:rPr>
          <w:b/>
          <w:bCs/>
          <w:u w:val="single"/>
        </w:rPr>
        <w:t>Social Media</w:t>
      </w:r>
      <w:proofErr w:type="gramEnd"/>
      <w:r w:rsidRPr="00F77C9E">
        <w:rPr>
          <w:b/>
          <w:bCs/>
          <w:u w:val="single"/>
        </w:rPr>
        <w:t xml:space="preserve">. </w:t>
      </w:r>
      <w:r w:rsidRPr="00F77C9E">
        <w:rPr>
          <w:b/>
          <w:bCs/>
          <w:i/>
          <w:iCs/>
          <w:u w:val="single"/>
        </w:rPr>
        <w:t>Business Horizons</w:t>
      </w:r>
      <w:r w:rsidRPr="00F77C9E">
        <w:rPr>
          <w:b/>
          <w:bCs/>
          <w:u w:val="single"/>
        </w:rPr>
        <w:t xml:space="preserve">, </w:t>
      </w:r>
      <w:r w:rsidRPr="00F77C9E">
        <w:rPr>
          <w:b/>
          <w:bCs/>
          <w:i/>
          <w:iCs/>
          <w:u w:val="single"/>
        </w:rPr>
        <w:t>53</w:t>
      </w:r>
      <w:r w:rsidRPr="00F77C9E">
        <w:rPr>
          <w:b/>
          <w:bCs/>
          <w:u w:val="single"/>
        </w:rPr>
        <w:t>(1), 59–68.</w:t>
      </w:r>
    </w:p>
    <w:p w14:paraId="78E5A046" w14:textId="77777777" w:rsidR="00F77C9E" w:rsidRPr="00F77C9E" w:rsidRDefault="00F77C9E" w:rsidP="00F77C9E">
      <w:pPr>
        <w:numPr>
          <w:ilvl w:val="0"/>
          <w:numId w:val="19"/>
        </w:numPr>
        <w:rPr>
          <w:b/>
          <w:bCs/>
          <w:u w:val="single"/>
        </w:rPr>
      </w:pPr>
      <w:r w:rsidRPr="00F77C9E">
        <w:rPr>
          <w:b/>
          <w:bCs/>
          <w:u w:val="single"/>
        </w:rPr>
        <w:t xml:space="preserve">Kotter, J. P. (1990). </w:t>
      </w:r>
      <w:r w:rsidRPr="00F77C9E">
        <w:rPr>
          <w:b/>
          <w:bCs/>
          <w:i/>
          <w:iCs/>
          <w:u w:val="single"/>
        </w:rPr>
        <w:t>A Force for Change: How Leadership Differs from Management</w:t>
      </w:r>
      <w:r w:rsidRPr="00F77C9E">
        <w:rPr>
          <w:b/>
          <w:bCs/>
          <w:u w:val="single"/>
        </w:rPr>
        <w:t>. Free Press.</w:t>
      </w:r>
    </w:p>
    <w:p w14:paraId="1C42A354" w14:textId="77777777" w:rsidR="00F77C9E" w:rsidRPr="00F77C9E" w:rsidRDefault="00F77C9E" w:rsidP="00F77C9E">
      <w:pPr>
        <w:numPr>
          <w:ilvl w:val="0"/>
          <w:numId w:val="19"/>
        </w:numPr>
        <w:rPr>
          <w:b/>
          <w:bCs/>
          <w:u w:val="single"/>
        </w:rPr>
      </w:pPr>
      <w:r w:rsidRPr="00F77C9E">
        <w:rPr>
          <w:b/>
          <w:bCs/>
          <w:u w:val="single"/>
        </w:rPr>
        <w:t xml:space="preserve">Lim, J., &amp; Ling, C. (2012). A study of the effectiveness of internal communication in organisations. </w:t>
      </w:r>
      <w:r w:rsidRPr="00F77C9E">
        <w:rPr>
          <w:b/>
          <w:bCs/>
          <w:i/>
          <w:iCs/>
          <w:u w:val="single"/>
        </w:rPr>
        <w:t>Journal of Business and Management</w:t>
      </w:r>
      <w:r w:rsidRPr="00F77C9E">
        <w:rPr>
          <w:b/>
          <w:bCs/>
          <w:u w:val="single"/>
        </w:rPr>
        <w:t xml:space="preserve">, </w:t>
      </w:r>
      <w:r w:rsidRPr="00F77C9E">
        <w:rPr>
          <w:b/>
          <w:bCs/>
          <w:i/>
          <w:iCs/>
          <w:u w:val="single"/>
        </w:rPr>
        <w:t>4</w:t>
      </w:r>
      <w:r w:rsidRPr="00F77C9E">
        <w:rPr>
          <w:b/>
          <w:bCs/>
          <w:u w:val="single"/>
        </w:rPr>
        <w:t>(2), 23-30.</w:t>
      </w:r>
    </w:p>
    <w:p w14:paraId="438097C5" w14:textId="77777777" w:rsidR="00F77C9E" w:rsidRPr="00F77C9E" w:rsidRDefault="00F77C9E" w:rsidP="00F77C9E">
      <w:pPr>
        <w:numPr>
          <w:ilvl w:val="0"/>
          <w:numId w:val="19"/>
        </w:numPr>
        <w:rPr>
          <w:b/>
          <w:bCs/>
          <w:u w:val="single"/>
        </w:rPr>
      </w:pPr>
      <w:r w:rsidRPr="00F77C9E">
        <w:rPr>
          <w:b/>
          <w:bCs/>
          <w:u w:val="single"/>
        </w:rPr>
        <w:t xml:space="preserve">Maslow, A. H. (1943). A theory of human motivation. </w:t>
      </w:r>
      <w:r w:rsidRPr="00F77C9E">
        <w:rPr>
          <w:b/>
          <w:bCs/>
          <w:i/>
          <w:iCs/>
          <w:u w:val="single"/>
        </w:rPr>
        <w:t>Psychological Review</w:t>
      </w:r>
      <w:r w:rsidRPr="00F77C9E">
        <w:rPr>
          <w:b/>
          <w:bCs/>
          <w:u w:val="single"/>
        </w:rPr>
        <w:t xml:space="preserve">, </w:t>
      </w:r>
      <w:r w:rsidRPr="00F77C9E">
        <w:rPr>
          <w:b/>
          <w:bCs/>
          <w:i/>
          <w:iCs/>
          <w:u w:val="single"/>
        </w:rPr>
        <w:t>50</w:t>
      </w:r>
      <w:r w:rsidRPr="00F77C9E">
        <w:rPr>
          <w:b/>
          <w:bCs/>
          <w:u w:val="single"/>
        </w:rPr>
        <w:t>(4), 370–396.</w:t>
      </w:r>
    </w:p>
    <w:p w14:paraId="374B3AA2" w14:textId="77777777" w:rsidR="00F77C9E" w:rsidRPr="00F77C9E" w:rsidRDefault="00F77C9E" w:rsidP="00F77C9E">
      <w:pPr>
        <w:numPr>
          <w:ilvl w:val="0"/>
          <w:numId w:val="19"/>
        </w:numPr>
        <w:rPr>
          <w:b/>
          <w:bCs/>
          <w:u w:val="single"/>
        </w:rPr>
      </w:pPr>
      <w:r w:rsidRPr="00F77C9E">
        <w:rPr>
          <w:b/>
          <w:bCs/>
          <w:u w:val="single"/>
        </w:rPr>
        <w:t xml:space="preserve">McClelland, D. C. (1961). </w:t>
      </w:r>
      <w:r w:rsidRPr="00F77C9E">
        <w:rPr>
          <w:b/>
          <w:bCs/>
          <w:i/>
          <w:iCs/>
          <w:u w:val="single"/>
        </w:rPr>
        <w:t>The Achieving Society</w:t>
      </w:r>
      <w:r w:rsidRPr="00F77C9E">
        <w:rPr>
          <w:b/>
          <w:bCs/>
          <w:u w:val="single"/>
        </w:rPr>
        <w:t>. Van Nostrand.</w:t>
      </w:r>
    </w:p>
    <w:p w14:paraId="5C151910" w14:textId="77777777" w:rsidR="00F77C9E" w:rsidRPr="00F77C9E" w:rsidRDefault="00F77C9E" w:rsidP="00F77C9E">
      <w:pPr>
        <w:numPr>
          <w:ilvl w:val="0"/>
          <w:numId w:val="19"/>
        </w:numPr>
        <w:rPr>
          <w:b/>
          <w:bCs/>
          <w:u w:val="single"/>
        </w:rPr>
      </w:pPr>
      <w:r w:rsidRPr="00F77C9E">
        <w:rPr>
          <w:b/>
          <w:bCs/>
          <w:u w:val="single"/>
        </w:rPr>
        <w:t xml:space="preserve">McClelland, D. C., &amp; Burnham, D. H. (1976). Power is the great motivator. </w:t>
      </w:r>
      <w:r w:rsidRPr="00F77C9E">
        <w:rPr>
          <w:b/>
          <w:bCs/>
          <w:i/>
          <w:iCs/>
          <w:u w:val="single"/>
        </w:rPr>
        <w:t>Harvard Business Review</w:t>
      </w:r>
      <w:r w:rsidRPr="00F77C9E">
        <w:rPr>
          <w:b/>
          <w:bCs/>
          <w:u w:val="single"/>
        </w:rPr>
        <w:t xml:space="preserve">, </w:t>
      </w:r>
      <w:r w:rsidRPr="00F77C9E">
        <w:rPr>
          <w:b/>
          <w:bCs/>
          <w:i/>
          <w:iCs/>
          <w:u w:val="single"/>
        </w:rPr>
        <w:t>54</w:t>
      </w:r>
      <w:r w:rsidRPr="00F77C9E">
        <w:rPr>
          <w:b/>
          <w:bCs/>
          <w:u w:val="single"/>
        </w:rPr>
        <w:t>(2), 159–166.</w:t>
      </w:r>
    </w:p>
    <w:p w14:paraId="306F6E34" w14:textId="77777777" w:rsidR="00F77C9E" w:rsidRPr="00F77C9E" w:rsidRDefault="00F77C9E" w:rsidP="00F77C9E">
      <w:pPr>
        <w:numPr>
          <w:ilvl w:val="0"/>
          <w:numId w:val="19"/>
        </w:numPr>
        <w:rPr>
          <w:b/>
          <w:bCs/>
          <w:u w:val="single"/>
        </w:rPr>
      </w:pPr>
      <w:r w:rsidRPr="00F77C9E">
        <w:rPr>
          <w:b/>
          <w:bCs/>
          <w:u w:val="single"/>
        </w:rPr>
        <w:t xml:space="preserve">Mintzberg, H. (1973). </w:t>
      </w:r>
      <w:r w:rsidRPr="00F77C9E">
        <w:rPr>
          <w:b/>
          <w:bCs/>
          <w:i/>
          <w:iCs/>
          <w:u w:val="single"/>
        </w:rPr>
        <w:t>The Nature of Managerial Work</w:t>
      </w:r>
      <w:r w:rsidRPr="00F77C9E">
        <w:rPr>
          <w:b/>
          <w:bCs/>
          <w:u w:val="single"/>
        </w:rPr>
        <w:t>. Harper &amp; Row.</w:t>
      </w:r>
    </w:p>
    <w:p w14:paraId="3DE3903D" w14:textId="77777777" w:rsidR="00F77C9E" w:rsidRPr="00F77C9E" w:rsidRDefault="00F77C9E" w:rsidP="00F77C9E">
      <w:pPr>
        <w:numPr>
          <w:ilvl w:val="0"/>
          <w:numId w:val="19"/>
        </w:numPr>
        <w:rPr>
          <w:b/>
          <w:bCs/>
          <w:u w:val="single"/>
        </w:rPr>
      </w:pPr>
      <w:r w:rsidRPr="00F77C9E">
        <w:rPr>
          <w:b/>
          <w:bCs/>
          <w:u w:val="single"/>
        </w:rPr>
        <w:t xml:space="preserve">Nonaka, I., &amp; Takeuchi, H. (1995). </w:t>
      </w:r>
      <w:r w:rsidRPr="00F77C9E">
        <w:rPr>
          <w:b/>
          <w:bCs/>
          <w:i/>
          <w:iCs/>
          <w:u w:val="single"/>
        </w:rPr>
        <w:t>The Knowledge-Creating Company: How Japanese Companies Create the Dynamics of Innovation</w:t>
      </w:r>
      <w:r w:rsidRPr="00F77C9E">
        <w:rPr>
          <w:b/>
          <w:bCs/>
          <w:u w:val="single"/>
        </w:rPr>
        <w:t>. Oxford University Press.</w:t>
      </w:r>
    </w:p>
    <w:p w14:paraId="5E215BB6" w14:textId="77777777" w:rsidR="00F77C9E" w:rsidRPr="00F77C9E" w:rsidRDefault="00F77C9E" w:rsidP="00F77C9E">
      <w:pPr>
        <w:numPr>
          <w:ilvl w:val="0"/>
          <w:numId w:val="19"/>
        </w:numPr>
        <w:rPr>
          <w:b/>
          <w:bCs/>
          <w:u w:val="single"/>
        </w:rPr>
      </w:pPr>
      <w:r w:rsidRPr="00F77C9E">
        <w:rPr>
          <w:b/>
          <w:bCs/>
          <w:u w:val="single"/>
        </w:rPr>
        <w:t xml:space="preserve">Pfeffer, J. (1998). </w:t>
      </w:r>
      <w:r w:rsidRPr="00F77C9E">
        <w:rPr>
          <w:b/>
          <w:bCs/>
          <w:i/>
          <w:iCs/>
          <w:u w:val="single"/>
        </w:rPr>
        <w:t>The Human Equation: Building Profits by Putting People First</w:t>
      </w:r>
      <w:r w:rsidRPr="00F77C9E">
        <w:rPr>
          <w:b/>
          <w:bCs/>
          <w:u w:val="single"/>
        </w:rPr>
        <w:t>. Harvard Business School Press.</w:t>
      </w:r>
    </w:p>
    <w:p w14:paraId="40C83001" w14:textId="77777777" w:rsidR="00F77C9E" w:rsidRPr="00F77C9E" w:rsidRDefault="00F77C9E" w:rsidP="00F77C9E">
      <w:pPr>
        <w:numPr>
          <w:ilvl w:val="0"/>
          <w:numId w:val="19"/>
        </w:numPr>
        <w:rPr>
          <w:b/>
          <w:bCs/>
          <w:u w:val="single"/>
        </w:rPr>
      </w:pPr>
      <w:r w:rsidRPr="00F77C9E">
        <w:rPr>
          <w:b/>
          <w:bCs/>
          <w:u w:val="single"/>
        </w:rPr>
        <w:t xml:space="preserve">Robbins, S. P., &amp; Judge, T. A. (2017). </w:t>
      </w:r>
      <w:r w:rsidRPr="00F77C9E">
        <w:rPr>
          <w:b/>
          <w:bCs/>
          <w:i/>
          <w:iCs/>
          <w:u w:val="single"/>
        </w:rPr>
        <w:t xml:space="preserve">Organizational </w:t>
      </w:r>
      <w:proofErr w:type="spellStart"/>
      <w:r w:rsidRPr="00F77C9E">
        <w:rPr>
          <w:b/>
          <w:bCs/>
          <w:i/>
          <w:iCs/>
          <w:u w:val="single"/>
        </w:rPr>
        <w:t>Behavior</w:t>
      </w:r>
      <w:proofErr w:type="spellEnd"/>
      <w:r w:rsidRPr="00F77C9E">
        <w:rPr>
          <w:b/>
          <w:bCs/>
          <w:u w:val="single"/>
        </w:rPr>
        <w:t xml:space="preserve"> (17th ed.). Pearson.</w:t>
      </w:r>
    </w:p>
    <w:p w14:paraId="5AE67CDD" w14:textId="77777777" w:rsidR="00F77C9E" w:rsidRPr="00F77C9E" w:rsidRDefault="00F77C9E" w:rsidP="00F77C9E">
      <w:pPr>
        <w:numPr>
          <w:ilvl w:val="0"/>
          <w:numId w:val="19"/>
        </w:numPr>
        <w:rPr>
          <w:b/>
          <w:bCs/>
          <w:u w:val="single"/>
        </w:rPr>
      </w:pPr>
      <w:r w:rsidRPr="00F77C9E">
        <w:rPr>
          <w:b/>
          <w:bCs/>
          <w:u w:val="single"/>
        </w:rPr>
        <w:t xml:space="preserve">Schein, E. H. (1996). Culture: The missing concept in organization studies. </w:t>
      </w:r>
      <w:r w:rsidRPr="00F77C9E">
        <w:rPr>
          <w:b/>
          <w:bCs/>
          <w:i/>
          <w:iCs/>
          <w:u w:val="single"/>
        </w:rPr>
        <w:t>Administrative Science Quarterly</w:t>
      </w:r>
      <w:r w:rsidRPr="00F77C9E">
        <w:rPr>
          <w:b/>
          <w:bCs/>
          <w:u w:val="single"/>
        </w:rPr>
        <w:t xml:space="preserve">, </w:t>
      </w:r>
      <w:r w:rsidRPr="00F77C9E">
        <w:rPr>
          <w:b/>
          <w:bCs/>
          <w:i/>
          <w:iCs/>
          <w:u w:val="single"/>
        </w:rPr>
        <w:t>41</w:t>
      </w:r>
      <w:r w:rsidRPr="00F77C9E">
        <w:rPr>
          <w:b/>
          <w:bCs/>
          <w:u w:val="single"/>
        </w:rPr>
        <w:t>(2), 229–240.</w:t>
      </w:r>
    </w:p>
    <w:p w14:paraId="575116B5" w14:textId="77777777" w:rsidR="00F77C9E" w:rsidRPr="00F77C9E" w:rsidRDefault="00F77C9E" w:rsidP="00F77C9E">
      <w:pPr>
        <w:numPr>
          <w:ilvl w:val="0"/>
          <w:numId w:val="19"/>
        </w:numPr>
        <w:rPr>
          <w:b/>
          <w:bCs/>
          <w:u w:val="single"/>
        </w:rPr>
      </w:pPr>
      <w:r w:rsidRPr="00F77C9E">
        <w:rPr>
          <w:b/>
          <w:bCs/>
          <w:u w:val="single"/>
        </w:rPr>
        <w:lastRenderedPageBreak/>
        <w:t xml:space="preserve">Shannon, C. E., &amp; Weaver, W. (1949). </w:t>
      </w:r>
      <w:r w:rsidRPr="00F77C9E">
        <w:rPr>
          <w:b/>
          <w:bCs/>
          <w:i/>
          <w:iCs/>
          <w:u w:val="single"/>
        </w:rPr>
        <w:t>The Mathematical Theory of Communication</w:t>
      </w:r>
      <w:r w:rsidRPr="00F77C9E">
        <w:rPr>
          <w:b/>
          <w:bCs/>
          <w:u w:val="single"/>
        </w:rPr>
        <w:t>. University of Illinois Press.</w:t>
      </w:r>
    </w:p>
    <w:p w14:paraId="5CE0F139" w14:textId="77777777" w:rsidR="00F77C9E" w:rsidRPr="00F77C9E" w:rsidRDefault="00F77C9E" w:rsidP="00F77C9E">
      <w:pPr>
        <w:numPr>
          <w:ilvl w:val="0"/>
          <w:numId w:val="19"/>
        </w:numPr>
        <w:rPr>
          <w:b/>
          <w:bCs/>
          <w:u w:val="single"/>
        </w:rPr>
      </w:pPr>
      <w:r w:rsidRPr="00F77C9E">
        <w:rPr>
          <w:b/>
          <w:bCs/>
          <w:u w:val="single"/>
        </w:rPr>
        <w:t xml:space="preserve">Vroom, V. H. (1964). </w:t>
      </w:r>
      <w:r w:rsidRPr="00F77C9E">
        <w:rPr>
          <w:b/>
          <w:bCs/>
          <w:i/>
          <w:iCs/>
          <w:u w:val="single"/>
        </w:rPr>
        <w:t>Work and Motivation</w:t>
      </w:r>
      <w:r w:rsidRPr="00F77C9E">
        <w:rPr>
          <w:b/>
          <w:bCs/>
          <w:u w:val="single"/>
        </w:rPr>
        <w:t>. John Wiley &amp; Sons.</w:t>
      </w:r>
    </w:p>
    <w:p w14:paraId="3C92FEE2" w14:textId="77777777" w:rsidR="00F77C9E" w:rsidRPr="00F77C9E" w:rsidRDefault="00F77C9E" w:rsidP="00F77C9E">
      <w:pPr>
        <w:numPr>
          <w:ilvl w:val="0"/>
          <w:numId w:val="19"/>
        </w:numPr>
        <w:rPr>
          <w:b/>
          <w:bCs/>
          <w:u w:val="single"/>
        </w:rPr>
      </w:pPr>
      <w:r w:rsidRPr="00F77C9E">
        <w:rPr>
          <w:b/>
          <w:bCs/>
          <w:u w:val="single"/>
        </w:rPr>
        <w:t xml:space="preserve">Wahba, M. A., &amp; Bridwell, L. G. (1976). Maslow reconsidered: A review of research on the need hierarchy theory. </w:t>
      </w:r>
      <w:r w:rsidRPr="00F77C9E">
        <w:rPr>
          <w:b/>
          <w:bCs/>
          <w:i/>
          <w:iCs/>
          <w:u w:val="single"/>
        </w:rPr>
        <w:t xml:space="preserve">Organizational </w:t>
      </w:r>
      <w:proofErr w:type="spellStart"/>
      <w:r w:rsidRPr="00F77C9E">
        <w:rPr>
          <w:b/>
          <w:bCs/>
          <w:i/>
          <w:iCs/>
          <w:u w:val="single"/>
        </w:rPr>
        <w:t>Behavior</w:t>
      </w:r>
      <w:proofErr w:type="spellEnd"/>
      <w:r w:rsidRPr="00F77C9E">
        <w:rPr>
          <w:b/>
          <w:bCs/>
          <w:i/>
          <w:iCs/>
          <w:u w:val="single"/>
        </w:rPr>
        <w:t xml:space="preserve"> and Human Performance</w:t>
      </w:r>
      <w:r w:rsidRPr="00F77C9E">
        <w:rPr>
          <w:b/>
          <w:bCs/>
          <w:u w:val="single"/>
        </w:rPr>
        <w:t xml:space="preserve">, </w:t>
      </w:r>
      <w:r w:rsidRPr="00F77C9E">
        <w:rPr>
          <w:b/>
          <w:bCs/>
          <w:i/>
          <w:iCs/>
          <w:u w:val="single"/>
        </w:rPr>
        <w:t>15</w:t>
      </w:r>
      <w:r w:rsidRPr="00F77C9E">
        <w:rPr>
          <w:b/>
          <w:bCs/>
          <w:u w:val="single"/>
        </w:rPr>
        <w:t>(2), 212–240.</w:t>
      </w:r>
    </w:p>
    <w:p w14:paraId="752E8971" w14:textId="6E490282" w:rsidR="00996F90" w:rsidRDefault="00996F90" w:rsidP="00996F90">
      <w:pPr>
        <w:rPr>
          <w:b/>
          <w:bCs/>
          <w:u w:val="single"/>
        </w:rPr>
      </w:pP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p>
    <w:p w14:paraId="155BADD0" w14:textId="77777777" w:rsidR="00996F90" w:rsidRDefault="00996F90" w:rsidP="00996F90">
      <w:pPr>
        <w:rPr>
          <w:b/>
          <w:bCs/>
          <w:u w:val="single"/>
        </w:rPr>
      </w:pPr>
    </w:p>
    <w:p w14:paraId="7927BE7B" w14:textId="77777777" w:rsidR="00996F90" w:rsidRDefault="00996F90" w:rsidP="00996F90">
      <w:pPr>
        <w:rPr>
          <w:b/>
          <w:bCs/>
          <w:u w:val="single"/>
        </w:rPr>
      </w:pPr>
    </w:p>
    <w:p w14:paraId="04C35E30" w14:textId="77777777" w:rsidR="00996F90" w:rsidRDefault="00996F90" w:rsidP="00996F90">
      <w:pPr>
        <w:rPr>
          <w:b/>
          <w:bCs/>
          <w:u w:val="single"/>
        </w:rPr>
      </w:pPr>
    </w:p>
    <w:p w14:paraId="56010152" w14:textId="77777777" w:rsidR="00996F90" w:rsidRDefault="00996F90" w:rsidP="00996F90">
      <w:pPr>
        <w:rPr>
          <w:b/>
          <w:bCs/>
          <w:u w:val="single"/>
        </w:rPr>
      </w:pPr>
    </w:p>
    <w:p w14:paraId="4C20F467" w14:textId="77777777" w:rsidR="00996F90" w:rsidRPr="00272429" w:rsidRDefault="00996F90" w:rsidP="00996F90"/>
    <w:p w14:paraId="274CE47E" w14:textId="77777777" w:rsidR="00996F90" w:rsidRPr="00CF275E" w:rsidRDefault="00996F90" w:rsidP="00996F90"/>
    <w:p w14:paraId="687F825A" w14:textId="77777777" w:rsidR="00996F90" w:rsidRDefault="00996F90" w:rsidP="001E5547">
      <w:pPr>
        <w:jc w:val="center"/>
        <w:rPr>
          <w:b/>
          <w:bCs/>
        </w:rPr>
      </w:pPr>
    </w:p>
    <w:p w14:paraId="4AD3F795" w14:textId="77777777" w:rsidR="0003674D" w:rsidRPr="0003674D" w:rsidRDefault="0003674D" w:rsidP="001E5547">
      <w:pPr>
        <w:jc w:val="center"/>
        <w:rPr>
          <w:b/>
          <w:bCs/>
        </w:rPr>
      </w:pPr>
    </w:p>
    <w:p w14:paraId="015BF135" w14:textId="77777777" w:rsidR="001E5547" w:rsidRDefault="001E5547" w:rsidP="00390998">
      <w:pPr>
        <w:jc w:val="center"/>
      </w:pPr>
    </w:p>
    <w:sectPr w:rsidR="001E55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5211D"/>
    <w:multiLevelType w:val="multilevel"/>
    <w:tmpl w:val="1026E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F65FD6"/>
    <w:multiLevelType w:val="multilevel"/>
    <w:tmpl w:val="DC7C43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1E50E2"/>
    <w:multiLevelType w:val="multilevel"/>
    <w:tmpl w:val="54966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B25868"/>
    <w:multiLevelType w:val="multilevel"/>
    <w:tmpl w:val="B4DE5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AC378A"/>
    <w:multiLevelType w:val="multilevel"/>
    <w:tmpl w:val="D8D88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3617A8"/>
    <w:multiLevelType w:val="multilevel"/>
    <w:tmpl w:val="8CF659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ED0440"/>
    <w:multiLevelType w:val="multilevel"/>
    <w:tmpl w:val="57A272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386A2D"/>
    <w:multiLevelType w:val="multilevel"/>
    <w:tmpl w:val="35B6E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1665ED"/>
    <w:multiLevelType w:val="multilevel"/>
    <w:tmpl w:val="23061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D74C6B"/>
    <w:multiLevelType w:val="multilevel"/>
    <w:tmpl w:val="CB6C9D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D84297"/>
    <w:multiLevelType w:val="multilevel"/>
    <w:tmpl w:val="C1A45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D21811"/>
    <w:multiLevelType w:val="multilevel"/>
    <w:tmpl w:val="DF569B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6423C8"/>
    <w:multiLevelType w:val="multilevel"/>
    <w:tmpl w:val="C4545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436738"/>
    <w:multiLevelType w:val="multilevel"/>
    <w:tmpl w:val="58182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F2597A"/>
    <w:multiLevelType w:val="multilevel"/>
    <w:tmpl w:val="B25E3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041D79"/>
    <w:multiLevelType w:val="multilevel"/>
    <w:tmpl w:val="D0E8F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6909E0"/>
    <w:multiLevelType w:val="multilevel"/>
    <w:tmpl w:val="1946E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3070E0"/>
    <w:multiLevelType w:val="multilevel"/>
    <w:tmpl w:val="00A87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4064C00"/>
    <w:multiLevelType w:val="multilevel"/>
    <w:tmpl w:val="BFAE2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2142779">
    <w:abstractNumId w:val="16"/>
  </w:num>
  <w:num w:numId="2" w16cid:durableId="1285692552">
    <w:abstractNumId w:val="14"/>
  </w:num>
  <w:num w:numId="3" w16cid:durableId="726760287">
    <w:abstractNumId w:val="11"/>
  </w:num>
  <w:num w:numId="4" w16cid:durableId="1050030457">
    <w:abstractNumId w:val="7"/>
  </w:num>
  <w:num w:numId="5" w16cid:durableId="2096705563">
    <w:abstractNumId w:val="6"/>
  </w:num>
  <w:num w:numId="6" w16cid:durableId="750396007">
    <w:abstractNumId w:val="9"/>
  </w:num>
  <w:num w:numId="7" w16cid:durableId="329455435">
    <w:abstractNumId w:val="0"/>
  </w:num>
  <w:num w:numId="8" w16cid:durableId="1050038894">
    <w:abstractNumId w:val="10"/>
  </w:num>
  <w:num w:numId="9" w16cid:durableId="1108699695">
    <w:abstractNumId w:val="3"/>
  </w:num>
  <w:num w:numId="10" w16cid:durableId="1658067962">
    <w:abstractNumId w:val="4"/>
  </w:num>
  <w:num w:numId="11" w16cid:durableId="785319362">
    <w:abstractNumId w:val="18"/>
  </w:num>
  <w:num w:numId="12" w16cid:durableId="539363973">
    <w:abstractNumId w:val="1"/>
  </w:num>
  <w:num w:numId="13" w16cid:durableId="1152331377">
    <w:abstractNumId w:val="12"/>
  </w:num>
  <w:num w:numId="14" w16cid:durableId="1552574104">
    <w:abstractNumId w:val="15"/>
  </w:num>
  <w:num w:numId="15" w16cid:durableId="333653844">
    <w:abstractNumId w:val="5"/>
  </w:num>
  <w:num w:numId="16" w16cid:durableId="1194460290">
    <w:abstractNumId w:val="17"/>
  </w:num>
  <w:num w:numId="17" w16cid:durableId="1832913788">
    <w:abstractNumId w:val="2"/>
  </w:num>
  <w:num w:numId="18" w16cid:durableId="593519457">
    <w:abstractNumId w:val="13"/>
  </w:num>
  <w:num w:numId="19" w16cid:durableId="2433023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998"/>
    <w:rsid w:val="0003674D"/>
    <w:rsid w:val="001E5547"/>
    <w:rsid w:val="001F7BFD"/>
    <w:rsid w:val="00390998"/>
    <w:rsid w:val="003A7EE7"/>
    <w:rsid w:val="006B4DB7"/>
    <w:rsid w:val="006C5A72"/>
    <w:rsid w:val="007C7A44"/>
    <w:rsid w:val="00996F90"/>
    <w:rsid w:val="00AD4D05"/>
    <w:rsid w:val="00B64276"/>
    <w:rsid w:val="00CF2E1F"/>
    <w:rsid w:val="00CF49C7"/>
    <w:rsid w:val="00D41725"/>
    <w:rsid w:val="00D82A5D"/>
    <w:rsid w:val="00E32236"/>
    <w:rsid w:val="00EF2430"/>
    <w:rsid w:val="00F77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6EC22"/>
  <w15:chartTrackingRefBased/>
  <w15:docId w15:val="{E55A8D05-6BDB-4CA5-A375-50FCA6B21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998"/>
  </w:style>
  <w:style w:type="paragraph" w:styleId="Heading1">
    <w:name w:val="heading 1"/>
    <w:basedOn w:val="Normal"/>
    <w:next w:val="Normal"/>
    <w:link w:val="Heading1Char"/>
    <w:uiPriority w:val="9"/>
    <w:qFormat/>
    <w:rsid w:val="003909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09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09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09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09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09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09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09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09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9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09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09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09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09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09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09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09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0998"/>
    <w:rPr>
      <w:rFonts w:eastAsiaTheme="majorEastAsia" w:cstheme="majorBidi"/>
      <w:color w:val="272727" w:themeColor="text1" w:themeTint="D8"/>
    </w:rPr>
  </w:style>
  <w:style w:type="paragraph" w:styleId="Title">
    <w:name w:val="Title"/>
    <w:basedOn w:val="Normal"/>
    <w:next w:val="Normal"/>
    <w:link w:val="TitleChar"/>
    <w:uiPriority w:val="10"/>
    <w:qFormat/>
    <w:rsid w:val="003909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09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09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09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0998"/>
    <w:pPr>
      <w:spacing w:before="160"/>
      <w:jc w:val="center"/>
    </w:pPr>
    <w:rPr>
      <w:i/>
      <w:iCs/>
      <w:color w:val="404040" w:themeColor="text1" w:themeTint="BF"/>
    </w:rPr>
  </w:style>
  <w:style w:type="character" w:customStyle="1" w:styleId="QuoteChar">
    <w:name w:val="Quote Char"/>
    <w:basedOn w:val="DefaultParagraphFont"/>
    <w:link w:val="Quote"/>
    <w:uiPriority w:val="29"/>
    <w:rsid w:val="00390998"/>
    <w:rPr>
      <w:i/>
      <w:iCs/>
      <w:color w:val="404040" w:themeColor="text1" w:themeTint="BF"/>
    </w:rPr>
  </w:style>
  <w:style w:type="paragraph" w:styleId="ListParagraph">
    <w:name w:val="List Paragraph"/>
    <w:basedOn w:val="Normal"/>
    <w:uiPriority w:val="34"/>
    <w:qFormat/>
    <w:rsid w:val="00390998"/>
    <w:pPr>
      <w:ind w:left="720"/>
      <w:contextualSpacing/>
    </w:pPr>
  </w:style>
  <w:style w:type="character" w:styleId="IntenseEmphasis">
    <w:name w:val="Intense Emphasis"/>
    <w:basedOn w:val="DefaultParagraphFont"/>
    <w:uiPriority w:val="21"/>
    <w:qFormat/>
    <w:rsid w:val="00390998"/>
    <w:rPr>
      <w:i/>
      <w:iCs/>
      <w:color w:val="0F4761" w:themeColor="accent1" w:themeShade="BF"/>
    </w:rPr>
  </w:style>
  <w:style w:type="paragraph" w:styleId="IntenseQuote">
    <w:name w:val="Intense Quote"/>
    <w:basedOn w:val="Normal"/>
    <w:next w:val="Normal"/>
    <w:link w:val="IntenseQuoteChar"/>
    <w:uiPriority w:val="30"/>
    <w:qFormat/>
    <w:rsid w:val="003909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0998"/>
    <w:rPr>
      <w:i/>
      <w:iCs/>
      <w:color w:val="0F4761" w:themeColor="accent1" w:themeShade="BF"/>
    </w:rPr>
  </w:style>
  <w:style w:type="character" w:styleId="IntenseReference">
    <w:name w:val="Intense Reference"/>
    <w:basedOn w:val="DefaultParagraphFont"/>
    <w:uiPriority w:val="32"/>
    <w:qFormat/>
    <w:rsid w:val="00390998"/>
    <w:rPr>
      <w:b/>
      <w:bCs/>
      <w:smallCaps/>
      <w:color w:val="0F4761" w:themeColor="accent1" w:themeShade="BF"/>
      <w:spacing w:val="5"/>
    </w:rPr>
  </w:style>
  <w:style w:type="table" w:styleId="TableGrid">
    <w:name w:val="Table Grid"/>
    <w:basedOn w:val="TableNormal"/>
    <w:uiPriority w:val="39"/>
    <w:rsid w:val="00390998"/>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96F9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361801">
      <w:bodyDiv w:val="1"/>
      <w:marLeft w:val="0"/>
      <w:marRight w:val="0"/>
      <w:marTop w:val="0"/>
      <w:marBottom w:val="0"/>
      <w:divBdr>
        <w:top w:val="none" w:sz="0" w:space="0" w:color="auto"/>
        <w:left w:val="none" w:sz="0" w:space="0" w:color="auto"/>
        <w:bottom w:val="none" w:sz="0" w:space="0" w:color="auto"/>
        <w:right w:val="none" w:sz="0" w:space="0" w:color="auto"/>
      </w:divBdr>
    </w:div>
    <w:div w:id="392243247">
      <w:bodyDiv w:val="1"/>
      <w:marLeft w:val="0"/>
      <w:marRight w:val="0"/>
      <w:marTop w:val="0"/>
      <w:marBottom w:val="0"/>
      <w:divBdr>
        <w:top w:val="none" w:sz="0" w:space="0" w:color="auto"/>
        <w:left w:val="none" w:sz="0" w:space="0" w:color="auto"/>
        <w:bottom w:val="none" w:sz="0" w:space="0" w:color="auto"/>
        <w:right w:val="none" w:sz="0" w:space="0" w:color="auto"/>
      </w:divBdr>
    </w:div>
    <w:div w:id="1125344643">
      <w:bodyDiv w:val="1"/>
      <w:marLeft w:val="0"/>
      <w:marRight w:val="0"/>
      <w:marTop w:val="0"/>
      <w:marBottom w:val="0"/>
      <w:divBdr>
        <w:top w:val="none" w:sz="0" w:space="0" w:color="auto"/>
        <w:left w:val="none" w:sz="0" w:space="0" w:color="auto"/>
        <w:bottom w:val="none" w:sz="0" w:space="0" w:color="auto"/>
        <w:right w:val="none" w:sz="0" w:space="0" w:color="auto"/>
      </w:divBdr>
    </w:div>
    <w:div w:id="1363239767">
      <w:bodyDiv w:val="1"/>
      <w:marLeft w:val="0"/>
      <w:marRight w:val="0"/>
      <w:marTop w:val="0"/>
      <w:marBottom w:val="0"/>
      <w:divBdr>
        <w:top w:val="none" w:sz="0" w:space="0" w:color="auto"/>
        <w:left w:val="none" w:sz="0" w:space="0" w:color="auto"/>
        <w:bottom w:val="none" w:sz="0" w:space="0" w:color="auto"/>
        <w:right w:val="none" w:sz="0" w:space="0" w:color="auto"/>
      </w:divBdr>
    </w:div>
    <w:div w:id="1576234854">
      <w:bodyDiv w:val="1"/>
      <w:marLeft w:val="0"/>
      <w:marRight w:val="0"/>
      <w:marTop w:val="0"/>
      <w:marBottom w:val="0"/>
      <w:divBdr>
        <w:top w:val="none" w:sz="0" w:space="0" w:color="auto"/>
        <w:left w:val="none" w:sz="0" w:space="0" w:color="auto"/>
        <w:bottom w:val="none" w:sz="0" w:space="0" w:color="auto"/>
        <w:right w:val="none" w:sz="0" w:space="0" w:color="auto"/>
      </w:divBdr>
    </w:div>
    <w:div w:id="1839996417">
      <w:bodyDiv w:val="1"/>
      <w:marLeft w:val="0"/>
      <w:marRight w:val="0"/>
      <w:marTop w:val="0"/>
      <w:marBottom w:val="0"/>
      <w:divBdr>
        <w:top w:val="none" w:sz="0" w:space="0" w:color="auto"/>
        <w:left w:val="none" w:sz="0" w:space="0" w:color="auto"/>
        <w:bottom w:val="none" w:sz="0" w:space="0" w:color="auto"/>
        <w:right w:val="none" w:sz="0" w:space="0" w:color="auto"/>
      </w:divBdr>
    </w:div>
    <w:div w:id="2096825275">
      <w:bodyDiv w:val="1"/>
      <w:marLeft w:val="0"/>
      <w:marRight w:val="0"/>
      <w:marTop w:val="0"/>
      <w:marBottom w:val="0"/>
      <w:divBdr>
        <w:top w:val="none" w:sz="0" w:space="0" w:color="auto"/>
        <w:left w:val="none" w:sz="0" w:space="0" w:color="auto"/>
        <w:bottom w:val="none" w:sz="0" w:space="0" w:color="auto"/>
        <w:right w:val="none" w:sz="0" w:space="0" w:color="auto"/>
      </w:divBdr>
    </w:div>
    <w:div w:id="2110078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A212F-9A96-4FBE-A8FD-A1A1F0733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5464</Words>
  <Characters>31149</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Harper</dc:creator>
  <cp:keywords/>
  <dc:description/>
  <cp:lastModifiedBy>Jack Harper</cp:lastModifiedBy>
  <cp:revision>2</cp:revision>
  <dcterms:created xsi:type="dcterms:W3CDTF">2025-05-27T09:39:00Z</dcterms:created>
  <dcterms:modified xsi:type="dcterms:W3CDTF">2025-05-27T09:39:00Z</dcterms:modified>
</cp:coreProperties>
</file>