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charts/chart3.xml" ContentType="application/vnd.openxmlformats-officedocument.drawingml.chart+xml"/>
  <Override PartName="/word/charts/style6.xml" ContentType="application/vnd.ms-office.chartstyle+xml"/>
  <Override PartName="/word/footer1.xml" ContentType="application/vnd.openxmlformats-officedocument.wordprocessingml.footer+xml"/>
  <Override PartName="/word/numbering.xml" ContentType="application/vnd.openxmlformats-officedocument.wordprocessingml.numbering+xml"/>
  <Override PartName="/word/charts/colors3.xml" ContentType="application/vnd.ms-office.chartcolorstyle+xml"/>
  <Override PartName="/word/settings.xml" ContentType="application/vnd.openxmlformats-officedocument.wordprocessingml.settings+xml"/>
  <Override PartName="/word/charts/colors5.xml" ContentType="application/vnd.ms-office.chartcolorstyle+xml"/>
  <Override PartName="/word/charts/chart4.xml" ContentType="application/vnd.openxmlformats-officedocument.drawingml.chart+xml"/>
  <Override PartName="/word/charts/colors4.xml" ContentType="application/vnd.ms-office.chartcolorstyle+xml"/>
  <Override PartName="/word/document.xml" ContentType="application/vnd.openxmlformats-officedocument.wordprocessingml.document.main+xml"/>
  <Override PartName="/word/charts/style1.xml" ContentType="application/vnd.ms-office.chartstyle+xml"/>
  <Override PartName="/customXml/itemProps1.xml" ContentType="application/vnd.openxmlformats-officedocument.customXmlProperties+xml"/>
  <Override PartName="/word/charts/style5.xml" ContentType="application/vnd.ms-office.chartstyle+xml"/>
  <Override PartName="/word/styles.xml" ContentType="application/vnd.openxmlformats-officedocument.wordprocessingml.styles+xml"/>
  <Override PartName="/docProps/app.xml" ContentType="application/vnd.openxmlformats-officedocument.extended-properties+xml"/>
  <Override PartName="/word/charts/colors1.xml" ContentType="application/vnd.ms-office.chartcolorstyle+xml"/>
  <Override PartName="/word/fontTable.xml" ContentType="application/vnd.openxmlformats-officedocument.wordprocessingml.fontTable+xml"/>
  <Override PartName="/word/charts/chart5.xml" ContentType="application/vnd.openxmlformats-officedocument.drawingml.chart+xml"/>
  <Override PartName="/word/charts/colors6.xml" ContentType="application/vnd.ms-office.chartcolorstyle+xml"/>
  <Override PartName="/docProps/core.xml" ContentType="application/vnd.openxmlformats-package.core-properties+xml"/>
  <Override PartName="/word/charts/chart1.xml" ContentType="application/vnd.openxmlformats-officedocument.drawingml.chart+xml"/>
  <Override PartName="/word/charts/style2.xml" ContentType="application/vnd.ms-office.chartstyle+xml"/>
  <Override PartName="/word/charts/style4.xml" ContentType="application/vnd.ms-office.chartstyle+xml"/>
  <Override PartName="/docProps/custom.xml" ContentType="application/vnd.openxmlformats-officedocument.custom-properties+xml"/>
  <Override PartName="/word/charts/colors2.xml" ContentType="application/vnd.ms-office.chartcolorstyle+xml"/>
  <Override PartName="/word/charts/chart6.xml" ContentType="application/vnd.openxmlformats-officedocument.drawingml.chart+xml"/>
  <Override PartName="/word/charts/chart2.xml" ContentType="application/vnd.openxmlformats-officedocument.drawingml.chart+xml"/>
  <Override PartName="/word/charts/style3.xml" ContentType="application/vnd.ms-office.chartstyle+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cs="Arial"/>
          <w:b/>
          <w:bCs/>
          <w:sz w:val="36"/>
          <w:szCs w:val="36"/>
        </w:rPr>
      </w:pPr>
      <w:r>
        <w:rPr>
          <w:rFonts w:cs="Arial"/>
          <w:b/>
          <w:bCs/>
          <w:noProof/>
          <w:sz w:val="36"/>
          <w:szCs w:val="36"/>
        </w:rPr>
        <w:drawing>
          <wp:inline distL="0" distT="0" distB="0" distR="0">
            <wp:extent cx="3518535" cy="1470433"/>
            <wp:effectExtent l="0" t="0" r="5715"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518535" cy="1470433"/>
                    </a:xfrm>
                    <a:prstGeom prst="rect"/>
                  </pic:spPr>
                </pic:pic>
              </a:graphicData>
            </a:graphic>
          </wp:inline>
        </w:drawing>
      </w:r>
    </w:p>
    <w:p>
      <w:pPr>
        <w:pStyle w:val="style0"/>
        <w:jc w:val="center"/>
        <w:rPr>
          <w:rFonts w:cs="Arial"/>
          <w:b/>
          <w:bCs/>
          <w:sz w:val="28"/>
          <w:szCs w:val="28"/>
        </w:rPr>
      </w:pPr>
      <w:r>
        <w:rPr>
          <w:rFonts w:cs="Arial"/>
          <w:b/>
          <w:bCs/>
          <w:sz w:val="28"/>
          <w:szCs w:val="28"/>
        </w:rPr>
        <w:t>Master of Business Administration</w:t>
      </w:r>
    </w:p>
    <w:p>
      <w:pPr>
        <w:pStyle w:val="style0"/>
        <w:jc w:val="center"/>
        <w:rPr>
          <w:rFonts w:cs="Arial"/>
          <w:b/>
          <w:bCs/>
          <w:sz w:val="28"/>
          <w:szCs w:val="28"/>
        </w:rPr>
      </w:pPr>
    </w:p>
    <w:p>
      <w:pPr>
        <w:pStyle w:val="style0"/>
        <w:jc w:val="center"/>
        <w:rPr>
          <w:rFonts w:cs="Arial"/>
          <w:b/>
          <w:bCs/>
          <w:sz w:val="28"/>
          <w:szCs w:val="28"/>
        </w:rPr>
      </w:pPr>
      <w:r>
        <w:rPr>
          <w:rFonts w:cs="Arial"/>
          <w:b/>
          <w:bCs/>
          <w:sz w:val="28"/>
          <w:szCs w:val="28"/>
        </w:rPr>
        <w:t>Module: Financial Management</w:t>
      </w:r>
    </w:p>
    <w:p>
      <w:pPr>
        <w:pStyle w:val="style0"/>
        <w:jc w:val="center"/>
        <w:rPr>
          <w:rFonts w:cs="Arial"/>
          <w:b/>
          <w:bCs/>
          <w:sz w:val="28"/>
          <w:szCs w:val="28"/>
        </w:rPr>
      </w:pPr>
      <w:r>
        <w:rPr>
          <w:rFonts w:cs="Arial"/>
          <w:b/>
          <w:bCs/>
          <w:sz w:val="28"/>
          <w:szCs w:val="28"/>
        </w:rPr>
        <w:t>Module code: LCMB7002</w:t>
      </w:r>
    </w:p>
    <w:p>
      <w:pPr>
        <w:pStyle w:val="style0"/>
        <w:jc w:val="center"/>
        <w:rPr>
          <w:rFonts w:cs="Arial"/>
          <w:b/>
          <w:bCs/>
          <w:sz w:val="36"/>
          <w:szCs w:val="36"/>
        </w:rPr>
      </w:pPr>
    </w:p>
    <w:p>
      <w:pPr>
        <w:pStyle w:val="style0"/>
        <w:jc w:val="center"/>
        <w:rPr>
          <w:rFonts w:cs="Arial"/>
          <w:b/>
          <w:bCs/>
          <w:sz w:val="36"/>
          <w:szCs w:val="36"/>
        </w:rPr>
      </w:pPr>
      <w:r>
        <w:rPr>
          <w:rFonts w:cs="Arial"/>
          <w:b/>
          <w:bCs/>
          <w:sz w:val="36"/>
          <w:szCs w:val="36"/>
        </w:rPr>
        <w:t>Assessment component:  Financial performance and management</w:t>
      </w:r>
    </w:p>
    <w:p>
      <w:pPr>
        <w:pStyle w:val="style0"/>
        <w:jc w:val="center"/>
        <w:rPr>
          <w:rFonts w:cs="Arial"/>
          <w:b/>
          <w:bCs/>
          <w:sz w:val="36"/>
          <w:szCs w:val="36"/>
        </w:rPr>
      </w:pPr>
    </w:p>
    <w:p>
      <w:pPr>
        <w:pStyle w:val="style0"/>
        <w:jc w:val="center"/>
        <w:rPr>
          <w:rFonts w:cs="Arial"/>
          <w:b/>
          <w:bCs/>
        </w:rPr>
      </w:pPr>
      <w:r>
        <w:rPr>
          <w:rFonts w:cs="Arial"/>
          <w:b/>
          <w:bCs/>
        </w:rPr>
        <w:t xml:space="preserve">Student Name: </w:t>
      </w:r>
      <w:r>
        <w:rPr>
          <w:rFonts w:cs="Arial"/>
          <w:b/>
          <w:bCs/>
          <w:lang w:val="en-US"/>
        </w:rPr>
        <w:t xml:space="preserve">Henil Jasoliya </w:t>
      </w:r>
    </w:p>
    <w:p>
      <w:pPr>
        <w:pStyle w:val="style0"/>
        <w:jc w:val="center"/>
        <w:rPr>
          <w:rFonts w:cs="Arial"/>
          <w:b/>
          <w:bCs/>
        </w:rPr>
      </w:pPr>
      <w:r>
        <w:rPr>
          <w:rFonts w:cs="Arial"/>
          <w:b/>
          <w:bCs/>
        </w:rPr>
        <w:t>Student ID:</w:t>
      </w:r>
      <w:r>
        <w:rPr>
          <w:rFonts w:cs="Arial"/>
          <w:b/>
          <w:bCs/>
          <w:lang w:val="en-US"/>
        </w:rPr>
        <w:t xml:space="preserve"> 2532366</w:t>
      </w:r>
    </w:p>
    <w:p>
      <w:pPr>
        <w:pStyle w:val="style0"/>
        <w:jc w:val="center"/>
        <w:rPr>
          <w:rFonts w:cs="Arial"/>
          <w:b/>
          <w:bCs/>
        </w:rPr>
      </w:pPr>
      <w:r>
        <w:rPr>
          <w:rFonts w:cs="Arial"/>
          <w:b/>
          <w:bCs/>
        </w:rPr>
        <w:t>Word Count: 5</w:t>
      </w:r>
      <w:r>
        <w:rPr>
          <w:rFonts w:cs="Arial"/>
          <w:b/>
          <w:bCs/>
        </w:rPr>
        <w:t>371</w:t>
      </w:r>
    </w:p>
    <w:p>
      <w:pPr>
        <w:pStyle w:val="style0"/>
        <w:spacing w:lineRule="auto" w:line="259"/>
        <w:jc w:val="left"/>
        <w:rPr>
          <w:rFonts w:cs="Arial"/>
          <w:b/>
          <w:bCs/>
          <w:sz w:val="36"/>
          <w:szCs w:val="36"/>
        </w:rPr>
      </w:pPr>
      <w:r>
        <w:rPr>
          <w:rFonts w:cs="Arial"/>
          <w:b/>
          <w:bCs/>
          <w:sz w:val="36"/>
          <w:szCs w:val="36"/>
        </w:rPr>
        <w:br w:type="page"/>
      </w:r>
    </w:p>
    <w:p>
      <w:pPr>
        <w:pStyle w:val="style0"/>
        <w:jc w:val="center"/>
        <w:rPr>
          <w:rFonts w:cs="Arial"/>
          <w:b/>
          <w:bCs/>
          <w:sz w:val="28"/>
          <w:szCs w:val="28"/>
        </w:rPr>
      </w:pPr>
      <w:r>
        <w:rPr>
          <w:rFonts w:cs="Arial"/>
          <w:b/>
          <w:bCs/>
          <w:sz w:val="28"/>
          <w:szCs w:val="28"/>
        </w:rPr>
        <w:t>Table of Contents</w:t>
      </w:r>
    </w:p>
    <w:p>
      <w:pPr>
        <w:pStyle w:val="style19"/>
        <w:tabs>
          <w:tab w:val="right" w:leader="dot" w:pos="9350"/>
        </w:tabs>
        <w:rPr>
          <w:rFonts w:ascii="Aptos" w:cs="宋体" w:eastAsia="宋体" w:hAnsi="Aptos"/>
          <w:noProof/>
          <w:lang w:val="en-US"/>
        </w:rPr>
      </w:pPr>
      <w:r>
        <w:rPr>
          <w:rFonts w:cs="Arial"/>
        </w:rPr>
        <w:fldChar w:fldCharType="begin"/>
      </w:r>
      <w:r>
        <w:rPr>
          <w:rFonts w:cs="Arial"/>
        </w:rPr>
        <w:instrText xml:space="preserve"> TOC \o "1-3" \h \z \u </w:instrText>
      </w:r>
      <w:r>
        <w:rPr>
          <w:rFonts w:cs="Arial"/>
        </w:rPr>
        <w:fldChar w:fldCharType="separate"/>
      </w:r>
      <w:r>
        <w:rPr/>
        <w:fldChar w:fldCharType="begin"/>
      </w:r>
      <w:r>
        <w:instrText xml:space="preserve"> HYPERLINK \l "_Toc227680023" </w:instrText>
      </w:r>
      <w:r>
        <w:rPr/>
        <w:fldChar w:fldCharType="separate"/>
      </w:r>
      <w:r>
        <w:rPr>
          <w:rStyle w:val="style85"/>
          <w:rFonts w:cs="Arial"/>
          <w:noProof/>
        </w:rPr>
        <w:t>1. Financial Health Check</w:t>
      </w:r>
      <w:r>
        <w:rPr>
          <w:noProof/>
          <w:webHidden/>
        </w:rPr>
        <w:tab/>
      </w:r>
      <w:r>
        <w:rPr>
          <w:noProof/>
          <w:webHidden/>
        </w:rPr>
        <w:fldChar w:fldCharType="begin"/>
      </w:r>
      <w:r>
        <w:rPr>
          <w:noProof/>
          <w:webHidden/>
        </w:rPr>
        <w:instrText xml:space="preserve"> PAGEREF _Toc227680023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"_Toc227680024" </w:instrText>
      </w:r>
      <w:r>
        <w:rPr/>
        <w:fldChar w:fldCharType="separate"/>
      </w:r>
      <w:r>
        <w:rPr>
          <w:rStyle w:val="style85"/>
          <w:noProof/>
        </w:rPr>
        <w:t>1.1 Overview of financial statement</w:t>
      </w:r>
      <w:r>
        <w:rPr>
          <w:noProof/>
          <w:webHidden/>
        </w:rPr>
        <w:tab/>
      </w:r>
      <w:r>
        <w:rPr>
          <w:noProof/>
          <w:webHidden/>
        </w:rPr>
        <w:fldChar w:fldCharType="begin"/>
      </w:r>
      <w:r>
        <w:rPr>
          <w:noProof/>
          <w:webHidden/>
        </w:rPr>
        <w:instrText xml:space="preserve"> PAGEREF _Toc227680024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"_Toc227680025" </w:instrText>
      </w:r>
      <w:r>
        <w:rPr/>
        <w:fldChar w:fldCharType="separate"/>
      </w:r>
      <w:r>
        <w:rPr>
          <w:rStyle w:val="style85"/>
          <w:noProof/>
        </w:rPr>
        <w:t>1.2 Ratio Analysis</w:t>
      </w:r>
      <w:r>
        <w:rPr>
          <w:noProof/>
          <w:webHidden/>
        </w:rPr>
        <w:tab/>
      </w:r>
      <w:r>
        <w:rPr>
          <w:noProof/>
          <w:webHidden/>
        </w:rPr>
        <w:fldChar w:fldCharType="begin"/>
      </w:r>
      <w:r>
        <w:rPr>
          <w:noProof/>
          <w:webHidden/>
        </w:rPr>
        <w:instrText xml:space="preserve"> PAGEREF _Toc227680025 \h </w:instrText>
      </w:r>
      <w:r>
        <w:rPr>
          <w:noProof/>
          <w:webHidden/>
        </w:rPr>
        <w:fldChar w:fldCharType="separate"/>
      </w:r>
      <w:r>
        <w:rPr>
          <w:noProof/>
          <w:webHidden/>
        </w:rPr>
        <w:t>6</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"_Toc227680026" </w:instrText>
      </w:r>
      <w:r>
        <w:rPr/>
        <w:fldChar w:fldCharType="separate"/>
      </w:r>
      <w:r>
        <w:rPr>
          <w:rStyle w:val="style85"/>
          <w:noProof/>
        </w:rPr>
        <w:t>1.2.1 Profitability Analysis</w:t>
      </w:r>
      <w:r>
        <w:rPr>
          <w:noProof/>
          <w:webHidden/>
        </w:rPr>
        <w:tab/>
      </w:r>
      <w:r>
        <w:rPr>
          <w:noProof/>
          <w:webHidden/>
        </w:rPr>
        <w:fldChar w:fldCharType="begin"/>
      </w:r>
      <w:r>
        <w:rPr>
          <w:noProof/>
          <w:webHidden/>
        </w:rPr>
        <w:instrText xml:space="preserve"> PAGEREF _Toc227680026 \h </w:instrText>
      </w:r>
      <w:r>
        <w:rPr>
          <w:noProof/>
          <w:webHidden/>
        </w:rPr>
        <w:fldChar w:fldCharType="separate"/>
      </w:r>
      <w:r>
        <w:rPr>
          <w:noProof/>
          <w:webHidden/>
        </w:rPr>
        <w:t>6</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"_Toc227680027" </w:instrText>
      </w:r>
      <w:r>
        <w:rPr/>
        <w:fldChar w:fldCharType="separate"/>
      </w:r>
      <w:r>
        <w:rPr>
          <w:rStyle w:val="style85"/>
          <w:noProof/>
        </w:rPr>
        <w:t>1.2.2 Liquidity Analysis</w:t>
      </w:r>
      <w:r>
        <w:rPr>
          <w:noProof/>
          <w:webHidden/>
        </w:rPr>
        <w:tab/>
      </w:r>
      <w:r>
        <w:rPr>
          <w:noProof/>
          <w:webHidden/>
        </w:rPr>
        <w:fldChar w:fldCharType="begin"/>
      </w:r>
      <w:r>
        <w:rPr>
          <w:noProof/>
          <w:webHidden/>
        </w:rPr>
        <w:instrText xml:space="preserve"> PAGEREF _Toc227680027 \h </w:instrText>
      </w:r>
      <w:r>
        <w:rPr>
          <w:noProof/>
          <w:webHidden/>
        </w:rPr>
        <w:fldChar w:fldCharType="separate"/>
      </w:r>
      <w:r>
        <w:rPr>
          <w:noProof/>
          <w:webHidden/>
        </w:rPr>
        <w:t>7</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"_Toc227680028" </w:instrText>
      </w:r>
      <w:r>
        <w:rPr/>
        <w:fldChar w:fldCharType="separate"/>
      </w:r>
      <w:r>
        <w:rPr>
          <w:rStyle w:val="style85"/>
          <w:noProof/>
        </w:rPr>
        <w:t>1.2.3 Efficiency Analysis</w:t>
      </w:r>
      <w:r>
        <w:rPr>
          <w:noProof/>
          <w:webHidden/>
        </w:rPr>
        <w:tab/>
      </w:r>
      <w:r>
        <w:rPr>
          <w:noProof/>
          <w:webHidden/>
        </w:rPr>
        <w:fldChar w:fldCharType="begin"/>
      </w:r>
      <w:r>
        <w:rPr>
          <w:noProof/>
          <w:webHidden/>
        </w:rPr>
        <w:instrText xml:space="preserve"> PAGEREF _Toc227680028 \h </w:instrText>
      </w:r>
      <w:r>
        <w:rPr>
          <w:noProof/>
          <w:webHidden/>
        </w:rPr>
        <w:fldChar w:fldCharType="separate"/>
      </w:r>
      <w:r>
        <w:rPr>
          <w:noProof/>
          <w:webHidden/>
        </w:rPr>
        <w:t>9</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"_Toc227680029" </w:instrText>
      </w:r>
      <w:r>
        <w:rPr/>
        <w:fldChar w:fldCharType="separate"/>
      </w:r>
      <w:r>
        <w:rPr>
          <w:rStyle w:val="style85"/>
          <w:noProof/>
        </w:rPr>
        <w:t>1.2.4 Gearing (Leverage) Analysis</w:t>
      </w:r>
      <w:r>
        <w:rPr>
          <w:noProof/>
          <w:webHidden/>
        </w:rPr>
        <w:tab/>
      </w:r>
      <w:r>
        <w:rPr>
          <w:noProof/>
          <w:webHidden/>
        </w:rPr>
        <w:fldChar w:fldCharType="begin"/>
      </w:r>
      <w:r>
        <w:rPr>
          <w:noProof/>
          <w:webHidden/>
        </w:rPr>
        <w:instrText xml:space="preserve"> PAGEREF _Toc227680029 \h </w:instrText>
      </w:r>
      <w:r>
        <w:rPr>
          <w:noProof/>
          <w:webHidden/>
        </w:rPr>
        <w:fldChar w:fldCharType="separate"/>
      </w:r>
      <w:r>
        <w:rPr>
          <w:noProof/>
          <w:webHidden/>
        </w:rPr>
        <w:t>10</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"_Toc227680030" </w:instrText>
      </w:r>
      <w:r>
        <w:rPr/>
        <w:fldChar w:fldCharType="separate"/>
      </w:r>
      <w:r>
        <w:rPr>
          <w:rStyle w:val="style85"/>
          <w:noProof/>
        </w:rPr>
        <w:t>1.2.5 Investment Analysis</w:t>
      </w:r>
      <w:r>
        <w:rPr>
          <w:noProof/>
          <w:webHidden/>
        </w:rPr>
        <w:tab/>
      </w:r>
      <w:r>
        <w:rPr>
          <w:noProof/>
          <w:webHidden/>
        </w:rPr>
        <w:fldChar w:fldCharType="begin"/>
      </w:r>
      <w:r>
        <w:rPr>
          <w:noProof/>
          <w:webHidden/>
        </w:rPr>
        <w:instrText xml:space="preserve"> PAGEREF _Toc227680030 \h </w:instrText>
      </w:r>
      <w:r>
        <w:rPr>
          <w:noProof/>
          <w:webHidden/>
        </w:rPr>
        <w:fldChar w:fldCharType="separate"/>
      </w:r>
      <w:r>
        <w:rPr>
          <w:noProof/>
          <w:webHidden/>
        </w:rPr>
        <w:t>11</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"_Toc227680031" </w:instrText>
      </w:r>
      <w:r>
        <w:rPr/>
        <w:fldChar w:fldCharType="separate"/>
      </w:r>
      <w:r>
        <w:rPr>
          <w:rStyle w:val="style85"/>
          <w:noProof/>
        </w:rPr>
        <w:t>1.2.6 Cash Flow Analysis</w:t>
      </w:r>
      <w:r>
        <w:rPr>
          <w:noProof/>
          <w:webHidden/>
        </w:rPr>
        <w:tab/>
      </w:r>
      <w:r>
        <w:rPr>
          <w:noProof/>
          <w:webHidden/>
        </w:rPr>
        <w:fldChar w:fldCharType="begin"/>
      </w:r>
      <w:r>
        <w:rPr>
          <w:noProof/>
          <w:webHidden/>
        </w:rPr>
        <w:instrText xml:space="preserve"> PAGEREF _Toc227680031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"_Toc227680032" </w:instrText>
      </w:r>
      <w:r>
        <w:rPr/>
        <w:fldChar w:fldCharType="separate"/>
      </w:r>
      <w:r>
        <w:rPr>
          <w:rStyle w:val="style85"/>
          <w:noProof/>
        </w:rPr>
        <w:t>1.3 Identification of trends, strengths and threats</w:t>
      </w:r>
      <w:r>
        <w:rPr>
          <w:noProof/>
          <w:webHidden/>
        </w:rPr>
        <w:tab/>
      </w:r>
      <w:r>
        <w:rPr>
          <w:noProof/>
          <w:webHidden/>
        </w:rPr>
        <w:fldChar w:fldCharType="begin"/>
      </w:r>
      <w:r>
        <w:rPr>
          <w:noProof/>
          <w:webHidden/>
        </w:rPr>
        <w:instrText xml:space="preserve"> PAGEREF _Toc227680032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ascii="Aptos" w:cs="宋体" w:eastAsia="宋体" w:hAnsi="Aptos"/>
          <w:noProof/>
          <w:lang w:val="en-US"/>
        </w:rPr>
      </w:pPr>
      <w:r>
        <w:rPr/>
        <w:fldChar w:fldCharType="begin"/>
      </w:r>
      <w:r>
        <w:instrText xml:space="preserve"> HYPERLINK \l "_Toc227680033" </w:instrText>
      </w:r>
      <w:r>
        <w:rPr/>
        <w:fldChar w:fldCharType="separate"/>
      </w:r>
      <w:r>
        <w:rPr>
          <w:rStyle w:val="style85"/>
          <w:rFonts w:cs="Arial"/>
          <w:noProof/>
        </w:rPr>
        <w:t>2. Working Capital Management Analysis</w:t>
      </w:r>
      <w:r>
        <w:rPr>
          <w:noProof/>
          <w:webHidden/>
        </w:rPr>
        <w:tab/>
      </w:r>
      <w:r>
        <w:rPr>
          <w:noProof/>
          <w:webHidden/>
        </w:rPr>
        <w:fldChar w:fldCharType="begin"/>
      </w:r>
      <w:r>
        <w:rPr>
          <w:noProof/>
          <w:webHidden/>
        </w:rPr>
        <w:instrText xml:space="preserve"> PAGEREF _Toc227680033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"_Toc227680034" </w:instrText>
      </w:r>
      <w:r>
        <w:rPr/>
        <w:fldChar w:fldCharType="separate"/>
      </w:r>
      <w:r>
        <w:rPr>
          <w:rStyle w:val="style85"/>
          <w:noProof/>
        </w:rPr>
        <w:t>2.1 Overview</w:t>
      </w:r>
      <w:r>
        <w:rPr>
          <w:noProof/>
          <w:webHidden/>
        </w:rPr>
        <w:tab/>
      </w:r>
      <w:r>
        <w:rPr>
          <w:noProof/>
          <w:webHidden/>
        </w:rPr>
        <w:fldChar w:fldCharType="begin"/>
      </w:r>
      <w:r>
        <w:rPr>
          <w:noProof/>
          <w:webHidden/>
        </w:rPr>
        <w:instrText xml:space="preserve"> PAGEREF _Toc227680034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"_Toc227680035" </w:instrText>
      </w:r>
      <w:r>
        <w:rPr/>
        <w:fldChar w:fldCharType="separate"/>
      </w:r>
      <w:r>
        <w:rPr>
          <w:rStyle w:val="style85"/>
          <w:noProof/>
        </w:rPr>
        <w:t>2.2 Cash Operation Cycle Analysis.</w:t>
      </w:r>
      <w:r>
        <w:rPr>
          <w:noProof/>
          <w:webHidden/>
        </w:rPr>
        <w:tab/>
      </w:r>
      <w:r>
        <w:rPr>
          <w:noProof/>
          <w:webHidden/>
        </w:rPr>
        <w:fldChar w:fldCharType="begin"/>
      </w:r>
      <w:r>
        <w:rPr>
          <w:noProof/>
          <w:webHidden/>
        </w:rPr>
        <w:instrText xml:space="preserve"> PAGEREF _Toc227680035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"_Toc227680036" </w:instrText>
      </w:r>
      <w:r>
        <w:rPr/>
        <w:fldChar w:fldCharType="separate"/>
      </w:r>
      <w:r>
        <w:rPr>
          <w:rStyle w:val="style85"/>
          <w:noProof/>
        </w:rPr>
        <w:t>2.3 Liquidity and Working Capital Position.</w:t>
      </w:r>
      <w:r>
        <w:rPr>
          <w:noProof/>
          <w:webHidden/>
        </w:rPr>
        <w:tab/>
      </w:r>
      <w:r>
        <w:rPr>
          <w:noProof/>
          <w:webHidden/>
        </w:rPr>
        <w:fldChar w:fldCharType="begin"/>
      </w:r>
      <w:r>
        <w:rPr>
          <w:noProof/>
          <w:webHidden/>
        </w:rPr>
        <w:instrText xml:space="preserve"> PAGEREF _Toc227680036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"_Toc227680037" </w:instrText>
      </w:r>
      <w:r>
        <w:rPr/>
        <w:fldChar w:fldCharType="separate"/>
      </w:r>
      <w:r>
        <w:rPr>
          <w:rStyle w:val="style85"/>
          <w:noProof/>
        </w:rPr>
        <w:t>2.4 Short-term vs Long-term Financing.</w:t>
      </w:r>
      <w:r>
        <w:rPr>
          <w:noProof/>
          <w:webHidden/>
        </w:rPr>
        <w:tab/>
      </w:r>
      <w:r>
        <w:rPr>
          <w:noProof/>
          <w:webHidden/>
        </w:rPr>
        <w:fldChar w:fldCharType="begin"/>
      </w:r>
      <w:r>
        <w:rPr>
          <w:noProof/>
          <w:webHidden/>
        </w:rPr>
        <w:instrText xml:space="preserve"> PAGEREF _Toc227680037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"_Toc227680038" </w:instrText>
      </w:r>
      <w:r>
        <w:rPr/>
        <w:fldChar w:fldCharType="separate"/>
      </w:r>
      <w:r>
        <w:rPr>
          <w:rStyle w:val="style85"/>
          <w:noProof/>
          <w:lang w:val="en-IN"/>
        </w:rPr>
        <w:t>2.5 Recommendations to Enhance Working Capital</w:t>
      </w:r>
      <w:r>
        <w:rPr>
          <w:noProof/>
          <w:webHidden/>
        </w:rPr>
        <w:tab/>
      </w:r>
      <w:r>
        <w:rPr>
          <w:noProof/>
          <w:webHidden/>
        </w:rPr>
        <w:fldChar w:fldCharType="begin"/>
      </w:r>
      <w:r>
        <w:rPr>
          <w:noProof/>
          <w:webHidden/>
        </w:rPr>
        <w:instrText xml:space="preserve"> PAGEREF _Toc227680038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"_Toc227680039" </w:instrText>
      </w:r>
      <w:r>
        <w:rPr/>
        <w:fldChar w:fldCharType="separate"/>
      </w:r>
      <w:r>
        <w:rPr>
          <w:rStyle w:val="style85"/>
          <w:noProof/>
        </w:rPr>
        <w:t>2.6 Summay</w:t>
      </w:r>
      <w:r>
        <w:rPr>
          <w:noProof/>
          <w:webHidden/>
        </w:rPr>
        <w:tab/>
      </w:r>
      <w:r>
        <w:rPr>
          <w:noProof/>
          <w:webHidden/>
        </w:rPr>
        <w:fldChar w:fldCharType="begin"/>
      </w:r>
      <w:r>
        <w:rPr>
          <w:noProof/>
          <w:webHidden/>
        </w:rPr>
        <w:instrText xml:space="preserve"> PAGEREF _Toc227680039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350"/>
        </w:tabs>
        <w:rPr>
          <w:rFonts w:ascii="Aptos" w:cs="宋体" w:eastAsia="宋体" w:hAnsi="Aptos"/>
          <w:noProof/>
          <w:lang w:val="en-US"/>
        </w:rPr>
      </w:pPr>
      <w:r>
        <w:rPr/>
        <w:fldChar w:fldCharType="begin"/>
      </w:r>
      <w:r>
        <w:instrText xml:space="preserve"> HYPERLINK \l "_Toc227680040" </w:instrText>
      </w:r>
      <w:r>
        <w:rPr/>
        <w:fldChar w:fldCharType="separate"/>
      </w:r>
      <w:r>
        <w:rPr>
          <w:rStyle w:val="style85"/>
          <w:rFonts w:cs="Arial"/>
          <w:noProof/>
        </w:rPr>
        <w:t>3. Strategic Financial Restructuring Plan</w:t>
      </w:r>
      <w:r>
        <w:rPr>
          <w:noProof/>
          <w:webHidden/>
        </w:rPr>
        <w:tab/>
      </w:r>
      <w:r>
        <w:rPr>
          <w:noProof/>
          <w:webHidden/>
        </w:rPr>
        <w:fldChar w:fldCharType="begin"/>
      </w:r>
      <w:r>
        <w:rPr>
          <w:noProof/>
          <w:webHidden/>
        </w:rPr>
        <w:instrText xml:space="preserve"> PAGEREF _Toc227680040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"_Toc227680041" </w:instrText>
      </w:r>
      <w:r>
        <w:rPr/>
        <w:fldChar w:fldCharType="separate"/>
      </w:r>
      <w:r>
        <w:rPr>
          <w:rStyle w:val="style85"/>
          <w:noProof/>
        </w:rPr>
        <w:t>3.1 Overview</w:t>
      </w:r>
      <w:r>
        <w:rPr>
          <w:noProof/>
          <w:webHidden/>
        </w:rPr>
        <w:tab/>
      </w:r>
      <w:r>
        <w:rPr>
          <w:noProof/>
          <w:webHidden/>
        </w:rPr>
        <w:fldChar w:fldCharType="begin"/>
      </w:r>
      <w:r>
        <w:rPr>
          <w:noProof/>
          <w:webHidden/>
        </w:rPr>
        <w:instrText xml:space="preserve"> PAGEREF _Toc227680041 \h </w:instrText>
      </w:r>
      <w:r>
        <w:rPr>
          <w:noProof/>
          <w:webHidden/>
        </w:rPr>
        <w:fldChar w:fldCharType="separate"/>
      </w:r>
      <w:r>
        <w:rPr>
          <w:noProof/>
          <w:webHidden/>
        </w:rPr>
        <w:t>17</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"_Toc227680042" </w:instrText>
      </w:r>
      <w:r>
        <w:rPr/>
        <w:fldChar w:fldCharType="separate"/>
      </w:r>
      <w:r>
        <w:rPr>
          <w:rStyle w:val="style85"/>
          <w:noProof/>
        </w:rPr>
        <w:t>3.2 Core Financial Problems Identification</w:t>
      </w:r>
      <w:r>
        <w:rPr>
          <w:noProof/>
          <w:webHidden/>
        </w:rPr>
        <w:tab/>
      </w:r>
      <w:r>
        <w:rPr>
          <w:noProof/>
          <w:webHidden/>
        </w:rPr>
        <w:fldChar w:fldCharType="begin"/>
      </w:r>
      <w:r>
        <w:rPr>
          <w:noProof/>
          <w:webHidden/>
        </w:rPr>
        <w:instrText xml:space="preserve"> PAGEREF _Toc227680042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"_Toc227680043" </w:instrText>
      </w:r>
      <w:r>
        <w:rPr/>
        <w:fldChar w:fldCharType="separate"/>
      </w:r>
      <w:r>
        <w:rPr>
          <w:rStyle w:val="style85"/>
          <w:noProof/>
        </w:rPr>
        <w:t>3.3 Financial Restructuring Strategies</w:t>
      </w:r>
      <w:r>
        <w:rPr>
          <w:noProof/>
          <w:webHidden/>
        </w:rPr>
        <w:tab/>
      </w:r>
      <w:r>
        <w:rPr>
          <w:noProof/>
          <w:webHidden/>
        </w:rPr>
        <w:fldChar w:fldCharType="begin"/>
      </w:r>
      <w:r>
        <w:rPr>
          <w:noProof/>
          <w:webHidden/>
        </w:rPr>
        <w:instrText xml:space="preserve"> PAGEREF _Toc227680043 \h </w:instrText>
      </w:r>
      <w:r>
        <w:rPr>
          <w:noProof/>
          <w:webHidden/>
        </w:rPr>
        <w:fldChar w:fldCharType="separate"/>
      </w:r>
      <w:r>
        <w:rPr>
          <w:noProof/>
          <w:webHidden/>
        </w:rPr>
        <w:t>18</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"_Toc227680044" </w:instrText>
      </w:r>
      <w:r>
        <w:rPr/>
        <w:fldChar w:fldCharType="separate"/>
      </w:r>
      <w:r>
        <w:rPr>
          <w:rStyle w:val="style85"/>
          <w:noProof/>
        </w:rPr>
        <w:t>3.3.1 Strategic Divestiture and Portfolio Optimisation</w:t>
      </w:r>
      <w:r>
        <w:rPr>
          <w:noProof/>
          <w:webHidden/>
        </w:rPr>
        <w:tab/>
      </w:r>
      <w:r>
        <w:rPr>
          <w:noProof/>
          <w:webHidden/>
        </w:rPr>
        <w:fldChar w:fldCharType="begin"/>
      </w:r>
      <w:r>
        <w:rPr>
          <w:noProof/>
          <w:webHidden/>
        </w:rPr>
        <w:instrText xml:space="preserve"> PAGEREF _Toc227680044 \h </w:instrText>
      </w:r>
      <w:r>
        <w:rPr>
          <w:noProof/>
          <w:webHidden/>
        </w:rPr>
        <w:fldChar w:fldCharType="separate"/>
      </w:r>
      <w:r>
        <w:rPr>
          <w:noProof/>
          <w:webHidden/>
        </w:rPr>
        <w:t>18</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"_Toc227680045" </w:instrText>
      </w:r>
      <w:r>
        <w:rPr/>
        <w:fldChar w:fldCharType="separate"/>
      </w:r>
      <w:r>
        <w:rPr>
          <w:rStyle w:val="style85"/>
          <w:noProof/>
        </w:rPr>
        <w:t>3.3.2 Strategy and equity injection with strategic alliances</w:t>
      </w:r>
      <w:r>
        <w:rPr>
          <w:noProof/>
          <w:webHidden/>
        </w:rPr>
        <w:tab/>
      </w:r>
      <w:r>
        <w:rPr>
          <w:noProof/>
          <w:webHidden/>
        </w:rPr>
        <w:fldChar w:fldCharType="begin"/>
      </w:r>
      <w:r>
        <w:rPr>
          <w:noProof/>
          <w:webHidden/>
        </w:rPr>
        <w:instrText xml:space="preserve"> PAGEREF _Toc227680045 \h </w:instrText>
      </w:r>
      <w:r>
        <w:rPr>
          <w:noProof/>
          <w:webHidden/>
        </w:rPr>
        <w:fldChar w:fldCharType="separate"/>
      </w:r>
      <w:r>
        <w:rPr>
          <w:noProof/>
          <w:webHidden/>
        </w:rPr>
        <w:t>19</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"_Toc227680046" </w:instrText>
      </w:r>
      <w:r>
        <w:rPr/>
        <w:fldChar w:fldCharType="separate"/>
      </w:r>
      <w:r>
        <w:rPr>
          <w:rStyle w:val="style85"/>
          <w:noProof/>
        </w:rPr>
        <w:t>3.3.3 Debt Structure optimisation</w:t>
      </w:r>
      <w:r>
        <w:rPr>
          <w:noProof/>
          <w:webHidden/>
        </w:rPr>
        <w:tab/>
      </w:r>
      <w:r>
        <w:rPr>
          <w:noProof/>
          <w:webHidden/>
        </w:rPr>
        <w:fldChar w:fldCharType="begin"/>
      </w:r>
      <w:r>
        <w:rPr>
          <w:noProof/>
          <w:webHidden/>
        </w:rPr>
        <w:instrText xml:space="preserve"> PAGEREF _Toc227680046 \h </w:instrText>
      </w:r>
      <w:r>
        <w:rPr>
          <w:noProof/>
          <w:webHidden/>
        </w:rPr>
        <w:fldChar w:fldCharType="separate"/>
      </w:r>
      <w:r>
        <w:rPr>
          <w:noProof/>
          <w:webHidden/>
        </w:rPr>
        <w:t>19</w:t>
      </w:r>
      <w:r>
        <w:rPr>
          <w:noProof/>
          <w:webHidden/>
        </w:rPr>
        <w:fldChar w:fldCharType="end"/>
      </w:r>
      <w:r>
        <w:rPr/>
        <w:fldChar w:fldCharType="end"/>
      </w:r>
    </w:p>
    <w:p>
      <w:pPr>
        <w:pStyle w:val="style21"/>
        <w:tabs>
          <w:tab w:val="right" w:leader="dot" w:pos="9350"/>
        </w:tabs>
        <w:rPr>
          <w:rFonts w:ascii="Aptos" w:cs="宋体" w:eastAsia="宋体" w:hAnsi="Aptos"/>
          <w:noProof/>
          <w:lang w:val="en-US"/>
        </w:rPr>
      </w:pPr>
      <w:r>
        <w:rPr/>
        <w:fldChar w:fldCharType="begin"/>
      </w:r>
      <w:r>
        <w:instrText xml:space="preserve"> HYPERLINK \l "_Toc227680047" </w:instrText>
      </w:r>
      <w:r>
        <w:rPr/>
        <w:fldChar w:fldCharType="separate"/>
      </w:r>
      <w:r>
        <w:rPr>
          <w:rStyle w:val="style85"/>
          <w:noProof/>
        </w:rPr>
        <w:t>3.3.4 Working Capital Restructuring</w:t>
      </w:r>
      <w:r>
        <w:rPr>
          <w:noProof/>
          <w:webHidden/>
        </w:rPr>
        <w:tab/>
      </w:r>
      <w:r>
        <w:rPr>
          <w:noProof/>
          <w:webHidden/>
        </w:rPr>
        <w:fldChar w:fldCharType="begin"/>
      </w:r>
      <w:r>
        <w:rPr>
          <w:noProof/>
          <w:webHidden/>
        </w:rPr>
        <w:instrText xml:space="preserve"> PAGEREF _Toc227680047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"_Toc227680048" </w:instrText>
      </w:r>
      <w:r>
        <w:rPr/>
        <w:fldChar w:fldCharType="separate"/>
      </w:r>
      <w:r>
        <w:rPr>
          <w:rStyle w:val="style85"/>
          <w:noProof/>
        </w:rPr>
        <w:t>3.4. Impact on shareholder value</w:t>
      </w:r>
      <w:r>
        <w:rPr>
          <w:noProof/>
          <w:webHidden/>
        </w:rPr>
        <w:tab/>
      </w:r>
      <w:r>
        <w:rPr>
          <w:noProof/>
          <w:webHidden/>
        </w:rPr>
        <w:fldChar w:fldCharType="begin"/>
      </w:r>
      <w:r>
        <w:rPr>
          <w:noProof/>
          <w:webHidden/>
        </w:rPr>
        <w:instrText xml:space="preserve"> PAGEREF _Toc227680048 \h </w:instrText>
      </w:r>
      <w:r>
        <w:rPr>
          <w:noProof/>
          <w:webHidden/>
        </w:rPr>
        <w:fldChar w:fldCharType="separate"/>
      </w:r>
      <w:r>
        <w:rPr>
          <w:noProof/>
          <w:webHidden/>
        </w:rPr>
        <w:t>20</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"_Toc227680049" </w:instrText>
      </w:r>
      <w:r>
        <w:rPr/>
        <w:fldChar w:fldCharType="separate"/>
      </w:r>
      <w:r>
        <w:rPr>
          <w:rStyle w:val="style85"/>
          <w:noProof/>
        </w:rPr>
        <w:t>3.5 Effect on Debt Organisation and Financial Flexibility</w:t>
      </w:r>
      <w:r>
        <w:rPr>
          <w:noProof/>
          <w:webHidden/>
        </w:rPr>
        <w:tab/>
      </w:r>
      <w:r>
        <w:rPr>
          <w:noProof/>
          <w:webHidden/>
        </w:rPr>
        <w:fldChar w:fldCharType="begin"/>
      </w:r>
      <w:r>
        <w:rPr>
          <w:noProof/>
          <w:webHidden/>
        </w:rPr>
        <w:instrText xml:space="preserve"> PAGEREF _Toc227680049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"_Toc227680050" </w:instrText>
      </w:r>
      <w:r>
        <w:rPr/>
        <w:fldChar w:fldCharType="separate"/>
      </w:r>
      <w:r>
        <w:rPr>
          <w:rStyle w:val="style85"/>
          <w:noProof/>
        </w:rPr>
        <w:t>3.6 International and Ethical considerations</w:t>
      </w:r>
      <w:r>
        <w:rPr>
          <w:noProof/>
          <w:webHidden/>
        </w:rPr>
        <w:tab/>
      </w:r>
      <w:r>
        <w:rPr>
          <w:noProof/>
          <w:webHidden/>
        </w:rPr>
        <w:fldChar w:fldCharType="begin"/>
      </w:r>
      <w:r>
        <w:rPr>
          <w:noProof/>
          <w:webHidden/>
        </w:rPr>
        <w:instrText xml:space="preserve"> PAGEREF _Toc227680050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"_Toc227680051" </w:instrText>
      </w:r>
      <w:r>
        <w:rPr/>
        <w:fldChar w:fldCharType="separate"/>
      </w:r>
      <w:r>
        <w:rPr>
          <w:rStyle w:val="style85"/>
          <w:noProof/>
        </w:rPr>
        <w:t>3.7 Summary</w:t>
      </w:r>
      <w:r>
        <w:rPr>
          <w:noProof/>
          <w:webHidden/>
        </w:rPr>
        <w:tab/>
      </w:r>
      <w:r>
        <w:rPr>
          <w:noProof/>
          <w:webHidden/>
        </w:rPr>
        <w:fldChar w:fldCharType="begin"/>
      </w:r>
      <w:r>
        <w:rPr>
          <w:noProof/>
          <w:webHidden/>
        </w:rPr>
        <w:instrText xml:space="preserve"> PAGEREF _Toc227680051 \h </w:instrText>
      </w:r>
      <w:r>
        <w:rPr>
          <w:noProof/>
          <w:webHidden/>
        </w:rPr>
        <w:fldChar w:fldCharType="separate"/>
      </w:r>
      <w:r>
        <w:rPr>
          <w:noProof/>
          <w:webHidden/>
        </w:rPr>
        <w:t>21</w:t>
      </w:r>
      <w:r>
        <w:rPr>
          <w:noProof/>
          <w:webHidden/>
        </w:rPr>
        <w:fldChar w:fldCharType="end"/>
      </w:r>
      <w:r>
        <w:rPr/>
        <w:fldChar w:fldCharType="end"/>
      </w:r>
    </w:p>
    <w:p>
      <w:pPr>
        <w:pStyle w:val="style19"/>
        <w:tabs>
          <w:tab w:val="right" w:leader="dot" w:pos="9350"/>
        </w:tabs>
        <w:rPr>
          <w:rFonts w:ascii="Aptos" w:cs="宋体" w:eastAsia="宋体" w:hAnsi="Aptos"/>
          <w:noProof/>
          <w:lang w:val="en-US"/>
        </w:rPr>
      </w:pPr>
      <w:r>
        <w:rPr/>
        <w:fldChar w:fldCharType="begin"/>
      </w:r>
      <w:r>
        <w:instrText xml:space="preserve"> HYPERLINK \l "_Toc227680052" </w:instrText>
      </w:r>
      <w:r>
        <w:rPr/>
        <w:fldChar w:fldCharType="separate"/>
      </w:r>
      <w:r>
        <w:rPr>
          <w:rStyle w:val="style85"/>
          <w:noProof/>
        </w:rPr>
        <w:t>4. Investment Appraisal and Capital Budgeting</w:t>
      </w:r>
      <w:r>
        <w:rPr>
          <w:noProof/>
          <w:webHidden/>
        </w:rPr>
        <w:tab/>
      </w:r>
      <w:r>
        <w:rPr>
          <w:noProof/>
          <w:webHidden/>
        </w:rPr>
        <w:fldChar w:fldCharType="begin"/>
      </w:r>
      <w:r>
        <w:rPr>
          <w:noProof/>
          <w:webHidden/>
        </w:rPr>
        <w:instrText xml:space="preserve"> PAGEREF _Toc227680052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"_Toc227680053" </w:instrText>
      </w:r>
      <w:r>
        <w:rPr/>
        <w:fldChar w:fldCharType="separate"/>
      </w:r>
      <w:r>
        <w:rPr>
          <w:rStyle w:val="style85"/>
          <w:noProof/>
        </w:rPr>
        <w:t>4.1 Overview</w:t>
      </w:r>
      <w:r>
        <w:rPr>
          <w:noProof/>
          <w:webHidden/>
        </w:rPr>
        <w:tab/>
      </w:r>
      <w:r>
        <w:rPr>
          <w:noProof/>
          <w:webHidden/>
        </w:rPr>
        <w:fldChar w:fldCharType="begin"/>
      </w:r>
      <w:r>
        <w:rPr>
          <w:noProof/>
          <w:webHidden/>
        </w:rPr>
        <w:instrText xml:space="preserve"> PAGEREF _Toc227680053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"_Toc227680054" </w:instrText>
      </w:r>
      <w:r>
        <w:rPr/>
        <w:fldChar w:fldCharType="separate"/>
      </w:r>
      <w:r>
        <w:rPr>
          <w:rStyle w:val="style85"/>
          <w:noProof/>
        </w:rPr>
        <w:t>4.2 Summary of results</w:t>
      </w:r>
      <w:r>
        <w:rPr>
          <w:noProof/>
          <w:webHidden/>
        </w:rPr>
        <w:tab/>
      </w:r>
      <w:r>
        <w:rPr>
          <w:noProof/>
          <w:webHidden/>
        </w:rPr>
        <w:fldChar w:fldCharType="begin"/>
      </w:r>
      <w:r>
        <w:rPr>
          <w:noProof/>
          <w:webHidden/>
        </w:rPr>
        <w:instrText xml:space="preserve"> PAGEREF _Toc227680054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"_Toc227680055" </w:instrText>
      </w:r>
      <w:r>
        <w:rPr/>
        <w:fldChar w:fldCharType="separate"/>
      </w:r>
      <w:r>
        <w:rPr>
          <w:rStyle w:val="style85"/>
          <w:noProof/>
        </w:rPr>
        <w:t>4.3 Payback Period (PBP)</w:t>
      </w:r>
      <w:r>
        <w:rPr>
          <w:noProof/>
          <w:webHidden/>
        </w:rPr>
        <w:tab/>
      </w:r>
      <w:r>
        <w:rPr>
          <w:noProof/>
          <w:webHidden/>
        </w:rPr>
        <w:fldChar w:fldCharType="begin"/>
      </w:r>
      <w:r>
        <w:rPr>
          <w:noProof/>
          <w:webHidden/>
        </w:rPr>
        <w:instrText xml:space="preserve"> PAGEREF _Toc227680055 \h </w:instrText>
      </w:r>
      <w:r>
        <w:rPr>
          <w:noProof/>
          <w:webHidden/>
        </w:rPr>
        <w:fldChar w:fldCharType="separate"/>
      </w:r>
      <w:r>
        <w:rPr>
          <w:noProof/>
          <w:webHidden/>
        </w:rPr>
        <w:t>22</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"_Toc227680056" </w:instrText>
      </w:r>
      <w:r>
        <w:rPr/>
        <w:fldChar w:fldCharType="separate"/>
      </w:r>
      <w:r>
        <w:rPr>
          <w:rStyle w:val="style85"/>
          <w:noProof/>
        </w:rPr>
        <w:t>4.4 Accounting rate of Return (ARR)</w:t>
      </w:r>
      <w:r>
        <w:rPr>
          <w:noProof/>
          <w:webHidden/>
        </w:rPr>
        <w:tab/>
      </w:r>
      <w:r>
        <w:rPr>
          <w:noProof/>
          <w:webHidden/>
        </w:rPr>
        <w:fldChar w:fldCharType="begin"/>
      </w:r>
      <w:r>
        <w:rPr>
          <w:noProof/>
          <w:webHidden/>
        </w:rPr>
        <w:instrText xml:space="preserve"> PAGEREF _Toc227680056 \h </w:instrText>
      </w:r>
      <w:r>
        <w:rPr>
          <w:noProof/>
          <w:webHidden/>
        </w:rPr>
        <w:fldChar w:fldCharType="separate"/>
      </w:r>
      <w:r>
        <w:rPr>
          <w:noProof/>
          <w:webHidden/>
        </w:rPr>
        <w:t>23</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"_Toc227680057" </w:instrText>
      </w:r>
      <w:r>
        <w:rPr/>
        <w:fldChar w:fldCharType="separate"/>
      </w:r>
      <w:r>
        <w:rPr>
          <w:rStyle w:val="style85"/>
          <w:noProof/>
        </w:rPr>
        <w:t>4.5 Net Present value (NPV)</w:t>
      </w:r>
      <w:r>
        <w:rPr>
          <w:noProof/>
          <w:webHidden/>
        </w:rPr>
        <w:tab/>
      </w:r>
      <w:r>
        <w:rPr>
          <w:noProof/>
          <w:webHidden/>
        </w:rPr>
        <w:fldChar w:fldCharType="begin"/>
      </w:r>
      <w:r>
        <w:rPr>
          <w:noProof/>
          <w:webHidden/>
        </w:rPr>
        <w:instrText xml:space="preserve"> PAGEREF _Toc227680057 \h </w:instrText>
      </w:r>
      <w:r>
        <w:rPr>
          <w:noProof/>
          <w:webHidden/>
        </w:rPr>
        <w:fldChar w:fldCharType="separate"/>
      </w:r>
      <w:r>
        <w:rPr>
          <w:noProof/>
          <w:webHidden/>
        </w:rPr>
        <w:t>23</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"_Toc227680058" </w:instrText>
      </w:r>
      <w:r>
        <w:rPr/>
        <w:fldChar w:fldCharType="separate"/>
      </w:r>
      <w:r>
        <w:rPr>
          <w:rStyle w:val="style85"/>
          <w:noProof/>
        </w:rPr>
        <w:t>4.6 Profitability Index (PI)</w:t>
      </w:r>
      <w:r>
        <w:rPr>
          <w:noProof/>
          <w:webHidden/>
        </w:rPr>
        <w:tab/>
      </w:r>
      <w:r>
        <w:rPr>
          <w:noProof/>
          <w:webHidden/>
        </w:rPr>
        <w:fldChar w:fldCharType="begin"/>
      </w:r>
      <w:r>
        <w:rPr>
          <w:noProof/>
          <w:webHidden/>
        </w:rPr>
        <w:instrText xml:space="preserve"> PAGEREF _Toc227680058 \h </w:instrText>
      </w:r>
      <w:r>
        <w:rPr>
          <w:noProof/>
          <w:webHidden/>
        </w:rPr>
        <w:fldChar w:fldCharType="separate"/>
      </w:r>
      <w:r>
        <w:rPr>
          <w:noProof/>
          <w:webHidden/>
        </w:rPr>
        <w:t>24</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"_Toc227680059" </w:instrText>
      </w:r>
      <w:r>
        <w:rPr/>
        <w:fldChar w:fldCharType="separate"/>
      </w:r>
      <w:r>
        <w:rPr>
          <w:rStyle w:val="style85"/>
          <w:noProof/>
        </w:rPr>
        <w:t>4.7 Internal rate of Return (IRR)</w:t>
      </w:r>
      <w:r>
        <w:rPr>
          <w:noProof/>
          <w:webHidden/>
        </w:rPr>
        <w:tab/>
      </w:r>
      <w:r>
        <w:rPr>
          <w:noProof/>
          <w:webHidden/>
        </w:rPr>
        <w:fldChar w:fldCharType="begin"/>
      </w:r>
      <w:r>
        <w:rPr>
          <w:noProof/>
          <w:webHidden/>
        </w:rPr>
        <w:instrText xml:space="preserve"> PAGEREF _Toc227680059 \h </w:instrText>
      </w:r>
      <w:r>
        <w:rPr>
          <w:noProof/>
          <w:webHidden/>
        </w:rPr>
        <w:fldChar w:fldCharType="separate"/>
      </w:r>
      <w:r>
        <w:rPr>
          <w:noProof/>
          <w:webHidden/>
        </w:rPr>
        <w:t>24</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"_Toc227680060" </w:instrText>
      </w:r>
      <w:r>
        <w:rPr/>
        <w:fldChar w:fldCharType="separate"/>
      </w:r>
      <w:r>
        <w:rPr>
          <w:rStyle w:val="style85"/>
          <w:noProof/>
        </w:rPr>
        <w:t>4.8 Overall Project Evaluation</w:t>
      </w:r>
      <w:r>
        <w:rPr>
          <w:noProof/>
          <w:webHidden/>
        </w:rPr>
        <w:tab/>
      </w:r>
      <w:r>
        <w:rPr>
          <w:noProof/>
          <w:webHidden/>
        </w:rPr>
        <w:fldChar w:fldCharType="begin"/>
      </w:r>
      <w:r>
        <w:rPr>
          <w:noProof/>
          <w:webHidden/>
        </w:rPr>
        <w:instrText xml:space="preserve"> PAGEREF _Toc227680060 \h </w:instrText>
      </w:r>
      <w:r>
        <w:rPr>
          <w:noProof/>
          <w:webHidden/>
        </w:rPr>
        <w:fldChar w:fldCharType="separate"/>
      </w:r>
      <w:r>
        <w:rPr>
          <w:noProof/>
          <w:webHidden/>
        </w:rPr>
        <w:t>24</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"_Toc227680061" </w:instrText>
      </w:r>
      <w:r>
        <w:rPr/>
        <w:fldChar w:fldCharType="separate"/>
      </w:r>
      <w:r>
        <w:rPr>
          <w:rStyle w:val="style85"/>
          <w:noProof/>
        </w:rPr>
        <w:t>4.9 Strategic Justification Hyundai Context</w:t>
      </w:r>
      <w:r>
        <w:rPr>
          <w:noProof/>
          <w:webHidden/>
        </w:rPr>
        <w:tab/>
      </w:r>
      <w:r>
        <w:rPr>
          <w:noProof/>
          <w:webHidden/>
        </w:rPr>
        <w:fldChar w:fldCharType="begin"/>
      </w:r>
      <w:r>
        <w:rPr>
          <w:noProof/>
          <w:webHidden/>
        </w:rPr>
        <w:instrText xml:space="preserve"> PAGEREF _Toc227680061 \h </w:instrText>
      </w:r>
      <w:r>
        <w:rPr>
          <w:noProof/>
          <w:webHidden/>
        </w:rPr>
        <w:fldChar w:fldCharType="separate"/>
      </w:r>
      <w:r>
        <w:rPr>
          <w:noProof/>
          <w:webHidden/>
        </w:rPr>
        <w:t>25</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"_Toc227680062" </w:instrText>
      </w:r>
      <w:r>
        <w:rPr/>
        <w:fldChar w:fldCharType="separate"/>
      </w:r>
      <w:r>
        <w:rPr>
          <w:rStyle w:val="style85"/>
          <w:noProof/>
        </w:rPr>
        <w:t>4.10 Non-Financial Considerations</w:t>
      </w:r>
      <w:r>
        <w:rPr>
          <w:noProof/>
          <w:webHidden/>
        </w:rPr>
        <w:tab/>
      </w:r>
      <w:r>
        <w:rPr>
          <w:noProof/>
          <w:webHidden/>
        </w:rPr>
        <w:fldChar w:fldCharType="begin"/>
      </w:r>
      <w:r>
        <w:rPr>
          <w:noProof/>
          <w:webHidden/>
        </w:rPr>
        <w:instrText xml:space="preserve"> PAGEREF _Toc227680062 \h </w:instrText>
      </w:r>
      <w:r>
        <w:rPr>
          <w:noProof/>
          <w:webHidden/>
        </w:rPr>
        <w:fldChar w:fldCharType="separate"/>
      </w:r>
      <w:r>
        <w:rPr>
          <w:noProof/>
          <w:webHidden/>
        </w:rPr>
        <w:t>25</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"_Toc227680063" </w:instrText>
      </w:r>
      <w:r>
        <w:rPr/>
        <w:fldChar w:fldCharType="separate"/>
      </w:r>
      <w:r>
        <w:rPr>
          <w:rStyle w:val="style85"/>
          <w:noProof/>
        </w:rPr>
        <w:t>4.11 Capital Rationing Decision</w:t>
      </w:r>
      <w:r>
        <w:rPr>
          <w:noProof/>
          <w:webHidden/>
        </w:rPr>
        <w:tab/>
      </w:r>
      <w:r>
        <w:rPr>
          <w:noProof/>
          <w:webHidden/>
        </w:rPr>
        <w:fldChar w:fldCharType="begin"/>
      </w:r>
      <w:r>
        <w:rPr>
          <w:noProof/>
          <w:webHidden/>
        </w:rPr>
        <w:instrText xml:space="preserve"> PAGEREF _Toc227680063 \h </w:instrText>
      </w:r>
      <w:r>
        <w:rPr>
          <w:noProof/>
          <w:webHidden/>
        </w:rPr>
        <w:fldChar w:fldCharType="separate"/>
      </w:r>
      <w:r>
        <w:rPr>
          <w:noProof/>
          <w:webHidden/>
        </w:rPr>
        <w:t>25</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"_Toc227680064" </w:instrText>
      </w:r>
      <w:r>
        <w:rPr/>
        <w:fldChar w:fldCharType="separate"/>
      </w:r>
      <w:r>
        <w:rPr>
          <w:rStyle w:val="style85"/>
          <w:noProof/>
        </w:rPr>
        <w:t>4.12 Summary</w:t>
      </w:r>
      <w:r>
        <w:rPr>
          <w:noProof/>
          <w:webHidden/>
        </w:rPr>
        <w:tab/>
      </w:r>
      <w:r>
        <w:rPr>
          <w:noProof/>
          <w:webHidden/>
        </w:rPr>
        <w:fldChar w:fldCharType="begin"/>
      </w:r>
      <w:r>
        <w:rPr>
          <w:noProof/>
          <w:webHidden/>
        </w:rPr>
        <w:instrText xml:space="preserve"> PAGEREF _Toc227680064 \h </w:instrText>
      </w:r>
      <w:r>
        <w:rPr>
          <w:noProof/>
          <w:webHidden/>
        </w:rPr>
        <w:fldChar w:fldCharType="separate"/>
      </w:r>
      <w:r>
        <w:rPr>
          <w:noProof/>
          <w:webHidden/>
        </w:rPr>
        <w:t>26</w:t>
      </w:r>
      <w:r>
        <w:rPr>
          <w:noProof/>
          <w:webHidden/>
        </w:rPr>
        <w:fldChar w:fldCharType="end"/>
      </w:r>
      <w:r>
        <w:rPr/>
        <w:fldChar w:fldCharType="end"/>
      </w:r>
    </w:p>
    <w:p>
      <w:pPr>
        <w:pStyle w:val="style19"/>
        <w:tabs>
          <w:tab w:val="right" w:leader="dot" w:pos="9350"/>
        </w:tabs>
        <w:rPr>
          <w:rFonts w:ascii="Aptos" w:cs="宋体" w:eastAsia="宋体" w:hAnsi="Aptos"/>
          <w:noProof/>
          <w:lang w:val="en-US"/>
        </w:rPr>
      </w:pPr>
      <w:r>
        <w:rPr/>
        <w:fldChar w:fldCharType="begin"/>
      </w:r>
      <w:r>
        <w:instrText xml:space="preserve"> HYPERLINK \l "_Toc227680065" </w:instrText>
      </w:r>
      <w:r>
        <w:rPr/>
        <w:fldChar w:fldCharType="separate"/>
      </w:r>
      <w:r>
        <w:rPr>
          <w:rStyle w:val="style85"/>
          <w:rFonts w:cs="Arial"/>
          <w:noProof/>
        </w:rPr>
        <w:t>Reference List</w:t>
      </w:r>
      <w:r>
        <w:rPr>
          <w:noProof/>
          <w:webHidden/>
        </w:rPr>
        <w:tab/>
      </w:r>
      <w:r>
        <w:rPr>
          <w:noProof/>
          <w:webHidden/>
        </w:rPr>
        <w:fldChar w:fldCharType="begin"/>
      </w:r>
      <w:r>
        <w:rPr>
          <w:noProof/>
          <w:webHidden/>
        </w:rPr>
        <w:instrText xml:space="preserve"> PAGEREF _Toc227680065 \h </w:instrText>
      </w:r>
      <w:r>
        <w:rPr>
          <w:noProof/>
          <w:webHidden/>
        </w:rPr>
        <w:fldChar w:fldCharType="separate"/>
      </w:r>
      <w:r>
        <w:rPr>
          <w:noProof/>
          <w:webHidden/>
        </w:rPr>
        <w:t>28</w:t>
      </w:r>
      <w:r>
        <w:rPr>
          <w:noProof/>
          <w:webHidden/>
        </w:rPr>
        <w:fldChar w:fldCharType="end"/>
      </w:r>
      <w:r>
        <w:rPr/>
        <w:fldChar w:fldCharType="end"/>
      </w:r>
    </w:p>
    <w:p>
      <w:pPr>
        <w:pStyle w:val="style19"/>
        <w:tabs>
          <w:tab w:val="right" w:leader="dot" w:pos="9350"/>
        </w:tabs>
        <w:rPr>
          <w:rFonts w:ascii="Aptos" w:cs="宋体" w:eastAsia="宋体" w:hAnsi="Aptos"/>
          <w:noProof/>
          <w:lang w:val="en-US"/>
        </w:rPr>
      </w:pPr>
      <w:r>
        <w:rPr/>
        <w:fldChar w:fldCharType="begin"/>
      </w:r>
      <w:r>
        <w:instrText xml:space="preserve"> HYPERLINK \l "_Toc227680066" </w:instrText>
      </w:r>
      <w:r>
        <w:rPr/>
        <w:fldChar w:fldCharType="separate"/>
      </w:r>
      <w:r>
        <w:rPr>
          <w:rStyle w:val="style85"/>
          <w:rFonts w:cs="Arial"/>
          <w:noProof/>
        </w:rPr>
        <w:t>Appendices</w:t>
      </w:r>
      <w:r>
        <w:rPr>
          <w:noProof/>
          <w:webHidden/>
        </w:rPr>
        <w:tab/>
      </w:r>
      <w:r>
        <w:rPr>
          <w:noProof/>
          <w:webHidden/>
        </w:rPr>
        <w:fldChar w:fldCharType="begin"/>
      </w:r>
      <w:r>
        <w:rPr>
          <w:noProof/>
          <w:webHidden/>
        </w:rPr>
        <w:instrText xml:space="preserve"> PAGEREF _Toc227680066 \h </w:instrText>
      </w:r>
      <w:r>
        <w:rPr>
          <w:noProof/>
          <w:webHidden/>
        </w:rPr>
        <w:fldChar w:fldCharType="separate"/>
      </w:r>
      <w:r>
        <w:rPr>
          <w:noProof/>
          <w:webHidden/>
        </w:rPr>
        <w:t>33</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"_Toc227680067" </w:instrText>
      </w:r>
      <w:r>
        <w:rPr/>
        <w:fldChar w:fldCharType="separate"/>
      </w:r>
      <w:r>
        <w:rPr>
          <w:rStyle w:val="style85"/>
          <w:noProof/>
        </w:rPr>
        <w:t>Appendix 1: Dataset</w:t>
      </w:r>
      <w:r>
        <w:rPr>
          <w:noProof/>
          <w:webHidden/>
        </w:rPr>
        <w:tab/>
      </w:r>
      <w:r>
        <w:rPr>
          <w:noProof/>
          <w:webHidden/>
        </w:rPr>
        <w:fldChar w:fldCharType="begin"/>
      </w:r>
      <w:r>
        <w:rPr>
          <w:noProof/>
          <w:webHidden/>
        </w:rPr>
        <w:instrText xml:space="preserve"> PAGEREF _Toc227680067 \h </w:instrText>
      </w:r>
      <w:r>
        <w:rPr>
          <w:noProof/>
          <w:webHidden/>
        </w:rPr>
        <w:fldChar w:fldCharType="separate"/>
      </w:r>
      <w:r>
        <w:rPr>
          <w:noProof/>
          <w:webHidden/>
        </w:rPr>
        <w:t>33</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"_Toc227680068" </w:instrText>
      </w:r>
      <w:r>
        <w:rPr/>
        <w:fldChar w:fldCharType="separate"/>
      </w:r>
      <w:r>
        <w:rPr>
          <w:rStyle w:val="style85"/>
          <w:noProof/>
        </w:rPr>
        <w:t>Appendix 2: Ratio Calculation</w:t>
      </w:r>
      <w:r>
        <w:rPr>
          <w:noProof/>
          <w:webHidden/>
        </w:rPr>
        <w:tab/>
      </w:r>
      <w:r>
        <w:rPr>
          <w:noProof/>
          <w:webHidden/>
        </w:rPr>
        <w:fldChar w:fldCharType="begin"/>
      </w:r>
      <w:r>
        <w:rPr>
          <w:noProof/>
          <w:webHidden/>
        </w:rPr>
        <w:instrText xml:space="preserve"> PAGEREF _Toc227680068 \h </w:instrText>
      </w:r>
      <w:r>
        <w:rPr>
          <w:noProof/>
          <w:webHidden/>
        </w:rPr>
        <w:fldChar w:fldCharType="separate"/>
      </w:r>
      <w:r>
        <w:rPr>
          <w:noProof/>
          <w:webHidden/>
        </w:rPr>
        <w:t>34</w:t>
      </w:r>
      <w:r>
        <w:rPr>
          <w:noProof/>
          <w:webHidden/>
        </w:rPr>
        <w:fldChar w:fldCharType="end"/>
      </w:r>
      <w:r>
        <w:rPr/>
        <w:fldChar w:fldCharType="end"/>
      </w:r>
    </w:p>
    <w:p>
      <w:pPr>
        <w:pStyle w:val="style20"/>
        <w:tabs>
          <w:tab w:val="right" w:leader="dot" w:pos="9350"/>
        </w:tabs>
        <w:rPr>
          <w:rFonts w:ascii="Aptos" w:cs="宋体" w:eastAsia="宋体" w:hAnsi="Aptos"/>
          <w:noProof/>
          <w:lang w:val="en-US"/>
        </w:rPr>
      </w:pPr>
      <w:r>
        <w:rPr/>
        <w:fldChar w:fldCharType="begin"/>
      </w:r>
      <w:r>
        <w:instrText xml:space="preserve"> HYPERLINK \l "_Toc227680069" </w:instrText>
      </w:r>
      <w:r>
        <w:rPr/>
        <w:fldChar w:fldCharType="separate"/>
      </w:r>
      <w:r>
        <w:rPr>
          <w:rStyle w:val="style85"/>
          <w:noProof/>
        </w:rPr>
        <w:t>Appendix 3: Investment Projects</w:t>
      </w:r>
      <w:r>
        <w:rPr>
          <w:noProof/>
          <w:webHidden/>
        </w:rPr>
        <w:tab/>
      </w:r>
      <w:r>
        <w:rPr>
          <w:noProof/>
          <w:webHidden/>
        </w:rPr>
        <w:fldChar w:fldCharType="begin"/>
      </w:r>
      <w:r>
        <w:rPr>
          <w:noProof/>
          <w:webHidden/>
        </w:rPr>
        <w:instrText xml:space="preserve"> PAGEREF _Toc227680069 \h </w:instrText>
      </w:r>
      <w:r>
        <w:rPr>
          <w:noProof/>
          <w:webHidden/>
        </w:rPr>
        <w:fldChar w:fldCharType="separate"/>
      </w:r>
      <w:r>
        <w:rPr>
          <w:noProof/>
          <w:webHidden/>
        </w:rPr>
        <w:t>35</w:t>
      </w:r>
      <w:r>
        <w:rPr>
          <w:noProof/>
          <w:webHidden/>
        </w:rPr>
        <w:fldChar w:fldCharType="end"/>
      </w:r>
      <w:r>
        <w:rPr/>
        <w:fldChar w:fldCharType="end"/>
      </w:r>
    </w:p>
    <w:p>
      <w:pPr>
        <w:pStyle w:val="style0"/>
        <w:rPr>
          <w:rFonts w:cs="Arial"/>
        </w:rPr>
      </w:pPr>
      <w:r>
        <w:rPr>
          <w:rFonts w:cs="Arial"/>
          <w:b/>
          <w:bCs/>
          <w:noProof/>
        </w:rPr>
        <w:fldChar w:fldCharType="end"/>
      </w:r>
    </w:p>
    <w:p>
      <w:pPr>
        <w:pStyle w:val="style0"/>
        <w:spacing w:lineRule="auto" w:line="259"/>
        <w:jc w:val="left"/>
        <w:rPr>
          <w:rFonts w:cs="Arial"/>
          <w:b/>
          <w:bCs/>
          <w:sz w:val="36"/>
          <w:szCs w:val="36"/>
        </w:rPr>
      </w:pPr>
      <w:r>
        <w:rPr>
          <w:rFonts w:cs="Arial"/>
          <w:b/>
          <w:bCs/>
          <w:sz w:val="36"/>
          <w:szCs w:val="36"/>
        </w:rPr>
        <w:br w:type="page"/>
      </w:r>
    </w:p>
    <w:bookmarkStart w:id="0" w:name="_Toc227680023"/>
    <w:p>
      <w:pPr>
        <w:pStyle w:val="style1"/>
        <w:rPr>
          <w:rFonts w:cs="Arial"/>
        </w:rPr>
      </w:pPr>
      <w:r>
        <w:rPr>
          <w:rFonts w:cs="Arial"/>
        </w:rPr>
        <w:t>1. Financial Health Check</w:t>
      </w:r>
      <w:bookmarkEnd w:id="0"/>
      <w:r>
        <w:rPr>
          <w:rFonts w:cs="Arial"/>
        </w:rPr>
        <w:t xml:space="preserve"> </w:t>
      </w:r>
    </w:p>
    <w:bookmarkStart w:id="1" w:name="_Toc227680024"/>
    <w:p>
      <w:pPr>
        <w:pStyle w:val="style2"/>
        <w:rPr/>
      </w:pPr>
      <w:r>
        <w:t xml:space="preserve">1.1 </w:t>
      </w:r>
      <w:r>
        <w:t>Overview of financial statement</w:t>
      </w:r>
      <w:bookmarkEnd w:id="1"/>
      <w:r>
        <w:t xml:space="preserve"> </w:t>
      </w:r>
    </w:p>
    <w:p>
      <w:pPr>
        <w:pStyle w:val="style0"/>
        <w:rPr/>
      </w:pPr>
      <w:r>
        <w:t xml:space="preserve">The </w:t>
      </w:r>
      <w:r>
        <w:t>cash flow statements</w:t>
      </w:r>
      <w:r>
        <w:t xml:space="preserve"> ranging for 5 years</w:t>
      </w:r>
      <w:r>
        <w:t xml:space="preserve"> </w:t>
      </w:r>
      <w:r>
        <w:t>which is from</w:t>
      </w:r>
      <w:r>
        <w:t xml:space="preserve"> 2022</w:t>
      </w:r>
      <w:r>
        <w:t xml:space="preserve"> to </w:t>
      </w:r>
      <w:r>
        <w:t xml:space="preserve">2025 </w:t>
      </w:r>
      <w:r>
        <w:t xml:space="preserve">show that the company is under a rather stable financial position, with a high operating cash flow with a high financing outflow. Operating cash flows are positive in all periods, but they decreased due to 12,168,422 (2021) to 9,358,629 (2022) and further varied in other years, </w:t>
      </w:r>
      <w:r>
        <w:t xml:space="preserve">thus </w:t>
      </w:r>
      <w:r>
        <w:t>hitting 16,226,162 in 2024 and decreasing to 959,651 in the middle of 2025</w:t>
      </w:r>
      <w:r>
        <w:t xml:space="preserve">. Such a </w:t>
      </w:r>
      <w:r>
        <w:t xml:space="preserve">volatility indicates fluctuating working capital flows and tax payment. Investing activities are always associated with negative cash flows which emphasize sustained capital expenditure and long-term investments. </w:t>
      </w:r>
    </w:p>
    <w:p>
      <w:pPr>
        <w:pStyle w:val="style0"/>
        <w:jc w:val="center"/>
        <w:rPr>
          <w:rFonts w:cs="Arial"/>
        </w:rPr>
      </w:pPr>
      <w:r>
        <w:rPr>
          <w:rFonts w:cs="Arial"/>
          <w:noProof/>
        </w:rPr>
        <w:drawing>
          <wp:inline distL="0" distT="0" distB="0" distR="0">
            <wp:extent cx="2753360" cy="3273842"/>
            <wp:effectExtent l="0" t="0" r="8890" b="3175"/>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2753360" cy="3273842"/>
                    </a:xfrm>
                    <a:prstGeom prst="rect"/>
                  </pic:spPr>
                </pic:pic>
              </a:graphicData>
            </a:graphic>
          </wp:inline>
        </w:drawing>
      </w:r>
      <w:r>
        <w:rPr>
          <w:rFonts w:cs="Arial"/>
        </w:rPr>
        <w:t xml:space="preserve">    </w:t>
      </w:r>
      <w:r>
        <w:rPr>
          <w:rFonts w:cs="Arial"/>
          <w:noProof/>
        </w:rPr>
        <w:drawing>
          <wp:inline distL="0" distT="0" distB="0" distR="0">
            <wp:extent cx="2998381" cy="3284854"/>
            <wp:effectExtent l="0" t="0" r="0" b="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2998381" cy="3284854"/>
                    </a:xfrm>
                    <a:prstGeom prst="rect"/>
                  </pic:spPr>
                </pic:pic>
              </a:graphicData>
            </a:graphic>
          </wp:inline>
        </w:drawing>
      </w:r>
    </w:p>
    <w:p>
      <w:pPr>
        <w:pStyle w:val="style0"/>
        <w:jc w:val="center"/>
        <w:rPr>
          <w:rFonts w:cs="Arial"/>
          <w:b/>
          <w:bCs/>
        </w:rPr>
      </w:pPr>
      <w:r>
        <w:rPr>
          <w:rFonts w:cs="Arial"/>
          <w:b/>
          <w:bCs/>
        </w:rPr>
        <w:t>Figure 1: Snapshot of Cash flow</w:t>
      </w:r>
      <w:r>
        <w:rPr>
          <w:rFonts w:cs="Arial"/>
          <w:b/>
          <w:bCs/>
        </w:rPr>
        <w:t xml:space="preserve"> for Hyundai (2021 to 2024)</w:t>
      </w:r>
    </w:p>
    <w:p>
      <w:pPr>
        <w:pStyle w:val="style0"/>
        <w:jc w:val="center"/>
        <w:rPr>
          <w:rFonts w:cs="Arial"/>
        </w:rPr>
      </w:pPr>
      <w:r>
        <w:rPr>
          <w:rFonts w:cs="Arial"/>
        </w:rPr>
        <w:t>(Source: Hyundai, 2025)</w:t>
      </w:r>
    </w:p>
    <w:p>
      <w:pPr>
        <w:pStyle w:val="style0"/>
        <w:rPr>
          <w:rFonts w:cs="Arial"/>
        </w:rPr>
      </w:pPr>
      <w:r>
        <w:t xml:space="preserve">The cash flows are also highly negative hence a shareholder-oriented approach is observed, especially through dividend payments and the decrease in financing liabilities. The total cash balances vary and decline in certain years </w:t>
      </w:r>
      <w:r>
        <w:t>mainly due to</w:t>
      </w:r>
      <w:r>
        <w:t xml:space="preserve"> high outflows and </w:t>
      </w:r>
      <w:r>
        <w:t xml:space="preserve">then improve when operating performance improves. The trend indicates that this company is strong in its operations, yet it is under stress because of investment requirements and aggressive financial policies, and it needs to manage its liquidity </w:t>
      </w:r>
      <w:r>
        <w:t xml:space="preserve">in a careful and focused manner. </w:t>
      </w:r>
    </w:p>
    <w:p>
      <w:pPr>
        <w:pStyle w:val="style0"/>
        <w:jc w:val="center"/>
        <w:rPr>
          <w:rFonts w:cs="Arial"/>
        </w:rPr>
      </w:pPr>
      <w:r>
        <w:rPr>
          <w:rFonts w:cs="Arial"/>
          <w:noProof/>
        </w:rPr>
        <w:drawing>
          <wp:inline distL="0" distT="0" distB="0" distR="0">
            <wp:extent cx="3681143" cy="3710763"/>
            <wp:effectExtent l="0" t="0" r="0" b="4445"/>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3681143" cy="3710763"/>
                    </a:xfrm>
                    <a:prstGeom prst="rect"/>
                  </pic:spPr>
                </pic:pic>
              </a:graphicData>
            </a:graphic>
          </wp:inline>
        </w:drawing>
      </w:r>
    </w:p>
    <w:p>
      <w:pPr>
        <w:pStyle w:val="style0"/>
        <w:jc w:val="center"/>
        <w:rPr>
          <w:rFonts w:cs="Arial"/>
          <w:b/>
          <w:bCs/>
        </w:rPr>
      </w:pPr>
      <w:r>
        <w:rPr>
          <w:rFonts w:cs="Arial"/>
          <w:b/>
          <w:bCs/>
        </w:rPr>
        <w:t xml:space="preserve">Figure </w:t>
      </w:r>
      <w:r>
        <w:rPr>
          <w:rFonts w:cs="Arial"/>
          <w:b/>
          <w:bCs/>
        </w:rPr>
        <w:t>2</w:t>
      </w:r>
      <w:r>
        <w:rPr>
          <w:rFonts w:cs="Arial"/>
          <w:b/>
          <w:bCs/>
        </w:rPr>
        <w:t>: Snapshot of Cash flow</w:t>
      </w:r>
      <w:r>
        <w:rPr>
          <w:rFonts w:cs="Arial"/>
          <w:b/>
          <w:bCs/>
        </w:rPr>
        <w:t xml:space="preserve"> for Hyundai (2024 to 2025)</w:t>
      </w:r>
    </w:p>
    <w:p>
      <w:pPr>
        <w:pStyle w:val="style0"/>
        <w:jc w:val="center"/>
        <w:rPr>
          <w:rFonts w:cs="Arial"/>
        </w:rPr>
      </w:pPr>
      <w:r>
        <w:rPr>
          <w:rFonts w:cs="Arial"/>
        </w:rPr>
        <w:t>(Source: Hyundai, 2025)</w:t>
      </w:r>
    </w:p>
    <w:bookmarkStart w:id="2" w:name="_Toc227680025"/>
    <w:p>
      <w:pPr>
        <w:pStyle w:val="style2"/>
        <w:rPr/>
      </w:pPr>
      <w:r>
        <w:t>1.2 Ratio Analysis</w:t>
      </w:r>
      <w:bookmarkEnd w:id="2"/>
    </w:p>
    <w:bookmarkStart w:id="3" w:name="_Toc227680026"/>
    <w:p>
      <w:pPr>
        <w:pStyle w:val="style3"/>
        <w:rPr/>
      </w:pPr>
      <w:r>
        <w:t>1.2</w:t>
      </w:r>
      <w:r>
        <w:t>.1</w:t>
      </w:r>
      <w:r>
        <w:t xml:space="preserve"> Profitability Analysis</w:t>
      </w:r>
      <w:bookmarkEnd w:id="3"/>
    </w:p>
    <w:p>
      <w:pPr>
        <w:pStyle w:val="style0"/>
        <w:rPr/>
      </w:pPr>
      <w:r>
        <w:t>The profitability ratios have a good upward trend that is steady and effective over the five-year period which implies that there are an increased financial performance and operational efficiency. Gross profit margin grew steadily by 22.6</w:t>
      </w:r>
      <w:r>
        <w:t>%</w:t>
      </w:r>
      <w:r>
        <w:t xml:space="preserve"> in 2021 to 26.4</w:t>
      </w:r>
      <w:r>
        <w:t>%</w:t>
      </w:r>
      <w:r>
        <w:t xml:space="preserve"> in 2025 due to improved cost control and product shift to higher-margin products. This implies good pricing policies and enhanced efficiency in production. The operating profit </w:t>
      </w:r>
      <w:r>
        <w:t>margin increased substantially to 9.9 percent as compared to 5.7 percent, showing improved control of operating expenses, and economies of scale. The steep rise in 2022-23 represents a season of operational optimisation, which may be fuelled by more efficient cost structures and increased revenue (</w:t>
      </w:r>
      <w:r>
        <w:t>Nnabueze</w:t>
      </w:r>
      <w:r>
        <w:t xml:space="preserve"> et al., 2024).</w:t>
      </w:r>
    </w:p>
    <w:p>
      <w:pPr>
        <w:pStyle w:val="style0"/>
        <w:jc w:val="center"/>
        <w:rPr>
          <w:rFonts w:cs="Arial"/>
        </w:rPr>
      </w:pPr>
      <w:r>
        <w:rPr>
          <w:noProof/>
        </w:rPr>
      </w:r>
      <w:r>
        <w:rPr>
          <w:noProof/>
        </w:rPr>
      </w:r>
      <w:r>
        <w:rPr>
          <w:noProof/>
        </w:rPr>
      </w:r>
      <w:r>
        <w:rPr>
          <w:noProof/>
        </w:rPr>
        <w:drawing>
          <wp:inline distL="114300" distT="0" distB="0" distR="114300">
            <wp:extent cx="5433237" cy="2966484"/>
            <wp:effectExtent l="0" t="0" r="0" b="0"/>
            <wp:docPr id="1031"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noProof/>
        </w:rPr>
      </w:r>
    </w:p>
    <w:p>
      <w:pPr>
        <w:pStyle w:val="style0"/>
        <w:jc w:val="center"/>
        <w:rPr>
          <w:rFonts w:cs="Arial"/>
          <w:b/>
          <w:bCs/>
        </w:rPr>
      </w:pPr>
      <w:r>
        <w:rPr>
          <w:rFonts w:cs="Arial"/>
          <w:b/>
          <w:bCs/>
        </w:rPr>
        <w:t xml:space="preserve">Figure </w:t>
      </w:r>
      <w:r>
        <w:rPr>
          <w:rFonts w:cs="Arial"/>
          <w:b/>
          <w:bCs/>
        </w:rPr>
        <w:t>3</w:t>
      </w:r>
      <w:r>
        <w:rPr>
          <w:rFonts w:cs="Arial"/>
          <w:b/>
          <w:bCs/>
        </w:rPr>
        <w:t>: Profitability Ratios</w:t>
      </w:r>
    </w:p>
    <w:p>
      <w:pPr>
        <w:pStyle w:val="style0"/>
        <w:jc w:val="center"/>
        <w:rPr>
          <w:rFonts w:cs="Arial"/>
        </w:rPr>
      </w:pPr>
      <w:r>
        <w:rPr>
          <w:rFonts w:cs="Arial"/>
        </w:rPr>
        <w:t xml:space="preserve">(Source: </w:t>
      </w:r>
      <w:r>
        <w:rPr>
          <w:rFonts w:cs="Arial"/>
        </w:rPr>
        <w:t>Self-created</w:t>
      </w:r>
      <w:r>
        <w:rPr>
          <w:rFonts w:cs="Arial"/>
        </w:rPr>
        <w:t>)</w:t>
      </w:r>
    </w:p>
    <w:p>
      <w:pPr>
        <w:pStyle w:val="style0"/>
        <w:rPr/>
      </w:pPr>
      <w:r>
        <w:t>Net profit margin also had a similar trend and increased by 4.8 to 8.1. This is in line with the fact that operating level gains are successfully being converted into bottom-line profitability, and controlled financing and tax costs. The Return on Assets or ROA was also increased by 2.4</w:t>
      </w:r>
      <w:r>
        <w:t>%</w:t>
      </w:r>
      <w:r>
        <w:t xml:space="preserve"> to 4.9</w:t>
      </w:r>
      <w:r>
        <w:t>%</w:t>
      </w:r>
      <w:r>
        <w:t xml:space="preserve"> which showed better utilisation of assets to earn profits. This is specifically in the capital-intensive industries where the productivity of assets is of utmost importance (Dincă and </w:t>
      </w:r>
      <w:r>
        <w:t>Akomeah</w:t>
      </w:r>
      <w:r>
        <w:t>, 2026). The Return on Equity (ROE) rose by 6.5</w:t>
      </w:r>
      <w:r>
        <w:t>%</w:t>
      </w:r>
      <w:r>
        <w:t xml:space="preserve"> to 11.4</w:t>
      </w:r>
      <w:r>
        <w:t>%</w:t>
      </w:r>
      <w:r>
        <w:t xml:space="preserve"> percent which means that shareholders realized better returns. In general, the trend of increasing all profitability ratios indicates robust financial health, enhancing efficiency, and success in executing strategies, but the continuation of the growth will rely on how to handle future cost pressures and competition.</w:t>
      </w:r>
    </w:p>
    <w:bookmarkStart w:id="4" w:name="_Toc227680027"/>
    <w:p>
      <w:pPr>
        <w:pStyle w:val="style0"/>
        <w:spacing w:before="0" w:after="160" w:lineRule="auto" w:line="259"/>
        <w:jc w:val="left"/>
        <w:rPr>
          <w:rFonts w:cs="Arial"/>
          <w:b/>
          <w:bCs/>
          <w:i/>
          <w:iCs/>
        </w:rPr>
      </w:pPr>
      <w:r>
        <w:br w:type="page"/>
      </w:r>
    </w:p>
    <w:p>
      <w:pPr>
        <w:pStyle w:val="style3"/>
        <w:rPr/>
      </w:pPr>
      <w:r>
        <w:t>1.</w:t>
      </w:r>
      <w:r>
        <w:t>2.2</w:t>
      </w:r>
      <w:r>
        <w:t xml:space="preserve"> Liquidity Analysis</w:t>
      </w:r>
      <w:bookmarkEnd w:id="4"/>
    </w:p>
    <w:p>
      <w:pPr>
        <w:pStyle w:val="style0"/>
        <w:rPr/>
      </w:pPr>
      <w:r>
        <w:t>Hyundai has a gradual improvement in the liquidity position over the five-year period, but it is relatively constrained. The current ratio rose to slightly higher than 1.01 as compared to 0.92 in 2021, meaning that the company has just now reached the point at which it can cover its short-term liabilities using current assets. Although this enhancement indicates a better management of working capital, the margin of safety is low (</w:t>
      </w:r>
      <w:r>
        <w:t>Purba</w:t>
      </w:r>
      <w:r>
        <w:t xml:space="preserve">, Wulandari and Djatnicka, 2025). The quick ratio rose slightly by 0.71 to 0.76 implying that Hyundai continues to heavily depend on inventory to clear its short-term liabilities. This leaves the company vulnerable especially when there is a change in demand or any supply chain disruption, as inventory is less liquid and thus the company is at risk. </w:t>
      </w:r>
    </w:p>
    <w:p>
      <w:pPr>
        <w:pStyle w:val="style0"/>
        <w:jc w:val="center"/>
        <w:rPr>
          <w:rFonts w:cs="Arial"/>
        </w:rPr>
      </w:pPr>
      <w:r>
        <w:rPr>
          <w:noProof/>
        </w:rPr>
      </w:r>
      <w:r>
        <w:rPr>
          <w:noProof/>
        </w:rPr>
      </w:r>
      <w:r>
        <w:rPr>
          <w:noProof/>
        </w:rPr>
      </w:r>
      <w:r>
        <w:rPr>
          <w:noProof/>
        </w:rPr>
        <w:drawing>
          <wp:inline distL="114300" distT="0" distB="0" distR="114300">
            <wp:extent cx="5284381" cy="2913321"/>
            <wp:effectExtent l="0" t="0" r="0" b="0"/>
            <wp:docPr id="1033"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noProof/>
        </w:rPr>
      </w:r>
    </w:p>
    <w:p>
      <w:pPr>
        <w:pStyle w:val="style0"/>
        <w:jc w:val="center"/>
        <w:rPr>
          <w:rFonts w:cs="Arial"/>
          <w:b/>
          <w:bCs/>
        </w:rPr>
      </w:pPr>
      <w:r>
        <w:rPr>
          <w:rFonts w:cs="Arial"/>
          <w:b/>
          <w:bCs/>
        </w:rPr>
        <w:t xml:space="preserve">Figure </w:t>
      </w:r>
      <w:r>
        <w:rPr>
          <w:rFonts w:cs="Arial"/>
          <w:b/>
          <w:bCs/>
        </w:rPr>
        <w:t>4</w:t>
      </w:r>
      <w:r>
        <w:rPr>
          <w:rFonts w:cs="Arial"/>
          <w:b/>
          <w:bCs/>
        </w:rPr>
        <w:t>: Liquidity Ratios</w:t>
      </w:r>
    </w:p>
    <w:p>
      <w:pPr>
        <w:pStyle w:val="style0"/>
        <w:jc w:val="center"/>
        <w:rPr>
          <w:rFonts w:cs="Arial"/>
        </w:rPr>
      </w:pPr>
      <w:r>
        <w:rPr>
          <w:rFonts w:cs="Arial"/>
        </w:rPr>
        <w:t xml:space="preserve">(Source: </w:t>
      </w:r>
      <w:r>
        <w:rPr>
          <w:rFonts w:cs="Arial"/>
        </w:rPr>
        <w:t>Self-created</w:t>
      </w:r>
      <w:r>
        <w:rPr>
          <w:rFonts w:cs="Arial"/>
        </w:rPr>
        <w:t>)</w:t>
      </w:r>
    </w:p>
    <w:p>
      <w:pPr>
        <w:pStyle w:val="style0"/>
        <w:rPr/>
      </w:pPr>
      <w:r>
        <w:t xml:space="preserve">The </w:t>
      </w:r>
      <w:r>
        <w:t xml:space="preserve">slight </w:t>
      </w:r>
      <w:r>
        <w:t xml:space="preserve">decrease in 2024 and then a stabilisation shows that there is a little volatility in the liquid asset management. The cash ratio increased gradually until it reached 0.27 with slowly improving immediate liquidity. Nevertheless, this indicator is comparatively low, which means that there is a low supply of funds to cover immediate financial obligations without external funding (Ngoc, Ngoc and Le, 2022). In general, the liquidity position of </w:t>
      </w:r>
      <w:r>
        <w:t xml:space="preserve">Hyundai is tight but stable. Although the improvements can be seen, the company needs to increase its liquid asset base to increase financial flexibility and ability to withstand short-term shocks. </w:t>
      </w:r>
    </w:p>
    <w:bookmarkStart w:id="5" w:name="_Toc227680028"/>
    <w:p>
      <w:pPr>
        <w:pStyle w:val="style3"/>
        <w:rPr/>
      </w:pPr>
      <w:r>
        <w:t>1.</w:t>
      </w:r>
      <w:r>
        <w:t>2.3</w:t>
      </w:r>
      <w:r>
        <w:t xml:space="preserve"> Efficiency Analysis</w:t>
      </w:r>
      <w:bookmarkEnd w:id="5"/>
    </w:p>
    <w:p>
      <w:pPr>
        <w:pStyle w:val="style0"/>
        <w:rPr/>
      </w:pPr>
      <w:r>
        <w:t>The Hyundai Motor Company efficiency ratios show that there is average but improving operational performance in the past five years. The ratio of asset turnover improved since 2021 to 2025, as the company was making a slow progress in its capacity to convert its asset base into revenue thus changing</w:t>
      </w:r>
      <w:r>
        <w:t xml:space="preserve"> from 0.50 to 0.60</w:t>
      </w:r>
      <w:r>
        <w:t>. This increasing tendency indicates improved utilisation of production capacity and the efficiency of sales, which might be caused by strategic expansion and better product mix (</w:t>
      </w:r>
      <w:r>
        <w:t>Malindzakova</w:t>
      </w:r>
      <w:r>
        <w:t xml:space="preserve"> and Izarikova, 2025). Conversely, inventory turnover ratio was not particularly high and had a slight decreasing trend as the ratio was 7.2 in 2022 and 6.7 in 2025. This means that inventory is being held at slightly longer periods and this could be an indication of inefficiencies in inventory management or varying demand trends.  </w:t>
      </w:r>
    </w:p>
    <w:p>
      <w:pPr>
        <w:pStyle w:val="style0"/>
        <w:jc w:val="center"/>
        <w:rPr>
          <w:rFonts w:cs="Arial"/>
        </w:rPr>
      </w:pPr>
      <w:r>
        <w:rPr>
          <w:noProof/>
        </w:rPr>
      </w:r>
      <w:r>
        <w:rPr>
          <w:noProof/>
        </w:rPr>
      </w:r>
      <w:r>
        <w:rPr>
          <w:noProof/>
        </w:rPr>
      </w:r>
      <w:r>
        <w:rPr>
          <w:noProof/>
        </w:rPr>
        <w:drawing>
          <wp:inline distL="114300" distT="0" distB="0" distR="114300">
            <wp:extent cx="5645888" cy="2445488"/>
            <wp:effectExtent l="0" t="0" r="0" b="0"/>
            <wp:docPr id="1035"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noProof/>
        </w:rPr>
      </w:r>
    </w:p>
    <w:p>
      <w:pPr>
        <w:pStyle w:val="style0"/>
        <w:jc w:val="center"/>
        <w:rPr>
          <w:rFonts w:cs="Arial"/>
          <w:b/>
          <w:bCs/>
        </w:rPr>
      </w:pPr>
      <w:r>
        <w:rPr>
          <w:rFonts w:cs="Arial"/>
          <w:b/>
          <w:bCs/>
        </w:rPr>
        <w:t xml:space="preserve">Figure </w:t>
      </w:r>
      <w:r>
        <w:rPr>
          <w:rFonts w:cs="Arial"/>
          <w:b/>
          <w:bCs/>
        </w:rPr>
        <w:t>5</w:t>
      </w:r>
      <w:r>
        <w:rPr>
          <w:rFonts w:cs="Arial"/>
          <w:b/>
          <w:bCs/>
        </w:rPr>
        <w:t>: Efficiency Ratios</w:t>
      </w:r>
    </w:p>
    <w:p>
      <w:pPr>
        <w:pStyle w:val="style0"/>
        <w:jc w:val="center"/>
        <w:rPr>
          <w:rFonts w:cs="Arial"/>
        </w:rPr>
      </w:pPr>
      <w:r>
        <w:rPr>
          <w:rFonts w:cs="Arial"/>
        </w:rPr>
        <w:t xml:space="preserve">(Source: </w:t>
      </w:r>
      <w:r>
        <w:rPr>
          <w:rFonts w:cs="Arial"/>
        </w:rPr>
        <w:t>Self-created</w:t>
      </w:r>
      <w:r>
        <w:rPr>
          <w:rFonts w:cs="Arial"/>
        </w:rPr>
        <w:t>)</w:t>
      </w:r>
    </w:p>
    <w:p>
      <w:pPr>
        <w:pStyle w:val="style0"/>
        <w:rPr/>
      </w:pPr>
      <w:r>
        <w:t xml:space="preserve">Although the ratio itself indicates a reasonable rate of inventory movement, the decrease indicates possible pressure of complexities in the supply chain or higher stocks due to </w:t>
      </w:r>
      <w:r>
        <w:t>new product lines, especially in electric vehicles (Jones, Nguyen-Tien and Elliott, 2023). Overall, Hyundai displays a stable efficiency increase in the areas of asset utilisation, whereas inventory management seems to have stagnated with slight worsening. This underscores the importance of better coordination of the supply chains and demand prediction to improve the efficiency of operations and avoid wastage of capital in inventory.</w:t>
      </w:r>
    </w:p>
    <w:bookmarkStart w:id="6" w:name="_Toc227680029"/>
    <w:p>
      <w:pPr>
        <w:pStyle w:val="style3"/>
        <w:rPr/>
      </w:pPr>
      <w:r>
        <w:t>1.</w:t>
      </w:r>
      <w:r>
        <w:t>2.4</w:t>
      </w:r>
      <w:r>
        <w:t xml:space="preserve"> Gearing (Leverage) Analysis</w:t>
      </w:r>
      <w:bookmarkEnd w:id="6"/>
    </w:p>
    <w:p>
      <w:pPr>
        <w:pStyle w:val="style0"/>
        <w:rPr/>
      </w:pPr>
      <w:r>
        <w:t>Gearing ratios of Hyundai Motor Company indicate a definite and steady change in the capital structure to a more conservative capital structure during the period of five years. The ratio of debt to equity decreased progressively between 2021 and 2025 with a debt-to-equity ratio of 1.65 and 1.35 respectively, which means that the company relies less on debt financing and more on equity financing by shareholders. This trend indicates that the company is becoming financially strong and reducing its financial risk especially the interest rate risk (</w:t>
      </w:r>
      <w:r>
        <w:t>Eyinade</w:t>
      </w:r>
      <w:r>
        <w:t xml:space="preserve">, </w:t>
      </w:r>
      <w:r>
        <w:t>Ezeilo</w:t>
      </w:r>
      <w:r>
        <w:t xml:space="preserve"> and </w:t>
      </w:r>
      <w:r>
        <w:t>Ogundeji</w:t>
      </w:r>
      <w:r>
        <w:t>, 2025). In the same manner, the debt ratio has fallen to 0.57 as compared to 0.62, that is, a smaller part of the company assets is paid up using liabilities. This is positive as it indicates a better balance sheet status and the capacity to absorb economic risks and market shocks.</w:t>
      </w:r>
      <w:r>
        <w:t xml:space="preserve"> </w:t>
      </w:r>
    </w:p>
    <w:p>
      <w:pPr>
        <w:pStyle w:val="style0"/>
        <w:spacing w:lineRule="auto" w:line="276"/>
        <w:jc w:val="center"/>
        <w:rPr>
          <w:rFonts w:cs="Arial"/>
        </w:rPr>
      </w:pPr>
      <w:r>
        <w:rPr>
          <w:noProof/>
        </w:rPr>
      </w:r>
      <w:r>
        <w:rPr>
          <w:noProof/>
        </w:rPr>
      </w:r>
      <w:r>
        <w:rPr>
          <w:noProof/>
        </w:rPr>
      </w:r>
      <w:r>
        <w:rPr>
          <w:noProof/>
        </w:rPr>
        <w:drawing>
          <wp:inline distL="114300" distT="0" distB="0" distR="114300">
            <wp:extent cx="5390515" cy="2400300"/>
            <wp:effectExtent l="0" t="0" r="0" b="0"/>
            <wp:docPr id="1037"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noProof/>
        </w:rPr>
      </w:r>
    </w:p>
    <w:p>
      <w:pPr>
        <w:pStyle w:val="style0"/>
        <w:spacing w:lineRule="auto" w:line="276"/>
        <w:jc w:val="center"/>
        <w:rPr>
          <w:rFonts w:cs="Arial"/>
          <w:b/>
          <w:bCs/>
        </w:rPr>
      </w:pPr>
      <w:r>
        <w:rPr>
          <w:rFonts w:cs="Arial"/>
          <w:b/>
          <w:bCs/>
        </w:rPr>
        <w:t xml:space="preserve">Figure </w:t>
      </w:r>
      <w:r>
        <w:rPr>
          <w:rFonts w:cs="Arial"/>
          <w:b/>
          <w:bCs/>
        </w:rPr>
        <w:t>6</w:t>
      </w:r>
      <w:r>
        <w:rPr>
          <w:rFonts w:cs="Arial"/>
          <w:b/>
          <w:bCs/>
        </w:rPr>
        <w:t>: Gearing Ratios</w:t>
      </w:r>
    </w:p>
    <w:p>
      <w:pPr>
        <w:pStyle w:val="style0"/>
        <w:spacing w:lineRule="auto" w:line="276"/>
        <w:jc w:val="center"/>
        <w:rPr>
          <w:rFonts w:cs="Arial"/>
        </w:rPr>
      </w:pPr>
      <w:r>
        <w:rPr>
          <w:rFonts w:cs="Arial"/>
        </w:rPr>
        <w:t xml:space="preserve">(Source: </w:t>
      </w:r>
      <w:r>
        <w:rPr>
          <w:rFonts w:cs="Arial"/>
        </w:rPr>
        <w:t>Self-created</w:t>
      </w:r>
      <w:r>
        <w:rPr>
          <w:rFonts w:cs="Arial"/>
        </w:rPr>
        <w:t>)</w:t>
      </w:r>
    </w:p>
    <w:p>
      <w:pPr>
        <w:pStyle w:val="style0"/>
        <w:rPr/>
      </w:pPr>
      <w:r>
        <w:t xml:space="preserve">Nevertheless, the lower leverage also decreases the financial risk, but it can also restrict the ability of the company to invest in high-scale projects, particularly in capital-intensive sectors like electric vehicle development and technological innovation (Olugbenga, 2025). An extremely conservative strategy may lead to the loss of growth opportunities in case the competitors will choose more aggressive financing strategies. </w:t>
      </w:r>
      <w:r>
        <w:t>Thus, the</w:t>
      </w:r>
      <w:r>
        <w:t xml:space="preserve"> reducing gearing ratios at Hyundai show better financial stability and risk-sensibility, yet the company should learn to stabili</w:t>
      </w:r>
      <w:r>
        <w:t>s</w:t>
      </w:r>
      <w:r>
        <w:t>e and invest wisely, to remain competitive in a long-term perspective</w:t>
      </w:r>
      <w:r>
        <w:t>.</w:t>
      </w:r>
    </w:p>
    <w:bookmarkStart w:id="7" w:name="_Toc227680030"/>
    <w:p>
      <w:pPr>
        <w:pStyle w:val="style3"/>
        <w:rPr/>
      </w:pPr>
      <w:r>
        <w:t>1.</w:t>
      </w:r>
      <w:r>
        <w:t>2.5</w:t>
      </w:r>
      <w:r>
        <w:t xml:space="preserve"> Investment Analysis</w:t>
      </w:r>
      <w:bookmarkEnd w:id="7"/>
    </w:p>
    <w:p>
      <w:pPr>
        <w:pStyle w:val="style0"/>
        <w:rPr/>
      </w:pPr>
      <w:r>
        <w:t xml:space="preserve">The Hyundai Motor Company investment ratios show that it has been creating shareholder value with a steady increase in earnings and net assets. Earnings per share (EPS) has improved greatly as in 2021 it was 26.76 with the company making an increase of 69.48 in 2025, which portrays a significant growth in profitability and capability of the company to yield better returns to its shareholders. This positive trend indicates satisfactory operational performance and strategic growth (Jones, Nguyen–Tien and Elliott, 2023). On the other hand, price to earnings (P/E) ratio dropped drastically by 7847 to 3742. This implies that the growth of earnings has not been matched by the growth in the market expectations which may reflect a cautious investor sentiment or the potential risks in the future, especially in the competitive electric vehicle market. </w:t>
      </w:r>
    </w:p>
    <w:p>
      <w:pPr>
        <w:pStyle w:val="style0"/>
        <w:jc w:val="center"/>
        <w:rPr>
          <w:rFonts w:cs="Arial"/>
        </w:rPr>
      </w:pPr>
      <w:r>
        <w:rPr>
          <w:noProof/>
        </w:rPr>
      </w:r>
      <w:r>
        <w:rPr>
          <w:noProof/>
        </w:rPr>
      </w:r>
      <w:r>
        <w:rPr>
          <w:noProof/>
        </w:rPr>
      </w:r>
      <w:r>
        <w:rPr>
          <w:noProof/>
        </w:rPr>
        <w:drawing>
          <wp:inline distL="114300" distT="0" distB="0" distR="114300">
            <wp:extent cx="5358810" cy="3211033"/>
            <wp:effectExtent l="0" t="0" r="0" b="0"/>
            <wp:docPr id="1039"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noProof/>
        </w:rPr>
      </w:r>
    </w:p>
    <w:p>
      <w:pPr>
        <w:pStyle w:val="style0"/>
        <w:jc w:val="center"/>
        <w:rPr>
          <w:rFonts w:cs="Arial"/>
          <w:b/>
          <w:bCs/>
        </w:rPr>
      </w:pPr>
      <w:r>
        <w:rPr>
          <w:rFonts w:cs="Arial"/>
          <w:b/>
          <w:bCs/>
        </w:rPr>
        <w:t xml:space="preserve">Figure </w:t>
      </w:r>
      <w:r>
        <w:rPr>
          <w:rFonts w:cs="Arial"/>
          <w:b/>
          <w:bCs/>
        </w:rPr>
        <w:t>7</w:t>
      </w:r>
      <w:r>
        <w:rPr>
          <w:rFonts w:cs="Arial"/>
          <w:b/>
          <w:bCs/>
        </w:rPr>
        <w:t>: Investment Ratios</w:t>
      </w:r>
    </w:p>
    <w:p>
      <w:pPr>
        <w:pStyle w:val="style0"/>
        <w:jc w:val="center"/>
        <w:rPr>
          <w:rFonts w:cs="Arial"/>
        </w:rPr>
      </w:pPr>
      <w:r>
        <w:rPr>
          <w:rFonts w:cs="Arial"/>
        </w:rPr>
        <w:t xml:space="preserve">(Source: </w:t>
      </w:r>
      <w:r>
        <w:rPr>
          <w:rFonts w:cs="Arial"/>
        </w:rPr>
        <w:t>Self-created</w:t>
      </w:r>
      <w:r>
        <w:rPr>
          <w:rFonts w:cs="Arial"/>
        </w:rPr>
        <w:t>)</w:t>
      </w:r>
    </w:p>
    <w:p>
      <w:pPr>
        <w:pStyle w:val="style0"/>
        <w:rPr/>
      </w:pPr>
      <w:r>
        <w:t xml:space="preserve">At the same time, the dividend payout ratio dropped to approximately 17.6% in 2025 versus 26.3% in 2021, which means that Hyundai is saving more to invest back into the company. This is in line with a growth-oriented policy that aims at innovation and long-term growth (Olugbenga, 2025). Moreover, net asset value (NAV) per share increased gradually between 413 and 610, demonstrating increased equity and financial strength. All in all, the investment ratios indicate that there is a balance between profitability, reinvestment and shareholder value growth, but investor confidence is relatively low. </w:t>
      </w:r>
    </w:p>
    <w:bookmarkStart w:id="8" w:name="_Toc227680031"/>
    <w:p>
      <w:pPr>
        <w:pStyle w:val="style3"/>
        <w:rPr/>
      </w:pPr>
      <w:r>
        <w:t xml:space="preserve">1.2.6 </w:t>
      </w:r>
      <w:r>
        <w:t>Cash Flow</w:t>
      </w:r>
      <w:r>
        <w:t xml:space="preserve"> Analysis</w:t>
      </w:r>
      <w:bookmarkEnd w:id="8"/>
      <w:r>
        <w:t xml:space="preserve"> </w:t>
      </w:r>
    </w:p>
    <w:p>
      <w:pPr>
        <w:pStyle w:val="style0"/>
        <w:rPr/>
      </w:pPr>
      <w:r>
        <w:t xml:space="preserve">The cash flow ratios of Hyundai Motor Company have a steady and positive trend of improvement over the five years which indicates improvement in the internal cash generation and financial sustainability. The operating cash flow ratio rose up steadily and continuously in 2021 to 2025 that is from 0.22 to 0.33, respectively, which shows that the company gained a better capacity to pay its short-term obligations using operating cash flows. This is an indicator of enhanced operational performance and augmented cash </w:t>
      </w:r>
      <w:r>
        <w:t>transformation of core business operations (</w:t>
      </w:r>
      <w:r>
        <w:t>Purba</w:t>
      </w:r>
      <w:r>
        <w:t xml:space="preserve">, Wulandari and Djatnicka, 2025). On the same note, the operating cash flow to debt ratio increased to 0.149 as compared to 0.097 which indicates that Hyundai has enhanced its ability to finance long term liabilities with internal cash. This trend represents a lower amount of financial risk and improved debt management which goes in line with the decreasing leverage position of the company.  </w:t>
      </w:r>
    </w:p>
    <w:p>
      <w:pPr>
        <w:pStyle w:val="style0"/>
        <w:jc w:val="center"/>
        <w:rPr>
          <w:rFonts w:cs="Arial"/>
        </w:rPr>
      </w:pPr>
      <w:r>
        <w:rPr>
          <w:noProof/>
        </w:rPr>
      </w:r>
      <w:r>
        <w:rPr>
          <w:noProof/>
        </w:rPr>
      </w:r>
      <w:r>
        <w:rPr>
          <w:noProof/>
        </w:rPr>
      </w:r>
      <w:r>
        <w:rPr>
          <w:noProof/>
        </w:rPr>
        <w:drawing>
          <wp:inline distL="114300" distT="0" distB="0" distR="114300">
            <wp:extent cx="5114261" cy="2987749"/>
            <wp:effectExtent l="0" t="0" r="0" b="0"/>
            <wp:docPr id="1041"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Pr>
          <w:noProof/>
        </w:rPr>
      </w:r>
    </w:p>
    <w:p>
      <w:pPr>
        <w:pStyle w:val="style0"/>
        <w:jc w:val="center"/>
        <w:rPr>
          <w:rFonts w:cs="Arial"/>
          <w:b/>
          <w:bCs/>
        </w:rPr>
      </w:pPr>
      <w:r>
        <w:rPr>
          <w:rFonts w:cs="Arial"/>
          <w:b/>
          <w:bCs/>
        </w:rPr>
        <w:t xml:space="preserve">Figure </w:t>
      </w:r>
      <w:r>
        <w:rPr>
          <w:rFonts w:cs="Arial"/>
          <w:b/>
          <w:bCs/>
        </w:rPr>
        <w:t>8</w:t>
      </w:r>
      <w:r>
        <w:rPr>
          <w:rFonts w:cs="Arial"/>
          <w:b/>
          <w:bCs/>
        </w:rPr>
        <w:t>:</w:t>
      </w:r>
      <w:r>
        <w:rPr>
          <w:rFonts w:cs="Arial"/>
          <w:b/>
          <w:bCs/>
        </w:rPr>
        <w:t xml:space="preserve"> Cash Flow Ratios</w:t>
      </w:r>
    </w:p>
    <w:p>
      <w:pPr>
        <w:pStyle w:val="style0"/>
        <w:jc w:val="center"/>
        <w:rPr>
          <w:rFonts w:cs="Arial"/>
        </w:rPr>
      </w:pPr>
      <w:r>
        <w:rPr>
          <w:rFonts w:cs="Arial"/>
        </w:rPr>
        <w:t xml:space="preserve">(Source: </w:t>
      </w:r>
      <w:r>
        <w:rPr>
          <w:rFonts w:cs="Arial"/>
        </w:rPr>
        <w:t>Self-created</w:t>
      </w:r>
      <w:r>
        <w:rPr>
          <w:rFonts w:cs="Arial"/>
        </w:rPr>
        <w:t>)</w:t>
      </w:r>
    </w:p>
    <w:p>
      <w:pPr>
        <w:pStyle w:val="style0"/>
        <w:rPr/>
      </w:pPr>
      <w:r>
        <w:t>Cash flow margin also increased by 0.12 to 0.14 which indicates that efficiency of converting revenue into cash has increased. This is especially important in an industry that involves a lot of capital such as capital-intensive industry where good cash flows are vital in financing the current investments. Thus, the upward trends in all the ratios of cash flow will point to a strong and strengthening cash position. Nevertheless, long-term investments in capital and strategic growth can put pressure on cash flows in the future, and prudent financial planning can keep the company liquid and stable over the long term.</w:t>
      </w:r>
    </w:p>
    <w:bookmarkStart w:id="9" w:name="_Toc227680032"/>
    <w:p>
      <w:pPr>
        <w:pStyle w:val="style0"/>
        <w:spacing w:before="0" w:after="160" w:lineRule="auto" w:line="259"/>
        <w:jc w:val="left"/>
        <w:rPr>
          <w:rFonts w:cs="Arial"/>
          <w:b/>
          <w:bCs/>
          <w:iCs/>
          <w:sz w:val="26"/>
          <w:szCs w:val="26"/>
        </w:rPr>
      </w:pPr>
      <w:r>
        <w:br w:type="page"/>
      </w:r>
    </w:p>
    <w:p>
      <w:pPr>
        <w:pStyle w:val="style2"/>
        <w:rPr/>
      </w:pPr>
      <w:r>
        <w:t>1.</w:t>
      </w:r>
      <w:r>
        <w:t>3</w:t>
      </w:r>
      <w:r>
        <w:t xml:space="preserve"> </w:t>
      </w:r>
      <w:r>
        <w:t>Identification of trends, strengths and threats</w:t>
      </w:r>
      <w:bookmarkEnd w:id="9"/>
    </w:p>
    <w:p>
      <w:pPr>
        <w:pStyle w:val="style0"/>
        <w:rPr/>
      </w:pPr>
      <w:r>
        <w:rPr>
          <w:noProof/>
        </w:rPr>
        <w:object>
          <v:shape id="1042" type="#_x0000_t75" filled="f" stroked="f" style="margin-left:0.0pt;margin-top:0.0pt;width:468.0pt;height:294.2pt;mso-wrap-distance-left:0.0pt;mso-wrap-distance-right:0.0pt;visibility:visible;">
            <w10:anchorlock/>
            <v:imagedata r:id="rId12" embosscolor="white" o:title=""/>
            <v:fill/>
          </v:shape>
          <o:OLEObject Type="EMBED" ProgID="Excel.Chart.8" ShapeID="1042" DrawAspect="Content" ObjectID="0" r:id="rId13"/>
        </w:object>
      </w:r>
    </w:p>
    <w:p>
      <w:pPr>
        <w:pStyle w:val="style0"/>
        <w:rPr/>
      </w:pPr>
      <w:r>
        <w:t xml:space="preserve">The analysis indicates that Hyundai is experiencing high growth in profitability, cash flows are improving and the financial risk is low because of low leverage. These are major strengths favouring long term performance. Nevertheless, the liquidity is tight and dependency on inventory poses operational risks. The enhancement of efficiency is moderate which implies that it can be optimised. </w:t>
      </w:r>
      <w:r>
        <w:t>At the same time</w:t>
      </w:r>
      <w:r>
        <w:t xml:space="preserve">, the decreasing ratio of P/E indicates cautious investor behaviour. </w:t>
      </w:r>
    </w:p>
    <w:bookmarkStart w:id="10" w:name="_Toc227680033"/>
    <w:p>
      <w:pPr>
        <w:pStyle w:val="style0"/>
        <w:spacing w:before="0" w:after="160" w:lineRule="auto" w:line="259"/>
        <w:jc w:val="left"/>
        <w:rPr>
          <w:rFonts w:cs="Arial"/>
          <w:b/>
          <w:bCs/>
          <w:sz w:val="28"/>
          <w:szCs w:val="28"/>
        </w:rPr>
      </w:pPr>
      <w:r>
        <w:rPr>
          <w:rFonts w:cs="Arial"/>
        </w:rPr>
        <w:br w:type="page"/>
      </w:r>
    </w:p>
    <w:p>
      <w:pPr>
        <w:pStyle w:val="style1"/>
        <w:rPr>
          <w:rFonts w:cs="Arial"/>
        </w:rPr>
      </w:pPr>
      <w:r>
        <w:rPr>
          <w:rFonts w:cs="Arial"/>
        </w:rPr>
        <w:t>2. Working Capital Management Analysis</w:t>
      </w:r>
      <w:bookmarkEnd w:id="10"/>
    </w:p>
    <w:bookmarkStart w:id="11" w:name="_Toc227680034"/>
    <w:p>
      <w:pPr>
        <w:pStyle w:val="style2"/>
        <w:rPr/>
      </w:pPr>
      <w:r>
        <w:t>2.1 Overview</w:t>
      </w:r>
      <w:bookmarkEnd w:id="11"/>
      <w:r>
        <w:t xml:space="preserve">  </w:t>
      </w:r>
    </w:p>
    <w:p>
      <w:pPr>
        <w:pStyle w:val="style0"/>
        <w:rPr/>
      </w:pPr>
      <w:r>
        <w:t>Management of working capital plays a crucial role in ensuring short-term financial viability and effectiveness of Hyundai Motor Company. The move of the firm towards electric cars also makes it more complicated in terms of inventory, receivables, and payables management. This part analyses the working capital of Hyundai with respect to cash cycle, liquidity pattern, financing structure and working capital strategies.</w:t>
      </w:r>
    </w:p>
    <w:bookmarkStart w:id="12" w:name="_Toc227680035"/>
    <w:p>
      <w:pPr>
        <w:pStyle w:val="style2"/>
        <w:rPr/>
      </w:pPr>
      <w:r>
        <w:t>2.2 Cash Operation Cycle Analysis.</w:t>
      </w:r>
      <w:bookmarkEnd w:id="12"/>
      <w:r>
        <w:t xml:space="preserve"> </w:t>
      </w:r>
    </w:p>
    <w:p>
      <w:pPr>
        <w:pStyle w:val="style0"/>
        <w:rPr/>
      </w:pPr>
      <w:r>
        <w:t>The cash operating cycle or CCC of Hyundai indicates a medium efficiency and a little growth over the years. According to the inventory turnover ratio, which has decreased to 6.7 in 2025 and 7.2 in 2022, inventory holding periods have decreased slightly by about 50 days to about 54 days. This implies a reduced turnover of inventory into sales, probably as a result of higher inventories related to EV manufacturing and supply chain issues. Although the asset turnover has improved, which means that it generates more revenue, the fact that there is no substantial change in inventory efficiency suggests that the operations are structurally inflexible (Nagy, 2025). Along with this, the company is heavily dependent on international suppliers, especially with semiconductors and battery parts, which further exposes it to delays, which may lengthen the cash cycle (Chakraborty, 2023). The close liquidity ratios are an indication that the CCC may not have made any significant improvement even though there is no detailed receivables and payables data provided. Altogether, the cash cycle of Hyundai is stable, but not optimised, which means that the company needs to improve inventory and supply chain management.</w:t>
      </w:r>
    </w:p>
    <w:bookmarkStart w:id="13" w:name="_Toc227680036"/>
    <w:p>
      <w:pPr>
        <w:pStyle w:val="style2"/>
        <w:rPr/>
      </w:pPr>
      <w:r>
        <w:t>2.3 Liquidity and Working Capital Position.</w:t>
      </w:r>
      <w:bookmarkEnd w:id="13"/>
    </w:p>
    <w:p>
      <w:pPr>
        <w:pStyle w:val="style0"/>
        <w:rPr/>
      </w:pPr>
      <w:r>
        <w:t xml:space="preserve">The working capital status of Hyundai is limited although it is improving slowly. Compared to 0.92 in 2021, the current ratio improved slightly to 1.01 in 2025 which means that the company has just reached the point of having enough current assets to meet the short-term liabilities. Nevertheless, this is a small margin, which allows financial shocks to be </w:t>
      </w:r>
      <w:r>
        <w:t>minimal. The quick ratio is still lower than 1 (0.76 in 2025), which indicates that it still relies on inventory to settle debts. This is also buttressed by the decreasing inventory turnover which indicates that a good percentage of the working capital is invested in stock. The cash ratio has also increased to 0.27, which means that it has limited short-term liquidity. This, together with the increase in capital spending and the variability of operating cash flows evident in the financial statements, puts strain on financial flexibility in the short-term (Barnabas and Oloyede, 2024). In general, Hyundai has a working capital structure that is functioning and tight, with operational efficiency being more important than liquidity buffers, leading to a higher sensitivity to short-term shocks.</w:t>
      </w:r>
    </w:p>
    <w:bookmarkStart w:id="14" w:name="_Toc227680037"/>
    <w:p>
      <w:pPr>
        <w:pStyle w:val="style2"/>
        <w:rPr/>
      </w:pPr>
      <w:r>
        <w:t>2.4 Short-term vs Long-term Financing.</w:t>
      </w:r>
      <w:bookmarkEnd w:id="14"/>
    </w:p>
    <w:p>
      <w:pPr>
        <w:pStyle w:val="style0"/>
        <w:rPr/>
      </w:pPr>
      <w:r>
        <w:t xml:space="preserve">Hyundai has a moderate, yet risk-averse financing strategy to fund its working capital requirements. The short-term requirements are probably financed through short-term financing, such as trade payables and short-term borrowings, to finance operational needs like inventory and receivables (Nicolas, 2022). Nevertheless, short term financing can be more prone to the risk of refinancing risks due to the tight liquidity ratios of the company particularly at times of cash flow volatility. Conversely, the decreasing debt-to-equity ratio (1.65 to 1.35) demonstrates that it has switched towards lower reliance on debt and to an increased reliance on equity. This implies that Hyundai is slowly becoming dependent on long term financing and internal sourcing to finance investments. It minimizes financial risk and enhances stability but could also restrict the ability to fund large-scale investments in EVs (Lai, 2025). This strategy is backed by the improving operating cash flow ratios with internal cash generation becoming a more critical source of funds. In general, the Hyundai financing mix is more conducive to stability than aggressive expansion, but it can limit the fast growth. </w:t>
      </w:r>
    </w:p>
    <w:bookmarkStart w:id="15" w:name="_Toc227680038"/>
    <w:p>
      <w:pPr>
        <w:pStyle w:val="style0"/>
        <w:spacing w:before="0" w:after="160" w:lineRule="auto" w:line="259"/>
        <w:jc w:val="left"/>
        <w:rPr>
          <w:rFonts w:cs="Arial"/>
          <w:b/>
          <w:bCs/>
          <w:iCs/>
          <w:sz w:val="26"/>
          <w:szCs w:val="26"/>
          <w:lang w:val="en-IN"/>
        </w:rPr>
      </w:pPr>
      <w:r>
        <w:rPr>
          <w:lang w:val="en-IN"/>
        </w:rPr>
        <w:br w:type="page"/>
      </w:r>
    </w:p>
    <w:p>
      <w:pPr>
        <w:pStyle w:val="style2"/>
        <w:rPr>
          <w:lang w:val="en-IN"/>
        </w:rPr>
      </w:pPr>
      <w:r>
        <w:rPr>
          <w:lang w:val="en-IN"/>
        </w:rPr>
        <w:t>2.</w:t>
      </w:r>
      <w:r>
        <w:rPr>
          <w:lang w:val="en-IN"/>
        </w:rPr>
        <w:t>5</w:t>
      </w:r>
      <w:r>
        <w:rPr>
          <w:lang w:val="en-IN"/>
        </w:rPr>
        <w:t xml:space="preserve"> Recommendations to Enhance Working Capital</w:t>
      </w:r>
      <w:bookmarkEnd w:id="15"/>
    </w:p>
    <w:p>
      <w:pPr>
        <w:pStyle w:val="style0"/>
        <w:rPr>
          <w:lang w:val="en-IN"/>
        </w:rPr>
      </w:pPr>
      <w:r>
        <w:rPr>
          <w:noProof/>
          <w:lang w:val="en-IN"/>
        </w:rPr>
        <w:drawing>
          <wp:inline distL="0" distT="0" distB="0" distR="0">
            <wp:extent cx="5943600" cy="3569334"/>
            <wp:effectExtent l="0" t="0" r="0" b="0"/>
            <wp:docPr id="1043"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4" cstate="print"/>
                    <a:srcRect l="0" t="0" r="0" b="0"/>
                    <a:stretch/>
                  </pic:blipFill>
                  <pic:spPr>
                    <a:xfrm rot="0">
                      <a:off x="0" y="0"/>
                      <a:ext cx="5943600" cy="3569334"/>
                    </a:xfrm>
                    <a:prstGeom prst="rect"/>
                  </pic:spPr>
                </pic:pic>
              </a:graphicData>
            </a:graphic>
          </wp:inline>
        </w:drawing>
      </w:r>
    </w:p>
    <w:p>
      <w:pPr>
        <w:pStyle w:val="style0"/>
        <w:rPr>
          <w:lang w:val="en-IN"/>
        </w:rPr>
      </w:pPr>
      <w:r>
        <w:rPr>
          <w:lang w:val="en-IN"/>
        </w:rPr>
        <w:t>The targeted improvements will provide three main benefits to the company by improving liquidity and decreasing operational inefficiencies and strengthening Hyundai's overall capital management system.</w:t>
      </w:r>
    </w:p>
    <w:bookmarkStart w:id="16" w:name="_Toc227680039"/>
    <w:p>
      <w:pPr>
        <w:pStyle w:val="style2"/>
        <w:rPr/>
      </w:pPr>
      <w:r>
        <w:t xml:space="preserve">2.6 </w:t>
      </w:r>
      <w:bookmarkEnd w:id="16"/>
      <w:r>
        <w:t xml:space="preserve">Summary </w:t>
      </w:r>
    </w:p>
    <w:p>
      <w:pPr>
        <w:pStyle w:val="style0"/>
        <w:rPr/>
      </w:pPr>
      <w:r>
        <w:t>The working capital management of Hyundai is average with its operations being stable and cash flow generation improving. Nevertheless, the liquidity is still tight, and there is a significant dependence on inventory and a lack of cash reserves. Although the company enjoys the advantage of conservative financing strategy and efficiency in its operations, it is prone to risks due to its supply chain limitation and high investment requirements. To sustain a sustainable growth and financial flexibility, it will be necessary to strengthen liquidity, optimise inventory, and enhance cash cycle efficiency.</w:t>
      </w:r>
      <w:r>
        <w:t xml:space="preserve"> </w:t>
      </w:r>
      <w:r>
        <w:t>In general, the company is financially robust, but has difficulties in managing liquidity, pressures in investments, and continued efficiency in a competitive and capital-intensive business</w:t>
      </w:r>
      <w:bookmarkStart w:id="17" w:name="_Toc227680040"/>
      <w:r>
        <w:t xml:space="preserve">. </w:t>
      </w:r>
    </w:p>
    <w:p>
      <w:pPr>
        <w:pStyle w:val="style1"/>
        <w:rPr>
          <w:rFonts w:cs="Arial"/>
        </w:rPr>
      </w:pPr>
      <w:r>
        <w:rPr>
          <w:rFonts w:cs="Arial"/>
        </w:rPr>
        <w:t>3. Strategic Financial Restructuring Plan</w:t>
      </w:r>
      <w:bookmarkEnd w:id="17"/>
    </w:p>
    <w:bookmarkStart w:id="18" w:name="_Toc227680041"/>
    <w:p>
      <w:pPr>
        <w:pStyle w:val="style2"/>
        <w:rPr/>
      </w:pPr>
      <w:r>
        <w:t>3.1 Overview</w:t>
      </w:r>
      <w:bookmarkEnd w:id="18"/>
    </w:p>
    <w:p>
      <w:pPr>
        <w:pStyle w:val="style0"/>
        <w:rPr/>
      </w:pPr>
      <w:r>
        <w:t>Hyundai Motor Company is going through a major strategic shift, which is the conversion to electric cars, technological advances, and the worldwide growth. Despite the good profitability and rising cash flows, financial analysis indicates the presence of major issues in the company such as constrained liquidity, average efficiency and rising investment requirements. All these aspects require an active financial restructuring strategy to help to achieve resilience and long-term growth. This plan aims at maximising capital structure, increasing working capital efficiency, and sustainable financing without diminishing shareholder value in a highly competitive and capital-intensive industry.</w:t>
      </w:r>
    </w:p>
    <w:bookmarkStart w:id="19" w:name="_Toc227579205"/>
    <w:bookmarkStart w:id="20" w:name="_Toc227680042"/>
    <w:p>
      <w:pPr>
        <w:pStyle w:val="style2"/>
        <w:rPr/>
      </w:pPr>
      <w:r>
        <w:t>3.2 Core Financial Problems Identification</w:t>
      </w:r>
      <w:bookmarkEnd w:id="19"/>
      <w:bookmarkEnd w:id="20"/>
    </w:p>
    <w:p>
      <w:pPr>
        <w:pStyle w:val="style0"/>
        <w:rPr/>
      </w:pPr>
      <w:r>
        <w:t>Even though Hyundai has been recording great financial performance over the past years, there are a number of underlying issues that need to be addressed. To begin with, the liquidity position of the company is relatively tight, as the current and quick ratios are at minimum acceptable levels (Wang, 2025). This restricts its capacity to react suitably to the immediate financial demands or to capitalise on new opportunities promptly.</w:t>
      </w:r>
    </w:p>
    <w:p>
      <w:pPr>
        <w:pStyle w:val="style0"/>
        <w:rPr/>
      </w:pPr>
      <w:r>
        <w:t>Secondly, profitability has been on an upward trend although to some extent, it is affected by favourable market conditions. The growth of competition in the electric vehicle market and the cost of inputs could potentially exert a negative impact on profit margins in the future (Fedotov, 2022). Hence, operations efficiency and cost management will require constant enhancements to maintain profitability.</w:t>
      </w:r>
    </w:p>
    <w:p>
      <w:pPr>
        <w:pStyle w:val="style0"/>
        <w:rPr>
          <w:rFonts w:cs="Arial"/>
        </w:rPr>
      </w:pPr>
      <w:r>
        <w:t>Thirdly, Hyundai is not very aggressive in leveraging, which lowers the financial risk, but could limit its ability to fund huge investments to expand EVs (Li and Li, 2024). The rivals with more aggressive financing plans may have an upper hand when it comes to speeding up the innovation and increasing production.</w:t>
      </w:r>
    </w:p>
    <w:bookmarkStart w:id="21" w:name="_Toc227579206"/>
    <w:bookmarkStart w:id="22" w:name="_Toc227680043"/>
    <w:p>
      <w:pPr>
        <w:pStyle w:val="style2"/>
        <w:rPr/>
      </w:pPr>
      <w:r>
        <w:t>3.3 Financial Restructuring Strategies</w:t>
      </w:r>
      <w:bookmarkEnd w:id="21"/>
      <w:bookmarkEnd w:id="22"/>
    </w:p>
    <w:bookmarkStart w:id="23" w:name="_Toc227579207"/>
    <w:bookmarkStart w:id="24" w:name="_Toc227680044"/>
    <w:p>
      <w:pPr>
        <w:pStyle w:val="style3"/>
        <w:rPr/>
      </w:pPr>
      <w:r>
        <w:t>3.3.1 Strategic Divestiture and Portfolio Optimisation</w:t>
      </w:r>
      <w:bookmarkEnd w:id="23"/>
      <w:bookmarkEnd w:id="24"/>
    </w:p>
    <w:p>
      <w:pPr>
        <w:pStyle w:val="style0"/>
        <w:rPr/>
      </w:pPr>
      <w:r>
        <w:t>Disposing the non-core or poor performing business unit is one of the effective restructuring strategies. Hyundai has several automotive and mobility segments, some of which might be inconsistent with its long-term orientation towards electric cars. The divestiture of low-margin or non-strategic assets can channel the resources to the high-growth businesses, including EV manufacturing, battery development, and autonomous systems, to enhance returns and operational efficiency (</w:t>
      </w:r>
      <w:r>
        <w:t>Pasadilla</w:t>
      </w:r>
      <w:r>
        <w:t>, 2023).</w:t>
      </w:r>
    </w:p>
    <w:p>
      <w:pPr>
        <w:pStyle w:val="style0"/>
        <w:rPr>
          <w:rFonts w:cs="Arial"/>
        </w:rPr>
      </w:pPr>
      <w:r>
        <w:t xml:space="preserve">However, these investments should be done with caution to prevent both short-term decrease in revenue </w:t>
      </w:r>
      <w:r>
        <w:t>or</w:t>
      </w:r>
      <w:r>
        <w:t xml:space="preserve"> the hampering of integrated operation (</w:t>
      </w:r>
      <w:r>
        <w:t>Kuchyn</w:t>
      </w:r>
      <w:r>
        <w:t>, 2025). Decisions must focus on long-term strategic fit and sustainable value creation, and not economic benefits in the short-term.</w:t>
      </w:r>
    </w:p>
    <w:bookmarkStart w:id="25" w:name="_Toc227579208"/>
    <w:bookmarkStart w:id="26" w:name="_Toc227680045"/>
    <w:p>
      <w:pPr>
        <w:pStyle w:val="style3"/>
        <w:rPr/>
      </w:pPr>
      <w:r>
        <w:t>3.3.2 Strategy and equity injection with strategic alliances</w:t>
      </w:r>
      <w:bookmarkEnd w:id="25"/>
      <w:bookmarkEnd w:id="26"/>
    </w:p>
    <w:p>
      <w:pPr>
        <w:pStyle w:val="style0"/>
        <w:rPr/>
      </w:pPr>
      <w:r>
        <w:t>Increasing the capital base by either internal or external partnerships can help Hyundai to increase its capital base. The cooperation with the technology companies, battery producers, or foreign investors can contribute to financial support, as well as the high-technological skills (Chen, 2022).</w:t>
      </w:r>
    </w:p>
    <w:p>
      <w:pPr>
        <w:pStyle w:val="style0"/>
        <w:rPr>
          <w:rFonts w:cs="Arial"/>
        </w:rPr>
      </w:pPr>
      <w:r>
        <w:t>Equity financing will help decrease the reliance on debt and enhance the overall financial stability, which is especially crucial in the context of the limited liquidity position of the company. Moreover, strategic partnerships may speed up the innovation and reduce the cost of development through sharing expertise and resources (Francisca, 2025). This joint solution can improve the competitiveness of Hyundai and help it to make a long-term shift to higher and electric mobility options.</w:t>
      </w:r>
    </w:p>
    <w:bookmarkStart w:id="27" w:name="_Toc227579209"/>
    <w:bookmarkStart w:id="28" w:name="_Toc227680046"/>
    <w:p>
      <w:pPr>
        <w:pStyle w:val="style3"/>
        <w:rPr/>
      </w:pPr>
      <w:r>
        <w:t>3.3.3 Debt Structure optimisation</w:t>
      </w:r>
      <w:bookmarkEnd w:id="27"/>
      <w:bookmarkEnd w:id="28"/>
    </w:p>
    <w:p>
      <w:pPr>
        <w:pStyle w:val="style0"/>
        <w:rPr/>
      </w:pPr>
      <w:r>
        <w:t xml:space="preserve">Even though Hyundai is in a comparatively conservative leverage position, there is a room to streamline its debt position. A prudent increment of long-term borrowing can afford a consistent supply of funds to finance big investments without a significant jump in the risk factors of finances (Odhiambo, </w:t>
      </w:r>
      <w:r>
        <w:t>Murori</w:t>
      </w:r>
      <w:r>
        <w:t xml:space="preserve"> and Aringo, 2025). The company currently has a </w:t>
      </w:r>
      <w:r>
        <w:t>high cash flow generation; hence, it is in a good position to cater to extra debt in case it is needed.</w:t>
      </w:r>
    </w:p>
    <w:p>
      <w:pPr>
        <w:pStyle w:val="style0"/>
        <w:rPr>
          <w:rFonts w:cs="Arial"/>
        </w:rPr>
      </w:pPr>
      <w:r>
        <w:t>To increase returns to shareholders and ensure a faster growth of the electric vehicle market, a balanced increase in leverage can be helpful (Zang et al., 2024). Nonetheless, over-borrowing may subject the company to interest rate risks and financial instability, and it is therefore necessary to ensure that the level of debt is prudently and well-managed.</w:t>
      </w:r>
    </w:p>
    <w:bookmarkStart w:id="29" w:name="_Toc227579210"/>
    <w:bookmarkStart w:id="30" w:name="_Toc227680047"/>
    <w:p>
      <w:pPr>
        <w:pStyle w:val="style3"/>
        <w:rPr/>
      </w:pPr>
      <w:r>
        <w:t>3.3.4 Working Capital Restructuring</w:t>
      </w:r>
      <w:bookmarkEnd w:id="29"/>
      <w:bookmarkEnd w:id="30"/>
    </w:p>
    <w:p>
      <w:pPr>
        <w:pStyle w:val="style0"/>
        <w:rPr/>
      </w:pPr>
      <w:r>
        <w:t>Improving working capital efficiency is a key aspect of financial restructuring. As it was determined previously, Hyundai has rather constrained liquidity and is inventory driven. To deal with this, the company ought to aim at minimizing inventory holding durations, speeding up the receivables collection, and ensuring that the payables are handled better (Islam, 2025).</w:t>
      </w:r>
    </w:p>
    <w:p>
      <w:pPr>
        <w:pStyle w:val="style0"/>
        <w:rPr>
          <w:rFonts w:cs="Arial"/>
        </w:rPr>
      </w:pPr>
      <w:r>
        <w:t>These would reduce the cash conversion cycle and provide more money to make strategic investments. Moreover, the use of digital supply chain technologies and improved relations with suppliers can lead to increased operational efficiency and resilience to facilitate easier operations and enhance financial flexibility in the competitive and dynamic industry (Atieh Ali et al., 2024).</w:t>
      </w:r>
    </w:p>
    <w:bookmarkStart w:id="31" w:name="_Toc227579211"/>
    <w:bookmarkStart w:id="32" w:name="_Toc227680048"/>
    <w:p>
      <w:pPr>
        <w:pStyle w:val="style2"/>
        <w:rPr/>
      </w:pPr>
      <w:r>
        <w:t>3.4. Impact on shareholder value</w:t>
      </w:r>
      <w:bookmarkEnd w:id="31"/>
      <w:bookmarkEnd w:id="32"/>
      <w:r>
        <w:t xml:space="preserve"> </w:t>
      </w:r>
    </w:p>
    <w:p>
      <w:pPr>
        <w:pStyle w:val="style0"/>
        <w:rPr/>
      </w:pPr>
      <w:r>
        <w:t>The restructuring plans being put forward are expected to impact shareholder value in a huge way. Profitability and return on assets could be enhanced by focusing on high margin areas by divestment and portfolio optimisation. Partnerships and growth by raising equity can aid in long-term growth, but in the short run, existing shareholders may have their ownership diluted (</w:t>
      </w:r>
      <w:r>
        <w:t>Potharla</w:t>
      </w:r>
      <w:r>
        <w:t xml:space="preserve">, 2025). </w:t>
      </w:r>
    </w:p>
    <w:p>
      <w:pPr>
        <w:pStyle w:val="style0"/>
        <w:rPr/>
      </w:pPr>
      <w:r>
        <w:t xml:space="preserve">The debt structure can be optimised to increase the level of return on equity by utilising financial resources in a more efficient manner, although it increases the amount of financial risk (Filatova, Kulyk and Kravchenko, 2024). Comprehensively, the combined </w:t>
      </w:r>
      <w:r>
        <w:t>strategies are likely to result in a stronger long-term shareholder value through growth, higher profitability, and enhanced efficiency in operations.</w:t>
      </w:r>
    </w:p>
    <w:bookmarkStart w:id="33" w:name="_Toc227579212"/>
    <w:bookmarkStart w:id="34" w:name="_Toc227680049"/>
    <w:p>
      <w:pPr>
        <w:pStyle w:val="style2"/>
        <w:rPr/>
      </w:pPr>
      <w:r>
        <w:t>3.5 Effect on Debt Organisation and Financial Flexibility</w:t>
      </w:r>
      <w:bookmarkEnd w:id="33"/>
      <w:bookmarkEnd w:id="34"/>
    </w:p>
    <w:p>
      <w:pPr>
        <w:pStyle w:val="style0"/>
        <w:rPr/>
      </w:pPr>
      <w:r>
        <w:t>A redesign of the financial structure will re-design the debt profile of Hyundai and improve its financial flexibility. The higher strategic investments can be funded with stable long-term debt and decrease short-term financing (Potes, 2025). Meanwhile, better working capital management will be able to enhance liquidity, guaranteeing that the amount of cash will be enough to react promptly to alterations in the market.</w:t>
      </w:r>
    </w:p>
    <w:p>
      <w:pPr>
        <w:pStyle w:val="style0"/>
        <w:rPr>
          <w:rFonts w:cs="Arial"/>
        </w:rPr>
      </w:pPr>
      <w:r>
        <w:t>This flexibility is specifically needed in the rapidly changing EV industry, where the rapid technological changes and competition mandate fast decision-making (</w:t>
      </w:r>
      <w:r>
        <w:t>Jagani</w:t>
      </w:r>
      <w:r>
        <w:t xml:space="preserve">, </w:t>
      </w:r>
      <w:r>
        <w:t>Marsillac</w:t>
      </w:r>
      <w:r>
        <w:t xml:space="preserve"> and Hong, 2024). Having a balanced capital structure will also ensure that the company does not get too leveraged and also retain the capacity to finance future growth prospects.</w:t>
      </w:r>
    </w:p>
    <w:bookmarkStart w:id="35" w:name="_Toc227579213"/>
    <w:bookmarkStart w:id="36" w:name="_Toc227680050"/>
    <w:p>
      <w:pPr>
        <w:pStyle w:val="style2"/>
        <w:rPr/>
      </w:pPr>
      <w:r>
        <w:t>3.6 International and Ethical considerations</w:t>
      </w:r>
      <w:bookmarkEnd w:id="35"/>
      <w:bookmarkEnd w:id="36"/>
    </w:p>
    <w:p>
      <w:pPr>
        <w:pStyle w:val="style0"/>
        <w:rPr/>
      </w:pPr>
      <w:r>
        <w:t>The internationalisation of Hyundai means it is exposed to a wide range of financial risks such as exchange rates, the existence of different tax systems and inflationary pressures in different markets. Such considerations need inclusion in financial restructuring strategies to make them sustainable in the long run (Edo-Osagie, 2025). Exposure can be alleviated by using hedging strategies and diversification of revenue streams in different regions. Also, international regulations should be adhered to in tax planning with the goal of maximising the total tax efficiency.</w:t>
      </w:r>
    </w:p>
    <w:p>
      <w:pPr>
        <w:pStyle w:val="style0"/>
        <w:rPr>
          <w:rFonts w:cs="Arial"/>
        </w:rPr>
      </w:pPr>
      <w:r>
        <w:t>Ethics also becomes a matter of concern. Hyundai needs to be responsible in sourcing of raw materials, especially battery, and remain highly environmentally and socially accountable (Yang, Huang and Lin, 2022). Enhancing corporate social responsibility practices will improve brand equity and develop more trust towards stakeholders.</w:t>
      </w:r>
    </w:p>
    <w:bookmarkStart w:id="37" w:name="_Toc227579214"/>
    <w:bookmarkStart w:id="38" w:name="_Toc227680051"/>
    <w:p>
      <w:pPr>
        <w:pStyle w:val="style0"/>
        <w:spacing w:before="0" w:after="160" w:lineRule="auto" w:line="259"/>
        <w:jc w:val="left"/>
        <w:rPr>
          <w:rFonts w:cs="Arial"/>
          <w:b/>
          <w:bCs/>
          <w:iCs/>
          <w:sz w:val="26"/>
          <w:szCs w:val="26"/>
        </w:rPr>
      </w:pPr>
      <w:r>
        <w:br w:type="page"/>
      </w:r>
    </w:p>
    <w:p>
      <w:pPr>
        <w:pStyle w:val="style2"/>
        <w:rPr/>
      </w:pPr>
      <w:r>
        <w:t xml:space="preserve">3.7 </w:t>
      </w:r>
      <w:bookmarkEnd w:id="37"/>
      <w:r>
        <w:t>Summary</w:t>
      </w:r>
      <w:bookmarkEnd w:id="38"/>
    </w:p>
    <w:bookmarkStart w:id="39" w:name="_Toc227579215"/>
    <w:p>
      <w:pPr>
        <w:pStyle w:val="style0"/>
        <w:rPr/>
      </w:pPr>
      <w:r>
        <w:t>In summary, Hyundai Motor Company needs an active and sustainable financial restructuring strategy to help it transform into a technology-oriented and environmentally oriented company in the future. Although the overall financial performance of the company is good, issues of liquidity, efficiency in running the company, and increasing investment requirements point to the need to make strategic changes.</w:t>
      </w:r>
    </w:p>
    <w:p>
      <w:pPr>
        <w:pStyle w:val="style0"/>
        <w:rPr/>
      </w:pPr>
      <w:r>
        <w:t>A mixture of divestment, equity financing, debt optimisation, and enhanced working capital management can enable Hyundai to bolster its financial base and enable long-term growth. These strategies will enable the company to be competitive and flexible in the fast-changing automotive industry, in addition to considering global and ethical considerations.</w:t>
      </w:r>
    </w:p>
    <w:bookmarkStart w:id="40" w:name="_Toc227680052"/>
    <w:p>
      <w:pPr>
        <w:pStyle w:val="style1"/>
        <w:rPr/>
      </w:pPr>
      <w:r>
        <w:t>4. Investment Appraisal and Capital Budgeting</w:t>
      </w:r>
      <w:bookmarkEnd w:id="39"/>
      <w:bookmarkEnd w:id="40"/>
    </w:p>
    <w:bookmarkStart w:id="41" w:name="_Toc227579216"/>
    <w:bookmarkStart w:id="42" w:name="_Toc227680053"/>
    <w:p>
      <w:pPr>
        <w:pStyle w:val="style2"/>
        <w:rPr/>
      </w:pPr>
      <w:r>
        <w:t xml:space="preserve">4.1 </w:t>
      </w:r>
      <w:bookmarkEnd w:id="41"/>
      <w:r>
        <w:t>Overview</w:t>
      </w:r>
      <w:bookmarkEnd w:id="42"/>
    </w:p>
    <w:p>
      <w:pPr>
        <w:pStyle w:val="style0"/>
        <w:rPr>
          <w:rFonts w:cs="Arial"/>
        </w:rPr>
      </w:pPr>
      <w:r>
        <w:t>Investment appraisal is a very important part of financial decision-making, especially to Hyundai Motor Company as it is still heavily investing in electric vehicle technologies and internationalization. This analysis analyses three suggested projects, project A, B, and C, using capital budgeting key techniques, such as Payback Period (PBP), Profitability Index (PI),</w:t>
      </w:r>
      <w:r>
        <w:t xml:space="preserve"> </w:t>
      </w:r>
      <w:r>
        <w:t>Net Present Value (NPV), Accounting Rate of Return (ARR), and Internal Rate of Return (IRR). These techniques aid in determining the financial viability and the possible returns of every project. The cost of capital and risk level of the company are reflected in a discount rate of 10% which is used to make sure that a consistent and realistic assessment is made on the future cash flows of the company</w:t>
      </w:r>
      <w:r>
        <w:t>.</w:t>
      </w:r>
    </w:p>
    <w:bookmarkStart w:id="43" w:name="_Toc227579217"/>
    <w:bookmarkStart w:id="44" w:name="_Toc227680054"/>
    <w:p>
      <w:pPr>
        <w:pStyle w:val="style2"/>
        <w:rPr/>
      </w:pPr>
      <w:r>
        <w:t>4.2 Summary of results</w:t>
      </w:r>
      <w:bookmarkStart w:id="45" w:name="_Toc227579218"/>
      <w:bookmarkEnd w:id="43"/>
      <w:bookmarkEnd w:id="44"/>
    </w:p>
    <w:tbl>
      <w:tblPr>
        <w:tblStyle w:val="style4119"/>
        <w:tblW w:w="0" w:type="auto"/>
        <w:tblLook w:val="04A0" w:firstRow="1" w:lastRow="0" w:firstColumn="1" w:lastColumn="0" w:noHBand="0" w:noVBand="1"/>
      </w:tblPr>
      <w:tblGrid>
        <w:gridCol w:w="2337"/>
        <w:gridCol w:w="2337"/>
        <w:gridCol w:w="2338"/>
        <w:gridCol w:w="2338"/>
      </w:tblGrid>
      <w:tr>
        <w:trPr/>
        <w:tc>
          <w:tcPr>
            <w:tcW w:w="2337" w:type="dxa"/>
            <w:tcBorders/>
          </w:tcPr>
          <w:p>
            <w:pPr>
              <w:pStyle w:val="style0"/>
              <w:spacing w:before="120" w:after="120" w:lineRule="auto" w:line="240"/>
              <w:jc w:val="center"/>
              <w:rPr>
                <w:i/>
                <w:iCs/>
                <w:sz w:val="20"/>
                <w:szCs w:val="20"/>
              </w:rPr>
            </w:pPr>
            <w:r>
              <w:rPr>
                <w:i/>
                <w:iCs/>
                <w:sz w:val="20"/>
                <w:szCs w:val="20"/>
              </w:rPr>
              <w:t>Method</w:t>
            </w:r>
          </w:p>
        </w:tc>
        <w:tc>
          <w:tcPr>
            <w:tcW w:w="2337" w:type="dxa"/>
            <w:tcBorders/>
          </w:tcPr>
          <w:p>
            <w:pPr>
              <w:pStyle w:val="style0"/>
              <w:spacing w:before="120" w:after="120" w:lineRule="auto" w:line="240"/>
              <w:jc w:val="center"/>
              <w:rPr>
                <w:i/>
                <w:iCs/>
                <w:sz w:val="20"/>
                <w:szCs w:val="20"/>
              </w:rPr>
            </w:pPr>
            <w:r>
              <w:rPr>
                <w:i/>
                <w:iCs/>
                <w:sz w:val="20"/>
                <w:szCs w:val="20"/>
              </w:rPr>
              <w:t>Project A</w:t>
            </w:r>
          </w:p>
        </w:tc>
        <w:tc>
          <w:tcPr>
            <w:tcW w:w="2338" w:type="dxa"/>
            <w:tcBorders/>
          </w:tcPr>
          <w:p>
            <w:pPr>
              <w:pStyle w:val="style0"/>
              <w:spacing w:before="120" w:after="120" w:lineRule="auto" w:line="240"/>
              <w:jc w:val="center"/>
              <w:rPr>
                <w:i/>
                <w:iCs/>
                <w:sz w:val="20"/>
                <w:szCs w:val="20"/>
              </w:rPr>
            </w:pPr>
            <w:r>
              <w:rPr>
                <w:i/>
                <w:iCs/>
                <w:sz w:val="20"/>
                <w:szCs w:val="20"/>
              </w:rPr>
              <w:t>Project B</w:t>
            </w:r>
          </w:p>
        </w:tc>
        <w:tc>
          <w:tcPr>
            <w:tcW w:w="2338" w:type="dxa"/>
            <w:tcBorders/>
          </w:tcPr>
          <w:p>
            <w:pPr>
              <w:pStyle w:val="style0"/>
              <w:spacing w:before="120" w:after="120" w:lineRule="auto" w:line="240"/>
              <w:jc w:val="center"/>
              <w:rPr>
                <w:i/>
                <w:iCs/>
                <w:sz w:val="20"/>
                <w:szCs w:val="20"/>
              </w:rPr>
            </w:pPr>
            <w:r>
              <w:rPr>
                <w:i/>
                <w:iCs/>
                <w:sz w:val="20"/>
                <w:szCs w:val="20"/>
              </w:rPr>
              <w:t>Project C</w:t>
            </w:r>
          </w:p>
        </w:tc>
      </w:tr>
      <w:tr>
        <w:tblPrEx/>
        <w:trPr/>
        <w:tc>
          <w:tcPr>
            <w:tcW w:w="2337" w:type="dxa"/>
            <w:tcBorders/>
          </w:tcPr>
          <w:p>
            <w:pPr>
              <w:pStyle w:val="style0"/>
              <w:spacing w:before="120" w:after="120" w:lineRule="auto" w:line="240"/>
              <w:jc w:val="center"/>
              <w:rPr>
                <w:b w:val="false"/>
                <w:bCs w:val="false"/>
                <w:i/>
                <w:iCs/>
                <w:sz w:val="20"/>
                <w:szCs w:val="20"/>
              </w:rPr>
            </w:pPr>
            <w:r>
              <w:rPr>
                <w:b w:val="false"/>
                <w:bCs w:val="false"/>
                <w:i/>
                <w:iCs/>
                <w:sz w:val="20"/>
                <w:szCs w:val="20"/>
              </w:rPr>
              <w:t>NPV (£m)</w:t>
            </w:r>
          </w:p>
        </w:tc>
        <w:tc>
          <w:tcPr>
            <w:tcW w:w="2337" w:type="dxa"/>
            <w:tcBorders/>
          </w:tcPr>
          <w:p>
            <w:pPr>
              <w:pStyle w:val="style0"/>
              <w:spacing w:before="120" w:after="120" w:lineRule="auto" w:line="240"/>
              <w:jc w:val="center"/>
              <w:rPr>
                <w:sz w:val="20"/>
                <w:szCs w:val="20"/>
              </w:rPr>
            </w:pPr>
            <w:r>
              <w:rPr>
                <w:sz w:val="20"/>
                <w:szCs w:val="20"/>
              </w:rPr>
              <w:t>-8.68</w:t>
            </w:r>
          </w:p>
        </w:tc>
        <w:tc>
          <w:tcPr>
            <w:tcW w:w="2338" w:type="dxa"/>
            <w:tcBorders/>
          </w:tcPr>
          <w:p>
            <w:pPr>
              <w:pStyle w:val="style0"/>
              <w:spacing w:before="120" w:after="120" w:lineRule="auto" w:line="240"/>
              <w:jc w:val="center"/>
              <w:rPr>
                <w:sz w:val="20"/>
                <w:szCs w:val="20"/>
              </w:rPr>
            </w:pPr>
            <w:r>
              <w:rPr>
                <w:sz w:val="20"/>
                <w:szCs w:val="20"/>
              </w:rPr>
              <w:t>-8.30</w:t>
            </w:r>
          </w:p>
        </w:tc>
        <w:tc>
          <w:tcPr>
            <w:tcW w:w="2338" w:type="dxa"/>
            <w:tcBorders/>
          </w:tcPr>
          <w:p>
            <w:pPr>
              <w:pStyle w:val="style0"/>
              <w:spacing w:before="120" w:after="120" w:lineRule="auto" w:line="240"/>
              <w:jc w:val="center"/>
              <w:rPr>
                <w:sz w:val="20"/>
                <w:szCs w:val="20"/>
              </w:rPr>
            </w:pPr>
            <w:r>
              <w:rPr>
                <w:sz w:val="20"/>
                <w:szCs w:val="20"/>
              </w:rPr>
              <w:t>-1.98</w:t>
            </w:r>
          </w:p>
        </w:tc>
      </w:tr>
      <w:tr>
        <w:tblPrEx/>
        <w:trPr/>
        <w:tc>
          <w:tcPr>
            <w:tcW w:w="2337" w:type="dxa"/>
            <w:tcBorders/>
          </w:tcPr>
          <w:p>
            <w:pPr>
              <w:pStyle w:val="style0"/>
              <w:spacing w:before="120" w:after="120" w:lineRule="auto" w:line="240"/>
              <w:jc w:val="center"/>
              <w:rPr>
                <w:b w:val="false"/>
                <w:bCs w:val="false"/>
                <w:i/>
                <w:iCs/>
                <w:sz w:val="20"/>
                <w:szCs w:val="20"/>
              </w:rPr>
            </w:pPr>
            <w:r>
              <w:rPr>
                <w:b w:val="false"/>
                <w:bCs w:val="false"/>
                <w:i/>
                <w:iCs/>
                <w:sz w:val="20"/>
                <w:szCs w:val="20"/>
              </w:rPr>
              <w:t>IRR</w:t>
            </w:r>
          </w:p>
        </w:tc>
        <w:tc>
          <w:tcPr>
            <w:tcW w:w="2337" w:type="dxa"/>
            <w:tcBorders/>
          </w:tcPr>
          <w:p>
            <w:pPr>
              <w:pStyle w:val="style0"/>
              <w:spacing w:before="120" w:after="120" w:lineRule="auto" w:line="240"/>
              <w:jc w:val="center"/>
              <w:rPr>
                <w:sz w:val="20"/>
                <w:szCs w:val="20"/>
              </w:rPr>
            </w:pPr>
            <w:r>
              <w:rPr>
                <w:sz w:val="20"/>
                <w:szCs w:val="20"/>
              </w:rPr>
              <w:t>3%</w:t>
            </w:r>
          </w:p>
        </w:tc>
        <w:tc>
          <w:tcPr>
            <w:tcW w:w="2338" w:type="dxa"/>
            <w:tcBorders/>
          </w:tcPr>
          <w:p>
            <w:pPr>
              <w:pStyle w:val="style0"/>
              <w:spacing w:before="120" w:after="120" w:lineRule="auto" w:line="240"/>
              <w:jc w:val="center"/>
              <w:rPr>
                <w:sz w:val="20"/>
                <w:szCs w:val="20"/>
              </w:rPr>
            </w:pPr>
            <w:r>
              <w:rPr>
                <w:sz w:val="20"/>
                <w:szCs w:val="20"/>
              </w:rPr>
              <w:t>3%</w:t>
            </w:r>
          </w:p>
        </w:tc>
        <w:tc>
          <w:tcPr>
            <w:tcW w:w="2338" w:type="dxa"/>
            <w:tcBorders/>
          </w:tcPr>
          <w:p>
            <w:pPr>
              <w:pStyle w:val="style0"/>
              <w:spacing w:before="120" w:after="120" w:lineRule="auto" w:line="240"/>
              <w:jc w:val="center"/>
              <w:rPr>
                <w:sz w:val="20"/>
                <w:szCs w:val="20"/>
              </w:rPr>
            </w:pPr>
            <w:r>
              <w:rPr>
                <w:sz w:val="20"/>
                <w:szCs w:val="20"/>
              </w:rPr>
              <w:t>9%</w:t>
            </w:r>
          </w:p>
        </w:tc>
      </w:tr>
      <w:tr>
        <w:tblPrEx/>
        <w:trPr/>
        <w:tc>
          <w:tcPr>
            <w:tcW w:w="2337" w:type="dxa"/>
            <w:tcBorders/>
          </w:tcPr>
          <w:p>
            <w:pPr>
              <w:pStyle w:val="style0"/>
              <w:spacing w:before="120" w:after="120" w:lineRule="auto" w:line="240"/>
              <w:jc w:val="center"/>
              <w:rPr>
                <w:b w:val="false"/>
                <w:bCs w:val="false"/>
                <w:i/>
                <w:iCs/>
                <w:sz w:val="20"/>
                <w:szCs w:val="20"/>
              </w:rPr>
            </w:pPr>
            <w:r>
              <w:rPr>
                <w:b w:val="false"/>
                <w:bCs w:val="false"/>
                <w:i/>
                <w:iCs/>
                <w:sz w:val="20"/>
                <w:szCs w:val="20"/>
              </w:rPr>
              <w:t>PI</w:t>
            </w:r>
          </w:p>
        </w:tc>
        <w:tc>
          <w:tcPr>
            <w:tcW w:w="2337" w:type="dxa"/>
            <w:tcBorders/>
          </w:tcPr>
          <w:p>
            <w:pPr>
              <w:pStyle w:val="style0"/>
              <w:spacing w:before="120" w:after="120" w:lineRule="auto" w:line="240"/>
              <w:jc w:val="center"/>
              <w:rPr>
                <w:sz w:val="20"/>
                <w:szCs w:val="20"/>
              </w:rPr>
            </w:pPr>
            <w:r>
              <w:rPr>
                <w:sz w:val="20"/>
                <w:szCs w:val="20"/>
              </w:rPr>
              <w:t>0.83</w:t>
            </w:r>
          </w:p>
        </w:tc>
        <w:tc>
          <w:tcPr>
            <w:tcW w:w="2338" w:type="dxa"/>
            <w:tcBorders/>
          </w:tcPr>
          <w:p>
            <w:pPr>
              <w:pStyle w:val="style0"/>
              <w:spacing w:before="120" w:after="120" w:lineRule="auto" w:line="240"/>
              <w:jc w:val="center"/>
              <w:rPr>
                <w:sz w:val="20"/>
                <w:szCs w:val="20"/>
              </w:rPr>
            </w:pPr>
            <w:r>
              <w:rPr>
                <w:sz w:val="20"/>
                <w:szCs w:val="20"/>
              </w:rPr>
              <w:t>0.83</w:t>
            </w:r>
          </w:p>
        </w:tc>
        <w:tc>
          <w:tcPr>
            <w:tcW w:w="2338" w:type="dxa"/>
            <w:tcBorders/>
          </w:tcPr>
          <w:p>
            <w:pPr>
              <w:pStyle w:val="style0"/>
              <w:spacing w:before="120" w:after="120" w:lineRule="auto" w:line="240"/>
              <w:jc w:val="center"/>
              <w:rPr>
                <w:sz w:val="20"/>
                <w:szCs w:val="20"/>
              </w:rPr>
            </w:pPr>
            <w:r>
              <w:rPr>
                <w:sz w:val="20"/>
                <w:szCs w:val="20"/>
              </w:rPr>
              <w:t>0.96</w:t>
            </w:r>
          </w:p>
        </w:tc>
      </w:tr>
      <w:tr>
        <w:tblPrEx/>
        <w:trPr/>
        <w:tc>
          <w:tcPr>
            <w:tcW w:w="2337" w:type="dxa"/>
            <w:tcBorders/>
          </w:tcPr>
          <w:p>
            <w:pPr>
              <w:pStyle w:val="style0"/>
              <w:spacing w:before="120" w:after="120" w:lineRule="auto" w:line="240"/>
              <w:jc w:val="center"/>
              <w:rPr>
                <w:b w:val="false"/>
                <w:bCs w:val="false"/>
                <w:i/>
                <w:iCs/>
                <w:sz w:val="20"/>
                <w:szCs w:val="20"/>
              </w:rPr>
            </w:pPr>
            <w:r>
              <w:rPr>
                <w:b w:val="false"/>
                <w:bCs w:val="false"/>
                <w:i/>
                <w:iCs/>
                <w:sz w:val="20"/>
                <w:szCs w:val="20"/>
              </w:rPr>
              <w:t>Payback Period</w:t>
            </w:r>
          </w:p>
        </w:tc>
        <w:tc>
          <w:tcPr>
            <w:tcW w:w="2337" w:type="dxa"/>
            <w:tcBorders/>
          </w:tcPr>
          <w:p>
            <w:pPr>
              <w:pStyle w:val="style0"/>
              <w:spacing w:before="120" w:after="120" w:lineRule="auto" w:line="240"/>
              <w:jc w:val="center"/>
              <w:rPr>
                <w:sz w:val="20"/>
                <w:szCs w:val="20"/>
              </w:rPr>
            </w:pPr>
            <w:r>
              <w:rPr>
                <w:sz w:val="20"/>
                <w:szCs w:val="20"/>
              </w:rPr>
              <w:t>4.5 years</w:t>
            </w:r>
          </w:p>
        </w:tc>
        <w:tc>
          <w:tcPr>
            <w:tcW w:w="2338" w:type="dxa"/>
            <w:tcBorders/>
          </w:tcPr>
          <w:p>
            <w:pPr>
              <w:pStyle w:val="style0"/>
              <w:spacing w:before="120" w:after="120" w:lineRule="auto" w:line="240"/>
              <w:jc w:val="center"/>
              <w:rPr>
                <w:sz w:val="20"/>
                <w:szCs w:val="20"/>
              </w:rPr>
            </w:pPr>
            <w:r>
              <w:rPr>
                <w:sz w:val="20"/>
                <w:szCs w:val="20"/>
              </w:rPr>
              <w:t>4.55 years</w:t>
            </w:r>
          </w:p>
        </w:tc>
        <w:tc>
          <w:tcPr>
            <w:tcW w:w="2338" w:type="dxa"/>
            <w:tcBorders/>
          </w:tcPr>
          <w:p>
            <w:pPr>
              <w:pStyle w:val="style0"/>
              <w:spacing w:before="120" w:after="120" w:lineRule="auto" w:line="240"/>
              <w:jc w:val="center"/>
              <w:rPr>
                <w:sz w:val="20"/>
                <w:szCs w:val="20"/>
              </w:rPr>
            </w:pPr>
            <w:r>
              <w:rPr>
                <w:sz w:val="20"/>
                <w:szCs w:val="20"/>
              </w:rPr>
              <w:t>3.6 years</w:t>
            </w:r>
          </w:p>
        </w:tc>
      </w:tr>
      <w:bookmarkStart w:id="46" w:name="_Toc227680055"/>
    </w:tbl>
    <w:p>
      <w:pPr>
        <w:pStyle w:val="style2"/>
        <w:rPr/>
      </w:pPr>
      <w:r>
        <w:t>4.3 Payback Period (PBP)</w:t>
      </w:r>
      <w:bookmarkEnd w:id="45"/>
      <w:bookmarkEnd w:id="46"/>
    </w:p>
    <w:p>
      <w:pPr>
        <w:pStyle w:val="style0"/>
        <w:rPr/>
      </w:pPr>
      <w:r>
        <w:t>Payback period is the time it will take an investment to pay back. Project C has the shortest payback period of about 3.6 years, as compared to about 4.5 years of Project A and 4.55 of Project B. This means that Project C can enable quicker recovery of the invested capital.</w:t>
      </w:r>
    </w:p>
    <w:p>
      <w:pPr>
        <w:pStyle w:val="style0"/>
        <w:rPr>
          <w:rFonts w:cs="Arial"/>
        </w:rPr>
      </w:pPr>
      <w:r>
        <w:t>Critically speaking, this is especially applicable to Hyundai due to its rather limited liquidity stance. A reduced payback period minimizes financial risk and enhances cash positions to underpin subsequent investments. Nevertheless, this approach is not without limitations since it does not consider the cash flows provided after the payback period and fails to take into consideration the time value of money.</w:t>
      </w:r>
    </w:p>
    <w:bookmarkStart w:id="47" w:name="_Toc227579219"/>
    <w:bookmarkStart w:id="48" w:name="_Toc227680056"/>
    <w:p>
      <w:pPr>
        <w:pStyle w:val="style2"/>
        <w:rPr/>
      </w:pPr>
      <w:r>
        <w:t>4.4 Accounting rate of Return (ARR)</w:t>
      </w:r>
      <w:bookmarkEnd w:id="47"/>
      <w:bookmarkEnd w:id="48"/>
    </w:p>
    <w:p>
      <w:pPr>
        <w:pStyle w:val="style0"/>
        <w:rPr/>
      </w:pPr>
      <w:r>
        <w:t>Accounting rate of return measures the profitability on a basis of accounting earnings, not cash flows. Project C is the highest in terms of ARR at 6, which is way ahead of Project B (2) and Project A(1.6). This indicates that Project C has higher average returns as compared to the initial investment.</w:t>
      </w:r>
    </w:p>
    <w:p>
      <w:pPr>
        <w:pStyle w:val="style0"/>
        <w:rPr>
          <w:rFonts w:cs="Arial"/>
        </w:rPr>
      </w:pPr>
      <w:r>
        <w:t>Although ARR is an important tool of measuring profitability, it has significant drawbacks. It does not consider the timing of returns or cost of capital that are essential in making investment decisions. Thus, though Project C looks most appealing with ARR, it is necessary to evaluate it with other evaluation techniques.</w:t>
      </w:r>
    </w:p>
    <w:bookmarkStart w:id="49" w:name="_Toc227579220"/>
    <w:bookmarkStart w:id="50" w:name="_Toc227680057"/>
    <w:p>
      <w:pPr>
        <w:pStyle w:val="style2"/>
        <w:rPr/>
      </w:pPr>
      <w:r>
        <w:t>4.5 Net Present value (NPV)</w:t>
      </w:r>
      <w:bookmarkEnd w:id="49"/>
      <w:bookmarkEnd w:id="50"/>
    </w:p>
    <w:p>
      <w:pPr>
        <w:pStyle w:val="style0"/>
        <w:rPr/>
      </w:pPr>
      <w:r>
        <w:t>Net Present Value is generally considered to be one of the most effective methods of capital budgeting since it not only considers the time value of money, but also the size of investment as a whole. All the three projects yield negative NPV when rated at a discount of 10% which implies that none of them satisfy the required rate of return.</w:t>
      </w:r>
    </w:p>
    <w:p>
      <w:pPr>
        <w:pStyle w:val="style0"/>
        <w:rPr/>
      </w:pPr>
      <w:r>
        <w:t>Nonetheless, Project C has a relatively better performance with the lowest negative NPV of -1.98 million as opposed to -8.68 million in Project A and -8.30 million in Project B. This implies that Project C will lead to minimum loss of value and it is the most acceptable project of the three in terms of finances.</w:t>
      </w:r>
    </w:p>
    <w:p>
      <w:pPr>
        <w:pStyle w:val="style0"/>
        <w:rPr>
          <w:rFonts w:cs="Arial"/>
        </w:rPr>
      </w:pPr>
      <w:r>
        <w:t>Critically, the negative NPVs would create doubts about the viability of such investments. This result can be due to conservative cash flow estimates or a fairly high cost of funds. In the case of Hyundai, it pinpoints the need to be cautious when choosing projects and controlling costs so that it can achieve improved investment returns.</w:t>
      </w:r>
    </w:p>
    <w:bookmarkStart w:id="51" w:name="_Toc227579221"/>
    <w:bookmarkStart w:id="52" w:name="_Toc227680058"/>
    <w:p>
      <w:pPr>
        <w:pStyle w:val="style2"/>
        <w:rPr/>
      </w:pPr>
      <w:r>
        <w:t>4.6 Profitability Index (PI)</w:t>
      </w:r>
      <w:bookmarkEnd w:id="51"/>
      <w:bookmarkEnd w:id="52"/>
    </w:p>
    <w:p>
      <w:pPr>
        <w:pStyle w:val="style0"/>
        <w:rPr>
          <w:rFonts w:cs="Arial"/>
        </w:rPr>
      </w:pPr>
      <w:r>
        <w:t>The Profitability Index is a measure of the value created or generated per unit of investment, and it is used to determine the efficiency with which capital is employed. Of the three projects, project C has the highest PI of 0.96, whereas A and B have the same PI of 0.83. Though all the projects do not have a PI more than 1, meaning that they do not create enough returns, Project C still shows relatively better performance. The approach can be quite handy when capital is rationed, as it enables the efficiency of investments between options to be compared. Project C would seem like the most good payback against the cost of investment in this situation.</w:t>
      </w:r>
    </w:p>
    <w:bookmarkStart w:id="53" w:name="_Toc227579222"/>
    <w:bookmarkStart w:id="54" w:name="_Toc227680059"/>
    <w:p>
      <w:pPr>
        <w:pStyle w:val="style2"/>
        <w:rPr/>
      </w:pPr>
      <w:r>
        <w:t>4.7 Internal rate of Return (IRR)</w:t>
      </w:r>
      <w:bookmarkEnd w:id="53"/>
      <w:bookmarkEnd w:id="54"/>
    </w:p>
    <w:p>
      <w:pPr>
        <w:pStyle w:val="style0"/>
        <w:rPr>
          <w:rFonts w:cs="Arial"/>
        </w:rPr>
      </w:pPr>
      <w:r>
        <w:t>The Internal Rate of Return is the discount rate that makes the net present value zero. Project C has an IRR of about 9, which is nearer to the required rate of 10 as opposed to Project A and B which have a rate of about 3. This shows that Project C has a better prospect of returns, compared to Project C. Nevertheless, all the IRRs are lower than the target, and therefore, no project meets investment expectations completely. Moreover, IRR may not be reliable in the cases when cash flows are not evenly distributed and thus it must be compared with NPV to have reliable decision making.</w:t>
      </w:r>
    </w:p>
    <w:bookmarkStart w:id="55" w:name="_Toc227579223"/>
    <w:bookmarkStart w:id="56" w:name="_Toc227680060"/>
    <w:p>
      <w:pPr>
        <w:pStyle w:val="style2"/>
        <w:rPr/>
      </w:pPr>
      <w:r>
        <w:t>4.8 Overall Project Evaluation</w:t>
      </w:r>
      <w:bookmarkEnd w:id="55"/>
      <w:bookmarkEnd w:id="56"/>
    </w:p>
    <w:p>
      <w:pPr>
        <w:pStyle w:val="style0"/>
        <w:rPr>
          <w:rFonts w:cs="Arial"/>
        </w:rPr>
      </w:pPr>
      <w:r>
        <w:t>In all assessment techniques, Project C is always better than Projects A and B. It has the shortest payback, it has the highest ARR, it has the best PI, and the IRR that is nearest to the necessary rate of return. Furthermore, it has the least negative NPV, which means that it would lose its value relatively less than the other options. Project C was chosen as the best investment as it has been performing consistently using various methods of appraisal. By contrast, Project A and B are not as financially attractive as they are less strategic and have poorer financial results.</w:t>
      </w:r>
    </w:p>
    <w:bookmarkStart w:id="57" w:name="_Toc227579224"/>
    <w:bookmarkStart w:id="58" w:name="_Toc227680061"/>
    <w:p>
      <w:pPr>
        <w:pStyle w:val="style2"/>
        <w:rPr/>
      </w:pPr>
      <w:r>
        <w:t>4.9 Strategic Justification Hyundai Context</w:t>
      </w:r>
      <w:bookmarkEnd w:id="57"/>
      <w:bookmarkEnd w:id="58"/>
    </w:p>
    <w:p>
      <w:pPr>
        <w:pStyle w:val="style0"/>
        <w:rPr/>
      </w:pPr>
      <w:r>
        <w:t>Project C is a good fit to the present financial situation and long-term strategic goals of Hyundai. Since the company is relatively tight in its liquidity position, the shorter payback period of Project C is especially beneficial as it will enable recovering invested capital more quickly and enhance the availability of cash flows. This justifies why Hyundai should be financially flexible and still pursue its investments.</w:t>
      </w:r>
    </w:p>
    <w:p>
      <w:pPr>
        <w:pStyle w:val="style0"/>
        <w:rPr/>
      </w:pPr>
      <w:r>
        <w:t>Furthermore, the Project C shows a better performance in ARR and IRR, which confirm Hyundai as a company that is concerned with increasing its profitability and shareholder returns. It has a balanced risk and return strategy as its cash flow is higher in the middle years. With Hyundai still spending a great deal of money on electric vehicle technologies, it is important to make efficient and cost-effective choices on which projects to invest in. In this respect, Project C appears to be the most appropriate option.</w:t>
      </w:r>
    </w:p>
    <w:bookmarkStart w:id="59" w:name="_Toc227579225"/>
    <w:bookmarkStart w:id="60" w:name="_Toc227680062"/>
    <w:p>
      <w:pPr>
        <w:pStyle w:val="style2"/>
        <w:rPr/>
      </w:pPr>
      <w:r>
        <w:t>4.10 Non-Financial Considerations</w:t>
      </w:r>
      <w:bookmarkEnd w:id="59"/>
      <w:bookmarkEnd w:id="60"/>
    </w:p>
    <w:p>
      <w:pPr>
        <w:pStyle w:val="style0"/>
        <w:rPr/>
      </w:pPr>
      <w:r>
        <w:t>Although financial analysis is crucial, non-financial aspects should also be considered in making investment decisions. The political and regulatory environment, especially the government policies and incentives, have a significant impact on the automotive industry, especially the EV market. Modifications in these regulations may have a great effect on the viability of projects.</w:t>
      </w:r>
    </w:p>
    <w:p>
      <w:pPr>
        <w:pStyle w:val="style0"/>
        <w:rPr>
          <w:rFonts w:cs="Arial"/>
        </w:rPr>
      </w:pPr>
      <w:r>
        <w:t xml:space="preserve">Competition in the market is another key variable, and the industry is influenced by high competitors like Tesla, Inc. and BYD Company. Hyundai should make sure that its </w:t>
      </w:r>
      <w:r>
        <w:t>investment enhances its competitiveness. Also, loyalty of customers and brand image are critical, and investments must be based on consumer anticipation of innovation, sustainability, and reliability.</w:t>
      </w:r>
    </w:p>
    <w:bookmarkStart w:id="61" w:name="_Toc227579226"/>
    <w:bookmarkStart w:id="62" w:name="_Toc227680063"/>
    <w:p>
      <w:pPr>
        <w:pStyle w:val="style2"/>
        <w:rPr/>
      </w:pPr>
      <w:r>
        <w:t>4.11 Capital Rationing Decision</w:t>
      </w:r>
      <w:bookmarkEnd w:id="61"/>
      <w:bookmarkEnd w:id="62"/>
    </w:p>
    <w:p>
      <w:pPr>
        <w:pStyle w:val="style0"/>
        <w:rPr/>
      </w:pPr>
      <w:r>
        <w:t>Hyundai has a limited investment budget of £100 million so they can only choose between two of the three suggested projects. This restriction should be considered with much care so that the combination selected can bring maximum value and there should be a reasonable balance of risk and return. According to net present value (NPV) analysis, any project combination will lead to negative values, i.e., the aim is not to obtain high value but to reduce the total losses.</w:t>
      </w:r>
    </w:p>
    <w:p>
      <w:pPr>
        <w:pStyle w:val="style0"/>
        <w:rPr/>
      </w:pPr>
      <w:r>
        <w:t>Out of the options, the combination of Projects A and B has the lowest performance because it generates the most negative NPV. The combination of Projects A and C demonstrates some better but still, it causes a rather significant loss in contrast to the most advantageous option. Conversely, Projects B and C result in the lowest cumulative negative NPV, and hence is the most acceptable, in terms of finance, under the given constraints.</w:t>
      </w:r>
    </w:p>
    <w:p>
      <w:pPr>
        <w:pStyle w:val="style0"/>
        <w:rPr/>
      </w:pPr>
      <w:r>
        <w:t>Strategically, this combination also provides a more balanced cash flow profile. Project B is a project that will provide predictable returns over a period of time, which will assist in financial stability. In the meantime, Project C offers better capital recovery because it is less payback period and enhances liquidity and overall efficiency.</w:t>
      </w:r>
    </w:p>
    <w:p>
      <w:pPr>
        <w:pStyle w:val="style0"/>
        <w:rPr>
          <w:rFonts w:cs="Arial"/>
        </w:rPr>
      </w:pPr>
      <w:r>
        <w:t>The balance is especially critical to Hyundai, which needs to uphold a high level of liquidity and invest in the growing market of electric vehicles. As such, the best decision to make in capital rationing is Projects B and C since it reduces the loss of value, promotes financial stability, and is in line with the long-term strategic orientation of the company.</w:t>
      </w:r>
    </w:p>
    <w:bookmarkStart w:id="63" w:name="_Toc227579227"/>
    <w:bookmarkStart w:id="64" w:name="_Toc227680064"/>
    <w:p>
      <w:pPr>
        <w:pStyle w:val="style2"/>
        <w:rPr/>
      </w:pPr>
      <w:r>
        <w:t xml:space="preserve">4.12 </w:t>
      </w:r>
      <w:bookmarkEnd w:id="63"/>
      <w:r>
        <w:t>Summary</w:t>
      </w:r>
      <w:bookmarkEnd w:id="64"/>
    </w:p>
    <w:p>
      <w:pPr>
        <w:pStyle w:val="style0"/>
        <w:rPr>
          <w:rFonts w:cs="Arial"/>
        </w:rPr>
      </w:pPr>
      <w:r>
        <w:t xml:space="preserve">Finally, Project C is the most favourable project that is found to be favourable under all the methods of appraisals although all the projects have negative NPVs. It shows </w:t>
      </w:r>
      <w:r>
        <w:t>relatively high returns, faster payback on investment and efficiency as compared to the amount of investment. Given the constraint of capital rationing, the Projects B and C are the best option to make as they give the most efficient balance of risk and profit besides efficient use of the limited financial resources. In the case of Hyundai Motor Company, these choices of projects are in the interests of financial discipline and strategic development in a high-competition and capital-intensive automotive industry.</w:t>
      </w:r>
      <w:r>
        <w:br w:type="page"/>
      </w:r>
    </w:p>
    <w:bookmarkStart w:id="65" w:name="_Toc227680065"/>
    <w:p>
      <w:pPr>
        <w:pStyle w:val="style1"/>
        <w:rPr>
          <w:rFonts w:cs="Arial"/>
        </w:rPr>
      </w:pPr>
      <w:r>
        <w:rPr>
          <w:rFonts w:cs="Arial"/>
        </w:rPr>
        <w:t>Reference List</w:t>
      </w:r>
      <w:bookmarkEnd w:id="65"/>
    </w:p>
    <w:p>
      <w:pPr>
        <w:pStyle w:val="style0"/>
        <w:rPr>
          <w:rFonts w:cs="Arial"/>
        </w:rPr>
      </w:pPr>
      <w:r>
        <w:rPr>
          <w:rFonts w:cs="Arial"/>
        </w:rPr>
        <w:t xml:space="preserve">Atieh Ali, A.A., </w:t>
      </w:r>
      <w:r>
        <w:rPr>
          <w:rFonts w:cs="Arial"/>
        </w:rPr>
        <w:t>Sharabati</w:t>
      </w:r>
      <w:r>
        <w:rPr>
          <w:rFonts w:cs="Arial"/>
        </w:rPr>
        <w:t xml:space="preserve">, A.A.A., </w:t>
      </w:r>
      <w:r>
        <w:rPr>
          <w:rFonts w:cs="Arial"/>
        </w:rPr>
        <w:t>Allahham</w:t>
      </w:r>
      <w:r>
        <w:rPr>
          <w:rFonts w:cs="Arial"/>
        </w:rPr>
        <w:t xml:space="preserve">, M. and </w:t>
      </w:r>
      <w:r>
        <w:rPr>
          <w:rFonts w:cs="Arial"/>
        </w:rPr>
        <w:t>Nasereddin</w:t>
      </w:r>
      <w:r>
        <w:rPr>
          <w:rFonts w:cs="Arial"/>
        </w:rPr>
        <w:t>, A.Y., (2024). The relationship between supply chain resilience and digital supply chain and the impact on sustainability: Supply chain dynamism as a moderator. </w:t>
      </w:r>
      <w:r>
        <w:rPr>
          <w:rFonts w:cs="Arial"/>
          <w:i/>
          <w:iCs/>
        </w:rPr>
        <w:t>Sustainability</w:t>
      </w:r>
      <w:r>
        <w:rPr>
          <w:rFonts w:cs="Arial"/>
        </w:rPr>
        <w:t>, </w:t>
      </w:r>
      <w:r>
        <w:rPr>
          <w:rFonts w:cs="Arial"/>
          <w:i/>
          <w:iCs/>
        </w:rPr>
        <w:t>16</w:t>
      </w:r>
      <w:r>
        <w:rPr>
          <w:rFonts w:cs="Arial"/>
        </w:rPr>
        <w:t xml:space="preserve">(7), p.3082. </w:t>
      </w:r>
      <w:r>
        <w:rPr/>
        <w:fldChar w:fldCharType="begin"/>
      </w:r>
      <w:r>
        <w:instrText xml:space="preserve"> HYPERLINK "https://www.mdpi.com/2071-1050/16/7/3082" </w:instrText>
      </w:r>
      <w:r>
        <w:rPr/>
        <w:fldChar w:fldCharType="separate"/>
      </w:r>
      <w:r>
        <w:rPr>
          <w:rStyle w:val="style85"/>
          <w:rFonts w:cs="Arial"/>
        </w:rPr>
        <w:t>https://www.mdpi.com/2071-1050/16/7/3082</w:t>
      </w:r>
      <w:r>
        <w:rPr/>
        <w:fldChar w:fldCharType="end"/>
      </w:r>
      <w:r>
        <w:rPr>
          <w:rFonts w:cs="Arial"/>
        </w:rPr>
        <w:t xml:space="preserve"> </w:t>
      </w:r>
    </w:p>
    <w:p>
      <w:pPr>
        <w:pStyle w:val="style0"/>
        <w:rPr/>
      </w:pPr>
      <w:r>
        <w:t xml:space="preserve">Barnabas, B. and Oloyede, J., </w:t>
      </w:r>
      <w:r>
        <w:t>(</w:t>
      </w:r>
      <w:r>
        <w:t>2024</w:t>
      </w:r>
      <w:r>
        <w:t>)</w:t>
      </w:r>
      <w:r>
        <w:t>. Cash flow optimization: Strategies for enhancing short-term liquidity. </w:t>
      </w:r>
      <w:r>
        <w:rPr>
          <w:i/>
          <w:iCs/>
        </w:rPr>
        <w:t>Available at SSRN 5004465</w:t>
      </w:r>
      <w:r>
        <w:t>.</w:t>
      </w:r>
      <w:r>
        <w:t xml:space="preserve"> </w:t>
      </w:r>
      <w:r>
        <w:rPr/>
        <w:fldChar w:fldCharType="begin"/>
      </w:r>
      <w:r>
        <w:instrText xml:space="preserve"> HYPERLINK "https://papers.ssrn.com/sol3/Delivery.cfm?abstractid=5004465" </w:instrText>
      </w:r>
      <w:r>
        <w:rPr/>
        <w:fldChar w:fldCharType="separate"/>
      </w:r>
      <w:r>
        <w:rPr>
          <w:rStyle w:val="style85"/>
        </w:rPr>
        <w:t>https://papers.ssrn.com/sol3/Delivery.cfm?abstractid=5004465</w:t>
      </w:r>
      <w:r>
        <w:rPr/>
        <w:fldChar w:fldCharType="end"/>
      </w:r>
      <w:r>
        <w:t xml:space="preserve"> </w:t>
      </w:r>
    </w:p>
    <w:p>
      <w:pPr>
        <w:pStyle w:val="style0"/>
        <w:rPr/>
      </w:pPr>
      <w:r>
        <w:t xml:space="preserve">Chakraborty, A., </w:t>
      </w:r>
      <w:r>
        <w:t>(</w:t>
      </w:r>
      <w:r>
        <w:t>202</w:t>
      </w:r>
      <w:r>
        <w:t>3)</w:t>
      </w:r>
      <w:r>
        <w:t>. Global semiconductor shortage triggering obstructions and production delays. </w:t>
      </w:r>
      <w:r>
        <w:rPr>
          <w:i/>
          <w:iCs/>
        </w:rPr>
        <w:t>Digital Repository of Theses</w:t>
      </w:r>
      <w:r>
        <w:t>.</w:t>
      </w:r>
      <w:r>
        <w:t xml:space="preserve"> </w:t>
      </w:r>
      <w:r>
        <w:rPr/>
        <w:fldChar w:fldCharType="begin"/>
      </w:r>
      <w:r>
        <w:instrText xml:space="preserve"> HYPERLINK "https://repository.learn-portal.org/index.php/rps/article/download/276/215" </w:instrText>
      </w:r>
      <w:r>
        <w:rPr/>
        <w:fldChar w:fldCharType="separate"/>
      </w:r>
      <w:r>
        <w:rPr>
          <w:rStyle w:val="style85"/>
        </w:rPr>
        <w:t>https://repository.learn-portal.org/index.php/rps/article/download/276/215</w:t>
      </w:r>
      <w:r>
        <w:rPr/>
        <w:fldChar w:fldCharType="end"/>
      </w:r>
      <w:r>
        <w:t xml:space="preserve"> </w:t>
      </w:r>
    </w:p>
    <w:p>
      <w:pPr>
        <w:pStyle w:val="style0"/>
        <w:rPr>
          <w:rFonts w:cs="Arial"/>
        </w:rPr>
      </w:pPr>
      <w:r>
        <w:rPr>
          <w:rFonts w:cs="Arial"/>
        </w:rPr>
        <w:t>Chen, Y., (2022). Research on collaborative innovation of key common technologies in new energy vehicle industry based on digital twin technology. </w:t>
      </w:r>
      <w:r>
        <w:rPr>
          <w:rFonts w:cs="Arial"/>
          <w:i/>
          <w:iCs/>
        </w:rPr>
        <w:t>Energy Reports</w:t>
      </w:r>
      <w:r>
        <w:rPr>
          <w:rFonts w:cs="Arial"/>
        </w:rPr>
        <w:t>, </w:t>
      </w:r>
      <w:r>
        <w:rPr>
          <w:rFonts w:cs="Arial"/>
          <w:i/>
          <w:iCs/>
        </w:rPr>
        <w:t>8</w:t>
      </w:r>
      <w:r>
        <w:rPr>
          <w:rFonts w:cs="Arial"/>
        </w:rPr>
        <w:t xml:space="preserve">, pp.15399-15407. </w:t>
      </w:r>
      <w:r>
        <w:rPr/>
        <w:fldChar w:fldCharType="begin"/>
      </w:r>
      <w:r>
        <w:instrText xml:space="preserve"> HYPERLINK "https://www.sciencedirect.com/science/article/pii/S2352484722025070" </w:instrText>
      </w:r>
      <w:r>
        <w:rPr/>
        <w:fldChar w:fldCharType="separate"/>
      </w:r>
      <w:r>
        <w:rPr>
          <w:rStyle w:val="style85"/>
          <w:rFonts w:cs="Arial"/>
        </w:rPr>
        <w:t>https://www.sciencedirect.com/science/article/pii/S2352484722025070</w:t>
      </w:r>
      <w:r>
        <w:rPr/>
        <w:fldChar w:fldCharType="end"/>
      </w:r>
      <w:r>
        <w:rPr>
          <w:rFonts w:cs="Arial"/>
        </w:rPr>
        <w:t xml:space="preserve"> </w:t>
      </w:r>
    </w:p>
    <w:p>
      <w:pPr>
        <w:pStyle w:val="style0"/>
        <w:rPr/>
      </w:pPr>
      <w:r>
        <w:t xml:space="preserve">Dincă, M.S. and </w:t>
      </w:r>
      <w:r>
        <w:t>Akomeah</w:t>
      </w:r>
      <w:r>
        <w:t xml:space="preserve">, F., </w:t>
      </w:r>
      <w:r>
        <w:t>(</w:t>
      </w:r>
      <w:r>
        <w:t>202</w:t>
      </w:r>
      <w:r>
        <w:t>6)</w:t>
      </w:r>
      <w:r>
        <w:t>. Firm Profitability Drivers in the Automotive Sector: Evidence from ROA-Based Analysis.</w:t>
      </w:r>
      <w:r>
        <w:t xml:space="preserve"> </w:t>
      </w:r>
      <w:r>
        <w:rPr/>
        <w:fldChar w:fldCharType="begin"/>
      </w:r>
      <w:r>
        <w:instrText xml:space="preserve"> HYPERLINK "https://www.preprints.org/frontend/manuscript/362843e54e7ea50cfa08c338f4df53d0/download_pub" </w:instrText>
      </w:r>
      <w:r>
        <w:rPr/>
        <w:fldChar w:fldCharType="separate"/>
      </w:r>
      <w:r>
        <w:rPr>
          <w:rStyle w:val="style85"/>
        </w:rPr>
        <w:t>https://www.preprints.org/frontend/manuscript/362843e54e7ea50cfa08c338f4df53d0/download_pub</w:t>
      </w:r>
      <w:r>
        <w:rPr/>
        <w:fldChar w:fldCharType="end"/>
      </w:r>
    </w:p>
    <w:p>
      <w:pPr>
        <w:pStyle w:val="style0"/>
        <w:rPr>
          <w:rFonts w:cs="Arial"/>
        </w:rPr>
      </w:pPr>
      <w:r>
        <w:rPr>
          <w:rFonts w:cs="Arial"/>
        </w:rPr>
        <w:t>Edo-Osagie, E., (2025). Advanced budgeting and dynamic allocation strategies for maximizing financial resilience amid economic volatility and market shifts. </w:t>
      </w:r>
      <w:r>
        <w:rPr>
          <w:rFonts w:cs="Arial"/>
          <w:i/>
          <w:iCs/>
        </w:rPr>
        <w:t>International Journal of Research Publication and Reviews</w:t>
      </w:r>
      <w:r>
        <w:rPr>
          <w:rFonts w:cs="Arial"/>
        </w:rPr>
        <w:t>, </w:t>
      </w:r>
      <w:r>
        <w:rPr>
          <w:rFonts w:cs="Arial"/>
          <w:i/>
          <w:iCs/>
        </w:rPr>
        <w:t>6</w:t>
      </w:r>
      <w:r>
        <w:rPr>
          <w:rFonts w:cs="Arial"/>
        </w:rPr>
        <w:t xml:space="preserve">(3), pp.1060-1077. </w:t>
      </w:r>
      <w:r>
        <w:rPr/>
        <w:fldChar w:fldCharType="begin"/>
      </w:r>
      <w:r>
        <w:instrText xml:space="preserve"> HYPERLINK "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Budgeting-and-Dynamic-Allocation-Strategies-for-Maximizing-Financial-Resilience-Amid-Economic-Volatility-and-Market-Shifts.pdf" </w:instrText>
      </w:r>
      <w:r>
        <w:rPr/>
        <w:fldChar w:fldCharType="separate"/>
      </w:r>
      <w:r>
        <w:rPr>
          <w:rStyle w:val="style85"/>
          <w:rFonts w:cs="Arial"/>
        </w:rPr>
        <w:t>https://www.researchgate.net/profile/Esosa-Edo-Osagie/publication/389682992_International_Journal_of_Research_Publication_and_Reviews_Advanced_Budgeting_and_Dynamic_Allocation_Strategies_for_Maximizing_Financial_Resilience_Amid_Economic_Volatility_and_Market_Shifts/links/67cd0346bab3d32d844022ec/International-Journal-of-Research-Publication-and-Reviews-Advanced-</w:t>
      </w:r>
      <w:r>
        <w:rPr>
          <w:rStyle w:val="style85"/>
          <w:rFonts w:cs="Arial"/>
        </w:rPr>
        <w:t>Budgeting-and-Dynamic-Allocation-Strategies-for-Maximizing-Financial-Resilience-Amid-Economic-Volatility-and-Market-Shifts.pdf</w:t>
      </w:r>
      <w:r>
        <w:rPr/>
        <w:fldChar w:fldCharType="end"/>
      </w:r>
      <w:r>
        <w:rPr>
          <w:rFonts w:cs="Arial"/>
        </w:rPr>
        <w:t xml:space="preserve"> </w:t>
      </w:r>
    </w:p>
    <w:p>
      <w:pPr>
        <w:pStyle w:val="style0"/>
        <w:rPr/>
      </w:pPr>
      <w:r>
        <w:t>Eyinade</w:t>
      </w:r>
      <w:r>
        <w:t xml:space="preserve">, W., </w:t>
      </w:r>
      <w:r>
        <w:t>Ezeilo</w:t>
      </w:r>
      <w:r>
        <w:t xml:space="preserve">, O.J. and </w:t>
      </w:r>
      <w:r>
        <w:t>Ogundeji</w:t>
      </w:r>
      <w:r>
        <w:t xml:space="preserve">, I.A., </w:t>
      </w:r>
      <w:r>
        <w:t>(</w:t>
      </w:r>
      <w:r>
        <w:t>202</w:t>
      </w:r>
      <w:r>
        <w:t>5)</w:t>
      </w:r>
      <w:r>
        <w:t>. Financial risk management strategies and their influence on organizational stability. </w:t>
      </w:r>
      <w:r>
        <w:rPr>
          <w:i/>
          <w:iCs/>
        </w:rPr>
        <w:t>Finance &amp; Accounting Research Journal</w:t>
      </w:r>
      <w:r>
        <w:t>, </w:t>
      </w:r>
      <w:r>
        <w:rPr>
          <w:i/>
          <w:iCs/>
        </w:rPr>
        <w:t>7</w:t>
      </w:r>
      <w:r>
        <w:t>(6), pp.229-251.</w:t>
      </w:r>
      <w:r>
        <w:t xml:space="preserve"> </w:t>
      </w:r>
      <w:r>
        <w:rPr/>
        <w:fldChar w:fldCharType="begin"/>
      </w:r>
      <w:r>
        <w:instrText xml:space="preserve"> HYPERLINK "https://www.researchgate.net/profile/Onyinye-Ezeilo/publication/393520064_Financial_risk_management_strategies_and_their_influence_on_organizational_stability/links/686e9a9039c3583512082b92/Financial-risk-management-strategies-and-their-influence-on-organizational-stability.pdf" </w:instrText>
      </w:r>
      <w:r>
        <w:rPr/>
        <w:fldChar w:fldCharType="separate"/>
      </w:r>
      <w:r>
        <w:rPr>
          <w:rStyle w:val="style85"/>
        </w:rPr>
        <w:t>https://www.researchgate.net/profile/Onyinye-Ezeilo/publication/393520064_Financial_risk_management_strategies_and_their_influence_on_organizational_stability/links/686e9a9039c3583512082b92/Financial-risk-management-strategies-and-their-influence-on-organizational-stability.pdf</w:t>
      </w:r>
      <w:r>
        <w:rPr/>
        <w:fldChar w:fldCharType="end"/>
      </w:r>
    </w:p>
    <w:p>
      <w:pPr>
        <w:pStyle w:val="style0"/>
        <w:rPr>
          <w:rFonts w:cs="Arial"/>
        </w:rPr>
      </w:pPr>
      <w:r>
        <w:rPr>
          <w:rFonts w:cs="Arial"/>
        </w:rPr>
        <w:t>Fedotov, P., (2022). Critical Analysis of the Electric Vehicle Industry: Five forces and strategic action fields. </w:t>
      </w:r>
      <w:r>
        <w:rPr>
          <w:rFonts w:cs="Arial"/>
          <w:i/>
          <w:iCs/>
        </w:rPr>
        <w:t>Exchanges: The Interdisciplinary Research Journal</w:t>
      </w:r>
      <w:r>
        <w:rPr>
          <w:rFonts w:cs="Arial"/>
        </w:rPr>
        <w:t>, </w:t>
      </w:r>
      <w:r>
        <w:rPr>
          <w:rFonts w:cs="Arial"/>
          <w:i/>
          <w:iCs/>
        </w:rPr>
        <w:t>10</w:t>
      </w:r>
      <w:r>
        <w:rPr>
          <w:rFonts w:cs="Arial"/>
        </w:rPr>
        <w:t xml:space="preserve">(1), pp.43-56. </w:t>
      </w:r>
      <w:r>
        <w:rPr/>
        <w:fldChar w:fldCharType="begin"/>
      </w:r>
      <w:r>
        <w:instrText xml:space="preserve"> HYPERLINK "https://exchanges.warwick.ac.uk/index.php/exchanges/article/download/362/954" </w:instrText>
      </w:r>
      <w:r>
        <w:rPr/>
        <w:fldChar w:fldCharType="separate"/>
      </w:r>
      <w:r>
        <w:rPr>
          <w:rStyle w:val="style85"/>
          <w:rFonts w:cs="Arial"/>
        </w:rPr>
        <w:t>https://exchanges.warwick.ac.uk/index.php/exchanges/article/download/362/954</w:t>
      </w:r>
      <w:r>
        <w:rPr/>
        <w:fldChar w:fldCharType="end"/>
      </w:r>
      <w:r>
        <w:rPr>
          <w:rFonts w:cs="Arial"/>
        </w:rPr>
        <w:t xml:space="preserve"> </w:t>
      </w:r>
    </w:p>
    <w:p>
      <w:pPr>
        <w:pStyle w:val="style0"/>
        <w:rPr>
          <w:rFonts w:cs="Arial"/>
        </w:rPr>
      </w:pPr>
      <w:r>
        <w:rPr>
          <w:rFonts w:cs="Arial"/>
        </w:rPr>
        <w:t>Filatova, H., Kulyk, V. and Kravchenko, O., (2024). Optimization of a company’s capital structure based on the criterion of minimizing the level of financial risk. </w:t>
      </w:r>
      <w:r>
        <w:rPr>
          <w:rFonts w:cs="Arial"/>
          <w:i/>
          <w:iCs/>
        </w:rPr>
        <w:t>Accounting and Financial Control</w:t>
      </w:r>
      <w:r>
        <w:rPr>
          <w:rFonts w:cs="Arial"/>
        </w:rPr>
        <w:t>, </w:t>
      </w:r>
      <w:r>
        <w:rPr>
          <w:rFonts w:cs="Arial"/>
          <w:i/>
          <w:iCs/>
        </w:rPr>
        <w:t>5</w:t>
      </w:r>
      <w:r>
        <w:rPr>
          <w:rFonts w:cs="Arial"/>
        </w:rPr>
        <w:t xml:space="preserve">(1), p.46. </w:t>
      </w:r>
      <w:r>
        <w:rPr/>
        <w:fldChar w:fldCharType="begin"/>
      </w:r>
      <w:r>
        <w:instrText xml:space="preserve"> HYPERLINK "https://reposit.nupp.edu.ua/files/original/19/13384/66502834570e63bbc36682a5d39b88fef55758ba.pdf" </w:instrText>
      </w:r>
      <w:r>
        <w:rPr/>
        <w:fldChar w:fldCharType="separate"/>
      </w:r>
      <w:r>
        <w:rPr>
          <w:rStyle w:val="style85"/>
          <w:rFonts w:cs="Arial"/>
        </w:rPr>
        <w:t>https://reposit.nupp.edu.ua/files/original/19/13384/66502834570e63bbc36682a5d39b88fef55758ba.pdf</w:t>
      </w:r>
      <w:r>
        <w:rPr/>
        <w:fldChar w:fldCharType="end"/>
      </w:r>
      <w:r>
        <w:rPr>
          <w:rFonts w:cs="Arial"/>
        </w:rPr>
        <w:t xml:space="preserve"> </w:t>
      </w:r>
    </w:p>
    <w:p>
      <w:pPr>
        <w:pStyle w:val="style0"/>
        <w:rPr>
          <w:rFonts w:cs="Arial"/>
        </w:rPr>
      </w:pPr>
      <w:r>
        <w:rPr>
          <w:rFonts w:cs="Arial"/>
        </w:rPr>
        <w:t>Francisca, A.Y., (2025). Optimizing debt capital markets through quantitative risk models: enhancing financial stability and SME growth in the US. </w:t>
      </w:r>
      <w:r>
        <w:rPr>
          <w:rFonts w:cs="Arial"/>
          <w:i/>
          <w:iCs/>
        </w:rPr>
        <w:t>International Journal of Research Publication and Reviews</w:t>
      </w:r>
      <w:r>
        <w:rPr>
          <w:rFonts w:cs="Arial"/>
        </w:rPr>
        <w:t>, </w:t>
      </w:r>
      <w:r>
        <w:rPr>
          <w:rFonts w:cs="Arial"/>
          <w:i/>
          <w:iCs/>
        </w:rPr>
        <w:t>6</w:t>
      </w:r>
      <w:r>
        <w:rPr>
          <w:rFonts w:cs="Arial"/>
        </w:rPr>
        <w:t xml:space="preserve">(4), pp.4858-74. </w:t>
      </w:r>
      <w:r>
        <w:rPr/>
        <w:fldChar w:fldCharType="begin"/>
      </w:r>
      <w:r>
        <w:instrText xml:space="preserve"> HYPERLINK "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 </w:instrText>
      </w:r>
      <w:r>
        <w:rPr/>
        <w:fldChar w:fldCharType="separate"/>
      </w:r>
      <w:r>
        <w:rPr>
          <w:rStyle w:val="style85"/>
          <w:rFonts w:cs="Arial"/>
        </w:rPr>
        <w:t>https://www.researchgate.net/profile/Yetunde-Adekoya/publication/392066512_Optimizing_Debt_Capital_Markets_Through_Quantitative_Risk_Models_Enhancing_Financial_Stability_and_SME_Growth_in_the_US/links/683227d48a76251f22e7696b/Optimizing-Debt-Capital-Markets-Through-Quantitative-Risk-Models-Enhancing-Financial-Stability-and-SME-Growth-in-the-US.pdf</w:t>
      </w:r>
      <w:r>
        <w:rPr/>
        <w:fldChar w:fldCharType="end"/>
      </w:r>
      <w:r>
        <w:rPr>
          <w:rFonts w:cs="Arial"/>
        </w:rPr>
        <w:t xml:space="preserve"> </w:t>
      </w:r>
    </w:p>
    <w:p>
      <w:pPr>
        <w:pStyle w:val="style0"/>
        <w:rPr>
          <w:rFonts w:cs="Arial"/>
        </w:rPr>
      </w:pPr>
      <w:r>
        <w:rPr>
          <w:rFonts w:cs="Arial"/>
        </w:rPr>
        <w:t>Islam, I.M.M., (2025). Linking working capital efficiency to profit maximisation: A conceptual analysis. In </w:t>
      </w:r>
      <w:r>
        <w:rPr>
          <w:rFonts w:cs="Arial"/>
          <w:i/>
          <w:iCs/>
        </w:rPr>
        <w:t>Economic Forum</w:t>
      </w:r>
      <w:r>
        <w:rPr>
          <w:rFonts w:cs="Arial"/>
        </w:rPr>
        <w:t xml:space="preserve"> (Vol. 15, No. 1, pp. 93-102). Lutsk, Ukraine: Lutsk National Technical University. </w:t>
      </w:r>
      <w:r>
        <w:rPr/>
        <w:fldChar w:fldCharType="begin"/>
      </w:r>
      <w:r>
        <w:instrText xml:space="preserve"> HYPERLINK "https://www.econstor.eu/bitstream/10419/318709/1/EF_15_1_2025_093-102.pdf" </w:instrText>
      </w:r>
      <w:r>
        <w:rPr/>
        <w:fldChar w:fldCharType="separate"/>
      </w:r>
      <w:r>
        <w:rPr>
          <w:rStyle w:val="style85"/>
          <w:rFonts w:cs="Arial"/>
        </w:rPr>
        <w:t>https://www.econstor.eu/bitstream/10419/318709/1/EF_15_1_2025_093-102.pdf</w:t>
      </w:r>
      <w:r>
        <w:rPr/>
        <w:fldChar w:fldCharType="end"/>
      </w:r>
      <w:r>
        <w:rPr>
          <w:rFonts w:cs="Arial"/>
        </w:rPr>
        <w:t xml:space="preserve"> </w:t>
      </w:r>
    </w:p>
    <w:p>
      <w:pPr>
        <w:pStyle w:val="style0"/>
        <w:spacing w:before="0" w:after="160"/>
        <w:rPr>
          <w:rFonts w:cs="Arial"/>
        </w:rPr>
      </w:pPr>
      <w:r>
        <w:rPr>
          <w:rFonts w:cs="Arial"/>
        </w:rPr>
        <w:t>Jagani</w:t>
      </w:r>
      <w:r>
        <w:rPr>
          <w:rFonts w:cs="Arial"/>
        </w:rPr>
        <w:t xml:space="preserve">, S., </w:t>
      </w:r>
      <w:r>
        <w:rPr>
          <w:rFonts w:cs="Arial"/>
        </w:rPr>
        <w:t>Marsillac</w:t>
      </w:r>
      <w:r>
        <w:rPr>
          <w:rFonts w:cs="Arial"/>
        </w:rPr>
        <w:t>, E. and Hong, P., (2024). The electric vehicle supply chain ecosystem: changing roles of automotive suppliers. </w:t>
      </w:r>
      <w:r>
        <w:rPr>
          <w:rFonts w:cs="Arial"/>
          <w:i/>
          <w:iCs/>
        </w:rPr>
        <w:t>Sustainability</w:t>
      </w:r>
      <w:r>
        <w:rPr>
          <w:rFonts w:cs="Arial"/>
        </w:rPr>
        <w:t>, </w:t>
      </w:r>
      <w:r>
        <w:rPr>
          <w:rFonts w:cs="Arial"/>
          <w:i/>
          <w:iCs/>
        </w:rPr>
        <w:t>16</w:t>
      </w:r>
      <w:r>
        <w:rPr>
          <w:rFonts w:cs="Arial"/>
        </w:rPr>
        <w:t xml:space="preserve">(4), p.1570. </w:t>
      </w:r>
      <w:r>
        <w:rPr/>
        <w:fldChar w:fldCharType="begin"/>
      </w:r>
      <w:r>
        <w:instrText xml:space="preserve"> HYPERLINK "https://www.mdpi.com/2071-1050/16/4/1570" </w:instrText>
      </w:r>
      <w:r>
        <w:rPr/>
        <w:fldChar w:fldCharType="separate"/>
      </w:r>
      <w:r>
        <w:rPr>
          <w:rStyle w:val="style85"/>
          <w:rFonts w:cs="Arial"/>
        </w:rPr>
        <w:t>https://www.mdpi.com/2071-1050/16/4/1570</w:t>
      </w:r>
      <w:r>
        <w:rPr/>
        <w:fldChar w:fldCharType="end"/>
      </w:r>
      <w:r>
        <w:rPr>
          <w:rFonts w:cs="Arial"/>
        </w:rPr>
        <w:t xml:space="preserve"> </w:t>
      </w:r>
    </w:p>
    <w:p>
      <w:pPr>
        <w:pStyle w:val="style0"/>
        <w:rPr/>
      </w:pPr>
      <w:r>
        <w:t>Jones, B., Nguyen</w:t>
      </w:r>
      <w:r>
        <w:rPr>
          <w:rFonts w:ascii="Cambria Math" w:cs="Cambria Math" w:hAnsi="Cambria Math"/>
        </w:rPr>
        <w:t>‐</w:t>
      </w:r>
      <w:r>
        <w:t xml:space="preserve">Tien, V. and Elliott, R.J., </w:t>
      </w:r>
      <w:r>
        <w:t>(</w:t>
      </w:r>
      <w:r>
        <w:t>202</w:t>
      </w:r>
      <w:r>
        <w:t>3)</w:t>
      </w:r>
      <w:r>
        <w:t>. The electric vehicle revolution: Critical material supply chains, trade and development.</w:t>
      </w:r>
      <w:r>
        <w:rPr>
          <w:rFonts w:cs="Arial"/>
        </w:rPr>
        <w:t> </w:t>
      </w:r>
      <w:r>
        <w:rPr>
          <w:i/>
          <w:iCs/>
        </w:rPr>
        <w:t>The World Economy</w:t>
      </w:r>
      <w:r>
        <w:t>, </w:t>
      </w:r>
      <w:r>
        <w:rPr>
          <w:i/>
          <w:iCs/>
        </w:rPr>
        <w:t>46</w:t>
      </w:r>
      <w:r>
        <w:t>(1), pp.2-26.</w:t>
      </w:r>
      <w:r>
        <w:t xml:space="preserve"> </w:t>
      </w:r>
      <w:r>
        <w:rPr/>
        <w:fldChar w:fldCharType="begin"/>
      </w:r>
      <w:r>
        <w:instrText xml:space="preserve"> HYPERLINK "https://onlinelibrary.wiley.com/doi/pdf/10.1111/twec.13345" </w:instrText>
      </w:r>
      <w:r>
        <w:rPr/>
        <w:fldChar w:fldCharType="separate"/>
      </w:r>
      <w:r>
        <w:rPr>
          <w:rStyle w:val="style85"/>
        </w:rPr>
        <w:t>https://onlinelibrary.wiley.com/doi/pdf/10.1111/twec.13345</w:t>
      </w:r>
      <w:r>
        <w:rPr/>
        <w:fldChar w:fldCharType="end"/>
      </w:r>
      <w:r>
        <w:t xml:space="preserve"> </w:t>
      </w:r>
    </w:p>
    <w:p>
      <w:pPr>
        <w:pStyle w:val="style0"/>
        <w:rPr>
          <w:rFonts w:cs="Arial"/>
        </w:rPr>
      </w:pPr>
      <w:r>
        <w:rPr>
          <w:rFonts w:cs="Arial"/>
        </w:rPr>
        <w:t>Kuchyn</w:t>
      </w:r>
      <w:r>
        <w:rPr>
          <w:rFonts w:cs="Arial"/>
        </w:rPr>
        <w:t>, A., (2025). Interrelation of operational, financial, and investment activities of an enterprise during and after the war period. In </w:t>
      </w:r>
      <w:r>
        <w:rPr>
          <w:rFonts w:cs="Arial"/>
          <w:i/>
          <w:iCs/>
        </w:rPr>
        <w:t>Economic Forum</w:t>
      </w:r>
      <w:r>
        <w:rPr>
          <w:rFonts w:cs="Arial"/>
        </w:rPr>
        <w:t xml:space="preserve"> (Vol. 15, No. 1, pp. 25-37). Lutsk, Ukraine: Lutsk National Technical University. </w:t>
      </w:r>
      <w:r>
        <w:rPr/>
        <w:fldChar w:fldCharType="begin"/>
      </w:r>
      <w:r>
        <w:instrText xml:space="preserve"> HYPERLINK "https://www.econstor.eu/bitstream/10419/318704/1/EF_15_1_2025_025-037.pdf" </w:instrText>
      </w:r>
      <w:r>
        <w:rPr/>
        <w:fldChar w:fldCharType="separate"/>
      </w:r>
      <w:r>
        <w:rPr>
          <w:rStyle w:val="style85"/>
          <w:rFonts w:cs="Arial"/>
        </w:rPr>
        <w:t>https://www.econstor.eu/bitstream/10419/318704/1/EF_15_1_2025_025-037.pdf</w:t>
      </w:r>
      <w:r>
        <w:rPr/>
        <w:fldChar w:fldCharType="end"/>
      </w:r>
      <w:r>
        <w:rPr>
          <w:rFonts w:cs="Arial"/>
        </w:rPr>
        <w:t xml:space="preserve"> </w:t>
      </w:r>
    </w:p>
    <w:p>
      <w:pPr>
        <w:pStyle w:val="style0"/>
        <w:rPr/>
      </w:pPr>
      <w:r>
        <w:t xml:space="preserve">Lai, L., </w:t>
      </w:r>
      <w:r>
        <w:t>(</w:t>
      </w:r>
      <w:r>
        <w:t>202</w:t>
      </w:r>
      <w:r>
        <w:t>5)</w:t>
      </w:r>
      <w:r>
        <w:t>. Risk Control and Financial Analysis in Energy Industry Project Investment. </w:t>
      </w:r>
      <w:r>
        <w:rPr>
          <w:i/>
          <w:iCs/>
        </w:rPr>
        <w:t>International Journal of Engineering Advances</w:t>
      </w:r>
      <w:r>
        <w:t>, </w:t>
      </w:r>
      <w:r>
        <w:rPr>
          <w:i/>
          <w:iCs/>
        </w:rPr>
        <w:t>2</w:t>
      </w:r>
      <w:r>
        <w:t>(3), pp.21-28.</w:t>
      </w:r>
      <w:r>
        <w:t xml:space="preserve"> </w:t>
      </w:r>
      <w:r>
        <w:rPr/>
        <w:fldChar w:fldCharType="begin"/>
      </w:r>
      <w:r>
        <w:instrText xml:space="preserve"> HYPERLINK "https://www.gbspress.com/index.php/IJEA/article/download/482/496" </w:instrText>
      </w:r>
      <w:r>
        <w:rPr/>
        <w:fldChar w:fldCharType="separate"/>
      </w:r>
      <w:r>
        <w:rPr>
          <w:rStyle w:val="style85"/>
        </w:rPr>
        <w:t>https://www.gbspress.com/index.php/IJEA/article/download/482/496</w:t>
      </w:r>
      <w:r>
        <w:rPr/>
        <w:fldChar w:fldCharType="end"/>
      </w:r>
      <w:r>
        <w:t xml:space="preserve"> </w:t>
      </w:r>
    </w:p>
    <w:p>
      <w:pPr>
        <w:pStyle w:val="style0"/>
        <w:rPr>
          <w:rFonts w:cs="Arial"/>
        </w:rPr>
      </w:pPr>
      <w:r>
        <w:rPr>
          <w:rFonts w:cs="Arial"/>
        </w:rPr>
        <w:t>Li, J. and Li, A., (2024). Optimizing electric vehicle integration with vehicle-to-grid technology: the influence of price difference and battery costs on adoption, profits, and green energy utilization. </w:t>
      </w:r>
      <w:r>
        <w:rPr>
          <w:rFonts w:cs="Arial"/>
          <w:i/>
          <w:iCs/>
        </w:rPr>
        <w:t>Sustainability</w:t>
      </w:r>
      <w:r>
        <w:rPr>
          <w:rFonts w:cs="Arial"/>
        </w:rPr>
        <w:t>, </w:t>
      </w:r>
      <w:r>
        <w:rPr>
          <w:rFonts w:cs="Arial"/>
          <w:i/>
          <w:iCs/>
        </w:rPr>
        <w:t>16</w:t>
      </w:r>
      <w:r>
        <w:rPr>
          <w:rFonts w:cs="Arial"/>
        </w:rPr>
        <w:t xml:space="preserve">(3), p.1118. </w:t>
      </w:r>
      <w:r>
        <w:rPr/>
        <w:fldChar w:fldCharType="begin"/>
      </w:r>
      <w:r>
        <w:instrText xml:space="preserve"> HYPERLINK "https://www.mdpi.com/2071-1050/16/3/1118" </w:instrText>
      </w:r>
      <w:r>
        <w:rPr/>
        <w:fldChar w:fldCharType="separate"/>
      </w:r>
      <w:r>
        <w:rPr>
          <w:rStyle w:val="style85"/>
          <w:rFonts w:cs="Arial"/>
        </w:rPr>
        <w:t>https://www.mdpi.com/2071-1050/16/3/1118</w:t>
      </w:r>
      <w:r>
        <w:rPr/>
        <w:fldChar w:fldCharType="end"/>
      </w:r>
      <w:r>
        <w:rPr>
          <w:rFonts w:cs="Arial"/>
        </w:rPr>
        <w:t xml:space="preserve"> </w:t>
      </w:r>
    </w:p>
    <w:p>
      <w:pPr>
        <w:pStyle w:val="style0"/>
        <w:rPr/>
      </w:pPr>
      <w:r>
        <w:t>Malindzakova</w:t>
      </w:r>
      <w:r>
        <w:t xml:space="preserve">, M. and Izarikova, G., </w:t>
      </w:r>
      <w:r>
        <w:t>(</w:t>
      </w:r>
      <w:r>
        <w:t>202</w:t>
      </w:r>
      <w:r>
        <w:t>5)</w:t>
      </w:r>
      <w:r>
        <w:t>. Assessment and Selection of Mathematical Trends to Increase the Effectiveness of Product Sales Strategy. </w:t>
      </w:r>
      <w:r>
        <w:rPr>
          <w:i/>
          <w:iCs/>
        </w:rPr>
        <w:t>Applied Sciences</w:t>
      </w:r>
      <w:r>
        <w:t>, </w:t>
      </w:r>
      <w:r>
        <w:rPr>
          <w:i/>
          <w:iCs/>
        </w:rPr>
        <w:t>15</w:t>
      </w:r>
      <w:r>
        <w:t>(9), p.4695.</w:t>
      </w:r>
      <w:r>
        <w:t xml:space="preserve"> </w:t>
      </w:r>
      <w:r>
        <w:rPr/>
        <w:fldChar w:fldCharType="begin"/>
      </w:r>
      <w:r>
        <w:instrText xml:space="preserve"> HYPERLINK "https://www.mdpi.com/2076-3417/15/9/4695" </w:instrText>
      </w:r>
      <w:r>
        <w:rPr/>
        <w:fldChar w:fldCharType="separate"/>
      </w:r>
      <w:r>
        <w:rPr>
          <w:rStyle w:val="style85"/>
        </w:rPr>
        <w:t>https://www.mdpi.com/2076-3417/15/9/4695</w:t>
      </w:r>
      <w:r>
        <w:rPr/>
        <w:fldChar w:fldCharType="end"/>
      </w:r>
      <w:r>
        <w:t xml:space="preserve"> </w:t>
      </w:r>
    </w:p>
    <w:p>
      <w:pPr>
        <w:pStyle w:val="style0"/>
        <w:rPr/>
      </w:pPr>
      <w:r>
        <w:t xml:space="preserve">Nagy, M., </w:t>
      </w:r>
      <w:r>
        <w:t>(</w:t>
      </w:r>
      <w:r>
        <w:t>202</w:t>
      </w:r>
      <w:r>
        <w:t>5)</w:t>
      </w:r>
      <w:r>
        <w:t>. The Paradox of Performance: Profit Growth amid Structural Financial Instability. </w:t>
      </w:r>
      <w:r>
        <w:rPr>
          <w:i/>
          <w:iCs/>
        </w:rPr>
        <w:t>Ekonomicko-Manazerske</w:t>
      </w:r>
      <w:r>
        <w:rPr>
          <w:i/>
          <w:iCs/>
        </w:rPr>
        <w:t xml:space="preserve"> Spektrum</w:t>
      </w:r>
      <w:r>
        <w:t>, </w:t>
      </w:r>
      <w:r>
        <w:rPr>
          <w:i/>
          <w:iCs/>
        </w:rPr>
        <w:t>19</w:t>
      </w:r>
      <w:r>
        <w:t>(2), pp.1-11.</w:t>
      </w:r>
      <w:r>
        <w:t xml:space="preserve"> </w:t>
      </w:r>
      <w:r>
        <w:rPr/>
        <w:fldChar w:fldCharType="begin"/>
      </w:r>
      <w:r>
        <w:instrText xml:space="preserve"> HYPERLINK "https://ems.uniza.sk/pdf/current/EMS_2_2025_01_Nagy.pdf" </w:instrText>
      </w:r>
      <w:r>
        <w:rPr/>
        <w:fldChar w:fldCharType="separate"/>
      </w:r>
      <w:r>
        <w:rPr>
          <w:rStyle w:val="style85"/>
        </w:rPr>
        <w:t>https://ems.uniza.sk/pdf/current/EMS_2_2025_01_Nagy.pdf</w:t>
      </w:r>
      <w:r>
        <w:rPr/>
        <w:fldChar w:fldCharType="end"/>
      </w:r>
      <w:r>
        <w:t xml:space="preserve"> </w:t>
      </w:r>
    </w:p>
    <w:p>
      <w:pPr>
        <w:pStyle w:val="style0"/>
        <w:rPr/>
      </w:pPr>
      <w:r>
        <w:t xml:space="preserve">Ngoc, H.D., Ngoc, T.N. and Le, H.A., </w:t>
      </w:r>
      <w:r>
        <w:t>(</w:t>
      </w:r>
      <w:r>
        <w:t>202</w:t>
      </w:r>
      <w:r>
        <w:t>2)</w:t>
      </w:r>
      <w:r>
        <w:t>. Cash flow and external financing in the covid pandemic context and financial constraints. </w:t>
      </w:r>
      <w:r>
        <w:rPr>
          <w:i/>
          <w:iCs/>
        </w:rPr>
        <w:t xml:space="preserve">Journal of Organizational </w:t>
      </w:r>
      <w:r>
        <w:rPr>
          <w:i/>
          <w:iCs/>
        </w:rPr>
        <w:t>Behavior</w:t>
      </w:r>
      <w:r>
        <w:rPr>
          <w:i/>
          <w:iCs/>
        </w:rPr>
        <w:t xml:space="preserve"> Research</w:t>
      </w:r>
      <w:r>
        <w:t>, </w:t>
      </w:r>
      <w:r>
        <w:rPr>
          <w:i/>
          <w:iCs/>
        </w:rPr>
        <w:t>7</w:t>
      </w:r>
      <w:r>
        <w:t>(2-2022), pp.109-119.</w:t>
      </w:r>
      <w:r>
        <w:t xml:space="preserve"> </w:t>
      </w:r>
      <w:r>
        <w:rPr/>
        <w:fldChar w:fldCharType="begin"/>
      </w:r>
      <w:r>
        <w:instrText xml:space="preserve"> HYPERLINK "https://odad.org/storage/files/article/f4ed061b-8629-4abb-8b91-d0e58f4ea787-lguJkdP7sfBgBJHF/8EqCCyxsIGqvVV0.pdf" </w:instrText>
      </w:r>
      <w:r>
        <w:rPr/>
        <w:fldChar w:fldCharType="separate"/>
      </w:r>
      <w:r>
        <w:rPr>
          <w:rStyle w:val="style85"/>
        </w:rPr>
        <w:t>https://odad.org/storage/files/article/f4ed061b-8629-4abb-8b91-d0e58f4ea787-lguJkdP7sfBgBJHF/8EqCCyxsIGqvVV0.pdf</w:t>
      </w:r>
      <w:r>
        <w:rPr/>
        <w:fldChar w:fldCharType="end"/>
      </w:r>
      <w:r>
        <w:t xml:space="preserve"> </w:t>
      </w:r>
    </w:p>
    <w:p>
      <w:pPr>
        <w:pStyle w:val="style0"/>
        <w:rPr/>
      </w:pPr>
      <w:r>
        <w:t xml:space="preserve">Nicolas, T., </w:t>
      </w:r>
      <w:r>
        <w:t>(</w:t>
      </w:r>
      <w:r>
        <w:t>202</w:t>
      </w:r>
      <w:r>
        <w:t>2)</w:t>
      </w:r>
      <w:r>
        <w:t>. Short-term financial constraints and SMEs’ investment decision: evidence from the working capital channel. </w:t>
      </w:r>
      <w:r>
        <w:rPr>
          <w:i/>
          <w:iCs/>
        </w:rPr>
        <w:t>Small Business Economics</w:t>
      </w:r>
      <w:r>
        <w:t>, </w:t>
      </w:r>
      <w:r>
        <w:rPr>
          <w:i/>
          <w:iCs/>
        </w:rPr>
        <w:t>58</w:t>
      </w:r>
      <w:r>
        <w:t>(4), pp.1885-1914.</w:t>
      </w:r>
      <w:r>
        <w:t xml:space="preserve"> </w:t>
      </w:r>
      <w:r>
        <w:rPr/>
        <w:fldChar w:fldCharType="begin"/>
      </w:r>
      <w:r>
        <w:instrText xml:space="preserve"> HYPERLINK "https://pmc.ncbi.nlm.nih.gov/articles/PMC8096609/pdf/11187_2021_Article_488.pdf" </w:instrText>
      </w:r>
      <w:r>
        <w:rPr/>
        <w:fldChar w:fldCharType="separate"/>
      </w:r>
      <w:r>
        <w:rPr>
          <w:rStyle w:val="style85"/>
        </w:rPr>
        <w:t>https://pmc.ncbi.nlm.nih.gov/articles/PMC8096609/pdf/11187_2021_Article_488.pdf</w:t>
      </w:r>
      <w:r>
        <w:rPr/>
        <w:fldChar w:fldCharType="end"/>
      </w:r>
      <w:r>
        <w:t xml:space="preserve"> </w:t>
      </w:r>
    </w:p>
    <w:p>
      <w:pPr>
        <w:pStyle w:val="style0"/>
        <w:rPr/>
      </w:pPr>
      <w:r>
        <w:t>Nnabueze</w:t>
      </w:r>
      <w:r>
        <w:t xml:space="preserve">, S.B., Sakyi, J.K., </w:t>
      </w:r>
      <w:r>
        <w:t>Filani</w:t>
      </w:r>
      <w:r>
        <w:t xml:space="preserve">, O.M., Okojie, J.S., Abioye, R.F., Okereke, M. and Enow, O.F., </w:t>
      </w:r>
      <w:r>
        <w:t>(</w:t>
      </w:r>
      <w:r>
        <w:t>2024</w:t>
      </w:r>
      <w:r>
        <w:t>)</w:t>
      </w:r>
      <w:r>
        <w:t>. Revenue Optimization in Energy Distribution through Integrated Financial Planning and Advanced Data-Driven Frameworks.</w:t>
      </w:r>
      <w:r>
        <w:t xml:space="preserve"> </w:t>
      </w:r>
      <w:r>
        <w:rPr/>
        <w:fldChar w:fldCharType="begin"/>
      </w:r>
      <w:r>
        <w:instrText xml:space="preserve"> HYPERLINK "https://www.multiresearchjournal.com/admin/uploads/archives/archive-1758523768.pdf" </w:instrText>
      </w:r>
      <w:r>
        <w:rPr/>
        <w:fldChar w:fldCharType="separate"/>
      </w:r>
      <w:r>
        <w:rPr>
          <w:rStyle w:val="style85"/>
        </w:rPr>
        <w:t>https://www.multiresearchjournal.com/admin/uploads/archives/archive-1758523768.pdf</w:t>
      </w:r>
      <w:r>
        <w:rPr/>
        <w:fldChar w:fldCharType="end"/>
      </w:r>
      <w:r>
        <w:t xml:space="preserve"> </w:t>
      </w:r>
    </w:p>
    <w:p>
      <w:pPr>
        <w:pStyle w:val="style0"/>
        <w:rPr>
          <w:rFonts w:cs="Arial"/>
        </w:rPr>
      </w:pPr>
      <w:r>
        <w:rPr>
          <w:rFonts w:cs="Arial"/>
        </w:rPr>
        <w:t xml:space="preserve">Odhiambo, J.D., </w:t>
      </w:r>
      <w:r>
        <w:rPr>
          <w:rFonts w:cs="Arial"/>
        </w:rPr>
        <w:t>Murori</w:t>
      </w:r>
      <w:r>
        <w:rPr>
          <w:rFonts w:cs="Arial"/>
        </w:rPr>
        <w:t>, C.K. and Aringo, C.E., (2025). Financial leverage and firm performance: An empirical review and analysis. </w:t>
      </w:r>
      <w:r>
        <w:rPr>
          <w:rFonts w:cs="Arial"/>
          <w:i/>
          <w:iCs/>
        </w:rPr>
        <w:t>East African Finance Journal</w:t>
      </w:r>
      <w:r>
        <w:rPr>
          <w:rFonts w:cs="Arial"/>
        </w:rPr>
        <w:t>, </w:t>
      </w:r>
      <w:r>
        <w:rPr>
          <w:rFonts w:cs="Arial"/>
          <w:i/>
          <w:iCs/>
        </w:rPr>
        <w:t>4</w:t>
      </w:r>
      <w:r>
        <w:rPr>
          <w:rFonts w:cs="Arial"/>
        </w:rPr>
        <w:t>(1), pp.25-35.</w:t>
      </w:r>
      <w:r>
        <w:t xml:space="preserve"> </w:t>
      </w:r>
      <w:r>
        <w:rPr/>
        <w:fldChar w:fldCharType="begin"/>
      </w:r>
      <w:r>
        <w:instrText xml:space="preserve"> HYPERLINK "https://ijcsacademia.com/index.php/eafj/article/download/141/144" </w:instrText>
      </w:r>
      <w:r>
        <w:rPr/>
        <w:fldChar w:fldCharType="separate"/>
      </w:r>
      <w:r>
        <w:rPr>
          <w:rStyle w:val="style85"/>
          <w:rFonts w:cs="Arial"/>
        </w:rPr>
        <w:t>https://ijcsacademia.com/index.php/eafj/article/download/141/144</w:t>
      </w:r>
      <w:r>
        <w:rPr/>
        <w:fldChar w:fldCharType="end"/>
      </w:r>
      <w:r>
        <w:rPr>
          <w:rFonts w:cs="Arial"/>
        </w:rPr>
        <w:t xml:space="preserve">  </w:t>
      </w:r>
    </w:p>
    <w:p>
      <w:pPr>
        <w:pStyle w:val="style0"/>
        <w:rPr/>
      </w:pPr>
      <w:r>
        <w:t xml:space="preserve">Olugbenga, A.F., </w:t>
      </w:r>
      <w:r>
        <w:t>(</w:t>
      </w:r>
      <w:r>
        <w:t>202</w:t>
      </w:r>
      <w:r>
        <w:t>5)</w:t>
      </w:r>
      <w:r>
        <w:t xml:space="preserve">. Corporate Financing of Mega Projects: </w:t>
      </w:r>
      <w:r>
        <w:t>Analyzing</w:t>
      </w:r>
      <w:r>
        <w:t xml:space="preserve"> the Impact of Capital Structure Choices on Project Viability and Profitability (2018–2025). </w:t>
      </w:r>
      <w:r>
        <w:rPr>
          <w:i/>
          <w:iCs/>
        </w:rPr>
        <w:t>Journal of Banking and Financial Dynamics</w:t>
      </w:r>
      <w:r>
        <w:t>, </w:t>
      </w:r>
      <w:r>
        <w:rPr>
          <w:i/>
          <w:iCs/>
        </w:rPr>
        <w:t>9</w:t>
      </w:r>
      <w:r>
        <w:t>(12), pp.30-41.</w:t>
      </w:r>
      <w:r>
        <w:t xml:space="preserve"> </w:t>
      </w:r>
      <w:r>
        <w:rPr/>
        <w:fldChar w:fldCharType="begin"/>
      </w:r>
      <w:r>
        <w:instrText xml:space="preserve"> HYPERLINK "https://www.researchgate.net/profile/Francis-Akomolehin/publication/398816109_Corporate_Financing_of_Mega_Projects_Analyzing_the_Impact_of_Capital_Structure_Choices_on_Project_Viability_and_Profitability_2018-2025/links/695c1444a1fd017989110033/Corporate-Financing-of-Mega-Projects-Analyzing-the-Impact-of-Capital-Structure-Choices-on-Project-Viability-and-Profitability-2018-2025.pdf" </w:instrText>
      </w:r>
      <w:r>
        <w:rPr/>
        <w:fldChar w:fldCharType="separate"/>
      </w:r>
      <w:r>
        <w:rPr>
          <w:rStyle w:val="style85"/>
        </w:rPr>
        <w:t>https://www.researchgate.net/profile/Francis-Akomolehin/publication/398816109_Corporate_Financing_of_Mega_Projects_Analyzing_the_Impact_of_Capital_Structure_Choices_on_Project_Viability_and_Profitability_2018-2025/links/695c1444a1fd017989110033/Corporate-Financing-of-Mega-Projects-Analyzing-the-Impact-of-Capital-Structure-Choices-on-Project-Viability-and-Profitability-2018-2025.pdf</w:t>
      </w:r>
      <w:r>
        <w:rPr/>
        <w:fldChar w:fldCharType="end"/>
      </w:r>
      <w:r>
        <w:t xml:space="preserve"> </w:t>
      </w:r>
    </w:p>
    <w:p>
      <w:pPr>
        <w:pStyle w:val="style0"/>
        <w:rPr>
          <w:rFonts w:cs="Arial"/>
        </w:rPr>
      </w:pPr>
      <w:r>
        <w:rPr>
          <w:rFonts w:cs="Arial"/>
        </w:rPr>
        <w:t>Pasadilla</w:t>
      </w:r>
      <w:r>
        <w:rPr>
          <w:rFonts w:cs="Arial"/>
        </w:rPr>
        <w:t xml:space="preserve">, G., (2023). Technology, global value chains, and jobs: Continuing </w:t>
      </w:r>
      <w:r>
        <w:rPr>
          <w:rFonts w:cs="Arial"/>
        </w:rPr>
        <w:t>asean's</w:t>
      </w:r>
      <w:r>
        <w:rPr>
          <w:rFonts w:cs="Arial"/>
        </w:rPr>
        <w:t xml:space="preserve"> role in transformed global value chains. </w:t>
      </w:r>
      <w:r>
        <w:rPr>
          <w:rFonts w:cs="Arial"/>
          <w:i/>
          <w:iCs/>
        </w:rPr>
        <w:t>ASEAN AND GLOBAL VALUE CHAINS</w:t>
      </w:r>
      <w:r>
        <w:rPr>
          <w:rFonts w:cs="Arial"/>
        </w:rPr>
        <w:t xml:space="preserve">, p.148. </w:t>
      </w:r>
      <w:r>
        <w:rPr/>
        <w:fldChar w:fldCharType="begin"/>
      </w:r>
      <w:r>
        <w:instrText xml:space="preserve"> HYPERLINK "https://www.adb.org/sites/default/files/publication/871976/asean-global-value-chains-resilience-sustainability.pdf" \l "page=170" </w:instrText>
      </w:r>
      <w:r>
        <w:rPr/>
        <w:fldChar w:fldCharType="separate"/>
      </w:r>
      <w:r>
        <w:rPr>
          <w:rStyle w:val="style85"/>
          <w:rFonts w:cs="Arial"/>
        </w:rPr>
        <w:t>https://www.adb.org/sites/default/files/publication/871976/asean-global-value-chains-resilience-sustainability.pdf#page=170</w:t>
      </w:r>
      <w:r>
        <w:rPr/>
        <w:fldChar w:fldCharType="end"/>
      </w:r>
      <w:r>
        <w:rPr>
          <w:rFonts w:cs="Arial"/>
        </w:rPr>
        <w:t xml:space="preserve"> </w:t>
      </w:r>
    </w:p>
    <w:p>
      <w:pPr>
        <w:pStyle w:val="style0"/>
        <w:rPr>
          <w:rFonts w:cs="Arial"/>
          <w:lang w:val="it-IT"/>
        </w:rPr>
      </w:pPr>
      <w:r>
        <w:rPr>
          <w:rFonts w:cs="Arial"/>
        </w:rPr>
        <w:t xml:space="preserve">Potes, T.M.C.M.D.C., (2025). Financing the future: how electrification shapes capital structure decisions in the automotive industry. </w:t>
      </w:r>
      <w:r>
        <w:rPr/>
        <w:fldChar w:fldCharType="begin"/>
      </w:r>
      <w:r>
        <w:instrText xml:space="preserve"> HYPERLINK "https://repositorio.ucp.pt/bitstreams/9d5a05db-d523-4836-bfbc-dd44e5eba61a/download" </w:instrText>
      </w:r>
      <w:r>
        <w:rPr/>
        <w:fldChar w:fldCharType="separate"/>
      </w:r>
      <w:r>
        <w:rPr>
          <w:rStyle w:val="style85"/>
          <w:rFonts w:cs="Arial"/>
          <w:lang w:val="it-IT"/>
        </w:rPr>
        <w:t>https://repositorio.ucp.pt/bitstreams/9d5a05db-d523-4836-bfbc-dd44e5eba61a/download</w:t>
      </w:r>
      <w:r>
        <w:rPr/>
        <w:fldChar w:fldCharType="end"/>
      </w:r>
      <w:r>
        <w:rPr>
          <w:rFonts w:cs="Arial"/>
          <w:lang w:val="it-IT"/>
        </w:rPr>
        <w:t xml:space="preserve"> </w:t>
      </w:r>
    </w:p>
    <w:p>
      <w:pPr>
        <w:pStyle w:val="style0"/>
        <w:rPr>
          <w:rFonts w:cs="Arial"/>
        </w:rPr>
      </w:pPr>
      <w:r>
        <w:rPr>
          <w:rFonts w:cs="Arial"/>
          <w:lang w:val="it-IT"/>
        </w:rPr>
        <w:t xml:space="preserve">Potharla, S., (2025). </w:t>
      </w:r>
      <w:r>
        <w:rPr>
          <w:rFonts w:cs="Arial"/>
        </w:rPr>
        <w:t>From Debt to Divestiture: How Indian and Global Firms Reshaped through Corporate Restructuring. </w:t>
      </w:r>
      <w:r>
        <w:rPr>
          <w:rFonts w:cs="Arial"/>
          <w:i/>
          <w:iCs/>
        </w:rPr>
        <w:t>Available at SSRN 5348941</w:t>
      </w:r>
      <w:r>
        <w:rPr>
          <w:rFonts w:cs="Arial"/>
        </w:rPr>
        <w:t xml:space="preserve">. </w:t>
      </w:r>
      <w:r>
        <w:rPr/>
        <w:fldChar w:fldCharType="begin"/>
      </w:r>
      <w:r>
        <w:instrText xml:space="preserve"> HYPERLINK "https://papers.ssrn.com/sol3/Delivery.cfm?abstractid=5348941" </w:instrText>
      </w:r>
      <w:r>
        <w:rPr/>
        <w:fldChar w:fldCharType="separate"/>
      </w:r>
      <w:r>
        <w:rPr>
          <w:rStyle w:val="style85"/>
          <w:rFonts w:cs="Arial"/>
        </w:rPr>
        <w:t>https://papers.ssrn.com/sol3/Delivery.cfm?abstractid=5348941</w:t>
      </w:r>
      <w:r>
        <w:rPr/>
        <w:fldChar w:fldCharType="end"/>
      </w:r>
      <w:r>
        <w:rPr>
          <w:rFonts w:cs="Arial"/>
        </w:rPr>
        <w:t xml:space="preserve"> </w:t>
      </w:r>
    </w:p>
    <w:p>
      <w:pPr>
        <w:pStyle w:val="style0"/>
        <w:rPr/>
      </w:pPr>
      <w:r>
        <w:t>Purba</w:t>
      </w:r>
      <w:r>
        <w:t xml:space="preserve">, J., Wulandari, D.S. and </w:t>
      </w:r>
      <w:r>
        <w:t>Djatnicka</w:t>
      </w:r>
      <w:r>
        <w:t xml:space="preserve">, E.W., </w:t>
      </w:r>
      <w:r>
        <w:t>(</w:t>
      </w:r>
      <w:r>
        <w:t>202</w:t>
      </w:r>
      <w:r>
        <w:t>5)</w:t>
      </w:r>
      <w:r>
        <w:t>. Maximizing Profit Margins: The Interconnection Between Working Capital Efficiency and Sales Growth. </w:t>
      </w:r>
      <w:r>
        <w:rPr>
          <w:i/>
          <w:iCs/>
        </w:rPr>
        <w:t>Journal of Applied Accounting and Taxation</w:t>
      </w:r>
      <w:r>
        <w:t>, </w:t>
      </w:r>
      <w:r>
        <w:rPr>
          <w:i/>
          <w:iCs/>
        </w:rPr>
        <w:t>10</w:t>
      </w:r>
      <w:r>
        <w:t>(1), pp.135-144.</w:t>
      </w:r>
      <w:r>
        <w:t xml:space="preserve"> </w:t>
      </w:r>
      <w:r>
        <w:rPr/>
        <w:fldChar w:fldCharType="begin"/>
      </w:r>
      <w:r>
        <w:instrText xml:space="preserve"> HYPERLINK "https://jurnal.polibatam.ac.id/index.php/JAAT/article/download/9093/2705" </w:instrText>
      </w:r>
      <w:r>
        <w:rPr/>
        <w:fldChar w:fldCharType="separate"/>
      </w:r>
      <w:r>
        <w:rPr>
          <w:rStyle w:val="style85"/>
        </w:rPr>
        <w:t>https://jurnal.polibatam.ac.id/index.php/JAAT/article/download/9093/2705</w:t>
      </w:r>
      <w:r>
        <w:rPr/>
        <w:fldChar w:fldCharType="end"/>
      </w:r>
      <w:r>
        <w:t xml:space="preserve"> </w:t>
      </w:r>
    </w:p>
    <w:p>
      <w:pPr>
        <w:pStyle w:val="style0"/>
        <w:rPr>
          <w:rFonts w:cs="Arial"/>
        </w:rPr>
      </w:pPr>
      <w:r>
        <w:rPr>
          <w:rFonts w:cs="Arial"/>
        </w:rPr>
        <w:t>Wang, Y., (2025). Liquidity Management and Financial Stability in High-Growth Tech Companies. </w:t>
      </w:r>
      <w:r>
        <w:rPr>
          <w:rFonts w:cs="Arial"/>
          <w:i/>
          <w:iCs/>
        </w:rPr>
        <w:t>Advances in Economics, Management and Political Sciences</w:t>
      </w:r>
      <w:r>
        <w:rPr>
          <w:rFonts w:cs="Arial"/>
        </w:rPr>
        <w:t>, </w:t>
      </w:r>
      <w:r>
        <w:rPr>
          <w:rFonts w:cs="Arial"/>
          <w:i/>
          <w:iCs/>
        </w:rPr>
        <w:t>146</w:t>
      </w:r>
      <w:r>
        <w:rPr>
          <w:rFonts w:cs="Arial"/>
        </w:rPr>
        <w:t xml:space="preserve">, pp.37-43. </w:t>
      </w:r>
      <w:r>
        <w:rPr/>
        <w:fldChar w:fldCharType="begin"/>
      </w:r>
      <w:r>
        <w:instrText xml:space="preserve"> HYPERLINK "https://aemps.ewapub.com/article/view/19054.pdf" </w:instrText>
      </w:r>
      <w:r>
        <w:rPr/>
        <w:fldChar w:fldCharType="separate"/>
      </w:r>
      <w:r>
        <w:rPr>
          <w:rStyle w:val="style85"/>
          <w:rFonts w:cs="Arial"/>
        </w:rPr>
        <w:t>https://aemps.ewapub.com/article/view/19054.pdf</w:t>
      </w:r>
      <w:r>
        <w:rPr/>
        <w:fldChar w:fldCharType="end"/>
      </w:r>
      <w:r>
        <w:rPr>
          <w:rFonts w:cs="Arial"/>
        </w:rPr>
        <w:t xml:space="preserve"> </w:t>
      </w:r>
    </w:p>
    <w:p>
      <w:pPr>
        <w:pStyle w:val="style0"/>
        <w:rPr>
          <w:rFonts w:cs="Arial"/>
        </w:rPr>
      </w:pPr>
      <w:r>
        <w:rPr>
          <w:rFonts w:cs="Arial"/>
        </w:rPr>
        <w:t>Yang, Z., Huang, H. and Lin, F., (2022). Sustainable electric vehicle batteries for a sustainable world: perspectives on battery cathodes, environment, supply chain, manufacturing, life cycle, and policy. </w:t>
      </w:r>
      <w:r>
        <w:rPr>
          <w:rFonts w:cs="Arial"/>
          <w:i/>
          <w:iCs/>
        </w:rPr>
        <w:t>Advanced Energy Materials</w:t>
      </w:r>
      <w:r>
        <w:rPr>
          <w:rFonts w:cs="Arial"/>
        </w:rPr>
        <w:t>, </w:t>
      </w:r>
      <w:r>
        <w:rPr>
          <w:rFonts w:cs="Arial"/>
          <w:i/>
          <w:iCs/>
        </w:rPr>
        <w:t>12</w:t>
      </w:r>
      <w:r>
        <w:rPr>
          <w:rFonts w:cs="Arial"/>
        </w:rPr>
        <w:t xml:space="preserve">(26), p.2200383. </w:t>
      </w:r>
      <w:r>
        <w:rPr/>
        <w:fldChar w:fldCharType="begin"/>
      </w:r>
      <w:r>
        <w:instrText xml:space="preserve"> HYPERLINK "https://advanced.onlinelibrary.wiley.com/doi/pdfdirect/10.1002/aenm.202200383" </w:instrText>
      </w:r>
      <w:r>
        <w:rPr/>
        <w:fldChar w:fldCharType="separate"/>
      </w:r>
      <w:r>
        <w:rPr>
          <w:rStyle w:val="style85"/>
          <w:rFonts w:cs="Arial"/>
        </w:rPr>
        <w:t>https://advanced.onlinelibrary.wiley.com/doi/pdfdirect/10.1002/aenm.202200383</w:t>
      </w:r>
      <w:r>
        <w:rPr/>
        <w:fldChar w:fldCharType="end"/>
      </w:r>
      <w:r>
        <w:rPr>
          <w:rFonts w:cs="Arial"/>
        </w:rPr>
        <w:t xml:space="preserve"> </w:t>
      </w:r>
    </w:p>
    <w:p>
      <w:pPr>
        <w:pStyle w:val="style0"/>
        <w:rPr>
          <w:rFonts w:cs="Arial"/>
        </w:rPr>
      </w:pPr>
      <w:r>
        <w:rPr>
          <w:rFonts w:cs="Arial"/>
        </w:rPr>
        <w:t>Zang, X., Abdullah, R.N., Li, L. and Hussain, I.A., (2024). Leveraging six values for company performance: Adaptation of sustainable business model innovation strategies in Chinese electric vehicle brand enterprises. </w:t>
      </w:r>
      <w:r>
        <w:rPr>
          <w:rFonts w:cs="Arial"/>
          <w:i/>
          <w:iCs/>
        </w:rPr>
        <w:t>World Electric Vehicle Journal</w:t>
      </w:r>
      <w:r>
        <w:rPr>
          <w:rFonts w:cs="Arial"/>
        </w:rPr>
        <w:t>, </w:t>
      </w:r>
      <w:r>
        <w:rPr>
          <w:rFonts w:cs="Arial"/>
          <w:i/>
          <w:iCs/>
        </w:rPr>
        <w:t>15</w:t>
      </w:r>
      <w:r>
        <w:rPr>
          <w:rFonts w:cs="Arial"/>
        </w:rPr>
        <w:t xml:space="preserve">(11), p.526. </w:t>
      </w:r>
      <w:r>
        <w:rPr/>
        <w:fldChar w:fldCharType="begin"/>
      </w:r>
      <w:r>
        <w:instrText xml:space="preserve"> HYPERLINK "https://www.mdpi.com/2032-6653/15/11/526" </w:instrText>
      </w:r>
      <w:r>
        <w:rPr/>
        <w:fldChar w:fldCharType="separate"/>
      </w:r>
      <w:r>
        <w:rPr>
          <w:rStyle w:val="style85"/>
          <w:rFonts w:cs="Arial"/>
        </w:rPr>
        <w:t>https://www.mdpi.com/2032-6653/15/11/526</w:t>
      </w:r>
      <w:r>
        <w:rPr/>
        <w:fldChar w:fldCharType="end"/>
      </w:r>
      <w:r>
        <w:rPr>
          <w:rFonts w:cs="Arial"/>
        </w:rPr>
        <w:t xml:space="preserve"> </w:t>
      </w:r>
    </w:p>
    <w:p>
      <w:pPr>
        <w:pStyle w:val="style0"/>
        <w:rPr/>
      </w:pPr>
    </w:p>
    <w:p>
      <w:pPr>
        <w:pStyle w:val="style0"/>
        <w:spacing w:before="0" w:after="160" w:lineRule="auto" w:line="259"/>
        <w:jc w:val="left"/>
        <w:rPr>
          <w:rFonts w:cs="Arial"/>
          <w:b/>
          <w:bCs/>
          <w:sz w:val="28"/>
          <w:szCs w:val="28"/>
        </w:rPr>
      </w:pPr>
      <w:r>
        <w:rPr>
          <w:rFonts w:cs="Arial"/>
        </w:rPr>
        <w:br w:type="page"/>
      </w:r>
    </w:p>
    <w:bookmarkStart w:id="66" w:name="_Toc227680066"/>
    <w:p>
      <w:pPr>
        <w:pStyle w:val="style1"/>
        <w:rPr>
          <w:rFonts w:cs="Arial"/>
        </w:rPr>
      </w:pPr>
      <w:r>
        <w:rPr>
          <w:rFonts w:cs="Arial"/>
        </w:rPr>
        <w:t>Appendices</w:t>
      </w:r>
      <w:bookmarkEnd w:id="66"/>
    </w:p>
    <w:bookmarkStart w:id="67" w:name="_Toc227680067"/>
    <w:p>
      <w:pPr>
        <w:pStyle w:val="style2"/>
        <w:rPr/>
      </w:pPr>
      <w:r>
        <w:t>Appendix 1: Dataset</w:t>
      </w:r>
      <w:bookmarkEnd w:id="67"/>
    </w:p>
    <w:p>
      <w:pPr>
        <w:pStyle w:val="style0"/>
        <w:rPr/>
      </w:pPr>
      <w:r>
        <w:rPr>
          <w:noProof/>
        </w:rPr>
        <w:drawing>
          <wp:inline distL="0" distT="0" distB="0" distR="0">
            <wp:extent cx="5829300" cy="4060959"/>
            <wp:effectExtent l="0" t="0" r="0" b="0"/>
            <wp:docPr id="1044"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5" cstate="print"/>
                    <a:srcRect l="0" t="0" r="0" b="0"/>
                    <a:stretch/>
                  </pic:blipFill>
                  <pic:spPr>
                    <a:xfrm rot="0">
                      <a:off x="0" y="0"/>
                      <a:ext cx="5829300" cy="4060959"/>
                    </a:xfrm>
                    <a:prstGeom prst="rect"/>
                    <a:ln>
                      <a:noFill/>
                    </a:ln>
                  </pic:spPr>
                </pic:pic>
              </a:graphicData>
            </a:graphic>
          </wp:inline>
        </w:drawing>
      </w:r>
    </w:p>
    <w:p>
      <w:pPr>
        <w:pStyle w:val="style0"/>
        <w:spacing w:lineRule="auto" w:line="259"/>
        <w:jc w:val="left"/>
        <w:rPr>
          <w:rFonts w:cs="Arial"/>
        </w:rPr>
      </w:pPr>
      <w:r>
        <w:rPr>
          <w:rFonts w:cs="Arial"/>
        </w:rPr>
        <w:br w:type="page"/>
      </w:r>
    </w:p>
    <w:bookmarkStart w:id="68" w:name="_Toc227680068"/>
    <w:p>
      <w:pPr>
        <w:pStyle w:val="style2"/>
        <w:rPr/>
      </w:pPr>
      <w:r>
        <w:t>Appendix 2: Ratio Calculation</w:t>
      </w:r>
      <w:bookmarkEnd w:id="68"/>
    </w:p>
    <w:p>
      <w:pPr>
        <w:pStyle w:val="style0"/>
        <w:rPr>
          <w:rFonts w:cs="Arial"/>
        </w:rPr>
      </w:pPr>
      <w:r>
        <w:rPr>
          <w:rFonts w:cs="Arial"/>
          <w:noProof/>
        </w:rPr>
        <w:drawing>
          <wp:inline distL="0" distT="0" distB="0" distR="0">
            <wp:extent cx="6239734" cy="6858000"/>
            <wp:effectExtent l="0" t="0" r="8890" b="0"/>
            <wp:docPr id="1045"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2"/>
                    <pic:cNvPicPr/>
                  </pic:nvPicPr>
                  <pic:blipFill>
                    <a:blip r:embed="rId16" cstate="print"/>
                    <a:srcRect l="0" t="0" r="0" b="0"/>
                    <a:stretch/>
                  </pic:blipFill>
                  <pic:spPr>
                    <a:xfrm rot="0">
                      <a:off x="0" y="0"/>
                      <a:ext cx="6239734" cy="6858000"/>
                    </a:xfrm>
                    <a:prstGeom prst="rect"/>
                    <a:ln>
                      <a:noFill/>
                    </a:ln>
                  </pic:spPr>
                </pic:pic>
              </a:graphicData>
            </a:graphic>
          </wp:inline>
        </w:drawing>
      </w:r>
    </w:p>
    <w:p>
      <w:pPr>
        <w:pStyle w:val="style0"/>
        <w:spacing w:lineRule="auto" w:line="259"/>
        <w:jc w:val="left"/>
        <w:rPr>
          <w:rFonts w:cs="Arial"/>
        </w:rPr>
      </w:pPr>
      <w:r>
        <w:rPr>
          <w:rFonts w:cs="Arial"/>
        </w:rPr>
        <w:br w:type="page"/>
      </w:r>
    </w:p>
    <w:bookmarkStart w:id="69" w:name="_Toc227680069"/>
    <w:p>
      <w:pPr>
        <w:pStyle w:val="style2"/>
        <w:rPr/>
      </w:pPr>
      <w:r>
        <w:t>Appendix 3: Investment Projects</w:t>
      </w:r>
      <w:bookmarkEnd w:id="69"/>
    </w:p>
    <w:p>
      <w:pPr>
        <w:pStyle w:val="style0"/>
        <w:rPr>
          <w:rFonts w:cs="Arial"/>
        </w:rPr>
      </w:pPr>
      <w:r>
        <w:rPr>
          <w:rFonts w:cs="Arial"/>
          <w:noProof/>
        </w:rPr>
        <w:drawing>
          <wp:inline distL="0" distT="0" distB="0" distR="0">
            <wp:extent cx="5943600" cy="3975100"/>
            <wp:effectExtent l="0" t="0" r="0" b="6350"/>
            <wp:docPr id="1046"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3"/>
                    <pic:cNvPicPr/>
                  </pic:nvPicPr>
                  <pic:blipFill>
                    <a:blip r:embed="rId17" cstate="print"/>
                    <a:srcRect l="0" t="0" r="0" b="0"/>
                    <a:stretch/>
                  </pic:blipFill>
                  <pic:spPr>
                    <a:xfrm rot="0">
                      <a:off x="0" y="0"/>
                      <a:ext cx="5943600" cy="3975100"/>
                    </a:xfrm>
                    <a:prstGeom prst="rect"/>
                    <a:ln>
                      <a:noFill/>
                    </a:ln>
                  </pic:spPr>
                </pic:pic>
              </a:graphicData>
            </a:graphic>
          </wp:inline>
        </w:drawing>
      </w:r>
    </w:p>
    <w:sectPr>
      <w:footerReference w:type="default" r:id="rId1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ptos"/>
    <w:panose1 w:val="00000000000000000000"/>
    <w:charset w:val="00"/>
    <w:family w:val="swiss"/>
    <w:pitch w:val="variable"/>
    <w:sig w:usb0="20000287" w:usb1="00000003" w:usb2="00000000" w:usb3="00000000" w:csb0="0000019F"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Cambria Math">
    <w:altName w:val="Cambria Math"/>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sz w:val="20"/>
        <w:szCs w:val="20"/>
      </w:rPr>
    </w:pPr>
    <w:r>
      <w:rPr>
        <w:sz w:val="20"/>
        <w:szCs w:val="20"/>
      </w:rPr>
      <w:fldChar w:fldCharType="begin"/>
    </w:r>
    <w:r>
      <w:rPr>
        <w:sz w:val="20"/>
        <w:szCs w:val="20"/>
      </w:rPr>
      <w:instrText>PAGE   \* MERGEFORMAT</w:instrText>
    </w:r>
    <w:r>
      <w:rPr>
        <w:sz w:val="20"/>
        <w:szCs w:val="20"/>
      </w:rPr>
      <w:fldChar w:fldCharType="separate"/>
    </w:r>
    <w:r>
      <w:rPr>
        <w:sz w:val="20"/>
        <w:szCs w:val="20"/>
      </w:rPr>
      <w:t>2</w:t>
    </w:r>
    <w:r>
      <w:rPr>
        <w:sz w:val="20"/>
        <w:szCs w:val="2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3F80B1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宋体"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pacing w:before="240" w:after="240" w:lineRule="auto" w:line="360"/>
      <w:jc w:val="both"/>
    </w:pPr>
    <w:rPr>
      <w:rFonts w:ascii="Arial" w:cs="Times New Roman" w:hAnsi="Arial"/>
      <w:sz w:val="24"/>
      <w:szCs w:val="24"/>
      <w:lang w:val="en-GB"/>
    </w:rPr>
  </w:style>
  <w:style w:type="paragraph" w:styleId="style1">
    <w:name w:val="heading 1"/>
    <w:basedOn w:val="style0"/>
    <w:next w:val="style0"/>
    <w:link w:val="style4099"/>
    <w:qFormat/>
    <w:uiPriority w:val="9"/>
    <w:pPr>
      <w:outlineLvl w:val="0"/>
    </w:pPr>
    <w:rPr>
      <w:b/>
      <w:bCs/>
      <w:sz w:val="28"/>
      <w:szCs w:val="28"/>
    </w:rPr>
  </w:style>
  <w:style w:type="paragraph" w:styleId="style2">
    <w:name w:val="heading 2"/>
    <w:basedOn w:val="style0"/>
    <w:next w:val="style0"/>
    <w:link w:val="style4100"/>
    <w:qFormat/>
    <w:uiPriority w:val="9"/>
    <w:pPr>
      <w:outlineLvl w:val="1"/>
    </w:pPr>
    <w:rPr>
      <w:rFonts w:cs="Arial"/>
      <w:b/>
      <w:bCs/>
      <w:iCs/>
      <w:sz w:val="26"/>
      <w:szCs w:val="26"/>
    </w:rPr>
  </w:style>
  <w:style w:type="paragraph" w:styleId="style3">
    <w:name w:val="heading 3"/>
    <w:basedOn w:val="style2"/>
    <w:next w:val="style0"/>
    <w:link w:val="style4098"/>
    <w:qFormat/>
    <w:uiPriority w:val="9"/>
    <w:pPr>
      <w:outlineLvl w:val="2"/>
    </w:pPr>
    <w:rPr>
      <w:i/>
      <w:sz w:val="24"/>
      <w:szCs w:val="24"/>
    </w:rPr>
  </w:style>
  <w:style w:type="paragraph" w:styleId="style4">
    <w:name w:val="heading 4"/>
    <w:basedOn w:val="style0"/>
    <w:next w:val="style0"/>
    <w:link w:val="style4101"/>
    <w:qFormat/>
    <w:uiPriority w:val="9"/>
    <w:pPr>
      <w:keepNext/>
      <w:keepLines/>
      <w:spacing w:before="80" w:after="40"/>
      <w:outlineLvl w:val="3"/>
    </w:pPr>
    <w:rPr>
      <w:rFonts w:cs="宋体" w:eastAsia="宋体"/>
      <w:i/>
      <w:iCs/>
      <w:color w:val="0f4761"/>
    </w:rPr>
  </w:style>
  <w:style w:type="paragraph" w:styleId="style5">
    <w:name w:val="heading 5"/>
    <w:basedOn w:val="style0"/>
    <w:next w:val="style0"/>
    <w:link w:val="style4097"/>
    <w:pPr>
      <w:keepNext/>
      <w:keepLines/>
      <w:spacing w:after="80"/>
      <w:jc w:val="center"/>
      <w:outlineLvl w:val="4"/>
    </w:pPr>
    <w:rPr>
      <w:rFonts w:eastAsia="Times New Roman"/>
      <w:b/>
      <w:color w:val="000000"/>
      <w:kern w:val="0"/>
      <w14:ligatures xmlns:w14="http://schemas.microsoft.com/office/word/2010/wordml" w14:val="none"/>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5 Char_424a3a26-7f3b-4e65-840b-7d5ac10a0f50"/>
    <w:basedOn w:val="style65"/>
    <w:next w:val="style4097"/>
    <w:link w:val="style5"/>
    <w:rPr>
      <w:rFonts w:ascii="Times New Roman" w:cs="Times New Roman" w:eastAsia="Times New Roman" w:hAnsi="Times New Roman"/>
      <w:b/>
      <w:color w:val="000000"/>
      <w:kern w:val="0"/>
      <w:sz w:val="24"/>
      <w14:ligatures xmlns:w14="http://schemas.microsoft.com/office/word/2010/wordml" w14:val="none"/>
    </w:rPr>
  </w:style>
  <w:style w:type="character" w:customStyle="1" w:styleId="style4098">
    <w:name w:val="Heading 3 Char_f2458afd-04fd-4bd8-860e-3ffcaa3900ad"/>
    <w:basedOn w:val="style65"/>
    <w:next w:val="style4098"/>
    <w:link w:val="style3"/>
    <w:uiPriority w:val="9"/>
    <w:rPr>
      <w:rFonts w:ascii="Arial" w:cs="Arial" w:hAnsi="Arial"/>
      <w:b/>
      <w:bCs/>
      <w:i/>
      <w:iCs/>
      <w:sz w:val="24"/>
      <w:szCs w:val="24"/>
      <w:lang w:val="en-GB"/>
    </w:rPr>
  </w:style>
  <w:style w:type="character" w:customStyle="1" w:styleId="style4099">
    <w:name w:val="Heading 1 Char_4e632616-08cb-4793-ade2-4733111769e9"/>
    <w:basedOn w:val="style65"/>
    <w:next w:val="style4099"/>
    <w:link w:val="style1"/>
    <w:uiPriority w:val="9"/>
    <w:rPr>
      <w:rFonts w:ascii="Arial" w:cs="Times New Roman" w:hAnsi="Arial"/>
      <w:b/>
      <w:bCs/>
      <w:sz w:val="28"/>
      <w:szCs w:val="28"/>
      <w:lang w:val="en-GB"/>
    </w:rPr>
  </w:style>
  <w:style w:type="character" w:customStyle="1" w:styleId="style4100">
    <w:name w:val="Heading 2 Char_a794923c-de79-4058-bfeb-0384b31b446e"/>
    <w:basedOn w:val="style65"/>
    <w:next w:val="style4100"/>
    <w:link w:val="style2"/>
    <w:uiPriority w:val="9"/>
    <w:rPr>
      <w:rFonts w:ascii="Arial" w:cs="Arial" w:hAnsi="Arial"/>
      <w:b/>
      <w:bCs/>
      <w:iCs/>
      <w:sz w:val="26"/>
      <w:szCs w:val="26"/>
      <w:lang w:val="en-GB"/>
    </w:rPr>
  </w:style>
  <w:style w:type="character" w:customStyle="1" w:styleId="style4101">
    <w:name w:val="Heading 4 Char_acf28630-ea97-4287-a392-aa831a426e31"/>
    <w:basedOn w:val="style65"/>
    <w:next w:val="style4101"/>
    <w:link w:val="style4"/>
    <w:uiPriority w:val="9"/>
    <w:rPr>
      <w:rFonts w:cs="宋体" w:eastAsia="宋体"/>
      <w:i/>
      <w:iCs/>
      <w:color w:val="0f4761"/>
    </w:rPr>
  </w:style>
  <w:style w:type="character" w:customStyle="1" w:styleId="style4102">
    <w:name w:val="Heading 6 Char_7a4aaafe-fa19-40ed-a84e-8803bd1975ff"/>
    <w:basedOn w:val="style65"/>
    <w:next w:val="style4102"/>
    <w:link w:val="style6"/>
    <w:uiPriority w:val="9"/>
    <w:rPr>
      <w:rFonts w:cs="宋体" w:eastAsia="宋体"/>
      <w:i/>
      <w:iCs/>
      <w:color w:val="595959"/>
    </w:rPr>
  </w:style>
  <w:style w:type="character" w:customStyle="1" w:styleId="style4103">
    <w:name w:val="Heading 7 Char_5916decc-19a6-48cc-93b1-833a6b04bba9"/>
    <w:basedOn w:val="style65"/>
    <w:next w:val="style4103"/>
    <w:link w:val="style7"/>
    <w:uiPriority w:val="9"/>
    <w:rPr>
      <w:rFonts w:cs="宋体" w:eastAsia="宋体"/>
      <w:color w:val="595959"/>
    </w:rPr>
  </w:style>
  <w:style w:type="character" w:customStyle="1" w:styleId="style4104">
    <w:name w:val="Heading 8 Char_aeb58112-15f9-4d3a-8a4f-fb59fdcc528e"/>
    <w:basedOn w:val="style65"/>
    <w:next w:val="style4104"/>
    <w:link w:val="style8"/>
    <w:uiPriority w:val="9"/>
    <w:rPr>
      <w:rFonts w:cs="宋体" w:eastAsia="宋体"/>
      <w:i/>
      <w:iCs/>
      <w:color w:val="272727"/>
    </w:rPr>
  </w:style>
  <w:style w:type="character" w:customStyle="1" w:styleId="style4105">
    <w:name w:val="Heading 9 Char_c61fdd45-0942-44a1-ae05-8970acb81e94"/>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宋体" w:eastAsia="宋体" w:hAnsi="Aptos Display"/>
      <w:spacing w:val="-10"/>
      <w:kern w:val="28"/>
      <w:sz w:val="56"/>
      <w:szCs w:val="56"/>
    </w:rPr>
  </w:style>
  <w:style w:type="character" w:customStyle="1" w:styleId="style4106">
    <w:name w:val="Title Char_8867be14-9461-4aea-acfd-44844a64e8ec"/>
    <w:basedOn w:val="style65"/>
    <w:next w:val="style4106"/>
    <w:link w:val="style62"/>
    <w:uiPriority w:val="10"/>
    <w:rPr>
      <w:rFonts w:ascii="Aptos Display" w:cs="宋体"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add20d2c-30d2-4059-9d87-56b2bc0ce1e1"/>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5ca56e98-6e57-4515-a99e-35002ccfd166"/>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table" w:customStyle="1" w:styleId="style4110">
    <w:name w:val="Plain Table 1"/>
    <w:basedOn w:val="style105"/>
    <w:next w:val="style4110"/>
    <w:uiPriority w:val="41"/>
    <w:pPr>
      <w:spacing w:after="0" w:lineRule="auto" w:line="240"/>
    </w:pP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character" w:styleId="style85">
    <w:name w:val="Hyperlink"/>
    <w:basedOn w:val="style65"/>
    <w:next w:val="style85"/>
    <w:uiPriority w:val="99"/>
    <w:rPr>
      <w:color w:val="467886"/>
      <w:u w:val="single"/>
    </w:rPr>
  </w:style>
  <w:style w:type="paragraph" w:styleId="style266">
    <w:name w:val="TOC Heading"/>
    <w:basedOn w:val="style1"/>
    <w:next w:val="style0"/>
    <w:qFormat/>
    <w:uiPriority w:val="39"/>
    <w:pPr>
      <w:keepNext/>
      <w:keepLines/>
      <w:spacing w:after="0" w:lineRule="auto" w:line="259"/>
      <w:jc w:val="left"/>
      <w:outlineLvl w:val="9"/>
    </w:pPr>
    <w:rPr>
      <w:rFonts w:ascii="Aptos Display" w:cs="宋体" w:eastAsia="宋体" w:hAnsi="Aptos Display"/>
      <w:b w:val="false"/>
      <w:bCs w:val="false"/>
      <w:color w:val="0f4761"/>
      <w:kern w:val="0"/>
      <w:sz w:val="32"/>
      <w:szCs w:val="32"/>
      <w:lang w:val="en-US"/>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paragraph" w:styleId="style31">
    <w:name w:val="header"/>
    <w:basedOn w:val="style0"/>
    <w:next w:val="style31"/>
    <w:link w:val="style4111"/>
    <w:uiPriority w:val="99"/>
    <w:pPr>
      <w:tabs>
        <w:tab w:val="center" w:leader="none" w:pos="4680"/>
        <w:tab w:val="right" w:leader="none" w:pos="9360"/>
      </w:tabs>
      <w:spacing w:after="0" w:lineRule="auto" w:line="240"/>
    </w:pPr>
    <w:rPr/>
  </w:style>
  <w:style w:type="character" w:customStyle="1" w:styleId="style4111">
    <w:name w:val="Header Char_d1f0d8b5-6a5b-44b9-9f4a-ead260f8ee22"/>
    <w:basedOn w:val="style65"/>
    <w:next w:val="style4111"/>
    <w:link w:val="style31"/>
    <w:uiPriority w:val="99"/>
    <w:rPr>
      <w:rFonts w:ascii="Times New Roman" w:cs="Times New Roman" w:hAnsi="Times New Roman"/>
      <w:sz w:val="24"/>
      <w:szCs w:val="24"/>
      <w:lang w:val="en-GB"/>
    </w:rPr>
  </w:style>
  <w:style w:type="paragraph" w:styleId="style32">
    <w:name w:val="footer"/>
    <w:basedOn w:val="style0"/>
    <w:next w:val="style32"/>
    <w:link w:val="style4112"/>
    <w:uiPriority w:val="99"/>
    <w:pPr>
      <w:tabs>
        <w:tab w:val="center" w:leader="none" w:pos="4680"/>
        <w:tab w:val="right" w:leader="none" w:pos="9360"/>
      </w:tabs>
      <w:spacing w:after="0" w:lineRule="auto" w:line="240"/>
    </w:pPr>
    <w:rPr/>
  </w:style>
  <w:style w:type="character" w:customStyle="1" w:styleId="style4112">
    <w:name w:val="Footer Char_1f545f61-6a62-4d96-84bf-f20e026bfab8"/>
    <w:basedOn w:val="style65"/>
    <w:next w:val="style4112"/>
    <w:link w:val="style32"/>
    <w:uiPriority w:val="99"/>
    <w:rPr>
      <w:rFonts w:ascii="Times New Roman" w:cs="Times New Roman" w:hAnsi="Times New Roman"/>
      <w:sz w:val="24"/>
      <w:szCs w:val="24"/>
      <w:lang w:val="en-GB"/>
    </w:rPr>
  </w:style>
  <w:style w:type="character" w:styleId="style39">
    <w:name w:val="annotation reference"/>
    <w:basedOn w:val="style65"/>
    <w:next w:val="style39"/>
    <w:uiPriority w:val="99"/>
    <w:rPr>
      <w:sz w:val="16"/>
      <w:szCs w:val="16"/>
    </w:rPr>
  </w:style>
  <w:style w:type="paragraph" w:styleId="style30">
    <w:name w:val="annotation text"/>
    <w:basedOn w:val="style0"/>
    <w:next w:val="style30"/>
    <w:link w:val="style4113"/>
    <w:uiPriority w:val="99"/>
    <w:pPr>
      <w:spacing w:lineRule="auto" w:line="240"/>
    </w:pPr>
    <w:rPr>
      <w:sz w:val="20"/>
      <w:szCs w:val="20"/>
    </w:rPr>
  </w:style>
  <w:style w:type="character" w:customStyle="1" w:styleId="style4113">
    <w:name w:val="Comment Text Char"/>
    <w:basedOn w:val="style65"/>
    <w:next w:val="style4113"/>
    <w:link w:val="style30"/>
    <w:uiPriority w:val="99"/>
    <w:rPr>
      <w:rFonts w:ascii="Arial" w:cs="Times New Roman" w:hAnsi="Arial"/>
      <w:sz w:val="20"/>
      <w:szCs w:val="20"/>
      <w:lang w:val="en-GB"/>
    </w:rPr>
  </w:style>
  <w:style w:type="paragraph" w:styleId="style106">
    <w:name w:val="annotation subject"/>
    <w:basedOn w:val="style30"/>
    <w:next w:val="style30"/>
    <w:link w:val="style4114"/>
    <w:uiPriority w:val="99"/>
    <w:pPr/>
    <w:rPr>
      <w:b/>
      <w:bCs/>
    </w:rPr>
  </w:style>
  <w:style w:type="character" w:customStyle="1" w:styleId="style4114">
    <w:name w:val="Comment Subject Char"/>
    <w:basedOn w:val="style4113"/>
    <w:next w:val="style4114"/>
    <w:link w:val="style106"/>
    <w:uiPriority w:val="99"/>
    <w:rPr>
      <w:rFonts w:ascii="Arial" w:cs="Times New Roman" w:hAnsi="Arial"/>
      <w:b/>
      <w:bCs/>
      <w:sz w:val="20"/>
      <w:szCs w:val="20"/>
      <w:lang w:val="en-GB"/>
    </w:rPr>
  </w:style>
  <w:style w:type="table" w:customStyle="1" w:styleId="style4115">
    <w:name w:val="Grid Table 2 Accent 4"/>
    <w:basedOn w:val="style105"/>
    <w:next w:val="style4115"/>
    <w:uiPriority w:val="47"/>
    <w:pPr>
      <w:spacing w:after="0" w:lineRule="auto" w:line="240"/>
    </w:pPr>
    <w:rPr/>
    <w:tblPr>
      <w:tblStyleRowBandSize w:val="1"/>
      <w:tblStyleColBandSize w:val="1"/>
      <w:tblBorders>
        <w:top w:val="single" w:sz="2" w:space="0" w:color="60caf3"/>
        <w:bottom w:val="single" w:sz="2" w:space="0" w:color="60caf3"/>
        <w:insideH w:val="single" w:sz="2" w:space="0" w:color="60caf3"/>
        <w:insideV w:val="single" w:sz="2" w:space="0" w:color="60caf3"/>
      </w:tblBorders>
    </w:tblPr>
    <w:tblStylePr w:type="firstRow">
      <w:pPr/>
      <w:rPr>
        <w:b/>
        <w:bCs/>
      </w:rPr>
      <w:tblPr/>
      <w:tcPr>
        <w:tcBorders>
          <w:top w:val="nil"/>
          <w:bottom w:val="single" w:sz="12" w:space="0" w:color="60caf3"/>
          <w:insideH w:val="nil"/>
          <w:insideV w:val="nil"/>
        </w:tcBorders>
        <w:shd w:val="clear" w:color="auto" w:fill="ffffff"/>
      </w:tcPr>
    </w:tblStylePr>
    <w:tblStylePr w:type="lastRow">
      <w:pPr/>
      <w:rPr>
        <w:b/>
        <w:bCs/>
      </w:rPr>
      <w:tblPr/>
      <w:tcPr>
        <w:tcBorders>
          <w:top w:val="double" w:sz="2" w:space="0" w:color="60caf3"/>
          <w:bottom w:val="nil"/>
          <w:insideH w:val="nil"/>
          <w:insideV w:val="nil"/>
        </w:tcBorders>
        <w:shd w:val="clear" w:color="auto" w:fill="ffffff"/>
      </w:tcPr>
    </w:tblStylePr>
    <w:tblStylePr w:type="band1Horz">
      <w:pPr/>
      <w:tblPr/>
      <w:tcPr>
        <w:tcBorders/>
        <w:shd w:val="clear" w:color="auto" w:fill="caedfb"/>
      </w:tcPr>
    </w:tblStylePr>
    <w:tblStylePr w:type="firstCol">
      <w:pPr/>
      <w:rPr>
        <w:b/>
        <w:bCs/>
      </w:rPr>
      <w:tcPr>
        <w:tcBorders/>
      </w:tcPr>
    </w:tblStylePr>
    <w:tblStylePr w:type="lastCol">
      <w:pPr/>
      <w:rPr>
        <w:b/>
        <w:bCs/>
      </w:rPr>
      <w:tcPr>
        <w:tcBorders/>
      </w:tcPr>
    </w:tblStylePr>
    <w:tblStylePr w:type="band1Vert">
      <w:pPr/>
      <w:tblPr/>
      <w:tcPr>
        <w:tcBorders/>
        <w:shd w:val="clear" w:color="auto" w:fill="caedfb"/>
      </w:tcPr>
    </w:tblStylePr>
    <w:tcPr>
      <w:tcBorders/>
    </w:tcPr>
  </w:style>
  <w:style w:type="table" w:customStyle="1" w:styleId="style4116">
    <w:name w:val="Grid Table 4 Accent 6"/>
    <w:basedOn w:val="style105"/>
    <w:next w:val="style4116"/>
    <w:uiPriority w:val="49"/>
    <w:pPr>
      <w:spacing w:after="0" w:lineRule="auto" w:line="240"/>
    </w:pPr>
    <w:r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pPr/>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pPr/>
      <w:rPr>
        <w:b/>
        <w:bCs/>
      </w:rPr>
      <w:tblPr/>
      <w:tcPr>
        <w:tcBorders>
          <w:top w:val="double" w:sz="4" w:space="0" w:color="4ea72e"/>
        </w:tcBorders>
      </w:tcPr>
    </w:tblStylePr>
    <w:tblStylePr w:type="band1Horz">
      <w:pPr/>
      <w:tblPr/>
      <w:tcPr>
        <w:tcBorders/>
        <w:shd w:val="clear" w:color="auto" w:fill="d9f2d0"/>
      </w:tcPr>
    </w:tblStylePr>
    <w:tblStylePr w:type="firstCol">
      <w:pPr/>
      <w:rPr>
        <w:b/>
        <w:bCs/>
      </w:rPr>
      <w:tcPr>
        <w:tcBorders/>
      </w:tcPr>
    </w:tblStylePr>
    <w:tblStylePr w:type="lastCol">
      <w:pPr/>
      <w:rPr>
        <w:b/>
        <w:bCs/>
      </w:rPr>
      <w:tcPr>
        <w:tcBorders/>
      </w:tcPr>
    </w:tblStylePr>
    <w:tblStylePr w:type="band1Vert">
      <w:pPr/>
      <w:tblPr/>
      <w:tcPr>
        <w:tcBorders/>
        <w:shd w:val="clear" w:color="auto" w:fill="d9f2d0"/>
      </w:tcPr>
    </w:tblStylePr>
    <w:tcPr>
      <w:tcBorders/>
    </w:tcPr>
  </w:style>
  <w:style w:type="table" w:customStyle="1" w:styleId="style4117">
    <w:name w:val="Grid Table 4 Accent 1"/>
    <w:basedOn w:val="style105"/>
    <w:next w:val="style4117"/>
    <w:uiPriority w:val="49"/>
    <w:pPr>
      <w:spacing w:after="0" w:lineRule="auto" w:line="240"/>
    </w:pPr>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pPr/>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pPr/>
      <w:rPr>
        <w:b/>
        <w:bCs/>
      </w:rPr>
      <w:tblPr/>
      <w:tcPr>
        <w:tcBorders>
          <w:top w:val="double" w:sz="4" w:space="0" w:color="156082"/>
        </w:tcBorders>
      </w:tcPr>
    </w:tblStylePr>
    <w:tblStylePr w:type="band1Horz">
      <w:pPr/>
      <w:tblPr/>
      <w:tcPr>
        <w:tcBorders/>
        <w:shd w:val="clear" w:color="auto" w:fill="c1e4f5"/>
      </w:tcPr>
    </w:tblStylePr>
    <w:tblStylePr w:type="firstCol">
      <w:pPr/>
      <w:rPr>
        <w:b/>
        <w:bCs/>
      </w:rPr>
      <w:tcPr>
        <w:tcBorders/>
      </w:tcPr>
    </w:tblStylePr>
    <w:tblStylePr w:type="lastCol">
      <w:pPr/>
      <w:rPr>
        <w:b/>
        <w:bCs/>
      </w:rPr>
      <w:tcPr>
        <w:tcBorders/>
      </w:tcPr>
    </w:tblStylePr>
    <w:tblStylePr w:type="band1Vert">
      <w:pPr/>
      <w:tblPr/>
      <w:tcPr>
        <w:tcBorders/>
        <w:shd w:val="clear" w:color="auto" w:fill="c1e4f5"/>
      </w:tcPr>
    </w:tblStylePr>
    <w:tcPr>
      <w:tcBorders/>
    </w:tcPr>
  </w:style>
  <w:style w:type="table" w:customStyle="1" w:styleId="style4118">
    <w:name w:val="Grid Table 2 Accent 6"/>
    <w:basedOn w:val="style105"/>
    <w:next w:val="style4118"/>
    <w:uiPriority w:val="47"/>
    <w:pPr>
      <w:spacing w:after="0" w:lineRule="auto" w:line="240"/>
    </w:pPr>
    <w:rPr/>
    <w:tblPr>
      <w:tblStyleRowBandSize w:val="1"/>
      <w:tblStyleColBandSize w:val="1"/>
      <w:tblBorders>
        <w:top w:val="single" w:sz="2" w:space="0" w:color="8dd873"/>
        <w:bottom w:val="single" w:sz="2" w:space="0" w:color="8dd873"/>
        <w:insideH w:val="single" w:sz="2" w:space="0" w:color="8dd873"/>
        <w:insideV w:val="single" w:sz="2" w:space="0" w:color="8dd873"/>
      </w:tblBorders>
    </w:tblPr>
    <w:tblStylePr w:type="firstRow">
      <w:pPr/>
      <w:rPr>
        <w:b/>
        <w:bCs/>
      </w:rPr>
      <w:tblPr/>
      <w:tcPr>
        <w:tcBorders>
          <w:top w:val="nil"/>
          <w:bottom w:val="single" w:sz="12" w:space="0" w:color="8dd873"/>
          <w:insideH w:val="nil"/>
          <w:insideV w:val="nil"/>
        </w:tcBorders>
        <w:shd w:val="clear" w:color="auto" w:fill="ffffff"/>
      </w:tcPr>
    </w:tblStylePr>
    <w:tblStylePr w:type="lastRow">
      <w:pPr/>
      <w:rPr>
        <w:b/>
        <w:bCs/>
      </w:rPr>
      <w:tblPr/>
      <w:tcPr>
        <w:tcBorders>
          <w:top w:val="double" w:sz="2" w:space="0" w:color="8dd873"/>
          <w:bottom w:val="nil"/>
          <w:insideH w:val="nil"/>
          <w:insideV w:val="nil"/>
        </w:tcBorders>
        <w:shd w:val="clear" w:color="auto" w:fill="ffffff"/>
      </w:tcPr>
    </w:tblStylePr>
    <w:tblStylePr w:type="band1Horz">
      <w:pPr/>
      <w:tblPr/>
      <w:tcPr>
        <w:tcBorders/>
        <w:shd w:val="clear" w:color="auto" w:fill="d9f2d0"/>
      </w:tcPr>
    </w:tblStylePr>
    <w:tblStylePr w:type="firstCol">
      <w:pPr/>
      <w:rPr>
        <w:b/>
        <w:bCs/>
      </w:rPr>
      <w:tcPr>
        <w:tcBorders/>
      </w:tcPr>
    </w:tblStylePr>
    <w:tblStylePr w:type="lastCol">
      <w:pPr/>
      <w:rPr>
        <w:b/>
        <w:bCs/>
      </w:rPr>
      <w:tcPr>
        <w:tcBorders/>
      </w:tcPr>
    </w:tblStylePr>
    <w:tblStylePr w:type="band1Vert">
      <w:pPr/>
      <w:tblPr/>
      <w:tcPr>
        <w:tcBorders/>
        <w:shd w:val="clear" w:color="auto" w:fill="d9f2d0"/>
      </w:tcPr>
    </w:tblStylePr>
    <w:tcPr>
      <w:tcBorders/>
    </w:tcPr>
  </w:style>
  <w:style w:type="table" w:customStyle="1" w:styleId="style4119">
    <w:name w:val="Grid Table 2 Accent 1"/>
    <w:basedOn w:val="style105"/>
    <w:next w:val="style4119"/>
    <w:uiPriority w:val="47"/>
    <w:pPr>
      <w:spacing w:after="0" w:lineRule="auto" w:line="240"/>
    </w:pPr>
    <w:rPr>
      <w:kern w:val="0"/>
    </w:rPr>
    <w:tblPr>
      <w:tblStyleRowBandSize w:val="1"/>
      <w:tblStyleColBandSize w:val="1"/>
      <w:tblBorders>
        <w:top w:val="single" w:sz="2" w:space="0" w:color="45b0e1"/>
        <w:bottom w:val="single" w:sz="2" w:space="0" w:color="45b0e1"/>
        <w:insideH w:val="single" w:sz="2" w:space="0" w:color="45b0e1"/>
        <w:insideV w:val="single" w:sz="2" w:space="0" w:color="45b0e1"/>
      </w:tblBorders>
    </w:tblPr>
    <w:tblStylePr w:type="firstRow">
      <w:pPr/>
      <w:rPr>
        <w:b/>
        <w:bCs/>
      </w:rPr>
      <w:tblPr/>
      <w:tcPr>
        <w:tcBorders>
          <w:top w:val="nil"/>
          <w:bottom w:val="single" w:sz="12" w:space="0" w:color="45b0e1"/>
          <w:insideH w:val="nil"/>
          <w:insideV w:val="nil"/>
        </w:tcBorders>
        <w:shd w:val="clear" w:color="auto" w:fill="ffffff"/>
      </w:tcPr>
    </w:tblStylePr>
    <w:tblStylePr w:type="lastRow">
      <w:pPr/>
      <w:rPr>
        <w:b/>
        <w:bCs/>
      </w:rPr>
      <w:tblPr/>
      <w:tcPr>
        <w:tcBorders>
          <w:top w:val="double" w:sz="2" w:space="0" w:color="45b0e1"/>
          <w:bottom w:val="nil"/>
          <w:insideH w:val="nil"/>
          <w:insideV w:val="nil"/>
        </w:tcBorders>
        <w:shd w:val="clear" w:color="auto" w:fill="ffffff"/>
      </w:tcPr>
    </w:tblStylePr>
    <w:tblStylePr w:type="band1Horz">
      <w:pPr/>
      <w:tblPr/>
      <w:tcPr>
        <w:tcBorders/>
        <w:shd w:val="clear" w:color="auto" w:fill="c1e4f5"/>
      </w:tcPr>
    </w:tblStylePr>
    <w:tblStylePr w:type="firstCol">
      <w:pPr/>
      <w:rPr>
        <w:b/>
        <w:bCs/>
      </w:rPr>
      <w:tcPr>
        <w:tcBorders/>
      </w:tcPr>
    </w:tblStylePr>
    <w:tblStylePr w:type="lastCol">
      <w:pPr/>
      <w:rPr>
        <w:b/>
        <w:bCs/>
      </w:rPr>
      <w:tcPr>
        <w:tcBorders/>
      </w:tcPr>
    </w:tblStylePr>
    <w:tblStylePr w:type="band1Vert">
      <w:pPr/>
      <w:tblPr/>
      <w:tcPr>
        <w:tcBorders/>
        <w:shd w:val="clear" w:color="auto" w:fill="c1e4f5"/>
      </w:tcPr>
    </w:tblStylePr>
    <w:tcPr>
      <w:tcBorders/>
    </w:tcPr>
  </w:style>
</w:styles>
</file>

<file path=word/_rels/document.xml.rels><?xml version="1.0" encoding="UTF-8"?>
<Relationships xmlns="http://schemas.openxmlformats.org/package/2006/relationships"><Relationship Id="rId20" Type="http://schemas.openxmlformats.org/officeDocument/2006/relationships/fontTable" Target="fontTable.xml"/><Relationship Id="rId11" Type="http://schemas.openxmlformats.org/officeDocument/2006/relationships/chart" Target="charts/chart6.xml"/><Relationship Id="rId22" Type="http://schemas.openxmlformats.org/officeDocument/2006/relationships/theme" Target="theme/theme1.xml"/><Relationship Id="rId10" Type="http://schemas.openxmlformats.org/officeDocument/2006/relationships/chart" Target="charts/chart5.xml"/><Relationship Id="rId21" Type="http://schemas.openxmlformats.org/officeDocument/2006/relationships/settings" Target="settings.xml"/><Relationship Id="rId13" Type="http://schemas.openxmlformats.org/officeDocument/2006/relationships/oleObject" Target="embeddings/oleObject1.bin"/><Relationship Id="rId12" Type="http://schemas.openxmlformats.org/officeDocument/2006/relationships/image" Target="media/image5.png"/><Relationship Id="rId23" Type="http://schemas.openxmlformats.org/officeDocument/2006/relationships/customXml" Target="../customXml/item1.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chart" Target="charts/chart4.xml"/><Relationship Id="rId15" Type="http://schemas.openxmlformats.org/officeDocument/2006/relationships/image" Target="media/image2.emf"/><Relationship Id="rId14" Type="http://schemas.openxmlformats.org/officeDocument/2006/relationships/image" Target="media/image6.png"/><Relationship Id="rId17" Type="http://schemas.openxmlformats.org/officeDocument/2006/relationships/image" Target="media/image4.emf"/><Relationship Id="rId16" Type="http://schemas.openxmlformats.org/officeDocument/2006/relationships/image" Target="media/image3.emf"/><Relationship Id="rId5" Type="http://schemas.openxmlformats.org/officeDocument/2006/relationships/image" Target="media/image4.png"/><Relationship Id="rId19" Type="http://schemas.openxmlformats.org/officeDocument/2006/relationships/styles" Target="styles.xml"/><Relationship Id="rId6" Type="http://schemas.openxmlformats.org/officeDocument/2006/relationships/chart" Target="charts/chart1.xml"/><Relationship Id="rId18" Type="http://schemas.openxmlformats.org/officeDocument/2006/relationships/footer" Target="footer1.xml"/><Relationship Id="rId7" Type="http://schemas.openxmlformats.org/officeDocument/2006/relationships/chart" Target="charts/chart2.xml"/><Relationship Id="rId8" Type="http://schemas.openxmlformats.org/officeDocument/2006/relationships/chart" Target="charts/chart3.xml"/></Relationships>
</file>

<file path=word/charts/_rels/chart1.xml.rels><?xml version="1.0" encoding="UTF-8"?>
<Relationships xmlns="http://schemas.openxmlformats.org/package/2006/relationships"><Relationship Id="rId1" Type="http://schemas.openxmlformats.org/officeDocument/2006/relationships/oleObject" TargetMode="External" Target="file:/C:/Users/Tutorsuite3/Downloads/TS_53926...xlsx"/><Relationship Id="rId2" Type="http://schemas.microsoft.com/office/2011/relationships/chartStyle" Target="style4.xml"/><Relationship Id="rId3" Type="http://schemas.microsoft.com/office/2011/relationships/chartColorStyle" Target="colors4.xml"/></Relationships>
</file>

<file path=word/charts/_rels/chart2.xml.rels><?xml version="1.0" encoding="UTF-8"?>
<Relationships xmlns="http://schemas.openxmlformats.org/package/2006/relationships"><Relationship Id="rId1" Type="http://schemas.openxmlformats.org/officeDocument/2006/relationships/oleObject" TargetMode="External" Target="file:/C:/Users/Tutorsuite3/Downloads/TS_53926...xlsx"/><Relationship Id="rId2" Type="http://schemas.microsoft.com/office/2011/relationships/chartStyle" Target="style2.xml"/><Relationship Id="rId3" Type="http://schemas.microsoft.com/office/2011/relationships/chartColorStyle" Target="colors2.xml"/></Relationships>
</file>

<file path=word/charts/_rels/chart3.xml.rels><?xml version="1.0" encoding="UTF-8"?>
<Relationships xmlns="http://schemas.openxmlformats.org/package/2006/relationships"><Relationship Id="rId1" Type="http://schemas.openxmlformats.org/officeDocument/2006/relationships/oleObject" TargetMode="External" Target="file:/C:/Users/Tutorsuite3/Downloads/TS_53926...xlsx"/><Relationship Id="rId2" Type="http://schemas.microsoft.com/office/2011/relationships/chartStyle" Target="style3.xml"/><Relationship Id="rId3" Type="http://schemas.microsoft.com/office/2011/relationships/chartColorStyle" Target="colors3.xml"/></Relationships>
</file>

<file path=word/charts/_rels/chart4.xml.rels><?xml version="1.0" encoding="UTF-8"?>
<Relationships xmlns="http://schemas.openxmlformats.org/package/2006/relationships"><Relationship Id="rId1" Type="http://schemas.openxmlformats.org/officeDocument/2006/relationships/oleObject" TargetMode="External" Target="file:/C:/Users/Tutorsuite3/Downloads/TS_53926...xlsx"/><Relationship Id="rId2" Type="http://schemas.microsoft.com/office/2011/relationships/chartStyle" Target="style6.xml"/><Relationship Id="rId3" Type="http://schemas.microsoft.com/office/2011/relationships/chartColorStyle" Target="colors6.xml"/></Relationships>
</file>

<file path=word/charts/_rels/chart5.xml.rels><?xml version="1.0" encoding="UTF-8"?>
<Relationships xmlns="http://schemas.openxmlformats.org/package/2006/relationships"><Relationship Id="rId1" Type="http://schemas.openxmlformats.org/officeDocument/2006/relationships/oleObject" TargetMode="External" Target="file:/C:/Users/Tutorsuite3/Downloads/TS_53926...xlsx"/><Relationship Id="rId2" Type="http://schemas.microsoft.com/office/2011/relationships/chartStyle" Target="style5.xml"/><Relationship Id="rId3" Type="http://schemas.microsoft.com/office/2011/relationships/chartColorStyle" Target="colors5.xml"/></Relationships>
</file>

<file path=word/charts/_rels/chart6.xml.rels><?xml version="1.0" encoding="UTF-8"?>
<Relationships xmlns="http://schemas.openxmlformats.org/package/2006/relationships"><Relationship Id="rId1" Type="http://schemas.openxmlformats.org/officeDocument/2006/relationships/oleObject" TargetMode="External" Target="file:/C:/Users/Tutorsuite3/Downloads/TS_53926...xlsx"/><Relationship Id="rId2" Type="http://schemas.microsoft.com/office/2011/relationships/chartStyle" Target="style1.xml"/><Relationship Id="rId3" Type="http://schemas.microsoft.com/office/2011/relationships/chartColorStyle" Target="colors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Profitability Ratio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Sheet1!$A$24</c:f>
              <c:strCache>
                <c:ptCount val="1"/>
                <c:pt idx="0">
                  <c:v>Gross Profit Margin</c:v>
                </c:pt>
              </c:strCache>
            </c:strRef>
          </c:tx>
          <c:spPr>
            <a:solidFill>
              <a:schemeClr val="accent2"/>
            </a:solidFill>
            <a:ln>
              <a:noFill/>
            </a:ln>
            <a:effectLst/>
          </c:spPr>
          <c:invertIfNegative val="0"/>
          <c:cat>
            <c:numRef>
              <c:f>Sheet1!$B$23:$F$23</c:f>
              <c:numCache>
                <c:formatCode>General</c:formatCode>
                <c:ptCount val="5"/>
                <c:pt idx="0">
                  <c:v>2021.0</c:v>
                </c:pt>
                <c:pt idx="1">
                  <c:v>2022.0</c:v>
                </c:pt>
                <c:pt idx="2">
                  <c:v>2023.0</c:v>
                </c:pt>
                <c:pt idx="3">
                  <c:v>2024.0</c:v>
                </c:pt>
                <c:pt idx="4">
                  <c:v>2025.0</c:v>
                </c:pt>
              </c:numCache>
            </c:numRef>
          </c:cat>
          <c:val>
            <c:numRef>
              <c:f>Sheet1!$B$24:$F$24</c:f>
              <c:numCache>
                <c:formatCode>General</c:formatCode>
                <c:ptCount val="5"/>
                <c:pt idx="0">
                  <c:v>0.226190476190476</c:v>
                </c:pt>
                <c:pt idx="1">
                  <c:v>0.242105263157895</c:v>
                </c:pt>
                <c:pt idx="2">
                  <c:v>0.256299938537185</c:v>
                </c:pt>
                <c:pt idx="3">
                  <c:v>0.260997067448680</c:v>
                </c:pt>
                <c:pt idx="4">
                  <c:v>0.263736263736264</c:v>
                </c:pt>
              </c:numCache>
            </c:numRef>
          </c:val>
        </c:ser>
        <c:ser>
          <c:idx val="1"/>
          <c:order val="1"/>
          <c:tx>
            <c:strRef>
              <c:f>Sheet1!$A$25</c:f>
              <c:strCache>
                <c:ptCount val="1"/>
                <c:pt idx="0">
                  <c:v>Operating Profit Margin</c:v>
                </c:pt>
              </c:strCache>
            </c:strRef>
          </c:tx>
          <c:spPr>
            <a:solidFill>
              <a:schemeClr val="accent4"/>
            </a:solidFill>
            <a:ln>
              <a:noFill/>
            </a:ln>
            <a:effectLst/>
          </c:spPr>
          <c:invertIfNegative val="0"/>
          <c:cat>
            <c:numRef>
              <c:f>Sheet1!$B$23:$F$23</c:f>
              <c:numCache>
                <c:formatCode>General</c:formatCode>
                <c:ptCount val="5"/>
                <c:pt idx="0">
                  <c:v>2021.0</c:v>
                </c:pt>
                <c:pt idx="1">
                  <c:v>2022.0</c:v>
                </c:pt>
                <c:pt idx="2">
                  <c:v>2023.0</c:v>
                </c:pt>
                <c:pt idx="3">
                  <c:v>2024.0</c:v>
                </c:pt>
                <c:pt idx="4">
                  <c:v>2025.0</c:v>
                </c:pt>
              </c:numCache>
            </c:numRef>
          </c:cat>
          <c:val>
            <c:numRef>
              <c:f>Sheet1!$B$25:$F$25</c:f>
              <c:numCache>
                <c:formatCode>General</c:formatCode>
                <c:ptCount val="5"/>
                <c:pt idx="0">
                  <c:v>0.0569727891156463</c:v>
                </c:pt>
                <c:pt idx="1">
                  <c:v>0.0687719298245614</c:v>
                </c:pt>
                <c:pt idx="2">
                  <c:v>0.0928088506453596</c:v>
                </c:pt>
                <c:pt idx="3">
                  <c:v>0.0967741935483871</c:v>
                </c:pt>
                <c:pt idx="4">
                  <c:v>0.0989010989010989</c:v>
                </c:pt>
              </c:numCache>
            </c:numRef>
          </c:val>
        </c:ser>
        <c:ser>
          <c:idx val="2"/>
          <c:order val="2"/>
          <c:tx>
            <c:strRef>
              <c:f>Sheet1!$A$26</c:f>
              <c:strCache>
                <c:ptCount val="1"/>
                <c:pt idx="0">
                  <c:v>Net Profit Margin</c:v>
                </c:pt>
              </c:strCache>
            </c:strRef>
          </c:tx>
          <c:spPr>
            <a:solidFill>
              <a:schemeClr val="accent6"/>
            </a:solidFill>
            <a:ln>
              <a:noFill/>
            </a:ln>
            <a:effectLst/>
          </c:spPr>
          <c:invertIfNegative val="0"/>
          <c:cat>
            <c:numRef>
              <c:f>Sheet1!$B$23:$F$23</c:f>
              <c:numCache>
                <c:formatCode>General</c:formatCode>
                <c:ptCount val="5"/>
                <c:pt idx="0">
                  <c:v>2021.0</c:v>
                </c:pt>
                <c:pt idx="1">
                  <c:v>2022.0</c:v>
                </c:pt>
                <c:pt idx="2">
                  <c:v>2023.0</c:v>
                </c:pt>
                <c:pt idx="3">
                  <c:v>2024.0</c:v>
                </c:pt>
                <c:pt idx="4">
                  <c:v>2025.0</c:v>
                </c:pt>
              </c:numCache>
            </c:numRef>
          </c:cat>
          <c:val>
            <c:numRef>
              <c:f>Sheet1!$B$26:$F$26</c:f>
              <c:numCache>
                <c:formatCode>General</c:formatCode>
                <c:ptCount val="5"/>
                <c:pt idx="0">
                  <c:v>0.0484693877551020</c:v>
                </c:pt>
                <c:pt idx="1">
                  <c:v>0.0554385964912281</c:v>
                </c:pt>
                <c:pt idx="2">
                  <c:v>0.0755992624462200</c:v>
                </c:pt>
                <c:pt idx="3">
                  <c:v>0.0774193548387097</c:v>
                </c:pt>
                <c:pt idx="4">
                  <c:v>0.0813186813186813</c:v>
                </c:pt>
              </c:numCache>
            </c:numRef>
          </c:val>
        </c:ser>
        <c:ser>
          <c:idx val="3"/>
          <c:order val="3"/>
          <c:tx>
            <c:strRef>
              <c:f>Sheet1!$A$27</c:f>
              <c:strCache>
                <c:ptCount val="1"/>
                <c:pt idx="0">
                  <c:v>Return on Assets (ROA)</c:v>
                </c:pt>
              </c:strCache>
            </c:strRef>
          </c:tx>
          <c:spPr>
            <a:solidFill>
              <a:schemeClr val="accent2">
                <a:lumMod val="60000"/>
              </a:schemeClr>
            </a:solidFill>
            <a:ln>
              <a:noFill/>
            </a:ln>
            <a:effectLst/>
          </c:spPr>
          <c:invertIfNegative val="0"/>
          <c:cat>
            <c:numRef>
              <c:f>Sheet1!$B$23:$F$23</c:f>
              <c:numCache>
                <c:formatCode>General</c:formatCode>
                <c:ptCount val="5"/>
                <c:pt idx="0">
                  <c:v>2021.0</c:v>
                </c:pt>
                <c:pt idx="1">
                  <c:v>2022.0</c:v>
                </c:pt>
                <c:pt idx="2">
                  <c:v>2023.0</c:v>
                </c:pt>
                <c:pt idx="3">
                  <c:v>2024.0</c:v>
                </c:pt>
                <c:pt idx="4">
                  <c:v>2025.0</c:v>
                </c:pt>
              </c:numCache>
            </c:numRef>
          </c:cat>
          <c:val>
            <c:numRef>
              <c:f>Sheet1!$B$27:$F$27</c:f>
              <c:numCache>
                <c:formatCode>General</c:formatCode>
                <c:ptCount val="5"/>
                <c:pt idx="0">
                  <c:v>0.0244635193133047</c:v>
                </c:pt>
                <c:pt idx="1">
                  <c:v>0.0309803921568627</c:v>
                </c:pt>
                <c:pt idx="2">
                  <c:v>0.0445652173913044</c:v>
                </c:pt>
                <c:pt idx="3">
                  <c:v>0.0455172413793103</c:v>
                </c:pt>
                <c:pt idx="4">
                  <c:v>0.0485245901639344</c:v>
                </c:pt>
              </c:numCache>
            </c:numRef>
          </c:val>
        </c:ser>
        <c:ser>
          <c:idx val="4"/>
          <c:order val="4"/>
          <c:tx>
            <c:strRef>
              <c:f>Sheet1!$A$28</c:f>
              <c:strCache>
                <c:ptCount val="1"/>
                <c:pt idx="0">
                  <c:v>Return on Equity (ROE)</c:v>
                </c:pt>
              </c:strCache>
            </c:strRef>
          </c:tx>
          <c:spPr>
            <a:solidFill>
              <a:schemeClr val="accent4">
                <a:lumMod val="60000"/>
              </a:schemeClr>
            </a:solidFill>
            <a:ln>
              <a:noFill/>
            </a:ln>
            <a:effectLst/>
          </c:spPr>
          <c:invertIfNegative val="0"/>
          <c:cat>
            <c:numRef>
              <c:f>Sheet1!$B$23:$F$23</c:f>
              <c:numCache>
                <c:formatCode>General</c:formatCode>
                <c:ptCount val="5"/>
                <c:pt idx="0">
                  <c:v>2021.0</c:v>
                </c:pt>
                <c:pt idx="1">
                  <c:v>2022.0</c:v>
                </c:pt>
                <c:pt idx="2">
                  <c:v>2023.0</c:v>
                </c:pt>
                <c:pt idx="3">
                  <c:v>2024.0</c:v>
                </c:pt>
                <c:pt idx="4">
                  <c:v>2025.0</c:v>
                </c:pt>
              </c:numCache>
            </c:numRef>
          </c:cat>
          <c:val>
            <c:numRef>
              <c:f>Sheet1!$B$28:$F$28</c:f>
              <c:numCache>
                <c:formatCode>General</c:formatCode>
                <c:ptCount val="5"/>
                <c:pt idx="0">
                  <c:v>0.0647727272727273</c:v>
                </c:pt>
                <c:pt idx="1">
                  <c:v>0.079</c:v>
                </c:pt>
                <c:pt idx="2">
                  <c:v>0.107894736842105</c:v>
                </c:pt>
                <c:pt idx="3">
                  <c:v>0.108196721311475</c:v>
                </c:pt>
                <c:pt idx="4">
                  <c:v>0.113846153846154</c:v>
                </c:pt>
              </c:numCache>
            </c:numRef>
          </c:val>
        </c:ser>
        <c:dLbls>
          <c:showLegendKey val="0"/>
          <c:showVal val="0"/>
          <c:showCatName val="0"/>
          <c:showSerName val="0"/>
          <c:showPercent val="0"/>
          <c:showBubbleSize val="0"/>
        </c:dLbls>
        <c:gapWidth val="444"/>
        <c:overlap val="-90"/>
        <c:axId val="14018335"/>
        <c:axId val="14014495"/>
      </c:barChart>
      <c:catAx>
        <c:axId val="1401833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4014495"/>
        <c:crosses val="autoZero"/>
        <c:auto val="1"/>
        <c:lblAlgn val="ctr"/>
        <c:lblOffset val="100"/>
        <c:noMultiLvlLbl val="0"/>
      </c:catAx>
      <c:valAx>
        <c:axId val="14014495"/>
        <c:scaling>
          <c:orientation val="minMax"/>
        </c:scaling>
        <c:delete val="1"/>
        <c:axPos val="l"/>
        <c:numFmt formatCode="General" sourceLinked="1"/>
        <c:majorTickMark val="none"/>
        <c:minorTickMark val="none"/>
        <c:tickLblPos val="nextTo"/>
        <c:crossAx val="1401833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Liquidity Ratios </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Sheet1!$A$31</c:f>
              <c:strCache>
                <c:ptCount val="1"/>
                <c:pt idx="0">
                  <c:v>Current Ratio</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cat>
            <c:numRef>
              <c:f>Sheet1!$B$30:$F$30</c:f>
              <c:numCache>
                <c:formatCode>General</c:formatCode>
                <c:ptCount val="5"/>
                <c:pt idx="0">
                  <c:v>2021.0</c:v>
                </c:pt>
                <c:pt idx="1">
                  <c:v>2022.0</c:v>
                </c:pt>
                <c:pt idx="2">
                  <c:v>2023.0</c:v>
                </c:pt>
                <c:pt idx="3">
                  <c:v>2024.0</c:v>
                </c:pt>
                <c:pt idx="4">
                  <c:v>2025.0</c:v>
                </c:pt>
              </c:numCache>
            </c:numRef>
          </c:cat>
          <c:val>
            <c:numRef>
              <c:f>Sheet1!$B$31:$F$31</c:f>
              <c:numCache>
                <c:formatCode>General</c:formatCode>
                <c:ptCount val="5"/>
                <c:pt idx="0">
                  <c:v>0.920634920634921</c:v>
                </c:pt>
                <c:pt idx="1">
                  <c:v>0.955882352941176</c:v>
                </c:pt>
                <c:pt idx="2">
                  <c:v>1.0</c:v>
                </c:pt>
                <c:pt idx="3">
                  <c:v>1.0</c:v>
                </c:pt>
                <c:pt idx="4">
                  <c:v>1.01282051282051</c:v>
                </c:pt>
              </c:numCache>
            </c:numRef>
          </c:val>
        </c:ser>
        <c:ser>
          <c:idx val="1"/>
          <c:order val="1"/>
          <c:tx>
            <c:strRef>
              <c:f>Sheet1!$A$32</c:f>
              <c:strCache>
                <c:ptCount val="1"/>
                <c:pt idx="0">
                  <c:v>Quick Ratio (Acid-Test Ratio)</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cat>
            <c:numRef>
              <c:f>Sheet1!$B$30:$F$30</c:f>
              <c:numCache>
                <c:formatCode>General</c:formatCode>
                <c:ptCount val="5"/>
                <c:pt idx="0">
                  <c:v>2021.0</c:v>
                </c:pt>
                <c:pt idx="1">
                  <c:v>2022.0</c:v>
                </c:pt>
                <c:pt idx="2">
                  <c:v>2023.0</c:v>
                </c:pt>
                <c:pt idx="3">
                  <c:v>2024.0</c:v>
                </c:pt>
                <c:pt idx="4">
                  <c:v>2025.0</c:v>
                </c:pt>
              </c:numCache>
            </c:numRef>
          </c:cat>
          <c:val>
            <c:numRef>
              <c:f>Sheet1!$B$32:$F$32</c:f>
              <c:numCache>
                <c:formatCode>General</c:formatCode>
                <c:ptCount val="5"/>
                <c:pt idx="0">
                  <c:v>0.714285714285714</c:v>
                </c:pt>
                <c:pt idx="1">
                  <c:v>0.735294117647059</c:v>
                </c:pt>
                <c:pt idx="2">
                  <c:v>0.763888888888889</c:v>
                </c:pt>
                <c:pt idx="3">
                  <c:v>0.753333333333333</c:v>
                </c:pt>
                <c:pt idx="4">
                  <c:v>0.756410256410256</c:v>
                </c:pt>
              </c:numCache>
            </c:numRef>
          </c:val>
        </c:ser>
        <c:ser>
          <c:idx val="2"/>
          <c:order val="2"/>
          <c:tx>
            <c:strRef>
              <c:f>Sheet1!$A$33</c:f>
              <c:strCache>
                <c:ptCount val="1"/>
                <c:pt idx="0">
                  <c:v>Cash Ratio</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cat>
            <c:numRef>
              <c:f>Sheet1!$B$30:$F$30</c:f>
              <c:numCache>
                <c:formatCode>General</c:formatCode>
                <c:ptCount val="5"/>
                <c:pt idx="0">
                  <c:v>2021.0</c:v>
                </c:pt>
                <c:pt idx="1">
                  <c:v>2022.0</c:v>
                </c:pt>
                <c:pt idx="2">
                  <c:v>2023.0</c:v>
                </c:pt>
                <c:pt idx="3">
                  <c:v>2024.0</c:v>
                </c:pt>
                <c:pt idx="4">
                  <c:v>2025.0</c:v>
                </c:pt>
              </c:numCache>
            </c:numRef>
          </c:cat>
          <c:val>
            <c:numRef>
              <c:f>Sheet1!$B$33:$F$33</c:f>
              <c:numCache>
                <c:formatCode>General</c:formatCode>
                <c:ptCount val="5"/>
                <c:pt idx="0">
                  <c:v>0.190476190476190</c:v>
                </c:pt>
                <c:pt idx="1">
                  <c:v>0.220588235294118</c:v>
                </c:pt>
                <c:pt idx="2">
                  <c:v>0.25</c:v>
                </c:pt>
                <c:pt idx="3">
                  <c:v>0.26</c:v>
                </c:pt>
                <c:pt idx="4">
                  <c:v>0.269230769230769</c:v>
                </c:pt>
              </c:numCache>
            </c:numRef>
          </c:val>
        </c:ser>
        <c:dLbls>
          <c:showLegendKey val="0"/>
          <c:showVal val="0"/>
          <c:showCatName val="0"/>
          <c:showSerName val="0"/>
          <c:showPercent val="0"/>
          <c:showBubbleSize val="0"/>
        </c:dLbls>
        <c:gapWidth val="164"/>
        <c:overlap val="-22"/>
        <c:axId val="177767007"/>
        <c:axId val="177772767"/>
      </c:barChart>
      <c:catAx>
        <c:axId val="177767007"/>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72767"/>
        <c:crosses val="autoZero"/>
        <c:auto val="1"/>
        <c:lblAlgn val="ctr"/>
        <c:lblOffset val="100"/>
        <c:noMultiLvlLbl val="0"/>
      </c:catAx>
      <c:valAx>
        <c:axId val="17777276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6700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Efficiency Ratios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Sheet1!$A$36</c:f>
              <c:strCache>
                <c:ptCount val="1"/>
                <c:pt idx="0">
                  <c:v>Asset Turnover Ratio</c:v>
                </c:pt>
              </c:strCache>
            </c:strRef>
          </c:tx>
          <c:spPr>
            <a:solidFill>
              <a:schemeClr val="accent2"/>
            </a:solidFill>
            <a:ln>
              <a:noFill/>
            </a:ln>
            <a:effectLst/>
          </c:spPr>
          <c:invertIfNegative val="0"/>
          <c:cat>
            <c:numRef>
              <c:f>Sheet1!$B$35:$F$35</c:f>
              <c:numCache>
                <c:formatCode>General</c:formatCode>
                <c:ptCount val="5"/>
                <c:pt idx="0">
                  <c:v>2021.0</c:v>
                </c:pt>
                <c:pt idx="1">
                  <c:v>2022.0</c:v>
                </c:pt>
                <c:pt idx="2">
                  <c:v>2023.0</c:v>
                </c:pt>
                <c:pt idx="3">
                  <c:v>2024.0</c:v>
                </c:pt>
                <c:pt idx="4">
                  <c:v>2025.0</c:v>
                </c:pt>
              </c:numCache>
            </c:numRef>
          </c:cat>
          <c:val>
            <c:numRef>
              <c:f>Sheet1!$B$36:$F$36</c:f>
              <c:numCache>
                <c:formatCode>General</c:formatCode>
                <c:ptCount val="5"/>
                <c:pt idx="0">
                  <c:v>0.504721030042918</c:v>
                </c:pt>
                <c:pt idx="1">
                  <c:v>0.558823529411765</c:v>
                </c:pt>
                <c:pt idx="2">
                  <c:v>0.589492753623188</c:v>
                </c:pt>
                <c:pt idx="3">
                  <c:v>0.587931034482759</c:v>
                </c:pt>
                <c:pt idx="4">
                  <c:v>0.596721311475410</c:v>
                </c:pt>
              </c:numCache>
            </c:numRef>
          </c:val>
        </c:ser>
        <c:ser>
          <c:idx val="1"/>
          <c:order val="1"/>
          <c:tx>
            <c:strRef>
              <c:f>Sheet1!$A$37</c:f>
              <c:strCache>
                <c:ptCount val="1"/>
                <c:pt idx="0">
                  <c:v>Inventory Turnover Ratio</c:v>
                </c:pt>
              </c:strCache>
            </c:strRef>
          </c:tx>
          <c:spPr>
            <a:solidFill>
              <a:schemeClr val="accent4"/>
            </a:solidFill>
            <a:ln>
              <a:noFill/>
            </a:ln>
            <a:effectLst/>
          </c:spPr>
          <c:invertIfNegative val="0"/>
          <c:cat>
            <c:numRef>
              <c:f>Sheet1!$B$35:$F$35</c:f>
              <c:numCache>
                <c:formatCode>General</c:formatCode>
                <c:ptCount val="5"/>
                <c:pt idx="0">
                  <c:v>2021.0</c:v>
                </c:pt>
                <c:pt idx="1">
                  <c:v>2022.0</c:v>
                </c:pt>
                <c:pt idx="2">
                  <c:v>2023.0</c:v>
                </c:pt>
                <c:pt idx="3">
                  <c:v>2024.0</c:v>
                </c:pt>
                <c:pt idx="4">
                  <c:v>2025.0</c:v>
                </c:pt>
              </c:numCache>
            </c:numRef>
          </c:cat>
          <c:val>
            <c:numRef>
              <c:f>Sheet1!$B$37:$F$37</c:f>
              <c:numCache>
                <c:formatCode>General</c:formatCode>
                <c:ptCount val="5"/>
                <c:pt idx="0">
                  <c:v>7.0</c:v>
                </c:pt>
                <c:pt idx="1">
                  <c:v>7.2</c:v>
                </c:pt>
                <c:pt idx="2">
                  <c:v>7.11764705882353</c:v>
                </c:pt>
                <c:pt idx="3">
                  <c:v>6.81081081081081</c:v>
                </c:pt>
                <c:pt idx="4">
                  <c:v>6.7</c:v>
                </c:pt>
              </c:numCache>
            </c:numRef>
          </c:val>
        </c:ser>
        <c:dLbls>
          <c:showLegendKey val="0"/>
          <c:showVal val="0"/>
          <c:showCatName val="0"/>
          <c:showSerName val="0"/>
          <c:showPercent val="0"/>
          <c:showBubbleSize val="0"/>
        </c:dLbls>
        <c:gapWidth val="267"/>
        <c:overlap val="-43"/>
        <c:axId val="177769887"/>
        <c:axId val="177776127"/>
      </c:barChart>
      <c:catAx>
        <c:axId val="177769887"/>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77776127"/>
        <c:crosses val="autoZero"/>
        <c:auto val="1"/>
        <c:lblAlgn val="ctr"/>
        <c:lblOffset val="100"/>
        <c:noMultiLvlLbl val="0"/>
      </c:catAx>
      <c:valAx>
        <c:axId val="177776127"/>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77769887"/>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150" baseline="0">
                <a:solidFill>
                  <a:schemeClr val="tx1">
                    <a:lumMod val="50000"/>
                    <a:lumOff val="50000"/>
                  </a:schemeClr>
                </a:solidFill>
                <a:latin typeface="+mn-lt"/>
                <a:ea typeface="+mn-ea"/>
                <a:cs typeface="+mn-cs"/>
              </a:defRPr>
            </a:pPr>
            <a:r>
              <a:rPr lang="en-US" sz="1400"/>
              <a:t>Gearing (Leverage) Ratios </a:t>
            </a:r>
          </a:p>
        </c:rich>
      </c:tx>
      <c:overlay val="0"/>
      <c:spPr>
        <a:noFill/>
        <a:ln>
          <a:noFill/>
        </a:ln>
        <a:effectLst/>
      </c:spPr>
      <c:txPr>
        <a:bodyPr rot="0" spcFirstLastPara="1" vertOverflow="ellipsis" vert="horz" wrap="square" anchor="ctr" anchorCtr="1"/>
        <a:lstStyle/>
        <a:p>
          <a:pPr>
            <a:defRPr sz="14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Sheet1!$A$40</c:f>
              <c:strCache>
                <c:ptCount val="1"/>
                <c:pt idx="0">
                  <c:v>Debt to Equity Ratio</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Sheet1!$B$39:$F$39</c:f>
              <c:numCache>
                <c:formatCode>General</c:formatCode>
                <c:ptCount val="5"/>
                <c:pt idx="0">
                  <c:v>2021.0</c:v>
                </c:pt>
                <c:pt idx="1">
                  <c:v>2022.0</c:v>
                </c:pt>
                <c:pt idx="2">
                  <c:v>2023.0</c:v>
                </c:pt>
                <c:pt idx="3">
                  <c:v>2024.0</c:v>
                </c:pt>
                <c:pt idx="4">
                  <c:v>2025.0</c:v>
                </c:pt>
              </c:numCache>
            </c:numRef>
          </c:cat>
          <c:val>
            <c:numRef>
              <c:f>Sheet1!$B$40:$F$40</c:f>
              <c:numCache>
                <c:formatCode>General</c:formatCode>
                <c:ptCount val="5"/>
                <c:pt idx="0">
                  <c:v>1.64772727272727</c:v>
                </c:pt>
                <c:pt idx="1">
                  <c:v>1.55</c:v>
                </c:pt>
                <c:pt idx="2">
                  <c:v>1.42105263157895</c:v>
                </c:pt>
                <c:pt idx="3">
                  <c:v>1.37704918032787</c:v>
                </c:pt>
                <c:pt idx="4">
                  <c:v>1.34615384615385</c:v>
                </c:pt>
              </c:numCache>
            </c:numRef>
          </c:val>
        </c:ser>
        <c:ser>
          <c:idx val="1"/>
          <c:order val="1"/>
          <c:tx>
            <c:strRef>
              <c:f>Sheet1!$A$41</c:f>
              <c:strCache>
                <c:ptCount val="1"/>
                <c:pt idx="0">
                  <c:v>Debt Ratio</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Sheet1!$B$39:$F$39</c:f>
              <c:numCache>
                <c:formatCode>General</c:formatCode>
                <c:ptCount val="5"/>
                <c:pt idx="0">
                  <c:v>2021.0</c:v>
                </c:pt>
                <c:pt idx="1">
                  <c:v>2022.0</c:v>
                </c:pt>
                <c:pt idx="2">
                  <c:v>2023.0</c:v>
                </c:pt>
                <c:pt idx="3">
                  <c:v>2024.0</c:v>
                </c:pt>
                <c:pt idx="4">
                  <c:v>2025.0</c:v>
                </c:pt>
              </c:numCache>
            </c:numRef>
          </c:cat>
          <c:val>
            <c:numRef>
              <c:f>Sheet1!$B$41:$F$41</c:f>
              <c:numCache>
                <c:formatCode>General</c:formatCode>
                <c:ptCount val="5"/>
                <c:pt idx="0">
                  <c:v>0.622317596566524</c:v>
                </c:pt>
                <c:pt idx="1">
                  <c:v>0.607843137254902</c:v>
                </c:pt>
                <c:pt idx="2">
                  <c:v>0.586956521739130</c:v>
                </c:pt>
                <c:pt idx="3">
                  <c:v>0.579310344827586</c:v>
                </c:pt>
                <c:pt idx="4">
                  <c:v>0.573770491803279</c:v>
                </c:pt>
              </c:numCache>
            </c:numRef>
          </c:val>
        </c:ser>
        <c:dLbls>
          <c:dLblPos val="outEnd"/>
          <c:showLegendKey val="0"/>
          <c:showVal val="1"/>
          <c:showCatName val="0"/>
          <c:showSerName val="0"/>
          <c:showPercent val="0"/>
          <c:showBubbleSize val="0"/>
        </c:dLbls>
        <c:gapWidth val="227"/>
        <c:overlap val="-48"/>
        <c:axId val="177784287"/>
        <c:axId val="177768927"/>
      </c:barChart>
      <c:catAx>
        <c:axId val="177784287"/>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68927"/>
        <c:crosses val="autoZero"/>
        <c:auto val="1"/>
        <c:lblAlgn val="ctr"/>
        <c:lblOffset val="100"/>
        <c:noMultiLvlLbl val="0"/>
      </c:catAx>
      <c:valAx>
        <c:axId val="1777689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8428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Investment Ratios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Sheet1!$A$44</c:f>
              <c:strCache>
                <c:ptCount val="1"/>
                <c:pt idx="0">
                  <c:v>Earnings Per Share (EPS)</c:v>
                </c:pt>
              </c:strCache>
            </c:strRef>
          </c:tx>
          <c:spPr>
            <a:solidFill>
              <a:schemeClr val="accent2"/>
            </a:solidFill>
            <a:ln>
              <a:noFill/>
            </a:ln>
            <a:effectLst/>
          </c:spPr>
          <c:invertIfNegative val="0"/>
          <c:cat>
            <c:numRef>
              <c:f>Sheet1!$B$43:$F$43</c:f>
              <c:numCache>
                <c:formatCode>General</c:formatCode>
                <c:ptCount val="5"/>
                <c:pt idx="0">
                  <c:v>2021.0</c:v>
                </c:pt>
                <c:pt idx="1">
                  <c:v>2022.0</c:v>
                </c:pt>
                <c:pt idx="2">
                  <c:v>2023.0</c:v>
                </c:pt>
                <c:pt idx="3">
                  <c:v>2024.0</c:v>
                </c:pt>
                <c:pt idx="4">
                  <c:v>2025.0</c:v>
                </c:pt>
              </c:numCache>
            </c:numRef>
          </c:cat>
          <c:val>
            <c:numRef>
              <c:f>Sheet1!$B$44:$F$44</c:f>
              <c:numCache>
                <c:formatCode>General</c:formatCode>
                <c:ptCount val="5"/>
                <c:pt idx="0">
                  <c:v>26.7605633802817</c:v>
                </c:pt>
                <c:pt idx="1">
                  <c:v>37.0892018779343</c:v>
                </c:pt>
                <c:pt idx="2">
                  <c:v>57.7464788732394</c:v>
                </c:pt>
                <c:pt idx="3">
                  <c:v>61.9718309859155</c:v>
                </c:pt>
                <c:pt idx="4">
                  <c:v>69.4835680751174</c:v>
                </c:pt>
              </c:numCache>
            </c:numRef>
          </c:val>
        </c:ser>
        <c:ser>
          <c:idx val="1"/>
          <c:order val="1"/>
          <c:tx>
            <c:strRef>
              <c:f>Sheet1!$A$45</c:f>
              <c:strCache>
                <c:ptCount val="1"/>
                <c:pt idx="0">
                  <c:v>Price Earnings Ratio (P/E Ratio)</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Sheet1!$B$43:$F$43</c:f>
              <c:numCache>
                <c:formatCode>General</c:formatCode>
                <c:ptCount val="5"/>
                <c:pt idx="0">
                  <c:v>2021.0</c:v>
                </c:pt>
                <c:pt idx="1">
                  <c:v>2022.0</c:v>
                </c:pt>
                <c:pt idx="2">
                  <c:v>2023.0</c:v>
                </c:pt>
                <c:pt idx="3">
                  <c:v>2024.0</c:v>
                </c:pt>
                <c:pt idx="4">
                  <c:v>2025.0</c:v>
                </c:pt>
              </c:numCache>
            </c:numRef>
          </c:cat>
          <c:val>
            <c:numRef>
              <c:f>Sheet1!$B$45:$F$45</c:f>
              <c:numCache>
                <c:formatCode>General</c:formatCode>
                <c:ptCount val="5"/>
                <c:pt idx="0">
                  <c:v>7847.36842105263</c:v>
                </c:pt>
                <c:pt idx="1">
                  <c:v>4853.16455696202</c:v>
                </c:pt>
                <c:pt idx="2">
                  <c:v>3809.75609756098</c:v>
                </c:pt>
                <c:pt idx="3">
                  <c:v>3872.72727272727</c:v>
                </c:pt>
                <c:pt idx="4">
                  <c:v>3741.89189189189</c:v>
                </c:pt>
              </c:numCache>
            </c:numRef>
          </c:val>
        </c:ser>
        <c:ser>
          <c:idx val="2"/>
          <c:order val="2"/>
          <c:tx>
            <c:strRef>
              <c:f>Sheet1!$A$46</c:f>
              <c:strCache>
                <c:ptCount val="1"/>
                <c:pt idx="0">
                  <c:v>Dividend Payout Ratio</c:v>
                </c:pt>
              </c:strCache>
            </c:strRef>
          </c:tx>
          <c:spPr>
            <a:solidFill>
              <a:schemeClr val="accent6"/>
            </a:solidFill>
            <a:ln>
              <a:noFill/>
            </a:ln>
            <a:effectLst/>
          </c:spPr>
          <c:invertIfNegative val="0"/>
          <c:cat>
            <c:numRef>
              <c:f>Sheet1!$B$43:$F$43</c:f>
              <c:numCache>
                <c:formatCode>General</c:formatCode>
                <c:ptCount val="5"/>
                <c:pt idx="0">
                  <c:v>2021.0</c:v>
                </c:pt>
                <c:pt idx="1">
                  <c:v>2022.0</c:v>
                </c:pt>
                <c:pt idx="2">
                  <c:v>2023.0</c:v>
                </c:pt>
                <c:pt idx="3">
                  <c:v>2024.0</c:v>
                </c:pt>
                <c:pt idx="4">
                  <c:v>2025.0</c:v>
                </c:pt>
              </c:numCache>
            </c:numRef>
          </c:cat>
          <c:val>
            <c:numRef>
              <c:f>Sheet1!$B$46:$F$46</c:f>
              <c:numCache>
                <c:formatCode>General</c:formatCode>
                <c:ptCount val="5"/>
                <c:pt idx="0">
                  <c:v>0.263157894736842</c:v>
                </c:pt>
                <c:pt idx="1">
                  <c:v>0.202531645569620</c:v>
                </c:pt>
                <c:pt idx="2">
                  <c:v>0.162601626016260</c:v>
                </c:pt>
                <c:pt idx="3">
                  <c:v>0.174242424242424</c:v>
                </c:pt>
                <c:pt idx="4">
                  <c:v>0.175675675675676</c:v>
                </c:pt>
              </c:numCache>
            </c:numRef>
          </c:val>
        </c:ser>
        <c:ser>
          <c:idx val="3"/>
          <c:order val="3"/>
          <c:tx>
            <c:strRef>
              <c:f>Sheet1!$A$47</c:f>
              <c:strCache>
                <c:ptCount val="1"/>
                <c:pt idx="0">
                  <c:v>Net Asset Value (NAV) per Share</c:v>
                </c:pt>
              </c:strCache>
            </c:strRef>
          </c:tx>
          <c:spPr>
            <a:solidFill>
              <a:schemeClr val="accent2">
                <a:lumMod val="60000"/>
              </a:schemeClr>
            </a:solidFill>
            <a:ln>
              <a:noFill/>
            </a:ln>
            <a:effectLst/>
          </c:spPr>
          <c:invertIfNegative val="0"/>
          <c:cat>
            <c:numRef>
              <c:f>Sheet1!$B$43:$F$43</c:f>
              <c:numCache>
                <c:formatCode>General</c:formatCode>
                <c:ptCount val="5"/>
                <c:pt idx="0">
                  <c:v>2021.0</c:v>
                </c:pt>
                <c:pt idx="1">
                  <c:v>2022.0</c:v>
                </c:pt>
                <c:pt idx="2">
                  <c:v>2023.0</c:v>
                </c:pt>
                <c:pt idx="3">
                  <c:v>2024.0</c:v>
                </c:pt>
                <c:pt idx="4">
                  <c:v>2025.0</c:v>
                </c:pt>
              </c:numCache>
            </c:numRef>
          </c:cat>
          <c:val>
            <c:numRef>
              <c:f>Sheet1!$B$47:$F$47</c:f>
              <c:numCache>
                <c:formatCode>General</c:formatCode>
                <c:ptCount val="5"/>
                <c:pt idx="0">
                  <c:v>413.145539906103</c:v>
                </c:pt>
                <c:pt idx="1">
                  <c:v>469.483568075117</c:v>
                </c:pt>
                <c:pt idx="2">
                  <c:v>535.211267605634</c:v>
                </c:pt>
                <c:pt idx="3">
                  <c:v>572.769953051643</c:v>
                </c:pt>
                <c:pt idx="4">
                  <c:v>610.328638497653</c:v>
                </c:pt>
              </c:numCache>
            </c:numRef>
          </c:val>
        </c:ser>
        <c:dLbls>
          <c:showLegendKey val="0"/>
          <c:showVal val="0"/>
          <c:showCatName val="0"/>
          <c:showSerName val="0"/>
          <c:showPercent val="0"/>
          <c:showBubbleSize val="0"/>
        </c:dLbls>
        <c:gapWidth val="267"/>
        <c:overlap val="-43"/>
        <c:axId val="177803007"/>
        <c:axId val="177803967"/>
      </c:barChart>
      <c:catAx>
        <c:axId val="177803007"/>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77803967"/>
        <c:crosses val="autoZero"/>
        <c:auto val="1"/>
        <c:lblAlgn val="ctr"/>
        <c:lblOffset val="100"/>
        <c:noMultiLvlLbl val="0"/>
      </c:catAx>
      <c:valAx>
        <c:axId val="177803967"/>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77803007"/>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Cash Flow Ratios </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Sheet1!$A$50</c:f>
              <c:strCache>
                <c:ptCount val="1"/>
                <c:pt idx="0">
                  <c:v>Operating Cash Flow Ratio</c:v>
                </c:pt>
              </c:strCache>
            </c:strRef>
          </c:tx>
          <c:spPr>
            <a:pattFill prst="narVert">
              <a:fgClr>
                <a:schemeClr val="accent6"/>
              </a:fgClr>
              <a:bgClr>
                <a:schemeClr val="accent6">
                  <a:lumMod val="20000"/>
                  <a:lumOff val="80000"/>
                </a:schemeClr>
              </a:bgClr>
            </a:pattFill>
            <a:ln>
              <a:noFill/>
            </a:ln>
            <a:effectLst>
              <a:innerShdw blurRad="114300">
                <a:schemeClr val="accent6"/>
              </a:innerShdw>
            </a:effectLst>
          </c:spPr>
          <c:invertIfNegative val="0"/>
          <c:cat>
            <c:numRef>
              <c:f>Sheet1!$B$49:$F$49</c:f>
              <c:numCache>
                <c:formatCode>General</c:formatCode>
                <c:ptCount val="5"/>
                <c:pt idx="0">
                  <c:v>2021.0</c:v>
                </c:pt>
                <c:pt idx="1">
                  <c:v>2022.0</c:v>
                </c:pt>
                <c:pt idx="2">
                  <c:v>2023.0</c:v>
                </c:pt>
                <c:pt idx="3">
                  <c:v>2024.0</c:v>
                </c:pt>
                <c:pt idx="4">
                  <c:v>2025.0</c:v>
                </c:pt>
              </c:numCache>
            </c:numRef>
          </c:cat>
          <c:val>
            <c:numRef>
              <c:f>Sheet1!$B$50:$F$50</c:f>
              <c:numCache>
                <c:formatCode>General</c:formatCode>
                <c:ptCount val="5"/>
                <c:pt idx="0">
                  <c:v>0.222222222222222</c:v>
                </c:pt>
                <c:pt idx="1">
                  <c:v>0.264705882352941</c:v>
                </c:pt>
                <c:pt idx="2">
                  <c:v>0.305555555555556</c:v>
                </c:pt>
                <c:pt idx="3">
                  <c:v>0.32</c:v>
                </c:pt>
                <c:pt idx="4">
                  <c:v>0.333333333333333</c:v>
                </c:pt>
              </c:numCache>
            </c:numRef>
          </c:val>
        </c:ser>
        <c:ser>
          <c:idx val="1"/>
          <c:order val="1"/>
          <c:tx>
            <c:strRef>
              <c:f>Sheet1!$A$51</c:f>
              <c:strCache>
                <c:ptCount val="1"/>
                <c:pt idx="0">
                  <c:v>Operating Cash Flow to Debt Ratio</c:v>
                </c:pt>
              </c:strCache>
            </c:strRef>
          </c:tx>
          <c:spPr>
            <a:pattFill prst="narVert">
              <a:fgClr>
                <a:schemeClr val="accent5"/>
              </a:fgClr>
              <a:bgClr>
                <a:schemeClr val="accent5">
                  <a:lumMod val="20000"/>
                  <a:lumOff val="80000"/>
                </a:schemeClr>
              </a:bgClr>
            </a:pattFill>
            <a:ln>
              <a:noFill/>
            </a:ln>
            <a:effectLst>
              <a:innerShdw blurRad="114300">
                <a:schemeClr val="accent5"/>
              </a:innerShdw>
            </a:effectLst>
          </c:spPr>
          <c:invertIfNegative val="0"/>
          <c:cat>
            <c:numRef>
              <c:f>Sheet1!$B$49:$F$49</c:f>
              <c:numCache>
                <c:formatCode>General</c:formatCode>
                <c:ptCount val="5"/>
                <c:pt idx="0">
                  <c:v>2021.0</c:v>
                </c:pt>
                <c:pt idx="1">
                  <c:v>2022.0</c:v>
                </c:pt>
                <c:pt idx="2">
                  <c:v>2023.0</c:v>
                </c:pt>
                <c:pt idx="3">
                  <c:v>2024.0</c:v>
                </c:pt>
                <c:pt idx="4">
                  <c:v>2025.0</c:v>
                </c:pt>
              </c:numCache>
            </c:numRef>
          </c:cat>
          <c:val>
            <c:numRef>
              <c:f>Sheet1!$B$51:$F$51</c:f>
              <c:numCache>
                <c:formatCode>General</c:formatCode>
                <c:ptCount val="5"/>
                <c:pt idx="0">
                  <c:v>0.0965517241379310</c:v>
                </c:pt>
                <c:pt idx="1">
                  <c:v>0.116129032258065</c:v>
                </c:pt>
                <c:pt idx="2">
                  <c:v>0.135802469135802</c:v>
                </c:pt>
                <c:pt idx="3">
                  <c:v>0.142857142857143</c:v>
                </c:pt>
                <c:pt idx="4">
                  <c:v>0.148571428571429</c:v>
                </c:pt>
              </c:numCache>
            </c:numRef>
          </c:val>
        </c:ser>
        <c:ser>
          <c:idx val="2"/>
          <c:order val="2"/>
          <c:tx>
            <c:strRef>
              <c:f>Sheet1!$A$52</c:f>
              <c:strCache>
                <c:ptCount val="1"/>
                <c:pt idx="0">
                  <c:v>Cash Flow Margin</c:v>
                </c:pt>
              </c:strCache>
            </c:strRef>
          </c:tx>
          <c:spPr>
            <a:pattFill prst="narVert">
              <a:fgClr>
                <a:schemeClr val="accent4"/>
              </a:fgClr>
              <a:bgClr>
                <a:schemeClr val="accent4">
                  <a:lumMod val="20000"/>
                  <a:lumOff val="80000"/>
                </a:schemeClr>
              </a:bgClr>
            </a:pattFill>
            <a:ln>
              <a:noFill/>
            </a:ln>
            <a:effectLst>
              <a:innerShdw blurRad="114300">
                <a:schemeClr val="accent4"/>
              </a:innerShdw>
            </a:effectLst>
          </c:spPr>
          <c:invertIfNegative val="0"/>
          <c:cat>
            <c:numRef>
              <c:f>Sheet1!$B$49:$F$49</c:f>
              <c:numCache>
                <c:formatCode>General</c:formatCode>
                <c:ptCount val="5"/>
                <c:pt idx="0">
                  <c:v>2021.0</c:v>
                </c:pt>
                <c:pt idx="1">
                  <c:v>2022.0</c:v>
                </c:pt>
                <c:pt idx="2">
                  <c:v>2023.0</c:v>
                </c:pt>
                <c:pt idx="3">
                  <c:v>2024.0</c:v>
                </c:pt>
                <c:pt idx="4">
                  <c:v>2025.0</c:v>
                </c:pt>
              </c:numCache>
            </c:numRef>
          </c:cat>
          <c:val>
            <c:numRef>
              <c:f>Sheet1!$B$52:$F$52</c:f>
              <c:numCache>
                <c:formatCode>General</c:formatCode>
                <c:ptCount val="5"/>
                <c:pt idx="0">
                  <c:v>0.119047619047619</c:v>
                </c:pt>
                <c:pt idx="1">
                  <c:v>0.126315789473684</c:v>
                </c:pt>
                <c:pt idx="2">
                  <c:v>0.135218192993239</c:v>
                </c:pt>
                <c:pt idx="3">
                  <c:v>0.140762463343109</c:v>
                </c:pt>
                <c:pt idx="4">
                  <c:v>0.142857142857143</c:v>
                </c:pt>
              </c:numCache>
            </c:numRef>
          </c:val>
        </c:ser>
        <c:dLbls>
          <c:showLegendKey val="0"/>
          <c:showVal val="0"/>
          <c:showCatName val="0"/>
          <c:showSerName val="0"/>
          <c:showPercent val="0"/>
          <c:showBubbleSize val="0"/>
        </c:dLbls>
        <c:gapWidth val="227"/>
        <c:overlap val="-48"/>
        <c:axId val="14021215"/>
        <c:axId val="14015935"/>
      </c:barChart>
      <c:catAx>
        <c:axId val="14021215"/>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15935"/>
        <c:crosses val="autoZero"/>
        <c:auto val="1"/>
        <c:lblAlgn val="ctr"/>
        <c:lblOffset val="100"/>
        <c:noMultiLvlLbl val="0"/>
      </c:catAx>
      <c:valAx>
        <c:axId val="140159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2121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68A0B-429B-4961-965B-AD99BDF1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Words>6443</Words>
  <Pages>35</Pages>
  <Characters>39491</Characters>
  <Application>WPS Office</Application>
  <DocSecurity>0</DocSecurity>
  <Paragraphs>265</Paragraphs>
  <ScaleCrop>false</ScaleCrop>
  <LinksUpToDate>false</LinksUpToDate>
  <CharactersWithSpaces>45760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2026-04-21T09:10:00Z</dcterms:created>
  <dc:creator>LP</dc:creator>
  <lastModifiedBy>CPH2569</lastModifiedBy>
  <dcterms:modified xsi:type="dcterms:W3CDTF">2026-04-24T10:12:43Z</dcterms:modified>
  <revision>14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e0cac530ac78421ead3399e3d1901200</vt:lpwstr>
  </property>
</Properties>
</file>