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DAC53" w14:textId="68622F77" w:rsidR="00E104ED" w:rsidRPr="00A0510D" w:rsidRDefault="00A0510D">
      <w:pPr>
        <w:rPr>
          <w:b/>
          <w:bCs/>
        </w:rPr>
      </w:pPr>
      <w:r w:rsidRPr="00A0510D">
        <w:rPr>
          <w:b/>
          <w:bCs/>
        </w:rPr>
        <w:t>‘We know God as three only as we meet God in Christ’. What does this mean for the immanent Trinity?</w:t>
      </w:r>
    </w:p>
    <w:p w14:paraId="0A3A6D33" w14:textId="77777777" w:rsidR="00A0510D" w:rsidRDefault="00A0510D"/>
    <w:p w14:paraId="756ED2CC" w14:textId="19DB424B" w:rsidR="00A0510D" w:rsidRDefault="00A0510D">
      <w:r>
        <w:t>At first blush, this would appear to be a trick question. For if we are to meet God in Christ, we are already participating in the so-called divine ‘economy’ – where God deals with the world – and thus in no wise affecting the ‘immanent Trinity’. In the words of Colin Gunton, ‘the distinction between economic and immanent Trinity achieves more than a concept of God’s freedom. It is… a matter of human freedom as well.’</w:t>
      </w:r>
      <w:r>
        <w:rPr>
          <w:rStyle w:val="FootnoteReference"/>
        </w:rPr>
        <w:footnoteReference w:id="1"/>
      </w:r>
      <w:r>
        <w:t xml:space="preserve"> Thus, strictly, economy and immanence are separate aspects of the Trinity. Closer scrutiny of the question, however, may throw up various issues relating to our understanding of the Trinity and its place in current theological thinking.</w:t>
      </w:r>
    </w:p>
    <w:p w14:paraId="6E8EC805" w14:textId="77777777" w:rsidR="00A0510D" w:rsidRDefault="00A0510D"/>
    <w:p w14:paraId="65B4A300" w14:textId="00ADFE73" w:rsidR="00A0510D" w:rsidRDefault="00A0510D">
      <w:r>
        <w:t>The traditional formulation of the Trinity is found in the wording of the Christian Baptism, as we read in Matthew’s Gospel, where Jesus commands his disciples: ‘Make disciples of all nations, baptising them in the name of the Father and of the Son and of the Holy Spirit…’</w:t>
      </w:r>
      <w:r>
        <w:rPr>
          <w:rStyle w:val="FootnoteReference"/>
        </w:rPr>
        <w:footnoteReference w:id="2"/>
      </w:r>
      <w:r>
        <w:t xml:space="preserve"> The doctrine of the Trinity developed over the three hundred or so years following, to the understanding of which notable contributions were made by the so-called Cappadocian Fathers in the East, and Augustine in the West. As Thomas Hopko notes, the starting place was not the abstract idea of a deity (or unity) but with the ’experience of three distinct subjects – Jesus, God and the Spirit’</w:t>
      </w:r>
      <w:r>
        <w:rPr>
          <w:rStyle w:val="FootnoteReference"/>
        </w:rPr>
        <w:footnoteReference w:id="3"/>
      </w:r>
      <w:r>
        <w:t xml:space="preserve">. The reference to an abstraction may reflect the commonly held view that Augustine in the West (writing slightly later than the Cappadocians) has a more intellectualized view of the Trinity, starting from his apparent dismissal of the idea of the </w:t>
      </w:r>
      <w:proofErr w:type="spellStart"/>
      <w:r>
        <w:t>hypostasteis</w:t>
      </w:r>
      <w:proofErr w:type="spellEnd"/>
      <w:r>
        <w:t xml:space="preserve"> (the so-called ‘persons’ of the Trinity) </w:t>
      </w:r>
      <w:r w:rsidR="00CC49E4">
        <w:t>and then, in default of a full appreciation of these, devoting much thought to the analogy of the essence of God with the structure of the human mind.</w:t>
      </w:r>
      <w:r w:rsidR="00CC49E4">
        <w:rPr>
          <w:rStyle w:val="FootnoteReference"/>
        </w:rPr>
        <w:footnoteReference w:id="4"/>
      </w:r>
      <w:r w:rsidR="00CC49E4">
        <w:t xml:space="preserve"> Augustine propose</w:t>
      </w:r>
      <w:r w:rsidR="0077100E">
        <w:t>d</w:t>
      </w:r>
      <w:r w:rsidR="00CC49E4">
        <w:t xml:space="preserve"> that we understand the three persons of the Trinity as ‘Memory, Intellect and Will’.</w:t>
      </w:r>
      <w:r w:rsidR="0077100E">
        <w:t xml:space="preserve"> </w:t>
      </w:r>
      <w:r w:rsidR="00CC49E4">
        <w:t>Gunton observes that this re-thinking of the Trinity suggests that  by emphasizing the mental element, our knowledge of God is to be ‘found primarily in the mind.’</w:t>
      </w:r>
      <w:r w:rsidR="00CC49E4">
        <w:rPr>
          <w:rStyle w:val="FootnoteReference"/>
        </w:rPr>
        <w:footnoteReference w:id="5"/>
      </w:r>
      <w:r w:rsidR="00CC49E4">
        <w:t xml:space="preserve"> </w:t>
      </w:r>
    </w:p>
    <w:p w14:paraId="326FD950" w14:textId="77777777" w:rsidR="00CC49E4" w:rsidRDefault="00CC49E4"/>
    <w:p w14:paraId="37168D8E" w14:textId="6D6B13F4" w:rsidR="00CC49E4" w:rsidRDefault="00CC49E4">
      <w:r>
        <w:t xml:space="preserve">The concept of the immanence of the Trinity is most clearly sustained in the Eastern Church’s understanding of it. Historically obliged to fend off intellectual challenges such as Sabellianism or Arianism, the dogma has also (from earliest times) confessed to </w:t>
      </w:r>
      <w:r w:rsidR="0077100E">
        <w:t>the</w:t>
      </w:r>
      <w:r>
        <w:t xml:space="preserve"> ultimate ‘incomprehensibility’</w:t>
      </w:r>
      <w:r w:rsidR="0077100E">
        <w:t xml:space="preserve"> of the God</w:t>
      </w:r>
      <w:r>
        <w:t xml:space="preserve">. The aim, however, was to distinguish between a vision of the Godhead which was consistent with its apophatic immanent nature, and the way in which the Godhead was yet able to </w:t>
      </w:r>
      <w:proofErr w:type="gramStart"/>
      <w:r>
        <w:t>enter into</w:t>
      </w:r>
      <w:proofErr w:type="gramEnd"/>
      <w:r>
        <w:t xml:space="preserve"> the world, most notably into the lives of human beings. The ‘</w:t>
      </w:r>
      <w:proofErr w:type="spellStart"/>
      <w:r>
        <w:t>unbeggoten</w:t>
      </w:r>
      <w:proofErr w:type="spellEnd"/>
      <w:r>
        <w:t>’ God, monarch of all, is the begetter (Father) of the begotten Son, and it is from God, through the Son, that the Holy Spirit ‘</w:t>
      </w:r>
      <w:proofErr w:type="gramStart"/>
      <w:r>
        <w:t>proceeds’</w:t>
      </w:r>
      <w:proofErr w:type="gramEnd"/>
      <w:r>
        <w:t xml:space="preserve">. This tradition allows for a dual function of the Godhead. On the one hand, it is able to subsist as a relationship in itself, and thus ‘self-contained’ from and </w:t>
      </w:r>
      <w:r>
        <w:lastRenderedPageBreak/>
        <w:t>essentially unknowable to the world; but</w:t>
      </w:r>
      <w:r w:rsidR="0077100E">
        <w:t>,</w:t>
      </w:r>
      <w:r>
        <w:t xml:space="preserve"> through what Irenaeus of Lyons describes as the ‘two hands of God’, namely the Son and the Spirit (also described as God’s ‘Word and Wisdom’ or ‘His offspring and His similitude’)</w:t>
      </w:r>
      <w:r>
        <w:rPr>
          <w:rStyle w:val="FootnoteReference"/>
        </w:rPr>
        <w:footnoteReference w:id="6"/>
      </w:r>
      <w:r>
        <w:t xml:space="preserve">, the actions of revelation and redemption still remain achievable. The Trinity is thus inward- and outward-looking: it is immanent, but also able to act upon in world. In comparing East and West, Vladimir </w:t>
      </w:r>
      <w:proofErr w:type="spellStart"/>
      <w:r>
        <w:t>Lossky</w:t>
      </w:r>
      <w:proofErr w:type="spellEnd"/>
      <w:r>
        <w:t xml:space="preserve"> notes how the Eastern Church favours a concrete understanding of the Godhead (The God of Abraham, of Isaac and of Jacob, and the God of Jesus Christ, the Father, Son and Holy Ghost) where in the West the Trinity gives way to a ‘certain philosophy of essence.’ What is sought is thus not ‘the vision of the essence, but above all, a participation in the divine life of the Holy Trinity’</w:t>
      </w:r>
      <w:r>
        <w:rPr>
          <w:rStyle w:val="FootnoteReference"/>
        </w:rPr>
        <w:footnoteReference w:id="7"/>
      </w:r>
      <w:r>
        <w:t xml:space="preserve"> Karl Rahner puts the matter in similar terms, noting how psychological theorising about the Trinity values a ‘seemingly Gnostic speculation’ about the inner life of God above the ‘experience of the Trinity in the economy of salvation’</w:t>
      </w:r>
      <w:r>
        <w:rPr>
          <w:rStyle w:val="FootnoteReference"/>
        </w:rPr>
        <w:footnoteReference w:id="8"/>
      </w:r>
      <w:r>
        <w:t>. To emphasize the point, he claims that the dogma of the Trinity is not some intellectual game, but ‘an assertion which cannot be avoided.’</w:t>
      </w:r>
      <w:r>
        <w:rPr>
          <w:rStyle w:val="FootnoteReference"/>
        </w:rPr>
        <w:footnoteReference w:id="9"/>
      </w:r>
    </w:p>
    <w:p w14:paraId="3AEB1062" w14:textId="77777777" w:rsidR="00CC49E4" w:rsidRDefault="00CC49E4"/>
    <w:p w14:paraId="47839958" w14:textId="6FA87DFB" w:rsidR="00CC49E4" w:rsidRDefault="00CC49E4">
      <w:r>
        <w:t xml:space="preserve">These distinctions – between East and West, and between experience and intellectualism – are indicators of the distinction between the immanence and the economy of the Trinity. This is not the place to address the ‘filioque’ issue – and there are divergent views on how significant that is, in any case – nor to delve deeper into the history or philosophy of the doctrine: the question seems to be whether what to many current thinkers seems to be a decline in Christian faith and practice is in some way remediable, or, in other words, whether the aspect of the Trinity that relates to the divine economy may be revived. </w:t>
      </w:r>
    </w:p>
    <w:p w14:paraId="0E8F39D0" w14:textId="77777777" w:rsidR="00CC49E4" w:rsidRDefault="00CC49E4"/>
    <w:p w14:paraId="317E3FD6" w14:textId="2A2E384B" w:rsidR="00CC49E4" w:rsidRDefault="00CC49E4">
      <w:r>
        <w:t>Two distinct approaches have developed in recent years to the ‘difficulty’ of the Trinity.</w:t>
      </w:r>
      <w:r>
        <w:rPr>
          <w:rStyle w:val="FootnoteReference"/>
        </w:rPr>
        <w:footnoteReference w:id="10"/>
      </w:r>
      <w:r>
        <w:t xml:space="preserve"> One is to propose that the names of the persons of the Trinity are a sort of metaphor, and that for contemporary worshippers, more relevant metaphors may be found. Karl Barth, for example, intent on his conviction of the supremacy of ‘Revelation’ chooses to </w:t>
      </w:r>
      <w:r w:rsidR="0077100E">
        <w:t xml:space="preserve">style </w:t>
      </w:r>
      <w:r>
        <w:t xml:space="preserve">‘Father, Son and Holy Spirit’ as ‘Revealer, Revelation, and </w:t>
      </w:r>
      <w:proofErr w:type="spellStart"/>
      <w:r>
        <w:t>Revealedness</w:t>
      </w:r>
      <w:proofErr w:type="spellEnd"/>
      <w:r>
        <w:t xml:space="preserve">’. Revelation, he claims, is ‘Dei </w:t>
      </w:r>
      <w:proofErr w:type="spellStart"/>
      <w:r>
        <w:t>loquentis</w:t>
      </w:r>
      <w:proofErr w:type="spellEnd"/>
      <w:r>
        <w:t xml:space="preserve"> persona’</w:t>
      </w:r>
      <w:r>
        <w:rPr>
          <w:rStyle w:val="FootnoteReference"/>
        </w:rPr>
        <w:footnoteReference w:id="11"/>
      </w:r>
      <w:r>
        <w:t xml:space="preserve">, </w:t>
      </w:r>
      <w:proofErr w:type="gramStart"/>
      <w:r>
        <w:t>and also</w:t>
      </w:r>
      <w:proofErr w:type="gramEnd"/>
      <w:r>
        <w:t xml:space="preserve"> ‘the root of the doctrine of the Trinity.’</w:t>
      </w:r>
      <w:r>
        <w:rPr>
          <w:rStyle w:val="FootnoteReference"/>
        </w:rPr>
        <w:footnoteReference w:id="12"/>
      </w:r>
      <w:r>
        <w:t xml:space="preserve"> One may question how ‘</w:t>
      </w:r>
      <w:proofErr w:type="spellStart"/>
      <w:r>
        <w:t>Revealedness</w:t>
      </w:r>
      <w:proofErr w:type="spellEnd"/>
      <w:r>
        <w:t>’ stands in relation to ‘Revelation’: for example, might it not have been more appropriate to speak of ‘Revealed’ and ‘Revelation’ as alternates for ‘the Son and the Holy Spirit’? There is further, a suggestion of ‘modalism’ here, which Barth almost confesses to</w:t>
      </w:r>
      <w:r>
        <w:rPr>
          <w:rStyle w:val="FootnoteReference"/>
        </w:rPr>
        <w:footnoteReference w:id="13"/>
      </w:r>
      <w:r>
        <w:t xml:space="preserve">, and which, </w:t>
      </w:r>
      <w:r>
        <w:lastRenderedPageBreak/>
        <w:t>of course, is the centuries’ old charge against Sabellius. Once again, what is most damaging here is the reliance on abstract concept</w:t>
      </w:r>
      <w:r w:rsidR="0077100E">
        <w:t xml:space="preserve">, </w:t>
      </w:r>
      <w:r>
        <w:t xml:space="preserve">where in the beginning the Trinity was born out of </w:t>
      </w:r>
      <w:proofErr w:type="gramStart"/>
      <w:r>
        <w:t>a</w:t>
      </w:r>
      <w:proofErr w:type="gramEnd"/>
      <w:r>
        <w:t xml:space="preserve"> concrete ‘experienced’ reality. </w:t>
      </w:r>
    </w:p>
    <w:p w14:paraId="66363977" w14:textId="77777777" w:rsidR="00CC49E4" w:rsidRDefault="00CC49E4"/>
    <w:p w14:paraId="5837BA43" w14:textId="6BB9101C" w:rsidR="00CC49E4" w:rsidRDefault="00CC49E4">
      <w:r>
        <w:t xml:space="preserve">Others have </w:t>
      </w:r>
      <w:r w:rsidR="0077100E">
        <w:t>followed on</w:t>
      </w:r>
      <w:r>
        <w:t xml:space="preserve"> from Barth. Nicholas Lash presents a powerful endorsement of the dogma of the </w:t>
      </w:r>
      <w:r w:rsidR="0077100E">
        <w:t>Trinity but</w:t>
      </w:r>
      <w:r>
        <w:t xml:space="preserve"> is determined to find trinitarian parallels in the world today: in his words, to display ‘the radically trinitarian character of human existence’</w:t>
      </w:r>
      <w:r>
        <w:rPr>
          <w:rStyle w:val="FootnoteReference"/>
        </w:rPr>
        <w:footnoteReference w:id="14"/>
      </w:r>
      <w:r>
        <w:t>. He expresses this better when he talks about the use of the word ‘God</w:t>
      </w:r>
      <w:r w:rsidR="0077100E">
        <w:t>’ but</w:t>
      </w:r>
      <w:r>
        <w:t xml:space="preserve"> diminishes the dogma by reframing it as ‘Producer, Appearance, Peace’</w:t>
      </w:r>
      <w:r>
        <w:rPr>
          <w:rStyle w:val="FootnoteReference"/>
        </w:rPr>
        <w:footnoteReference w:id="15"/>
      </w:r>
      <w:r>
        <w:t xml:space="preserve">. If this is an attempt to widen our vision of possibility – how indeed </w:t>
      </w:r>
      <w:r w:rsidRPr="00CC49E4">
        <w:rPr>
          <w:i/>
          <w:iCs/>
        </w:rPr>
        <w:t>does</w:t>
      </w:r>
      <w:r>
        <w:t xml:space="preserve"> the divine economy work in society today? – then no harm is done, but is an unsatisfactory distance being created from the original conception of the doctrine? Geoffrey Wainwright locates the discussion within the practice of Christian worship, drawing attention to the evocative power of the famous Andrei Rublev icon of the Trinity, the visitors to Abraham by the oaks of Mamre. As he notes, there are unavoidable problems in trying to change the terminology of the </w:t>
      </w:r>
      <w:proofErr w:type="spellStart"/>
      <w:r>
        <w:t>hypostaseis</w:t>
      </w:r>
      <w:proofErr w:type="spellEnd"/>
      <w:r>
        <w:t xml:space="preserve"> of the Trinity</w:t>
      </w:r>
      <w:r w:rsidR="0077100E">
        <w:t xml:space="preserve"> and</w:t>
      </w:r>
      <w:r>
        <w:t xml:space="preserve"> he bats back arguments against </w:t>
      </w:r>
      <w:proofErr w:type="spellStart"/>
      <w:r>
        <w:t>eg</w:t>
      </w:r>
      <w:proofErr w:type="spellEnd"/>
      <w:r>
        <w:t xml:space="preserve"> the term ‘Father’ (for reflecting Freudian psychology, or analogizing with family structures, or even displaying sexism) with compelling arguments: first, that theology risks being reduced to anthropology (and the Creator to the creature); and secondly asking which end of the analogy (Father or father) is ‘determinative’.</w:t>
      </w:r>
      <w:r>
        <w:rPr>
          <w:rStyle w:val="FootnoteReference"/>
        </w:rPr>
        <w:footnoteReference w:id="16"/>
      </w:r>
      <w:r>
        <w:t xml:space="preserve"> This is not to take any further the suggestion, addressed by Alvin Kimel, of the wording ‘Mother, Lover, Friend’, which clearly have no connection to the biblical narrative</w:t>
      </w:r>
      <w:r w:rsidR="0077100E">
        <w:t xml:space="preserve">: in itself </w:t>
      </w:r>
      <w:r>
        <w:t>no small point, as the Trinity in its original casting is entirely derived from Scripture. Kimel quotes Robert Jenson saying that such formulations of the Trinity ‘disrupt the faith’s self-identity at the level of its primal and least-reflected historicity.’</w:t>
      </w:r>
      <w:r>
        <w:rPr>
          <w:rStyle w:val="FootnoteReference"/>
        </w:rPr>
        <w:footnoteReference w:id="17"/>
      </w:r>
    </w:p>
    <w:p w14:paraId="351210A7" w14:textId="77777777" w:rsidR="00CC49E4" w:rsidRDefault="00CC49E4"/>
    <w:p w14:paraId="06FC0A18" w14:textId="67346B72" w:rsidR="00CC49E4" w:rsidRDefault="00D041A9">
      <w:r>
        <w:t xml:space="preserve">In addressing the apophatic quality of the Trinity (in its immanence), and the difficulty of ‘unknowing’, the argument is offered that the divide between immanence and economy is non-existent. In Kimel’s words, ‘The economic Trinity </w:t>
      </w:r>
      <w:r w:rsidRPr="00D041A9">
        <w:t>is</w:t>
      </w:r>
      <w:r>
        <w:t xml:space="preserve"> the immanent Trinity.’</w:t>
      </w:r>
      <w:r>
        <w:rPr>
          <w:rStyle w:val="FootnoteReference"/>
        </w:rPr>
        <w:footnoteReference w:id="18"/>
      </w:r>
      <w:r>
        <w:t xml:space="preserve"> In effect this moves from a theology of Revelation to a theology of Constitution: ‘The Trinity is constituted in and by historical events.’</w:t>
      </w:r>
      <w:r>
        <w:rPr>
          <w:rStyle w:val="FootnoteReference"/>
        </w:rPr>
        <w:footnoteReference w:id="19"/>
      </w:r>
      <w:r>
        <w:t xml:space="preserve"> This means that the answer to the question this paper is addressing is suddenly very simple: as Christians, we can only meet God in Christ (through the power of the Holy Spirit); there is no such thing as the immanent Trinity. There are however arguments against this </w:t>
      </w:r>
      <w:r w:rsidR="0077100E">
        <w:t>theological escape act</w:t>
      </w:r>
      <w:r>
        <w:t>. As Gunton himself notes, taking task with Jenson, th</w:t>
      </w:r>
      <w:r w:rsidR="0077100E">
        <w:t>e</w:t>
      </w:r>
      <w:r>
        <w:t xml:space="preserve"> </w:t>
      </w:r>
      <w:proofErr w:type="gramStart"/>
      <w:r>
        <w:t>quick-fix</w:t>
      </w:r>
      <w:proofErr w:type="gramEnd"/>
      <w:r>
        <w:t xml:space="preserve"> offers no clear distinction between the persons and functions of the Trinity. He goes on to claim that the Holy Spirit is reduced to a form of glue between the Father and the Son, and that it thus loses its freedom, personal-ness, and otherness. As Jenson describes it, ‘all there is to being </w:t>
      </w:r>
      <w:r>
        <w:lastRenderedPageBreak/>
        <w:t>God the Spirit is being the spirit of this exchange (between Father and Son).’</w:t>
      </w:r>
      <w:r>
        <w:rPr>
          <w:rStyle w:val="FootnoteReference"/>
        </w:rPr>
        <w:footnoteReference w:id="20"/>
      </w:r>
      <w:r>
        <w:t xml:space="preserve"> Gunton’s main point is that the three-ness of the Trinity has caved in on itself, an effect which he dates </w:t>
      </w:r>
      <w:r w:rsidR="0077100E">
        <w:t xml:space="preserve">to as far </w:t>
      </w:r>
      <w:r>
        <w:t xml:space="preserve">back </w:t>
      </w:r>
      <w:r w:rsidR="0077100E">
        <w:t>as</w:t>
      </w:r>
      <w:r>
        <w:t xml:space="preserve"> Augustine himself (though not holding him entirely responsible!) Kimel clarifies that (through the power of the Spirit) the Father is given his hypostatic identity as Father, by Jesus. </w:t>
      </w:r>
      <w:r>
        <w:rPr>
          <w:rStyle w:val="FootnoteReference"/>
        </w:rPr>
        <w:footnoteReference w:id="21"/>
      </w:r>
      <w:r>
        <w:t xml:space="preserve"> Some points may be made about this: first, the ‘constitution’ theory</w:t>
      </w:r>
      <w:r>
        <w:rPr>
          <w:rStyle w:val="FootnoteReference"/>
        </w:rPr>
        <w:footnoteReference w:id="22"/>
      </w:r>
      <w:r>
        <w:t xml:space="preserve"> makes the prepositions ‘in’ and ‘by’ do a great deal of heavy lifting. Secondly, by conflating two distinct concepts (economy and immanence), a perfectly formed (unchangeable) theory is arrived at, which, based so literally on Scripture, seems to offer nothing for the future, for, for example, the present generation. Besides, without any philosophical/theological rationale, the reliance on Scripture risks the random exigencies of contingency. The immanence of the Trinity is the backbone to our understanding of Scripture, as well as the springboard to a full Christian life. </w:t>
      </w:r>
    </w:p>
    <w:p w14:paraId="720E0CDD" w14:textId="77777777" w:rsidR="00D041A9" w:rsidRDefault="00D041A9"/>
    <w:p w14:paraId="3126F6F4" w14:textId="0E30C914" w:rsidR="00D041A9" w:rsidRDefault="00D041A9">
      <w:r>
        <w:t xml:space="preserve">The West is obsessed with who God is. It is a version of the Hunting of the </w:t>
      </w:r>
      <w:proofErr w:type="spellStart"/>
      <w:r>
        <w:t>Snark</w:t>
      </w:r>
      <w:proofErr w:type="spellEnd"/>
      <w:r>
        <w:t>, or Moby Dick. As Gunton hints (passim)</w:t>
      </w:r>
      <w:r w:rsidR="0077100E">
        <w:t>, it is not</w:t>
      </w:r>
      <w:r>
        <w:t xml:space="preserve"> a ‘knowledge’ of the Creator</w:t>
      </w:r>
      <w:r w:rsidR="0077100E">
        <w:t xml:space="preserve"> that we want</w:t>
      </w:r>
      <w:r>
        <w:t xml:space="preserve">, but a relationship with </w:t>
      </w:r>
      <w:r w:rsidR="0077100E">
        <w:t>Him</w:t>
      </w:r>
      <w:r>
        <w:t xml:space="preserve">. </w:t>
      </w:r>
      <w:proofErr w:type="gramStart"/>
      <w:r>
        <w:t>So</w:t>
      </w:r>
      <w:proofErr w:type="gramEnd"/>
      <w:r>
        <w:t xml:space="preserve"> the question is not </w:t>
      </w:r>
      <w:r w:rsidR="0077100E">
        <w:t>‘</w:t>
      </w:r>
      <w:r>
        <w:t>Who</w:t>
      </w:r>
      <w:r w:rsidR="0077100E">
        <w:t>?’</w:t>
      </w:r>
      <w:r>
        <w:t xml:space="preserve">, but </w:t>
      </w:r>
      <w:r w:rsidR="0077100E">
        <w:t>‘How?’ or ‘</w:t>
      </w:r>
      <w:r>
        <w:t>Where?</w:t>
      </w:r>
      <w:r w:rsidR="0077100E">
        <w:t>’</w:t>
      </w:r>
      <w:r>
        <w:t xml:space="preserve"> The one sure thing we have from the Cappadocian Fathers is the ‘unspeakable-ness’ of God</w:t>
      </w:r>
      <w:r w:rsidR="0077100E">
        <w:t>, ad so ‘Who?’ may indeed be a closed book</w:t>
      </w:r>
      <w:r>
        <w:t xml:space="preserve">. </w:t>
      </w:r>
      <w:proofErr w:type="gramStart"/>
      <w:r>
        <w:t>Where</w:t>
      </w:r>
      <w:r w:rsidR="0077100E">
        <w:t>,</w:t>
      </w:r>
      <w:proofErr w:type="gramEnd"/>
      <w:r w:rsidR="0077100E">
        <w:t xml:space="preserve"> then, </w:t>
      </w:r>
      <w:r>
        <w:t>do we find God?</w:t>
      </w:r>
    </w:p>
    <w:p w14:paraId="27A76444" w14:textId="77777777" w:rsidR="00D041A9" w:rsidRDefault="00D041A9"/>
    <w:p w14:paraId="2C9AA195" w14:textId="68869A08" w:rsidR="00D041A9" w:rsidRDefault="00D041A9">
      <w:r>
        <w:t xml:space="preserve">The clue is in </w:t>
      </w:r>
      <w:r w:rsidR="0077100E">
        <w:t xml:space="preserve">the title of </w:t>
      </w:r>
      <w:r>
        <w:t>Wainwright’s paper</w:t>
      </w:r>
      <w:r w:rsidR="0077100E">
        <w:t>:</w:t>
      </w:r>
      <w:r>
        <w:t xml:space="preserve"> ‘Trinitarian Worship’. </w:t>
      </w:r>
      <w:r>
        <w:t>At almost the same time as the</w:t>
      </w:r>
      <w:r>
        <w:t xml:space="preserve"> Cappadocians</w:t>
      </w:r>
      <w:r>
        <w:t xml:space="preserve"> were working out the doctrine of the Trinity, St John Chrysostom</w:t>
      </w:r>
      <w:r>
        <w:t xml:space="preserve"> created the divine liturgy of the Orthodox Church. It is hard to ignore the fact that this liturgy is still very much in current use across the world to this day, while in the West all manner of liturgies </w:t>
      </w:r>
      <w:proofErr w:type="gramStart"/>
      <w:r>
        <w:t>have</w:t>
      </w:r>
      <w:proofErr w:type="gramEnd"/>
      <w:r>
        <w:t xml:space="preserve"> evolved. A first riposte to the question before us might therefore be, ‘Where do we meet God in Christ?’; we might then pick up Nicholas Lash’s point that ‘Belief in the Holy Spirit. . . is dedication to duty in a kind of temple, celebration of a kind of liturgy’</w:t>
      </w:r>
      <w:r>
        <w:rPr>
          <w:rStyle w:val="FootnoteReference"/>
        </w:rPr>
        <w:footnoteReference w:id="23"/>
      </w:r>
      <w:r>
        <w:t xml:space="preserve">; and be glad that it need </w:t>
      </w:r>
      <w:r w:rsidR="0077100E">
        <w:t xml:space="preserve">not </w:t>
      </w:r>
      <w:r>
        <w:t xml:space="preserve">be </w:t>
      </w:r>
      <w:r w:rsidR="0077100E">
        <w:t>a</w:t>
      </w:r>
      <w:r>
        <w:t xml:space="preserve"> ‘kind of’ liturgy, but the liturgy itself, forged in the spiritual and intellectual climate that gave us the Trinity in the first place.</w:t>
      </w:r>
    </w:p>
    <w:p w14:paraId="1BFDDDD8" w14:textId="77777777" w:rsidR="00152561" w:rsidRDefault="00152561"/>
    <w:p w14:paraId="79491144" w14:textId="60550A0D" w:rsidR="00152561" w:rsidRPr="00D041A9" w:rsidRDefault="00152561">
      <w:r>
        <w:t>(220</w:t>
      </w:r>
      <w:r w:rsidR="0077100E">
        <w:t>5</w:t>
      </w:r>
      <w:r>
        <w:t xml:space="preserve"> words)</w:t>
      </w:r>
    </w:p>
    <w:p w14:paraId="45545E85" w14:textId="77777777" w:rsidR="00CC49E4" w:rsidRDefault="00CC49E4"/>
    <w:p w14:paraId="2C721BAC" w14:textId="77777777" w:rsidR="00CC49E4" w:rsidRDefault="00CC49E4"/>
    <w:p w14:paraId="1AE1F9D1" w14:textId="77777777" w:rsidR="00CC49E4" w:rsidRDefault="00CC49E4"/>
    <w:p w14:paraId="3CDCB347" w14:textId="2939A789" w:rsidR="00CC49E4" w:rsidRDefault="00CC49E4"/>
    <w:sectPr w:rsidR="00CC49E4">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81BCE" w14:textId="77777777" w:rsidR="008D406B" w:rsidRDefault="008D406B" w:rsidP="00A0510D">
      <w:r>
        <w:separator/>
      </w:r>
    </w:p>
  </w:endnote>
  <w:endnote w:type="continuationSeparator" w:id="0">
    <w:p w14:paraId="36828723" w14:textId="77777777" w:rsidR="008D406B" w:rsidRDefault="008D406B" w:rsidP="00A05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33399425"/>
      <w:docPartObj>
        <w:docPartGallery w:val="Page Numbers (Bottom of Page)"/>
        <w:docPartUnique/>
      </w:docPartObj>
    </w:sdtPr>
    <w:sdtContent>
      <w:p w14:paraId="213281F2" w14:textId="5BC1177D" w:rsidR="00152561" w:rsidRDefault="00152561" w:rsidP="003D21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73D802" w14:textId="77777777" w:rsidR="00152561" w:rsidRDefault="00152561" w:rsidP="001525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83350086"/>
      <w:docPartObj>
        <w:docPartGallery w:val="Page Numbers (Bottom of Page)"/>
        <w:docPartUnique/>
      </w:docPartObj>
    </w:sdtPr>
    <w:sdtContent>
      <w:p w14:paraId="671E67E0" w14:textId="41DBB551" w:rsidR="00152561" w:rsidRDefault="00152561" w:rsidP="003D21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5141DF3F" w14:textId="77777777" w:rsidR="00152561" w:rsidRDefault="00152561" w:rsidP="0015256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A8431" w14:textId="77777777" w:rsidR="008D406B" w:rsidRDefault="008D406B" w:rsidP="00A0510D">
      <w:r>
        <w:separator/>
      </w:r>
    </w:p>
  </w:footnote>
  <w:footnote w:type="continuationSeparator" w:id="0">
    <w:p w14:paraId="72F71250" w14:textId="77777777" w:rsidR="008D406B" w:rsidRDefault="008D406B" w:rsidP="00A0510D">
      <w:r>
        <w:continuationSeparator/>
      </w:r>
    </w:p>
  </w:footnote>
  <w:footnote w:id="1">
    <w:p w14:paraId="0F419C74" w14:textId="6757ACDA" w:rsidR="00A0510D" w:rsidRPr="00A0510D" w:rsidRDefault="00A0510D">
      <w:pPr>
        <w:pStyle w:val="FootnoteText"/>
      </w:pPr>
      <w:r>
        <w:rPr>
          <w:rStyle w:val="FootnoteReference"/>
        </w:rPr>
        <w:footnoteRef/>
      </w:r>
      <w:r>
        <w:t xml:space="preserve"> Colin E. Gunton, </w:t>
      </w:r>
      <w:r>
        <w:rPr>
          <w:i/>
          <w:iCs/>
        </w:rPr>
        <w:t>The Promise of Trinitarian Theology</w:t>
      </w:r>
      <w:r>
        <w:t xml:space="preserve"> (Edinburgh: T &amp; T Clark, 1991), p.138.</w:t>
      </w:r>
    </w:p>
  </w:footnote>
  <w:footnote w:id="2">
    <w:p w14:paraId="1133531F" w14:textId="288513A4" w:rsidR="00A0510D" w:rsidRDefault="00A0510D">
      <w:pPr>
        <w:pStyle w:val="FootnoteText"/>
      </w:pPr>
      <w:r>
        <w:rPr>
          <w:rStyle w:val="FootnoteReference"/>
        </w:rPr>
        <w:footnoteRef/>
      </w:r>
      <w:r>
        <w:t xml:space="preserve"> </w:t>
      </w:r>
      <w:r>
        <w:t>Chap.</w:t>
      </w:r>
      <w:r>
        <w:t>28</w:t>
      </w:r>
      <w:r>
        <w:t>, v.</w:t>
      </w:r>
      <w:r>
        <w:t>19</w:t>
      </w:r>
      <w:r>
        <w:t>, NIV.</w:t>
      </w:r>
    </w:p>
  </w:footnote>
  <w:footnote w:id="3">
    <w:p w14:paraId="430F1B3A" w14:textId="01FDB413" w:rsidR="00A0510D" w:rsidRDefault="00A0510D">
      <w:pPr>
        <w:pStyle w:val="FootnoteText"/>
      </w:pPr>
      <w:r>
        <w:rPr>
          <w:rStyle w:val="FootnoteReference"/>
        </w:rPr>
        <w:footnoteRef/>
      </w:r>
      <w:r>
        <w:t xml:space="preserve"> Hopko, Thomas</w:t>
      </w:r>
      <w:r w:rsidRPr="00655056">
        <w:t>, '</w:t>
      </w:r>
      <w:r>
        <w:t xml:space="preserve">Apophatic Theology and the Naming of God in Eastern Orthodox Tradition’, in Alvin F. Kimel Jr (ed.), </w:t>
      </w:r>
      <w:r>
        <w:rPr>
          <w:i/>
          <w:iCs/>
        </w:rPr>
        <w:t xml:space="preserve">Speaking the Christian God: The Holy Trinity and the Challenge of Feminism </w:t>
      </w:r>
      <w:r>
        <w:t>(Grand Rapids, MN, Eerdmans, 1992), p.146.</w:t>
      </w:r>
    </w:p>
  </w:footnote>
  <w:footnote w:id="4">
    <w:p w14:paraId="74DEF43B" w14:textId="076DADAC" w:rsidR="00CC49E4" w:rsidRPr="00CC49E4" w:rsidRDefault="00CC49E4">
      <w:pPr>
        <w:pStyle w:val="FootnoteText"/>
      </w:pPr>
      <w:r>
        <w:rPr>
          <w:rStyle w:val="FootnoteReference"/>
        </w:rPr>
        <w:footnoteRef/>
      </w:r>
      <w:r>
        <w:t xml:space="preserve"> Augustine, </w:t>
      </w:r>
      <w:r>
        <w:rPr>
          <w:i/>
          <w:iCs/>
        </w:rPr>
        <w:t xml:space="preserve">The Trinity </w:t>
      </w:r>
      <w:r>
        <w:t>(Brooklyn, NY: New City Press, 1991), Bks IX to XI.</w:t>
      </w:r>
    </w:p>
  </w:footnote>
  <w:footnote w:id="5">
    <w:p w14:paraId="41C1BC7A" w14:textId="581653A4" w:rsidR="00CC49E4" w:rsidRDefault="00CC49E4">
      <w:pPr>
        <w:pStyle w:val="FootnoteText"/>
      </w:pPr>
      <w:r>
        <w:rPr>
          <w:rStyle w:val="FootnoteReference"/>
        </w:rPr>
        <w:footnoteRef/>
      </w:r>
      <w:r>
        <w:t xml:space="preserve"> Op. cit., p.48.</w:t>
      </w:r>
    </w:p>
  </w:footnote>
  <w:footnote w:id="6">
    <w:p w14:paraId="3D1DC546" w14:textId="1B4D39C5" w:rsidR="00CC49E4" w:rsidRDefault="00CC49E4">
      <w:pPr>
        <w:pStyle w:val="FootnoteText"/>
      </w:pPr>
      <w:r>
        <w:rPr>
          <w:rStyle w:val="FootnoteReference"/>
        </w:rPr>
        <w:footnoteRef/>
      </w:r>
      <w:r>
        <w:t xml:space="preserve"> Irenaeus, </w:t>
      </w:r>
      <w:r>
        <w:rPr>
          <w:i/>
          <w:iCs/>
        </w:rPr>
        <w:t>Against Heresies</w:t>
      </w:r>
      <w:r>
        <w:t xml:space="preserve">, iv, Preface &amp; 7 – quoted in </w:t>
      </w:r>
    </w:p>
    <w:p w14:paraId="3780967F" w14:textId="3260E2D1" w:rsidR="00CC49E4" w:rsidRPr="00CC49E4" w:rsidRDefault="00CC49E4">
      <w:pPr>
        <w:pStyle w:val="FootnoteText"/>
      </w:pPr>
      <w:r w:rsidRPr="00CC49E4">
        <w:t xml:space="preserve">Ralph de Colle – Gunton, C.E. (ed.), </w:t>
      </w:r>
      <w:r w:rsidRPr="00CC49E4">
        <w:rPr>
          <w:i/>
          <w:iCs/>
        </w:rPr>
        <w:t xml:space="preserve">The Cambridge Companion to Christian Doctrine </w:t>
      </w:r>
      <w:r w:rsidRPr="00CC49E4">
        <w:t>(Cambridge: Cambridge University Press, 1997)</w:t>
      </w:r>
      <w:r>
        <w:t>, p.1</w:t>
      </w:r>
      <w:r>
        <w:t>27</w:t>
      </w:r>
      <w:r>
        <w:t>.</w:t>
      </w:r>
    </w:p>
  </w:footnote>
  <w:footnote w:id="7">
    <w:p w14:paraId="20FA60DD" w14:textId="7A68C9C8" w:rsidR="00CC49E4" w:rsidRPr="00CC49E4" w:rsidRDefault="00CC49E4">
      <w:pPr>
        <w:pStyle w:val="FootnoteText"/>
      </w:pPr>
      <w:r>
        <w:rPr>
          <w:rStyle w:val="FootnoteReference"/>
        </w:rPr>
        <w:footnoteRef/>
      </w:r>
      <w:r>
        <w:t xml:space="preserve"> Vladimir </w:t>
      </w:r>
      <w:proofErr w:type="spellStart"/>
      <w:r>
        <w:t>Lossky</w:t>
      </w:r>
      <w:proofErr w:type="spellEnd"/>
      <w:r>
        <w:t xml:space="preserve">, </w:t>
      </w:r>
      <w:r>
        <w:rPr>
          <w:i/>
          <w:iCs/>
        </w:rPr>
        <w:t xml:space="preserve">The Mystical Theology of the Eastern Church </w:t>
      </w:r>
      <w:r>
        <w:t>(London, James Clarke &amp; Co., 1957), pp.64-65.</w:t>
      </w:r>
    </w:p>
  </w:footnote>
  <w:footnote w:id="8">
    <w:p w14:paraId="2F355205" w14:textId="3DC24B27" w:rsidR="00CC49E4" w:rsidRPr="00CC49E4" w:rsidRDefault="00CC49E4">
      <w:pPr>
        <w:pStyle w:val="FootnoteText"/>
      </w:pPr>
      <w:r>
        <w:rPr>
          <w:rStyle w:val="FootnoteReference"/>
        </w:rPr>
        <w:footnoteRef/>
      </w:r>
      <w:r>
        <w:t xml:space="preserve"> Karl Rahner, </w:t>
      </w:r>
      <w:r>
        <w:rPr>
          <w:i/>
          <w:iCs/>
        </w:rPr>
        <w:t xml:space="preserve">Foundations of Christian Faith: An Introduction to the Idea of Christianity </w:t>
      </w:r>
      <w:r>
        <w:t>(London: Darton, Longman and Todd, 1978), p.135.</w:t>
      </w:r>
    </w:p>
  </w:footnote>
  <w:footnote w:id="9">
    <w:p w14:paraId="69F876B0" w14:textId="6DB7389F" w:rsidR="00CC49E4" w:rsidRDefault="00CC49E4">
      <w:pPr>
        <w:pStyle w:val="FootnoteText"/>
      </w:pPr>
      <w:r>
        <w:rPr>
          <w:rStyle w:val="FootnoteReference"/>
        </w:rPr>
        <w:footnoteRef/>
      </w:r>
      <w:r>
        <w:t xml:space="preserve"> Op. cit., p.137.</w:t>
      </w:r>
    </w:p>
  </w:footnote>
  <w:footnote w:id="10">
    <w:p w14:paraId="5B78EEE4" w14:textId="074D7EE8" w:rsidR="00CC49E4" w:rsidRDefault="00CC49E4">
      <w:pPr>
        <w:pStyle w:val="FootnoteText"/>
      </w:pPr>
      <w:r>
        <w:rPr>
          <w:rStyle w:val="FootnoteReference"/>
        </w:rPr>
        <w:footnoteRef/>
      </w:r>
      <w:r>
        <w:t xml:space="preserve"> By ‘difficulty’ what is meant is the way that understanding of the dogma has been ‘eroded’ in the West, </w:t>
      </w:r>
      <w:proofErr w:type="gramStart"/>
      <w:r>
        <w:t>so as to</w:t>
      </w:r>
      <w:proofErr w:type="gramEnd"/>
      <w:r>
        <w:t xml:space="preserve"> mean little more than a figure of speech. </w:t>
      </w:r>
    </w:p>
  </w:footnote>
  <w:footnote w:id="11">
    <w:p w14:paraId="4C0DD6F1" w14:textId="47DCED70" w:rsidR="00CC49E4" w:rsidRDefault="00CC49E4">
      <w:pPr>
        <w:pStyle w:val="FootnoteText"/>
      </w:pPr>
      <w:r>
        <w:rPr>
          <w:rStyle w:val="FootnoteReference"/>
        </w:rPr>
        <w:footnoteRef/>
      </w:r>
      <w:r>
        <w:t xml:space="preserve"> </w:t>
      </w:r>
      <w:r>
        <w:t xml:space="preserve">Karl Barth, </w:t>
      </w:r>
      <w:r>
        <w:rPr>
          <w:i/>
          <w:iCs/>
        </w:rPr>
        <w:t xml:space="preserve">Church Dogmatics I/I </w:t>
      </w:r>
      <w:r>
        <w:t>(Edinburgh: T &amp; T Clark, 1936), p.</w:t>
      </w:r>
      <w:r>
        <w:t>304</w:t>
      </w:r>
      <w:r>
        <w:t>.</w:t>
      </w:r>
    </w:p>
  </w:footnote>
  <w:footnote w:id="12">
    <w:p w14:paraId="01A0AC6E" w14:textId="666E4DEA" w:rsidR="00CC49E4" w:rsidRPr="00CC49E4" w:rsidRDefault="00CC49E4">
      <w:pPr>
        <w:pStyle w:val="FootnoteText"/>
      </w:pPr>
      <w:r>
        <w:rPr>
          <w:rStyle w:val="FootnoteReference"/>
        </w:rPr>
        <w:footnoteRef/>
      </w:r>
      <w:r>
        <w:t xml:space="preserve"> Op. cit., p.309.</w:t>
      </w:r>
    </w:p>
  </w:footnote>
  <w:footnote w:id="13">
    <w:p w14:paraId="48944F6C" w14:textId="2323A33A" w:rsidR="00CC49E4" w:rsidRDefault="00CC49E4">
      <w:pPr>
        <w:pStyle w:val="FootnoteText"/>
      </w:pPr>
      <w:r>
        <w:rPr>
          <w:rStyle w:val="FootnoteReference"/>
        </w:rPr>
        <w:footnoteRef/>
      </w:r>
      <w:r>
        <w:t xml:space="preserve"> Op. cit., p. 360: ‘What we have here are God’s specific, different, and always very distinctive modes of being.’</w:t>
      </w:r>
    </w:p>
  </w:footnote>
  <w:footnote w:id="14">
    <w:p w14:paraId="251017D9" w14:textId="17086DB7" w:rsidR="00CC49E4" w:rsidRPr="00CC49E4" w:rsidRDefault="00CC49E4" w:rsidP="00CC49E4">
      <w:pPr>
        <w:pStyle w:val="FootnoteText"/>
      </w:pPr>
      <w:r>
        <w:rPr>
          <w:rStyle w:val="FootnoteReference"/>
        </w:rPr>
        <w:footnoteRef/>
      </w:r>
      <w:r>
        <w:t xml:space="preserve"> Nicholas Lash, </w:t>
      </w:r>
      <w:r>
        <w:rPr>
          <w:i/>
          <w:iCs/>
        </w:rPr>
        <w:t xml:space="preserve">Believing Three Ways in One God </w:t>
      </w:r>
      <w:r>
        <w:t>(London: SCM, 1992)</w:t>
      </w:r>
      <w:r>
        <w:t>, p.33.</w:t>
      </w:r>
    </w:p>
  </w:footnote>
  <w:footnote w:id="15">
    <w:p w14:paraId="3E78672A" w14:textId="4E357A11" w:rsidR="00CC49E4" w:rsidRDefault="00CC49E4">
      <w:pPr>
        <w:pStyle w:val="FootnoteText"/>
      </w:pPr>
      <w:r>
        <w:rPr>
          <w:rStyle w:val="FootnoteReference"/>
        </w:rPr>
        <w:footnoteRef/>
      </w:r>
      <w:r>
        <w:t xml:space="preserve"> Op. cit., pp32-33.</w:t>
      </w:r>
    </w:p>
  </w:footnote>
  <w:footnote w:id="16">
    <w:p w14:paraId="3DB80C71" w14:textId="3D5DDDDE" w:rsidR="00CC49E4" w:rsidRDefault="00CC49E4">
      <w:pPr>
        <w:pStyle w:val="FootnoteText"/>
      </w:pPr>
      <w:r>
        <w:rPr>
          <w:rStyle w:val="FootnoteReference"/>
        </w:rPr>
        <w:footnoteRef/>
      </w:r>
      <w:r>
        <w:t xml:space="preserve"> Geoffrey Wainwright, ‘Trinitarian Worship’</w:t>
      </w:r>
      <w:r>
        <w:t xml:space="preserve">, in Alvin F. Kimel Jr (ed.), </w:t>
      </w:r>
      <w:r>
        <w:rPr>
          <w:i/>
          <w:iCs/>
        </w:rPr>
        <w:t xml:space="preserve">Speaking the Christian God: The Holy Trinity and the Challenge of Feminism </w:t>
      </w:r>
      <w:r>
        <w:t>(Grand Rapids, MN, Eerdmans, 1992), p</w:t>
      </w:r>
      <w:r>
        <w:t>p</w:t>
      </w:r>
      <w:r>
        <w:t>.</w:t>
      </w:r>
      <w:r>
        <w:t>214-215</w:t>
      </w:r>
      <w:r>
        <w:t>.</w:t>
      </w:r>
    </w:p>
  </w:footnote>
  <w:footnote w:id="17">
    <w:p w14:paraId="6BC30811" w14:textId="77777777" w:rsidR="00CC49E4" w:rsidRDefault="00CC49E4">
      <w:pPr>
        <w:pStyle w:val="FootnoteText"/>
      </w:pPr>
      <w:r>
        <w:rPr>
          <w:rStyle w:val="FootnoteReference"/>
        </w:rPr>
        <w:footnoteRef/>
      </w:r>
      <w:r>
        <w:t xml:space="preserve"> Alvin F. Kimel Jr., ‘The God who Likes his Name’</w:t>
      </w:r>
      <w:r>
        <w:t xml:space="preserve">, in Alvin F. Kimel Jr (ed.), </w:t>
      </w:r>
      <w:r>
        <w:rPr>
          <w:i/>
          <w:iCs/>
        </w:rPr>
        <w:t xml:space="preserve">Speaking the Christian God: The Holy Trinity and the Challenge of Feminism </w:t>
      </w:r>
      <w:r>
        <w:t>(Grand Rapids, MN, Eerdmans, 1992), p.</w:t>
      </w:r>
      <w:r>
        <w:t xml:space="preserve">195, quoting </w:t>
      </w:r>
    </w:p>
    <w:p w14:paraId="56151D37" w14:textId="2E1517F3" w:rsidR="00CC49E4" w:rsidRPr="00CC49E4" w:rsidRDefault="00CC49E4">
      <w:pPr>
        <w:pStyle w:val="FootnoteText"/>
      </w:pPr>
      <w:r>
        <w:t xml:space="preserve">R. Jenson, </w:t>
      </w:r>
      <w:r>
        <w:rPr>
          <w:i/>
          <w:iCs/>
        </w:rPr>
        <w:t xml:space="preserve">The Triune Identity: God According to the Gospel </w:t>
      </w:r>
      <w:r>
        <w:t>(Philadelphia, Fortress Press, 1982), pp1-20.</w:t>
      </w:r>
    </w:p>
  </w:footnote>
  <w:footnote w:id="18">
    <w:p w14:paraId="390454CA" w14:textId="3F8D38A4" w:rsidR="00D041A9" w:rsidRDefault="00D041A9">
      <w:pPr>
        <w:pStyle w:val="FootnoteText"/>
      </w:pPr>
      <w:r>
        <w:rPr>
          <w:rStyle w:val="FootnoteReference"/>
        </w:rPr>
        <w:footnoteRef/>
      </w:r>
      <w:r>
        <w:t xml:space="preserve"> Op. cit., p.201: ‘It is not that the stories of Jesus, the Father, and the Holy Spirit vaguely reveal the divine being: they are constitutive of it.’</w:t>
      </w:r>
    </w:p>
  </w:footnote>
  <w:footnote w:id="19">
    <w:p w14:paraId="1B72362B" w14:textId="5C105792" w:rsidR="00D041A9" w:rsidRDefault="00D041A9">
      <w:pPr>
        <w:pStyle w:val="FootnoteText"/>
      </w:pPr>
      <w:r>
        <w:rPr>
          <w:rStyle w:val="FootnoteReference"/>
        </w:rPr>
        <w:footnoteRef/>
      </w:r>
      <w:r>
        <w:t xml:space="preserve"> Op. cit., p.202.</w:t>
      </w:r>
    </w:p>
  </w:footnote>
  <w:footnote w:id="20">
    <w:p w14:paraId="0464B252" w14:textId="62394EB4" w:rsidR="00D041A9" w:rsidRDefault="00D041A9">
      <w:pPr>
        <w:pStyle w:val="FootnoteText"/>
      </w:pPr>
      <w:r>
        <w:rPr>
          <w:rStyle w:val="FootnoteReference"/>
        </w:rPr>
        <w:footnoteRef/>
      </w:r>
      <w:r>
        <w:t xml:space="preserve"> </w:t>
      </w:r>
      <w:r>
        <w:t xml:space="preserve">Colin E. Gunton, </w:t>
      </w:r>
      <w:r>
        <w:rPr>
          <w:i/>
          <w:iCs/>
        </w:rPr>
        <w:t>The Promise of Trinitarian Theology</w:t>
      </w:r>
      <w:r>
        <w:t xml:space="preserve"> (Edinburgh: T &amp; T Clark, 1991), p</w:t>
      </w:r>
      <w:r>
        <w:t>p.136-137, quoting</w:t>
      </w:r>
    </w:p>
    <w:p w14:paraId="07638443" w14:textId="6702FBEF" w:rsidR="00D041A9" w:rsidRPr="00D041A9" w:rsidRDefault="00D041A9">
      <w:pPr>
        <w:pStyle w:val="FootnoteText"/>
      </w:pPr>
      <w:r>
        <w:t xml:space="preserve">R. Jenson, ‘The Triune God’, </w:t>
      </w:r>
      <w:r>
        <w:rPr>
          <w:i/>
          <w:iCs/>
        </w:rPr>
        <w:t>Christian Dogmatics</w:t>
      </w:r>
      <w:r>
        <w:t xml:space="preserve">, </w:t>
      </w:r>
      <w:proofErr w:type="spellStart"/>
      <w:r>
        <w:t>edd</w:t>
      </w:r>
      <w:proofErr w:type="spellEnd"/>
      <w:r>
        <w:t xml:space="preserve">. C.E. Braaten and R.W. Jenson, Philadelphia: Fortress Press, 1984, </w:t>
      </w:r>
      <w:proofErr w:type="spellStart"/>
      <w:r>
        <w:t>Vol.I</w:t>
      </w:r>
      <w:proofErr w:type="spellEnd"/>
      <w:r>
        <w:t>, pp.170f.</w:t>
      </w:r>
    </w:p>
  </w:footnote>
  <w:footnote w:id="21">
    <w:p w14:paraId="7493788D" w14:textId="2BE00A71" w:rsidR="00D041A9" w:rsidRDefault="00D041A9">
      <w:pPr>
        <w:pStyle w:val="FootnoteText"/>
      </w:pPr>
      <w:r>
        <w:rPr>
          <w:rStyle w:val="FootnoteReference"/>
        </w:rPr>
        <w:footnoteRef/>
      </w:r>
      <w:r>
        <w:t xml:space="preserve"> Op. </w:t>
      </w:r>
      <w:proofErr w:type="spellStart"/>
      <w:r>
        <w:t>cit</w:t>
      </w:r>
      <w:proofErr w:type="spellEnd"/>
      <w:r>
        <w:t>, p.205.</w:t>
      </w:r>
    </w:p>
  </w:footnote>
  <w:footnote w:id="22">
    <w:p w14:paraId="0716E270" w14:textId="53003702" w:rsidR="00D041A9" w:rsidRDefault="00D041A9">
      <w:pPr>
        <w:pStyle w:val="FootnoteText"/>
      </w:pPr>
      <w:r>
        <w:rPr>
          <w:rStyle w:val="FootnoteReference"/>
        </w:rPr>
        <w:footnoteRef/>
      </w:r>
      <w:r>
        <w:t xml:space="preserve"> As above: </w:t>
      </w:r>
      <w:r>
        <w:t>‘The Trinity is constituted in and by historical events.’</w:t>
      </w:r>
    </w:p>
  </w:footnote>
  <w:footnote w:id="23">
    <w:p w14:paraId="217C3C6B" w14:textId="1F0D0A6A" w:rsidR="00D041A9" w:rsidRDefault="00D041A9">
      <w:pPr>
        <w:pStyle w:val="FootnoteText"/>
      </w:pPr>
      <w:r>
        <w:rPr>
          <w:rStyle w:val="FootnoteReference"/>
        </w:rPr>
        <w:footnoteRef/>
      </w:r>
      <w:r>
        <w:t xml:space="preserve"> Op. cit., p.85.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973"/>
    <w:rsid w:val="00152561"/>
    <w:rsid w:val="00477A1D"/>
    <w:rsid w:val="00517973"/>
    <w:rsid w:val="005A5C59"/>
    <w:rsid w:val="0077100E"/>
    <w:rsid w:val="00872873"/>
    <w:rsid w:val="008D406B"/>
    <w:rsid w:val="00A0510D"/>
    <w:rsid w:val="00B87C04"/>
    <w:rsid w:val="00CC49E4"/>
    <w:rsid w:val="00D041A9"/>
    <w:rsid w:val="00E104ED"/>
    <w:rsid w:val="00FC4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B71342"/>
  <w15:chartTrackingRefBased/>
  <w15:docId w15:val="{C4FF42D6-6281-344F-9A0E-B3092E06F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79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79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79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79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79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797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797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797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797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79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79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79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79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79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79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79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79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7973"/>
    <w:rPr>
      <w:rFonts w:eastAsiaTheme="majorEastAsia" w:cstheme="majorBidi"/>
      <w:color w:val="272727" w:themeColor="text1" w:themeTint="D8"/>
    </w:rPr>
  </w:style>
  <w:style w:type="paragraph" w:styleId="Title">
    <w:name w:val="Title"/>
    <w:basedOn w:val="Normal"/>
    <w:next w:val="Normal"/>
    <w:link w:val="TitleChar"/>
    <w:uiPriority w:val="10"/>
    <w:qFormat/>
    <w:rsid w:val="0051797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79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797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79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797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17973"/>
    <w:rPr>
      <w:i/>
      <w:iCs/>
      <w:color w:val="404040" w:themeColor="text1" w:themeTint="BF"/>
    </w:rPr>
  </w:style>
  <w:style w:type="paragraph" w:styleId="ListParagraph">
    <w:name w:val="List Paragraph"/>
    <w:basedOn w:val="Normal"/>
    <w:uiPriority w:val="34"/>
    <w:qFormat/>
    <w:rsid w:val="00517973"/>
    <w:pPr>
      <w:ind w:left="720"/>
      <w:contextualSpacing/>
    </w:pPr>
  </w:style>
  <w:style w:type="character" w:styleId="IntenseEmphasis">
    <w:name w:val="Intense Emphasis"/>
    <w:basedOn w:val="DefaultParagraphFont"/>
    <w:uiPriority w:val="21"/>
    <w:qFormat/>
    <w:rsid w:val="00517973"/>
    <w:rPr>
      <w:i/>
      <w:iCs/>
      <w:color w:val="0F4761" w:themeColor="accent1" w:themeShade="BF"/>
    </w:rPr>
  </w:style>
  <w:style w:type="paragraph" w:styleId="IntenseQuote">
    <w:name w:val="Intense Quote"/>
    <w:basedOn w:val="Normal"/>
    <w:next w:val="Normal"/>
    <w:link w:val="IntenseQuoteChar"/>
    <w:uiPriority w:val="30"/>
    <w:qFormat/>
    <w:rsid w:val="005179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7973"/>
    <w:rPr>
      <w:i/>
      <w:iCs/>
      <w:color w:val="0F4761" w:themeColor="accent1" w:themeShade="BF"/>
    </w:rPr>
  </w:style>
  <w:style w:type="character" w:styleId="IntenseReference">
    <w:name w:val="Intense Reference"/>
    <w:basedOn w:val="DefaultParagraphFont"/>
    <w:uiPriority w:val="32"/>
    <w:qFormat/>
    <w:rsid w:val="00517973"/>
    <w:rPr>
      <w:b/>
      <w:bCs/>
      <w:smallCaps/>
      <w:color w:val="0F4761" w:themeColor="accent1" w:themeShade="BF"/>
      <w:spacing w:val="5"/>
    </w:rPr>
  </w:style>
  <w:style w:type="paragraph" w:styleId="FootnoteText">
    <w:name w:val="footnote text"/>
    <w:basedOn w:val="Normal"/>
    <w:link w:val="FootnoteTextChar"/>
    <w:uiPriority w:val="99"/>
    <w:semiHidden/>
    <w:unhideWhenUsed/>
    <w:rsid w:val="00A0510D"/>
    <w:rPr>
      <w:sz w:val="20"/>
      <w:szCs w:val="20"/>
    </w:rPr>
  </w:style>
  <w:style w:type="character" w:customStyle="1" w:styleId="FootnoteTextChar">
    <w:name w:val="Footnote Text Char"/>
    <w:basedOn w:val="DefaultParagraphFont"/>
    <w:link w:val="FootnoteText"/>
    <w:uiPriority w:val="99"/>
    <w:semiHidden/>
    <w:rsid w:val="00A0510D"/>
    <w:rPr>
      <w:sz w:val="20"/>
      <w:szCs w:val="20"/>
    </w:rPr>
  </w:style>
  <w:style w:type="character" w:styleId="FootnoteReference">
    <w:name w:val="footnote reference"/>
    <w:basedOn w:val="DefaultParagraphFont"/>
    <w:uiPriority w:val="99"/>
    <w:semiHidden/>
    <w:unhideWhenUsed/>
    <w:rsid w:val="00A0510D"/>
    <w:rPr>
      <w:vertAlign w:val="superscript"/>
    </w:rPr>
  </w:style>
  <w:style w:type="paragraph" w:styleId="Footer">
    <w:name w:val="footer"/>
    <w:basedOn w:val="Normal"/>
    <w:link w:val="FooterChar"/>
    <w:uiPriority w:val="99"/>
    <w:unhideWhenUsed/>
    <w:rsid w:val="00152561"/>
    <w:pPr>
      <w:tabs>
        <w:tab w:val="center" w:pos="4513"/>
        <w:tab w:val="right" w:pos="9026"/>
      </w:tabs>
    </w:pPr>
  </w:style>
  <w:style w:type="character" w:customStyle="1" w:styleId="FooterChar">
    <w:name w:val="Footer Char"/>
    <w:basedOn w:val="DefaultParagraphFont"/>
    <w:link w:val="Footer"/>
    <w:uiPriority w:val="99"/>
    <w:rsid w:val="00152561"/>
  </w:style>
  <w:style w:type="character" w:styleId="PageNumber">
    <w:name w:val="page number"/>
    <w:basedOn w:val="DefaultParagraphFont"/>
    <w:uiPriority w:val="99"/>
    <w:semiHidden/>
    <w:unhideWhenUsed/>
    <w:rsid w:val="00152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B261B-7652-3748-9902-F490AB436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4</Pages>
  <Words>1789</Words>
  <Characters>9270</Characters>
  <Application>Microsoft Office Word</Application>
  <DocSecurity>0</DocSecurity>
  <Lines>165</Lines>
  <Paragraphs>58</Paragraphs>
  <ScaleCrop>false</ScaleCrop>
  <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Young</dc:creator>
  <cp:keywords/>
  <dc:description/>
  <cp:lastModifiedBy>Patrick Young</cp:lastModifiedBy>
  <cp:revision>7</cp:revision>
  <dcterms:created xsi:type="dcterms:W3CDTF">2025-05-12T08:47:00Z</dcterms:created>
  <dcterms:modified xsi:type="dcterms:W3CDTF">2025-05-12T15:09:00Z</dcterms:modified>
</cp:coreProperties>
</file>