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98EC6" w14:textId="1834E272" w:rsidR="00BA5B63" w:rsidRPr="00996161" w:rsidRDefault="00996161"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noProof/>
          <w:sz w:val="24"/>
          <w:szCs w:val="24"/>
        </w:rPr>
        <w:drawing>
          <wp:anchor distT="0" distB="0" distL="114300" distR="114300" simplePos="0" relativeHeight="251658240" behindDoc="0" locked="0" layoutInCell="1" allowOverlap="1" wp14:anchorId="3FDFF22D" wp14:editId="7B81A2CD">
            <wp:simplePos x="0" y="0"/>
            <wp:positionH relativeFrom="column">
              <wp:posOffset>4276725</wp:posOffset>
            </wp:positionH>
            <wp:positionV relativeFrom="page">
              <wp:posOffset>504825</wp:posOffset>
            </wp:positionV>
            <wp:extent cx="1816100" cy="600075"/>
            <wp:effectExtent l="0" t="0" r="0" b="9525"/>
            <wp:wrapSquare wrapText="bothSides"/>
            <wp:docPr id="145230828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a:picLocks noChangeAspect="1"/>
                    </pic:cNvPicPr>
                  </pic:nvPicPr>
                  <pic:blipFill>
                    <a:blip r:embed="rId7">
                      <a:extLst>
                        <a:ext uri="{28A0092B-C50C-407E-A947-70E740481C1C}">
                          <a14:useLocalDpi xmlns:a14="http://schemas.microsoft.com/office/drawing/2010/main" val="0"/>
                        </a:ext>
                      </a:extLst>
                    </a:blip>
                    <a:stretch/>
                  </pic:blipFill>
                  <pic:spPr bwMode="auto">
                    <a:xfrm>
                      <a:off x="0" y="0"/>
                      <a:ext cx="1816100" cy="600075"/>
                    </a:xfrm>
                    <a:prstGeom prst="rect">
                      <a:avLst/>
                    </a:prstGeom>
                  </pic:spPr>
                </pic:pic>
              </a:graphicData>
            </a:graphic>
          </wp:anchor>
        </w:drawing>
      </w:r>
    </w:p>
    <w:p w14:paraId="6346E96A"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022DEF03" w14:textId="77777777" w:rsidR="00996161" w:rsidRPr="00996161" w:rsidRDefault="00996161" w:rsidP="00996161">
      <w:pPr>
        <w:spacing w:line="360" w:lineRule="auto"/>
        <w:jc w:val="both"/>
        <w:rPr>
          <w:rFonts w:ascii="Times New Roman" w:hAnsi="Times New Roman" w:cs="Times New Roman"/>
          <w:color w:val="000000" w:themeColor="text1"/>
          <w:sz w:val="24"/>
          <w:szCs w:val="24"/>
        </w:rPr>
      </w:pPr>
    </w:p>
    <w:p w14:paraId="50DABAD4" w14:textId="77777777" w:rsidR="00996161" w:rsidRPr="00996161" w:rsidRDefault="00996161" w:rsidP="00996161">
      <w:pPr>
        <w:spacing w:line="360" w:lineRule="auto"/>
        <w:jc w:val="both"/>
        <w:rPr>
          <w:rFonts w:ascii="Times New Roman" w:hAnsi="Times New Roman" w:cs="Times New Roman"/>
          <w:color w:val="000000" w:themeColor="text1"/>
          <w:sz w:val="24"/>
          <w:szCs w:val="24"/>
        </w:rPr>
      </w:pPr>
    </w:p>
    <w:p w14:paraId="557523C8" w14:textId="77777777" w:rsidR="00996161" w:rsidRPr="00996161" w:rsidRDefault="00996161" w:rsidP="00996161">
      <w:pPr>
        <w:spacing w:line="360" w:lineRule="auto"/>
        <w:jc w:val="both"/>
        <w:rPr>
          <w:rFonts w:ascii="Times New Roman" w:hAnsi="Times New Roman" w:cs="Times New Roman"/>
          <w:color w:val="000000" w:themeColor="text1"/>
          <w:sz w:val="24"/>
          <w:szCs w:val="24"/>
        </w:rPr>
      </w:pPr>
    </w:p>
    <w:p w14:paraId="70213021" w14:textId="77777777" w:rsidR="00996161" w:rsidRPr="00996161" w:rsidRDefault="00996161" w:rsidP="00996161">
      <w:pPr>
        <w:spacing w:line="360" w:lineRule="auto"/>
        <w:jc w:val="both"/>
        <w:rPr>
          <w:rFonts w:ascii="Times New Roman" w:hAnsi="Times New Roman" w:cs="Times New Roman"/>
          <w:color w:val="000000" w:themeColor="text1"/>
          <w:sz w:val="24"/>
          <w:szCs w:val="24"/>
        </w:rPr>
      </w:pPr>
    </w:p>
    <w:p w14:paraId="7393D419" w14:textId="77777777" w:rsidR="00996161" w:rsidRPr="00996161" w:rsidRDefault="00996161" w:rsidP="00996161">
      <w:pPr>
        <w:spacing w:line="360" w:lineRule="auto"/>
        <w:jc w:val="both"/>
        <w:rPr>
          <w:rFonts w:ascii="Times New Roman" w:hAnsi="Times New Roman" w:cs="Times New Roman"/>
          <w:color w:val="000000" w:themeColor="text1"/>
          <w:sz w:val="24"/>
          <w:szCs w:val="24"/>
        </w:rPr>
      </w:pPr>
    </w:p>
    <w:p w14:paraId="7AA6BEA4" w14:textId="77777777" w:rsidR="00996161" w:rsidRPr="00996161" w:rsidRDefault="00996161" w:rsidP="00996161">
      <w:pPr>
        <w:spacing w:line="360" w:lineRule="auto"/>
        <w:jc w:val="both"/>
        <w:rPr>
          <w:rFonts w:ascii="Times New Roman" w:hAnsi="Times New Roman" w:cs="Times New Roman"/>
          <w:color w:val="000000" w:themeColor="text1"/>
          <w:sz w:val="24"/>
          <w:szCs w:val="24"/>
        </w:rPr>
      </w:pPr>
    </w:p>
    <w:p w14:paraId="773566B0" w14:textId="093CC03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Module: Organisational Culture (LCLM 5005)</w:t>
      </w:r>
    </w:p>
    <w:p w14:paraId="56B1533D" w14:textId="4570F383"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Component: Component 1 </w:t>
      </w:r>
      <w:r w:rsidR="00D3665E">
        <w:rPr>
          <w:rFonts w:ascii="Times New Roman" w:hAnsi="Times New Roman" w:cs="Times New Roman"/>
          <w:color w:val="000000" w:themeColor="text1"/>
          <w:sz w:val="24"/>
          <w:szCs w:val="24"/>
        </w:rPr>
        <w:t>-</w:t>
      </w:r>
      <w:r w:rsidRPr="00996161">
        <w:rPr>
          <w:rFonts w:ascii="Times New Roman" w:hAnsi="Times New Roman" w:cs="Times New Roman"/>
          <w:color w:val="000000" w:themeColor="text1"/>
          <w:sz w:val="24"/>
          <w:szCs w:val="24"/>
        </w:rPr>
        <w:t xml:space="preserve"> Individual Report</w:t>
      </w:r>
    </w:p>
    <w:p w14:paraId="6BD33B2D"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Organisation Analysed: Tesco PLC</w:t>
      </w:r>
    </w:p>
    <w:p w14:paraId="21921C65" w14:textId="16943894"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Word Count: </w:t>
      </w:r>
      <w:r w:rsidR="00061CA9">
        <w:rPr>
          <w:rFonts w:ascii="Times New Roman" w:hAnsi="Times New Roman" w:cs="Times New Roman"/>
          <w:color w:val="000000" w:themeColor="text1"/>
          <w:sz w:val="24"/>
          <w:szCs w:val="24"/>
        </w:rPr>
        <w:t>3122</w:t>
      </w:r>
    </w:p>
    <w:p w14:paraId="7D5809A8" w14:textId="77777777" w:rsidR="00BA5B63"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Submission Date: 16 March 2026</w:t>
      </w:r>
    </w:p>
    <w:p w14:paraId="603BDE7F" w14:textId="77777777" w:rsidR="00EC77BE" w:rsidRDefault="00EC77BE" w:rsidP="00996161">
      <w:pPr>
        <w:spacing w:line="360" w:lineRule="auto"/>
        <w:jc w:val="both"/>
        <w:rPr>
          <w:rFonts w:ascii="Times New Roman" w:hAnsi="Times New Roman" w:cs="Times New Roman"/>
          <w:color w:val="000000" w:themeColor="text1"/>
          <w:sz w:val="24"/>
          <w:szCs w:val="24"/>
        </w:rPr>
      </w:pPr>
    </w:p>
    <w:p w14:paraId="19F6BB3D" w14:textId="77777777" w:rsidR="00EC77BE" w:rsidRDefault="00EC77BE" w:rsidP="00996161">
      <w:pPr>
        <w:spacing w:line="360" w:lineRule="auto"/>
        <w:jc w:val="both"/>
        <w:rPr>
          <w:rFonts w:ascii="Times New Roman" w:hAnsi="Times New Roman" w:cs="Times New Roman"/>
          <w:color w:val="000000" w:themeColor="text1"/>
          <w:sz w:val="24"/>
          <w:szCs w:val="24"/>
        </w:rPr>
      </w:pPr>
    </w:p>
    <w:p w14:paraId="41475B8F" w14:textId="31CA9FFD" w:rsidR="00EC77BE" w:rsidRPr="00EC77BE" w:rsidRDefault="00EC77BE" w:rsidP="00996161">
      <w:pPr>
        <w:spacing w:line="360" w:lineRule="auto"/>
        <w:jc w:val="both"/>
        <w:rPr>
          <w:rFonts w:ascii="Times New Roman" w:hAnsi="Times New Roman" w:cs="Times New Roman"/>
          <w:color w:val="000000" w:themeColor="text1"/>
          <w:sz w:val="24"/>
          <w:szCs w:val="24"/>
          <w:lang w:val="nl-NL"/>
        </w:rPr>
      </w:pPr>
      <w:r w:rsidRPr="00EC77BE">
        <w:rPr>
          <w:rFonts w:ascii="Times New Roman" w:hAnsi="Times New Roman" w:cs="Times New Roman"/>
          <w:color w:val="000000" w:themeColor="text1"/>
          <w:sz w:val="24"/>
          <w:szCs w:val="24"/>
          <w:lang w:val="nl-NL"/>
        </w:rPr>
        <w:t xml:space="preserve">Student Name: </w:t>
      </w:r>
      <w:proofErr w:type="spellStart"/>
      <w:r w:rsidRPr="00EC77BE">
        <w:rPr>
          <w:rFonts w:ascii="Times New Roman" w:hAnsi="Times New Roman" w:cs="Times New Roman"/>
          <w:color w:val="000000" w:themeColor="text1"/>
          <w:sz w:val="24"/>
          <w:szCs w:val="24"/>
          <w:lang w:val="nl-NL"/>
        </w:rPr>
        <w:t>D</w:t>
      </w:r>
      <w:r>
        <w:rPr>
          <w:rFonts w:ascii="Times New Roman" w:hAnsi="Times New Roman" w:cs="Times New Roman"/>
          <w:color w:val="000000" w:themeColor="text1"/>
          <w:sz w:val="24"/>
          <w:szCs w:val="24"/>
          <w:lang w:val="nl-NL"/>
        </w:rPr>
        <w:t>aneil</w:t>
      </w:r>
      <w:proofErr w:type="spellEnd"/>
      <w:r>
        <w:rPr>
          <w:rFonts w:ascii="Times New Roman" w:hAnsi="Times New Roman" w:cs="Times New Roman"/>
          <w:color w:val="000000" w:themeColor="text1"/>
          <w:sz w:val="24"/>
          <w:szCs w:val="24"/>
          <w:lang w:val="nl-NL"/>
        </w:rPr>
        <w:t xml:space="preserve"> </w:t>
      </w:r>
      <w:proofErr w:type="spellStart"/>
      <w:r>
        <w:rPr>
          <w:rFonts w:ascii="Times New Roman" w:hAnsi="Times New Roman" w:cs="Times New Roman"/>
          <w:color w:val="000000" w:themeColor="text1"/>
          <w:sz w:val="24"/>
          <w:szCs w:val="24"/>
          <w:lang w:val="nl-NL"/>
        </w:rPr>
        <w:t>Stoican</w:t>
      </w:r>
      <w:proofErr w:type="spellEnd"/>
    </w:p>
    <w:p w14:paraId="102A19BD" w14:textId="717E3EE4" w:rsidR="00EC77BE" w:rsidRPr="00EC77BE" w:rsidRDefault="00EC77BE" w:rsidP="00996161">
      <w:pPr>
        <w:spacing w:line="360" w:lineRule="auto"/>
        <w:jc w:val="both"/>
        <w:rPr>
          <w:rFonts w:ascii="Times New Roman" w:hAnsi="Times New Roman" w:cs="Times New Roman"/>
          <w:color w:val="000000" w:themeColor="text1"/>
          <w:sz w:val="24"/>
          <w:szCs w:val="24"/>
          <w:lang w:val="nl-NL"/>
        </w:rPr>
      </w:pPr>
      <w:r w:rsidRPr="00EC77BE">
        <w:rPr>
          <w:rFonts w:ascii="Times New Roman" w:hAnsi="Times New Roman" w:cs="Times New Roman"/>
          <w:color w:val="000000" w:themeColor="text1"/>
          <w:sz w:val="24"/>
          <w:szCs w:val="24"/>
          <w:lang w:val="nl-NL"/>
        </w:rPr>
        <w:t>Student ID:</w:t>
      </w:r>
      <w:r>
        <w:rPr>
          <w:rFonts w:ascii="Times New Roman" w:hAnsi="Times New Roman" w:cs="Times New Roman"/>
          <w:color w:val="000000" w:themeColor="text1"/>
          <w:sz w:val="24"/>
          <w:szCs w:val="24"/>
          <w:lang w:val="nl-NL"/>
        </w:rPr>
        <w:t xml:space="preserve"> 2228042</w:t>
      </w:r>
    </w:p>
    <w:p w14:paraId="3577705D" w14:textId="77777777" w:rsidR="00BA5B63" w:rsidRPr="00EC77BE" w:rsidRDefault="00000000" w:rsidP="00996161">
      <w:pPr>
        <w:spacing w:line="360" w:lineRule="auto"/>
        <w:rPr>
          <w:rFonts w:ascii="Times New Roman" w:hAnsi="Times New Roman" w:cs="Times New Roman"/>
          <w:color w:val="000000" w:themeColor="text1"/>
          <w:sz w:val="24"/>
          <w:szCs w:val="24"/>
          <w:lang w:val="nl-NL"/>
        </w:rPr>
      </w:pPr>
      <w:r w:rsidRPr="00EC77BE">
        <w:rPr>
          <w:rFonts w:ascii="Times New Roman" w:hAnsi="Times New Roman" w:cs="Times New Roman"/>
          <w:color w:val="000000" w:themeColor="text1"/>
          <w:sz w:val="24"/>
          <w:szCs w:val="24"/>
          <w:lang w:val="nl-NL"/>
        </w:rPr>
        <w:br w:type="page"/>
      </w:r>
    </w:p>
    <w:sdt>
      <w:sdtPr>
        <w:rPr>
          <w:rFonts w:ascii="Times New Roman" w:eastAsia="SimSun" w:hAnsi="Times New Roman" w:cs="Times New Roman"/>
          <w:color w:val="000000" w:themeColor="text1"/>
          <w:sz w:val="24"/>
          <w:szCs w:val="24"/>
        </w:rPr>
        <w:id w:val="147473042"/>
        <w15:color w:val="DBDBDB"/>
        <w:docPartObj>
          <w:docPartGallery w:val="Table of Contents"/>
          <w:docPartUnique/>
        </w:docPartObj>
      </w:sdtPr>
      <w:sdtContent>
        <w:p w14:paraId="3C324DDD" w14:textId="6215D472" w:rsidR="00BA5B63" w:rsidRPr="00C17029" w:rsidRDefault="00C17029" w:rsidP="00996161">
          <w:pPr>
            <w:spacing w:line="360" w:lineRule="auto"/>
            <w:jc w:val="center"/>
            <w:rPr>
              <w:rFonts w:ascii="Times New Roman" w:hAnsi="Times New Roman" w:cs="Times New Roman"/>
              <w:b/>
              <w:bCs/>
              <w:color w:val="000000" w:themeColor="text1"/>
              <w:sz w:val="24"/>
              <w:szCs w:val="24"/>
            </w:rPr>
          </w:pPr>
          <w:r w:rsidRPr="00C17029">
            <w:rPr>
              <w:rFonts w:ascii="Times New Roman" w:eastAsia="SimSun" w:hAnsi="Times New Roman" w:cs="Times New Roman"/>
              <w:b/>
              <w:bCs/>
              <w:color w:val="000000" w:themeColor="text1"/>
              <w:sz w:val="24"/>
              <w:szCs w:val="24"/>
            </w:rPr>
            <w:t>Table of Contents</w:t>
          </w:r>
        </w:p>
        <w:p w14:paraId="70E1ECA0" w14:textId="24E6A812" w:rsidR="00BA5B63" w:rsidRPr="00996161" w:rsidRDefault="00000000" w:rsidP="00996161">
          <w:pPr>
            <w:pStyle w:val="TOC1"/>
            <w:tabs>
              <w:tab w:val="right" w:leader="dot" w:pos="9386"/>
            </w:tabs>
            <w:spacing w:line="360" w:lineRule="auto"/>
            <w:rPr>
              <w:rFonts w:ascii="Times New Roman" w:hAnsi="Times New Roman" w:cs="Times New Roman"/>
              <w:noProof/>
              <w:color w:val="000000" w:themeColor="text1"/>
              <w:sz w:val="24"/>
              <w:szCs w:val="24"/>
            </w:rPr>
          </w:pPr>
          <w:r w:rsidRPr="00996161">
            <w:rPr>
              <w:rFonts w:ascii="Times New Roman" w:hAnsi="Times New Roman" w:cs="Times New Roman"/>
              <w:color w:val="000000" w:themeColor="text1"/>
              <w:sz w:val="24"/>
              <w:szCs w:val="24"/>
            </w:rPr>
            <w:fldChar w:fldCharType="begin"/>
          </w:r>
          <w:r w:rsidRPr="00996161">
            <w:rPr>
              <w:rFonts w:ascii="Times New Roman" w:hAnsi="Times New Roman" w:cs="Times New Roman"/>
              <w:color w:val="000000" w:themeColor="text1"/>
              <w:sz w:val="24"/>
              <w:szCs w:val="24"/>
            </w:rPr>
            <w:instrText xml:space="preserve">TOC \o "1-3" \h \u </w:instrText>
          </w:r>
          <w:r w:rsidRPr="00996161">
            <w:rPr>
              <w:rFonts w:ascii="Times New Roman" w:hAnsi="Times New Roman" w:cs="Times New Roman"/>
              <w:color w:val="000000" w:themeColor="text1"/>
              <w:sz w:val="24"/>
              <w:szCs w:val="24"/>
            </w:rPr>
            <w:fldChar w:fldCharType="separate"/>
          </w:r>
          <w:hyperlink w:anchor="_Toc2856" w:history="1">
            <w:r w:rsidR="00BA5B63" w:rsidRPr="00996161">
              <w:rPr>
                <w:rFonts w:ascii="Times New Roman" w:hAnsi="Times New Roman" w:cs="Times New Roman"/>
                <w:noProof/>
                <w:color w:val="000000" w:themeColor="text1"/>
                <w:sz w:val="24"/>
                <w:szCs w:val="24"/>
              </w:rPr>
              <w:t>1. Introduction</w:t>
            </w:r>
            <w:r w:rsidR="00BA5B63" w:rsidRPr="00996161">
              <w:rPr>
                <w:rFonts w:ascii="Times New Roman" w:hAnsi="Times New Roman" w:cs="Times New Roman"/>
                <w:noProof/>
                <w:color w:val="000000" w:themeColor="text1"/>
                <w:sz w:val="24"/>
                <w:szCs w:val="24"/>
              </w:rPr>
              <w:tab/>
            </w:r>
            <w:r w:rsidR="00BA5B63" w:rsidRPr="00996161">
              <w:rPr>
                <w:rFonts w:ascii="Times New Roman" w:hAnsi="Times New Roman" w:cs="Times New Roman"/>
                <w:noProof/>
                <w:color w:val="000000" w:themeColor="text1"/>
                <w:sz w:val="24"/>
                <w:szCs w:val="24"/>
              </w:rPr>
              <w:fldChar w:fldCharType="begin"/>
            </w:r>
            <w:r w:rsidR="00BA5B63" w:rsidRPr="00996161">
              <w:rPr>
                <w:rFonts w:ascii="Times New Roman" w:hAnsi="Times New Roman" w:cs="Times New Roman"/>
                <w:noProof/>
                <w:color w:val="000000" w:themeColor="text1"/>
                <w:sz w:val="24"/>
                <w:szCs w:val="24"/>
              </w:rPr>
              <w:instrText xml:space="preserve"> PAGEREF _Toc2856 \h </w:instrText>
            </w:r>
            <w:r w:rsidR="00BA5B63" w:rsidRPr="00996161">
              <w:rPr>
                <w:rFonts w:ascii="Times New Roman" w:hAnsi="Times New Roman" w:cs="Times New Roman"/>
                <w:noProof/>
                <w:color w:val="000000" w:themeColor="text1"/>
                <w:sz w:val="24"/>
                <w:szCs w:val="24"/>
              </w:rPr>
            </w:r>
            <w:r w:rsidR="00BA5B63" w:rsidRPr="00996161">
              <w:rPr>
                <w:rFonts w:ascii="Times New Roman" w:hAnsi="Times New Roman" w:cs="Times New Roman"/>
                <w:noProof/>
                <w:color w:val="000000" w:themeColor="text1"/>
                <w:sz w:val="24"/>
                <w:szCs w:val="24"/>
              </w:rPr>
              <w:fldChar w:fldCharType="separate"/>
            </w:r>
            <w:r w:rsidR="00F84AA4">
              <w:rPr>
                <w:rFonts w:ascii="Times New Roman" w:hAnsi="Times New Roman" w:cs="Times New Roman"/>
                <w:noProof/>
                <w:color w:val="000000" w:themeColor="text1"/>
                <w:sz w:val="24"/>
                <w:szCs w:val="24"/>
              </w:rPr>
              <w:t>3</w:t>
            </w:r>
            <w:r w:rsidR="00BA5B63" w:rsidRPr="00996161">
              <w:rPr>
                <w:rFonts w:ascii="Times New Roman" w:hAnsi="Times New Roman" w:cs="Times New Roman"/>
                <w:noProof/>
                <w:color w:val="000000" w:themeColor="text1"/>
                <w:sz w:val="24"/>
                <w:szCs w:val="24"/>
              </w:rPr>
              <w:fldChar w:fldCharType="end"/>
            </w:r>
          </w:hyperlink>
        </w:p>
        <w:p w14:paraId="263FB20F" w14:textId="791ACEB5" w:rsidR="00BA5B63" w:rsidRPr="00996161" w:rsidRDefault="00BA5B63" w:rsidP="00996161">
          <w:pPr>
            <w:pStyle w:val="TOC1"/>
            <w:tabs>
              <w:tab w:val="right" w:leader="dot" w:pos="9386"/>
            </w:tabs>
            <w:spacing w:line="360" w:lineRule="auto"/>
            <w:rPr>
              <w:rFonts w:ascii="Times New Roman" w:hAnsi="Times New Roman" w:cs="Times New Roman"/>
              <w:noProof/>
              <w:color w:val="000000" w:themeColor="text1"/>
              <w:sz w:val="24"/>
              <w:szCs w:val="24"/>
            </w:rPr>
          </w:pPr>
          <w:hyperlink w:anchor="_Toc30408" w:history="1">
            <w:r w:rsidRPr="00996161">
              <w:rPr>
                <w:rFonts w:ascii="Times New Roman" w:hAnsi="Times New Roman" w:cs="Times New Roman"/>
                <w:noProof/>
                <w:color w:val="000000" w:themeColor="text1"/>
                <w:sz w:val="24"/>
                <w:szCs w:val="24"/>
              </w:rPr>
              <w:t>2. Organisational Culture, Structure, and Decision-Making</w:t>
            </w:r>
            <w:r w:rsidRPr="00996161">
              <w:rPr>
                <w:rFonts w:ascii="Times New Roman" w:hAnsi="Times New Roman" w:cs="Times New Roman"/>
                <w:noProof/>
                <w:color w:val="000000" w:themeColor="text1"/>
                <w:sz w:val="24"/>
                <w:szCs w:val="24"/>
              </w:rPr>
              <w:tab/>
            </w:r>
            <w:r w:rsidRPr="00996161">
              <w:rPr>
                <w:rFonts w:ascii="Times New Roman" w:hAnsi="Times New Roman" w:cs="Times New Roman"/>
                <w:noProof/>
                <w:color w:val="000000" w:themeColor="text1"/>
                <w:sz w:val="24"/>
                <w:szCs w:val="24"/>
              </w:rPr>
              <w:fldChar w:fldCharType="begin"/>
            </w:r>
            <w:r w:rsidRPr="00996161">
              <w:rPr>
                <w:rFonts w:ascii="Times New Roman" w:hAnsi="Times New Roman" w:cs="Times New Roman"/>
                <w:noProof/>
                <w:color w:val="000000" w:themeColor="text1"/>
                <w:sz w:val="24"/>
                <w:szCs w:val="24"/>
              </w:rPr>
              <w:instrText xml:space="preserve"> PAGEREF _Toc30408 \h </w:instrText>
            </w:r>
            <w:r w:rsidRPr="00996161">
              <w:rPr>
                <w:rFonts w:ascii="Times New Roman" w:hAnsi="Times New Roman" w:cs="Times New Roman"/>
                <w:noProof/>
                <w:color w:val="000000" w:themeColor="text1"/>
                <w:sz w:val="24"/>
                <w:szCs w:val="24"/>
              </w:rPr>
            </w:r>
            <w:r w:rsidRPr="00996161">
              <w:rPr>
                <w:rFonts w:ascii="Times New Roman" w:hAnsi="Times New Roman" w:cs="Times New Roman"/>
                <w:noProof/>
                <w:color w:val="000000" w:themeColor="text1"/>
                <w:sz w:val="24"/>
                <w:szCs w:val="24"/>
              </w:rPr>
              <w:fldChar w:fldCharType="separate"/>
            </w:r>
            <w:r w:rsidR="00F84AA4">
              <w:rPr>
                <w:rFonts w:ascii="Times New Roman" w:hAnsi="Times New Roman" w:cs="Times New Roman"/>
                <w:noProof/>
                <w:color w:val="000000" w:themeColor="text1"/>
                <w:sz w:val="24"/>
                <w:szCs w:val="24"/>
              </w:rPr>
              <w:t>3</w:t>
            </w:r>
            <w:r w:rsidRPr="00996161">
              <w:rPr>
                <w:rFonts w:ascii="Times New Roman" w:hAnsi="Times New Roman" w:cs="Times New Roman"/>
                <w:noProof/>
                <w:color w:val="000000" w:themeColor="text1"/>
                <w:sz w:val="24"/>
                <w:szCs w:val="24"/>
              </w:rPr>
              <w:fldChar w:fldCharType="end"/>
            </w:r>
          </w:hyperlink>
        </w:p>
        <w:p w14:paraId="749EADB5" w14:textId="74ECC1BC" w:rsidR="00BA5B63" w:rsidRPr="00996161" w:rsidRDefault="00BA5B63" w:rsidP="00996161">
          <w:pPr>
            <w:pStyle w:val="TOC1"/>
            <w:tabs>
              <w:tab w:val="right" w:leader="dot" w:pos="9386"/>
            </w:tabs>
            <w:spacing w:line="360" w:lineRule="auto"/>
            <w:rPr>
              <w:rFonts w:ascii="Times New Roman" w:hAnsi="Times New Roman" w:cs="Times New Roman"/>
              <w:noProof/>
              <w:color w:val="000000" w:themeColor="text1"/>
              <w:sz w:val="24"/>
              <w:szCs w:val="24"/>
            </w:rPr>
          </w:pPr>
          <w:hyperlink w:anchor="_Toc23725" w:history="1">
            <w:r w:rsidRPr="00996161">
              <w:rPr>
                <w:rFonts w:ascii="Times New Roman" w:hAnsi="Times New Roman" w:cs="Times New Roman"/>
                <w:noProof/>
                <w:color w:val="000000" w:themeColor="text1"/>
                <w:sz w:val="24"/>
                <w:szCs w:val="24"/>
                <w:lang w:val="en-US"/>
              </w:rPr>
              <w:t>3</w:t>
            </w:r>
            <w:r w:rsidRPr="00996161">
              <w:rPr>
                <w:rFonts w:ascii="Times New Roman" w:hAnsi="Times New Roman" w:cs="Times New Roman"/>
                <w:noProof/>
                <w:color w:val="000000" w:themeColor="text1"/>
                <w:sz w:val="24"/>
                <w:szCs w:val="24"/>
              </w:rPr>
              <w:t>. Identifying Organisational Culture: Frameworks and Models</w:t>
            </w:r>
            <w:r w:rsidRPr="00996161">
              <w:rPr>
                <w:rFonts w:ascii="Times New Roman" w:hAnsi="Times New Roman" w:cs="Times New Roman"/>
                <w:noProof/>
                <w:color w:val="000000" w:themeColor="text1"/>
                <w:sz w:val="24"/>
                <w:szCs w:val="24"/>
              </w:rPr>
              <w:tab/>
            </w:r>
            <w:r w:rsidRPr="00996161">
              <w:rPr>
                <w:rFonts w:ascii="Times New Roman" w:hAnsi="Times New Roman" w:cs="Times New Roman"/>
                <w:noProof/>
                <w:color w:val="000000" w:themeColor="text1"/>
                <w:sz w:val="24"/>
                <w:szCs w:val="24"/>
              </w:rPr>
              <w:fldChar w:fldCharType="begin"/>
            </w:r>
            <w:r w:rsidRPr="00996161">
              <w:rPr>
                <w:rFonts w:ascii="Times New Roman" w:hAnsi="Times New Roman" w:cs="Times New Roman"/>
                <w:noProof/>
                <w:color w:val="000000" w:themeColor="text1"/>
                <w:sz w:val="24"/>
                <w:szCs w:val="24"/>
              </w:rPr>
              <w:instrText xml:space="preserve"> PAGEREF _Toc23725 \h </w:instrText>
            </w:r>
            <w:r w:rsidRPr="00996161">
              <w:rPr>
                <w:rFonts w:ascii="Times New Roman" w:hAnsi="Times New Roman" w:cs="Times New Roman"/>
                <w:noProof/>
                <w:color w:val="000000" w:themeColor="text1"/>
                <w:sz w:val="24"/>
                <w:szCs w:val="24"/>
              </w:rPr>
            </w:r>
            <w:r w:rsidRPr="00996161">
              <w:rPr>
                <w:rFonts w:ascii="Times New Roman" w:hAnsi="Times New Roman" w:cs="Times New Roman"/>
                <w:noProof/>
                <w:color w:val="000000" w:themeColor="text1"/>
                <w:sz w:val="24"/>
                <w:szCs w:val="24"/>
              </w:rPr>
              <w:fldChar w:fldCharType="separate"/>
            </w:r>
            <w:r w:rsidR="00F84AA4">
              <w:rPr>
                <w:rFonts w:ascii="Times New Roman" w:hAnsi="Times New Roman" w:cs="Times New Roman"/>
                <w:noProof/>
                <w:color w:val="000000" w:themeColor="text1"/>
                <w:sz w:val="24"/>
                <w:szCs w:val="24"/>
              </w:rPr>
              <w:t>6</w:t>
            </w:r>
            <w:r w:rsidRPr="00996161">
              <w:rPr>
                <w:rFonts w:ascii="Times New Roman" w:hAnsi="Times New Roman" w:cs="Times New Roman"/>
                <w:noProof/>
                <w:color w:val="000000" w:themeColor="text1"/>
                <w:sz w:val="24"/>
                <w:szCs w:val="24"/>
              </w:rPr>
              <w:fldChar w:fldCharType="end"/>
            </w:r>
          </w:hyperlink>
        </w:p>
        <w:p w14:paraId="067AE4CE" w14:textId="5D270B42" w:rsidR="00BA5B63" w:rsidRPr="00996161" w:rsidRDefault="00BA5B63" w:rsidP="00996161">
          <w:pPr>
            <w:pStyle w:val="TOC2"/>
            <w:tabs>
              <w:tab w:val="right" w:leader="dot" w:pos="9386"/>
            </w:tabs>
            <w:spacing w:line="360" w:lineRule="auto"/>
            <w:ind w:left="440"/>
            <w:rPr>
              <w:rFonts w:ascii="Times New Roman" w:hAnsi="Times New Roman" w:cs="Times New Roman"/>
              <w:noProof/>
              <w:color w:val="000000" w:themeColor="text1"/>
              <w:sz w:val="24"/>
              <w:szCs w:val="24"/>
            </w:rPr>
          </w:pPr>
          <w:hyperlink w:anchor="_Toc28637" w:history="1">
            <w:r w:rsidRPr="00996161">
              <w:rPr>
                <w:rFonts w:ascii="Times New Roman" w:hAnsi="Times New Roman" w:cs="Times New Roman"/>
                <w:noProof/>
                <w:color w:val="000000" w:themeColor="text1"/>
                <w:sz w:val="24"/>
                <w:szCs w:val="24"/>
              </w:rPr>
              <w:t>3.1 Schein's Three-Level Model</w:t>
            </w:r>
            <w:r w:rsidRPr="00996161">
              <w:rPr>
                <w:rFonts w:ascii="Times New Roman" w:hAnsi="Times New Roman" w:cs="Times New Roman"/>
                <w:noProof/>
                <w:color w:val="000000" w:themeColor="text1"/>
                <w:sz w:val="24"/>
                <w:szCs w:val="24"/>
              </w:rPr>
              <w:tab/>
            </w:r>
            <w:r w:rsidRPr="00996161">
              <w:rPr>
                <w:rFonts w:ascii="Times New Roman" w:hAnsi="Times New Roman" w:cs="Times New Roman"/>
                <w:noProof/>
                <w:color w:val="000000" w:themeColor="text1"/>
                <w:sz w:val="24"/>
                <w:szCs w:val="24"/>
              </w:rPr>
              <w:fldChar w:fldCharType="begin"/>
            </w:r>
            <w:r w:rsidRPr="00996161">
              <w:rPr>
                <w:rFonts w:ascii="Times New Roman" w:hAnsi="Times New Roman" w:cs="Times New Roman"/>
                <w:noProof/>
                <w:color w:val="000000" w:themeColor="text1"/>
                <w:sz w:val="24"/>
                <w:szCs w:val="24"/>
              </w:rPr>
              <w:instrText xml:space="preserve"> PAGEREF _Toc28637 \h </w:instrText>
            </w:r>
            <w:r w:rsidRPr="00996161">
              <w:rPr>
                <w:rFonts w:ascii="Times New Roman" w:hAnsi="Times New Roman" w:cs="Times New Roman"/>
                <w:noProof/>
                <w:color w:val="000000" w:themeColor="text1"/>
                <w:sz w:val="24"/>
                <w:szCs w:val="24"/>
              </w:rPr>
            </w:r>
            <w:r w:rsidRPr="00996161">
              <w:rPr>
                <w:rFonts w:ascii="Times New Roman" w:hAnsi="Times New Roman" w:cs="Times New Roman"/>
                <w:noProof/>
                <w:color w:val="000000" w:themeColor="text1"/>
                <w:sz w:val="24"/>
                <w:szCs w:val="24"/>
              </w:rPr>
              <w:fldChar w:fldCharType="separate"/>
            </w:r>
            <w:r w:rsidR="00F84AA4">
              <w:rPr>
                <w:rFonts w:ascii="Times New Roman" w:hAnsi="Times New Roman" w:cs="Times New Roman"/>
                <w:noProof/>
                <w:color w:val="000000" w:themeColor="text1"/>
                <w:sz w:val="24"/>
                <w:szCs w:val="24"/>
              </w:rPr>
              <w:t>6</w:t>
            </w:r>
            <w:r w:rsidRPr="00996161">
              <w:rPr>
                <w:rFonts w:ascii="Times New Roman" w:hAnsi="Times New Roman" w:cs="Times New Roman"/>
                <w:noProof/>
                <w:color w:val="000000" w:themeColor="text1"/>
                <w:sz w:val="24"/>
                <w:szCs w:val="24"/>
              </w:rPr>
              <w:fldChar w:fldCharType="end"/>
            </w:r>
          </w:hyperlink>
        </w:p>
        <w:p w14:paraId="33A8639E" w14:textId="55EE08E6" w:rsidR="00BA5B63" w:rsidRPr="00996161" w:rsidRDefault="00BA5B63" w:rsidP="00996161">
          <w:pPr>
            <w:pStyle w:val="TOC2"/>
            <w:tabs>
              <w:tab w:val="right" w:leader="dot" w:pos="9386"/>
            </w:tabs>
            <w:spacing w:line="360" w:lineRule="auto"/>
            <w:ind w:left="440"/>
            <w:rPr>
              <w:rFonts w:ascii="Times New Roman" w:hAnsi="Times New Roman" w:cs="Times New Roman"/>
              <w:noProof/>
              <w:color w:val="000000" w:themeColor="text1"/>
              <w:sz w:val="24"/>
              <w:szCs w:val="24"/>
            </w:rPr>
          </w:pPr>
          <w:hyperlink w:anchor="_Toc27171" w:history="1">
            <w:r w:rsidRPr="00996161">
              <w:rPr>
                <w:rFonts w:ascii="Times New Roman" w:hAnsi="Times New Roman" w:cs="Times New Roman"/>
                <w:noProof/>
                <w:color w:val="000000" w:themeColor="text1"/>
                <w:sz w:val="24"/>
                <w:szCs w:val="24"/>
              </w:rPr>
              <w:t>3.2 Hofstede's Cultural Dimensions</w:t>
            </w:r>
            <w:r w:rsidRPr="00996161">
              <w:rPr>
                <w:rFonts w:ascii="Times New Roman" w:hAnsi="Times New Roman" w:cs="Times New Roman"/>
                <w:noProof/>
                <w:color w:val="000000" w:themeColor="text1"/>
                <w:sz w:val="24"/>
                <w:szCs w:val="24"/>
              </w:rPr>
              <w:tab/>
            </w:r>
            <w:r w:rsidRPr="00996161">
              <w:rPr>
                <w:rFonts w:ascii="Times New Roman" w:hAnsi="Times New Roman" w:cs="Times New Roman"/>
                <w:noProof/>
                <w:color w:val="000000" w:themeColor="text1"/>
                <w:sz w:val="24"/>
                <w:szCs w:val="24"/>
              </w:rPr>
              <w:fldChar w:fldCharType="begin"/>
            </w:r>
            <w:r w:rsidRPr="00996161">
              <w:rPr>
                <w:rFonts w:ascii="Times New Roman" w:hAnsi="Times New Roman" w:cs="Times New Roman"/>
                <w:noProof/>
                <w:color w:val="000000" w:themeColor="text1"/>
                <w:sz w:val="24"/>
                <w:szCs w:val="24"/>
              </w:rPr>
              <w:instrText xml:space="preserve"> PAGEREF _Toc27171 \h </w:instrText>
            </w:r>
            <w:r w:rsidRPr="00996161">
              <w:rPr>
                <w:rFonts w:ascii="Times New Roman" w:hAnsi="Times New Roman" w:cs="Times New Roman"/>
                <w:noProof/>
                <w:color w:val="000000" w:themeColor="text1"/>
                <w:sz w:val="24"/>
                <w:szCs w:val="24"/>
              </w:rPr>
            </w:r>
            <w:r w:rsidRPr="00996161">
              <w:rPr>
                <w:rFonts w:ascii="Times New Roman" w:hAnsi="Times New Roman" w:cs="Times New Roman"/>
                <w:noProof/>
                <w:color w:val="000000" w:themeColor="text1"/>
                <w:sz w:val="24"/>
                <w:szCs w:val="24"/>
              </w:rPr>
              <w:fldChar w:fldCharType="separate"/>
            </w:r>
            <w:r w:rsidR="00F84AA4">
              <w:rPr>
                <w:rFonts w:ascii="Times New Roman" w:hAnsi="Times New Roman" w:cs="Times New Roman"/>
                <w:noProof/>
                <w:color w:val="000000" w:themeColor="text1"/>
                <w:sz w:val="24"/>
                <w:szCs w:val="24"/>
              </w:rPr>
              <w:t>6</w:t>
            </w:r>
            <w:r w:rsidRPr="00996161">
              <w:rPr>
                <w:rFonts w:ascii="Times New Roman" w:hAnsi="Times New Roman" w:cs="Times New Roman"/>
                <w:noProof/>
                <w:color w:val="000000" w:themeColor="text1"/>
                <w:sz w:val="24"/>
                <w:szCs w:val="24"/>
              </w:rPr>
              <w:fldChar w:fldCharType="end"/>
            </w:r>
          </w:hyperlink>
        </w:p>
        <w:p w14:paraId="5E026163" w14:textId="3480BB5E" w:rsidR="00BA5B63" w:rsidRPr="00996161" w:rsidRDefault="00BA5B63" w:rsidP="00996161">
          <w:pPr>
            <w:pStyle w:val="TOC2"/>
            <w:tabs>
              <w:tab w:val="right" w:leader="dot" w:pos="9386"/>
            </w:tabs>
            <w:spacing w:line="360" w:lineRule="auto"/>
            <w:ind w:left="440"/>
            <w:rPr>
              <w:rFonts w:ascii="Times New Roman" w:hAnsi="Times New Roman" w:cs="Times New Roman"/>
              <w:noProof/>
              <w:color w:val="000000" w:themeColor="text1"/>
              <w:sz w:val="24"/>
              <w:szCs w:val="24"/>
            </w:rPr>
          </w:pPr>
          <w:hyperlink w:anchor="_Toc6271" w:history="1">
            <w:r w:rsidRPr="00996161">
              <w:rPr>
                <w:rFonts w:ascii="Times New Roman" w:hAnsi="Times New Roman" w:cs="Times New Roman"/>
                <w:noProof/>
                <w:color w:val="000000" w:themeColor="text1"/>
                <w:sz w:val="24"/>
                <w:szCs w:val="24"/>
              </w:rPr>
              <w:t>3.3 Culture and Dominant Culture at Handy.</w:t>
            </w:r>
            <w:r w:rsidRPr="00996161">
              <w:rPr>
                <w:rFonts w:ascii="Times New Roman" w:hAnsi="Times New Roman" w:cs="Times New Roman"/>
                <w:noProof/>
                <w:color w:val="000000" w:themeColor="text1"/>
                <w:sz w:val="24"/>
                <w:szCs w:val="24"/>
              </w:rPr>
              <w:tab/>
            </w:r>
            <w:r w:rsidRPr="00996161">
              <w:rPr>
                <w:rFonts w:ascii="Times New Roman" w:hAnsi="Times New Roman" w:cs="Times New Roman"/>
                <w:noProof/>
                <w:color w:val="000000" w:themeColor="text1"/>
                <w:sz w:val="24"/>
                <w:szCs w:val="24"/>
              </w:rPr>
              <w:fldChar w:fldCharType="begin"/>
            </w:r>
            <w:r w:rsidRPr="00996161">
              <w:rPr>
                <w:rFonts w:ascii="Times New Roman" w:hAnsi="Times New Roman" w:cs="Times New Roman"/>
                <w:noProof/>
                <w:color w:val="000000" w:themeColor="text1"/>
                <w:sz w:val="24"/>
                <w:szCs w:val="24"/>
              </w:rPr>
              <w:instrText xml:space="preserve"> PAGEREF _Toc6271 \h </w:instrText>
            </w:r>
            <w:r w:rsidRPr="00996161">
              <w:rPr>
                <w:rFonts w:ascii="Times New Roman" w:hAnsi="Times New Roman" w:cs="Times New Roman"/>
                <w:noProof/>
                <w:color w:val="000000" w:themeColor="text1"/>
                <w:sz w:val="24"/>
                <w:szCs w:val="24"/>
              </w:rPr>
            </w:r>
            <w:r w:rsidRPr="00996161">
              <w:rPr>
                <w:rFonts w:ascii="Times New Roman" w:hAnsi="Times New Roman" w:cs="Times New Roman"/>
                <w:noProof/>
                <w:color w:val="000000" w:themeColor="text1"/>
                <w:sz w:val="24"/>
                <w:szCs w:val="24"/>
              </w:rPr>
              <w:fldChar w:fldCharType="separate"/>
            </w:r>
            <w:r w:rsidR="00F84AA4">
              <w:rPr>
                <w:rFonts w:ascii="Times New Roman" w:hAnsi="Times New Roman" w:cs="Times New Roman"/>
                <w:noProof/>
                <w:color w:val="000000" w:themeColor="text1"/>
                <w:sz w:val="24"/>
                <w:szCs w:val="24"/>
              </w:rPr>
              <w:t>8</w:t>
            </w:r>
            <w:r w:rsidRPr="00996161">
              <w:rPr>
                <w:rFonts w:ascii="Times New Roman" w:hAnsi="Times New Roman" w:cs="Times New Roman"/>
                <w:noProof/>
                <w:color w:val="000000" w:themeColor="text1"/>
                <w:sz w:val="24"/>
                <w:szCs w:val="24"/>
              </w:rPr>
              <w:fldChar w:fldCharType="end"/>
            </w:r>
          </w:hyperlink>
        </w:p>
        <w:p w14:paraId="1C5F0DA0" w14:textId="7ADE8D15" w:rsidR="00BA5B63" w:rsidRPr="00996161" w:rsidRDefault="00BA5B63" w:rsidP="00996161">
          <w:pPr>
            <w:pStyle w:val="TOC1"/>
            <w:tabs>
              <w:tab w:val="right" w:leader="dot" w:pos="9386"/>
            </w:tabs>
            <w:spacing w:line="360" w:lineRule="auto"/>
            <w:rPr>
              <w:rFonts w:ascii="Times New Roman" w:hAnsi="Times New Roman" w:cs="Times New Roman"/>
              <w:noProof/>
              <w:color w:val="000000" w:themeColor="text1"/>
              <w:sz w:val="24"/>
              <w:szCs w:val="24"/>
            </w:rPr>
          </w:pPr>
          <w:hyperlink w:anchor="_Toc19412" w:history="1">
            <w:r w:rsidRPr="00996161">
              <w:rPr>
                <w:rFonts w:ascii="Times New Roman" w:hAnsi="Times New Roman" w:cs="Times New Roman"/>
                <w:noProof/>
                <w:color w:val="000000" w:themeColor="text1"/>
                <w:sz w:val="24"/>
                <w:szCs w:val="24"/>
              </w:rPr>
              <w:t>4. Using Culture to accommodate external Environmental Pressures.</w:t>
            </w:r>
            <w:r w:rsidRPr="00996161">
              <w:rPr>
                <w:rFonts w:ascii="Times New Roman" w:hAnsi="Times New Roman" w:cs="Times New Roman"/>
                <w:noProof/>
                <w:color w:val="000000" w:themeColor="text1"/>
                <w:sz w:val="24"/>
                <w:szCs w:val="24"/>
              </w:rPr>
              <w:tab/>
            </w:r>
            <w:r w:rsidRPr="00996161">
              <w:rPr>
                <w:rFonts w:ascii="Times New Roman" w:hAnsi="Times New Roman" w:cs="Times New Roman"/>
                <w:noProof/>
                <w:color w:val="000000" w:themeColor="text1"/>
                <w:sz w:val="24"/>
                <w:szCs w:val="24"/>
              </w:rPr>
              <w:fldChar w:fldCharType="begin"/>
            </w:r>
            <w:r w:rsidRPr="00996161">
              <w:rPr>
                <w:rFonts w:ascii="Times New Roman" w:hAnsi="Times New Roman" w:cs="Times New Roman"/>
                <w:noProof/>
                <w:color w:val="000000" w:themeColor="text1"/>
                <w:sz w:val="24"/>
                <w:szCs w:val="24"/>
              </w:rPr>
              <w:instrText xml:space="preserve"> PAGEREF _Toc19412 \h </w:instrText>
            </w:r>
            <w:r w:rsidRPr="00996161">
              <w:rPr>
                <w:rFonts w:ascii="Times New Roman" w:hAnsi="Times New Roman" w:cs="Times New Roman"/>
                <w:noProof/>
                <w:color w:val="000000" w:themeColor="text1"/>
                <w:sz w:val="24"/>
                <w:szCs w:val="24"/>
              </w:rPr>
            </w:r>
            <w:r w:rsidRPr="00996161">
              <w:rPr>
                <w:rFonts w:ascii="Times New Roman" w:hAnsi="Times New Roman" w:cs="Times New Roman"/>
                <w:noProof/>
                <w:color w:val="000000" w:themeColor="text1"/>
                <w:sz w:val="24"/>
                <w:szCs w:val="24"/>
              </w:rPr>
              <w:fldChar w:fldCharType="separate"/>
            </w:r>
            <w:r w:rsidR="00F84AA4">
              <w:rPr>
                <w:rFonts w:ascii="Times New Roman" w:hAnsi="Times New Roman" w:cs="Times New Roman"/>
                <w:noProof/>
                <w:color w:val="000000" w:themeColor="text1"/>
                <w:sz w:val="24"/>
                <w:szCs w:val="24"/>
              </w:rPr>
              <w:t>10</w:t>
            </w:r>
            <w:r w:rsidRPr="00996161">
              <w:rPr>
                <w:rFonts w:ascii="Times New Roman" w:hAnsi="Times New Roman" w:cs="Times New Roman"/>
                <w:noProof/>
                <w:color w:val="000000" w:themeColor="text1"/>
                <w:sz w:val="24"/>
                <w:szCs w:val="24"/>
              </w:rPr>
              <w:fldChar w:fldCharType="end"/>
            </w:r>
          </w:hyperlink>
        </w:p>
        <w:p w14:paraId="059A73DE" w14:textId="07E4EAA2" w:rsidR="00BA5B63" w:rsidRPr="00996161" w:rsidRDefault="00BA5B63" w:rsidP="00996161">
          <w:pPr>
            <w:pStyle w:val="TOC1"/>
            <w:tabs>
              <w:tab w:val="right" w:leader="dot" w:pos="9386"/>
            </w:tabs>
            <w:spacing w:line="360" w:lineRule="auto"/>
            <w:rPr>
              <w:rFonts w:ascii="Times New Roman" w:hAnsi="Times New Roman" w:cs="Times New Roman"/>
              <w:noProof/>
              <w:color w:val="000000" w:themeColor="text1"/>
              <w:sz w:val="24"/>
              <w:szCs w:val="24"/>
            </w:rPr>
          </w:pPr>
          <w:hyperlink w:anchor="_Toc29894" w:history="1">
            <w:r w:rsidRPr="00996161">
              <w:rPr>
                <w:rFonts w:ascii="Times New Roman" w:hAnsi="Times New Roman" w:cs="Times New Roman"/>
                <w:noProof/>
                <w:color w:val="000000" w:themeColor="text1"/>
                <w:sz w:val="24"/>
                <w:szCs w:val="24"/>
              </w:rPr>
              <w:t>5. Organisational Culture as an Occupational Health Hazard or Catalyst.</w:t>
            </w:r>
            <w:r w:rsidRPr="00996161">
              <w:rPr>
                <w:rFonts w:ascii="Times New Roman" w:hAnsi="Times New Roman" w:cs="Times New Roman"/>
                <w:noProof/>
                <w:color w:val="000000" w:themeColor="text1"/>
                <w:sz w:val="24"/>
                <w:szCs w:val="24"/>
              </w:rPr>
              <w:tab/>
            </w:r>
            <w:r w:rsidRPr="00996161">
              <w:rPr>
                <w:rFonts w:ascii="Times New Roman" w:hAnsi="Times New Roman" w:cs="Times New Roman"/>
                <w:noProof/>
                <w:color w:val="000000" w:themeColor="text1"/>
                <w:sz w:val="24"/>
                <w:szCs w:val="24"/>
              </w:rPr>
              <w:fldChar w:fldCharType="begin"/>
            </w:r>
            <w:r w:rsidRPr="00996161">
              <w:rPr>
                <w:rFonts w:ascii="Times New Roman" w:hAnsi="Times New Roman" w:cs="Times New Roman"/>
                <w:noProof/>
                <w:color w:val="000000" w:themeColor="text1"/>
                <w:sz w:val="24"/>
                <w:szCs w:val="24"/>
              </w:rPr>
              <w:instrText xml:space="preserve"> PAGEREF _Toc29894 \h </w:instrText>
            </w:r>
            <w:r w:rsidRPr="00996161">
              <w:rPr>
                <w:rFonts w:ascii="Times New Roman" w:hAnsi="Times New Roman" w:cs="Times New Roman"/>
                <w:noProof/>
                <w:color w:val="000000" w:themeColor="text1"/>
                <w:sz w:val="24"/>
                <w:szCs w:val="24"/>
              </w:rPr>
            </w:r>
            <w:r w:rsidRPr="00996161">
              <w:rPr>
                <w:rFonts w:ascii="Times New Roman" w:hAnsi="Times New Roman" w:cs="Times New Roman"/>
                <w:noProof/>
                <w:color w:val="000000" w:themeColor="text1"/>
                <w:sz w:val="24"/>
                <w:szCs w:val="24"/>
              </w:rPr>
              <w:fldChar w:fldCharType="separate"/>
            </w:r>
            <w:r w:rsidR="00F84AA4">
              <w:rPr>
                <w:rFonts w:ascii="Times New Roman" w:hAnsi="Times New Roman" w:cs="Times New Roman"/>
                <w:noProof/>
                <w:color w:val="000000" w:themeColor="text1"/>
                <w:sz w:val="24"/>
                <w:szCs w:val="24"/>
              </w:rPr>
              <w:t>10</w:t>
            </w:r>
            <w:r w:rsidRPr="00996161">
              <w:rPr>
                <w:rFonts w:ascii="Times New Roman" w:hAnsi="Times New Roman" w:cs="Times New Roman"/>
                <w:noProof/>
                <w:color w:val="000000" w:themeColor="text1"/>
                <w:sz w:val="24"/>
                <w:szCs w:val="24"/>
              </w:rPr>
              <w:fldChar w:fldCharType="end"/>
            </w:r>
          </w:hyperlink>
        </w:p>
        <w:p w14:paraId="115BBCBB" w14:textId="7B9FBBBE" w:rsidR="00BA5B63" w:rsidRPr="00996161" w:rsidRDefault="00BA5B63" w:rsidP="00996161">
          <w:pPr>
            <w:pStyle w:val="TOC1"/>
            <w:tabs>
              <w:tab w:val="right" w:leader="dot" w:pos="9386"/>
            </w:tabs>
            <w:spacing w:line="360" w:lineRule="auto"/>
            <w:rPr>
              <w:rFonts w:ascii="Times New Roman" w:hAnsi="Times New Roman" w:cs="Times New Roman"/>
              <w:noProof/>
              <w:color w:val="000000" w:themeColor="text1"/>
              <w:sz w:val="24"/>
              <w:szCs w:val="24"/>
            </w:rPr>
          </w:pPr>
          <w:hyperlink w:anchor="_Toc30344" w:history="1">
            <w:r w:rsidRPr="00996161">
              <w:rPr>
                <w:rFonts w:ascii="Times New Roman" w:hAnsi="Times New Roman" w:cs="Times New Roman"/>
                <w:noProof/>
                <w:color w:val="000000" w:themeColor="text1"/>
                <w:sz w:val="24"/>
                <w:szCs w:val="24"/>
              </w:rPr>
              <w:t>6. Impact on Organisational Performance and Recommendations</w:t>
            </w:r>
            <w:r w:rsidRPr="00996161">
              <w:rPr>
                <w:rFonts w:ascii="Times New Roman" w:hAnsi="Times New Roman" w:cs="Times New Roman"/>
                <w:noProof/>
                <w:color w:val="000000" w:themeColor="text1"/>
                <w:sz w:val="24"/>
                <w:szCs w:val="24"/>
              </w:rPr>
              <w:tab/>
            </w:r>
            <w:r w:rsidRPr="00996161">
              <w:rPr>
                <w:rFonts w:ascii="Times New Roman" w:hAnsi="Times New Roman" w:cs="Times New Roman"/>
                <w:noProof/>
                <w:color w:val="000000" w:themeColor="text1"/>
                <w:sz w:val="24"/>
                <w:szCs w:val="24"/>
              </w:rPr>
              <w:fldChar w:fldCharType="begin"/>
            </w:r>
            <w:r w:rsidRPr="00996161">
              <w:rPr>
                <w:rFonts w:ascii="Times New Roman" w:hAnsi="Times New Roman" w:cs="Times New Roman"/>
                <w:noProof/>
                <w:color w:val="000000" w:themeColor="text1"/>
                <w:sz w:val="24"/>
                <w:szCs w:val="24"/>
              </w:rPr>
              <w:instrText xml:space="preserve"> PAGEREF _Toc30344 \h </w:instrText>
            </w:r>
            <w:r w:rsidRPr="00996161">
              <w:rPr>
                <w:rFonts w:ascii="Times New Roman" w:hAnsi="Times New Roman" w:cs="Times New Roman"/>
                <w:noProof/>
                <w:color w:val="000000" w:themeColor="text1"/>
                <w:sz w:val="24"/>
                <w:szCs w:val="24"/>
              </w:rPr>
            </w:r>
            <w:r w:rsidRPr="00996161">
              <w:rPr>
                <w:rFonts w:ascii="Times New Roman" w:hAnsi="Times New Roman" w:cs="Times New Roman"/>
                <w:noProof/>
                <w:color w:val="000000" w:themeColor="text1"/>
                <w:sz w:val="24"/>
                <w:szCs w:val="24"/>
              </w:rPr>
              <w:fldChar w:fldCharType="separate"/>
            </w:r>
            <w:r w:rsidR="00F84AA4">
              <w:rPr>
                <w:rFonts w:ascii="Times New Roman" w:hAnsi="Times New Roman" w:cs="Times New Roman"/>
                <w:noProof/>
                <w:color w:val="000000" w:themeColor="text1"/>
                <w:sz w:val="24"/>
                <w:szCs w:val="24"/>
              </w:rPr>
              <w:t>12</w:t>
            </w:r>
            <w:r w:rsidRPr="00996161">
              <w:rPr>
                <w:rFonts w:ascii="Times New Roman" w:hAnsi="Times New Roman" w:cs="Times New Roman"/>
                <w:noProof/>
                <w:color w:val="000000" w:themeColor="text1"/>
                <w:sz w:val="24"/>
                <w:szCs w:val="24"/>
              </w:rPr>
              <w:fldChar w:fldCharType="end"/>
            </w:r>
          </w:hyperlink>
        </w:p>
        <w:p w14:paraId="07640470" w14:textId="18184119" w:rsidR="00BA5B63" w:rsidRPr="00996161" w:rsidRDefault="00BA5B63" w:rsidP="00996161">
          <w:pPr>
            <w:pStyle w:val="TOC1"/>
            <w:tabs>
              <w:tab w:val="right" w:leader="dot" w:pos="9386"/>
            </w:tabs>
            <w:spacing w:line="360" w:lineRule="auto"/>
            <w:rPr>
              <w:rFonts w:ascii="Times New Roman" w:hAnsi="Times New Roman" w:cs="Times New Roman"/>
              <w:noProof/>
              <w:color w:val="000000" w:themeColor="text1"/>
              <w:sz w:val="24"/>
              <w:szCs w:val="24"/>
            </w:rPr>
          </w:pPr>
          <w:hyperlink w:anchor="_Toc27434" w:history="1">
            <w:r w:rsidRPr="00996161">
              <w:rPr>
                <w:rFonts w:ascii="Times New Roman" w:hAnsi="Times New Roman" w:cs="Times New Roman"/>
                <w:noProof/>
                <w:color w:val="000000" w:themeColor="text1"/>
                <w:sz w:val="24"/>
                <w:szCs w:val="24"/>
              </w:rPr>
              <w:t>7. Conclusion</w:t>
            </w:r>
            <w:r w:rsidRPr="00996161">
              <w:rPr>
                <w:rFonts w:ascii="Times New Roman" w:hAnsi="Times New Roman" w:cs="Times New Roman"/>
                <w:noProof/>
                <w:color w:val="000000" w:themeColor="text1"/>
                <w:sz w:val="24"/>
                <w:szCs w:val="24"/>
              </w:rPr>
              <w:tab/>
            </w:r>
            <w:r w:rsidRPr="00996161">
              <w:rPr>
                <w:rFonts w:ascii="Times New Roman" w:hAnsi="Times New Roman" w:cs="Times New Roman"/>
                <w:noProof/>
                <w:color w:val="000000" w:themeColor="text1"/>
                <w:sz w:val="24"/>
                <w:szCs w:val="24"/>
              </w:rPr>
              <w:fldChar w:fldCharType="begin"/>
            </w:r>
            <w:r w:rsidRPr="00996161">
              <w:rPr>
                <w:rFonts w:ascii="Times New Roman" w:hAnsi="Times New Roman" w:cs="Times New Roman"/>
                <w:noProof/>
                <w:color w:val="000000" w:themeColor="text1"/>
                <w:sz w:val="24"/>
                <w:szCs w:val="24"/>
              </w:rPr>
              <w:instrText xml:space="preserve"> PAGEREF _Toc27434 \h </w:instrText>
            </w:r>
            <w:r w:rsidRPr="00996161">
              <w:rPr>
                <w:rFonts w:ascii="Times New Roman" w:hAnsi="Times New Roman" w:cs="Times New Roman"/>
                <w:noProof/>
                <w:color w:val="000000" w:themeColor="text1"/>
                <w:sz w:val="24"/>
                <w:szCs w:val="24"/>
              </w:rPr>
            </w:r>
            <w:r w:rsidRPr="00996161">
              <w:rPr>
                <w:rFonts w:ascii="Times New Roman" w:hAnsi="Times New Roman" w:cs="Times New Roman"/>
                <w:noProof/>
                <w:color w:val="000000" w:themeColor="text1"/>
                <w:sz w:val="24"/>
                <w:szCs w:val="24"/>
              </w:rPr>
              <w:fldChar w:fldCharType="separate"/>
            </w:r>
            <w:r w:rsidR="00F84AA4">
              <w:rPr>
                <w:rFonts w:ascii="Times New Roman" w:hAnsi="Times New Roman" w:cs="Times New Roman"/>
                <w:noProof/>
                <w:color w:val="000000" w:themeColor="text1"/>
                <w:sz w:val="24"/>
                <w:szCs w:val="24"/>
              </w:rPr>
              <w:t>14</w:t>
            </w:r>
            <w:r w:rsidRPr="00996161">
              <w:rPr>
                <w:rFonts w:ascii="Times New Roman" w:hAnsi="Times New Roman" w:cs="Times New Roman"/>
                <w:noProof/>
                <w:color w:val="000000" w:themeColor="text1"/>
                <w:sz w:val="24"/>
                <w:szCs w:val="24"/>
              </w:rPr>
              <w:fldChar w:fldCharType="end"/>
            </w:r>
          </w:hyperlink>
        </w:p>
        <w:p w14:paraId="230B0080" w14:textId="26CC4531" w:rsidR="00BA5B63" w:rsidRPr="00996161" w:rsidRDefault="00BA5B63" w:rsidP="00996161">
          <w:pPr>
            <w:pStyle w:val="TOC1"/>
            <w:tabs>
              <w:tab w:val="right" w:leader="dot" w:pos="9386"/>
            </w:tabs>
            <w:spacing w:line="360" w:lineRule="auto"/>
            <w:rPr>
              <w:rFonts w:ascii="Times New Roman" w:hAnsi="Times New Roman" w:cs="Times New Roman"/>
              <w:noProof/>
              <w:color w:val="000000" w:themeColor="text1"/>
              <w:sz w:val="24"/>
              <w:szCs w:val="24"/>
            </w:rPr>
          </w:pPr>
          <w:hyperlink w:anchor="_Toc4223" w:history="1">
            <w:r w:rsidRPr="00996161">
              <w:rPr>
                <w:rFonts w:ascii="Times New Roman" w:hAnsi="Times New Roman" w:cs="Times New Roman"/>
                <w:noProof/>
                <w:color w:val="000000" w:themeColor="text1"/>
                <w:sz w:val="24"/>
                <w:szCs w:val="24"/>
              </w:rPr>
              <w:t>8. References</w:t>
            </w:r>
            <w:r w:rsidRPr="00996161">
              <w:rPr>
                <w:rFonts w:ascii="Times New Roman" w:hAnsi="Times New Roman" w:cs="Times New Roman"/>
                <w:noProof/>
                <w:color w:val="000000" w:themeColor="text1"/>
                <w:sz w:val="24"/>
                <w:szCs w:val="24"/>
              </w:rPr>
              <w:tab/>
            </w:r>
            <w:r w:rsidRPr="00996161">
              <w:rPr>
                <w:rFonts w:ascii="Times New Roman" w:hAnsi="Times New Roman" w:cs="Times New Roman"/>
                <w:noProof/>
                <w:color w:val="000000" w:themeColor="text1"/>
                <w:sz w:val="24"/>
                <w:szCs w:val="24"/>
              </w:rPr>
              <w:fldChar w:fldCharType="begin"/>
            </w:r>
            <w:r w:rsidRPr="00996161">
              <w:rPr>
                <w:rFonts w:ascii="Times New Roman" w:hAnsi="Times New Roman" w:cs="Times New Roman"/>
                <w:noProof/>
                <w:color w:val="000000" w:themeColor="text1"/>
                <w:sz w:val="24"/>
                <w:szCs w:val="24"/>
              </w:rPr>
              <w:instrText xml:space="preserve"> PAGEREF _Toc4223 \h </w:instrText>
            </w:r>
            <w:r w:rsidRPr="00996161">
              <w:rPr>
                <w:rFonts w:ascii="Times New Roman" w:hAnsi="Times New Roman" w:cs="Times New Roman"/>
                <w:noProof/>
                <w:color w:val="000000" w:themeColor="text1"/>
                <w:sz w:val="24"/>
                <w:szCs w:val="24"/>
              </w:rPr>
            </w:r>
            <w:r w:rsidRPr="00996161">
              <w:rPr>
                <w:rFonts w:ascii="Times New Roman" w:hAnsi="Times New Roman" w:cs="Times New Roman"/>
                <w:noProof/>
                <w:color w:val="000000" w:themeColor="text1"/>
                <w:sz w:val="24"/>
                <w:szCs w:val="24"/>
              </w:rPr>
              <w:fldChar w:fldCharType="separate"/>
            </w:r>
            <w:r w:rsidR="00F84AA4">
              <w:rPr>
                <w:rFonts w:ascii="Times New Roman" w:hAnsi="Times New Roman" w:cs="Times New Roman"/>
                <w:noProof/>
                <w:color w:val="000000" w:themeColor="text1"/>
                <w:sz w:val="24"/>
                <w:szCs w:val="24"/>
              </w:rPr>
              <w:t>15</w:t>
            </w:r>
            <w:r w:rsidRPr="00996161">
              <w:rPr>
                <w:rFonts w:ascii="Times New Roman" w:hAnsi="Times New Roman" w:cs="Times New Roman"/>
                <w:noProof/>
                <w:color w:val="000000" w:themeColor="text1"/>
                <w:sz w:val="24"/>
                <w:szCs w:val="24"/>
              </w:rPr>
              <w:fldChar w:fldCharType="end"/>
            </w:r>
          </w:hyperlink>
        </w:p>
        <w:p w14:paraId="781EF0BC" w14:textId="77777777" w:rsidR="00BA5B63" w:rsidRPr="00996161" w:rsidRDefault="00000000" w:rsidP="00996161">
          <w:pPr>
            <w:spacing w:line="360" w:lineRule="auto"/>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fldChar w:fldCharType="end"/>
          </w:r>
        </w:p>
      </w:sdtContent>
    </w:sdt>
    <w:p w14:paraId="56064C04" w14:textId="77777777" w:rsidR="00BA5B63" w:rsidRPr="00996161" w:rsidRDefault="00BA5B63" w:rsidP="00996161">
      <w:pPr>
        <w:spacing w:line="360" w:lineRule="auto"/>
        <w:rPr>
          <w:rFonts w:ascii="Times New Roman" w:hAnsi="Times New Roman" w:cs="Times New Roman"/>
          <w:color w:val="000000" w:themeColor="text1"/>
          <w:sz w:val="24"/>
          <w:szCs w:val="24"/>
        </w:rPr>
      </w:pPr>
    </w:p>
    <w:p w14:paraId="4A9F08B3" w14:textId="77777777" w:rsidR="00BA5B63" w:rsidRPr="00996161" w:rsidRDefault="00000000" w:rsidP="00996161">
      <w:pPr>
        <w:spacing w:line="360" w:lineRule="auto"/>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br w:type="page"/>
      </w:r>
    </w:p>
    <w:p w14:paraId="0BD08E3A" w14:textId="77777777" w:rsidR="00BA5B63" w:rsidRPr="00996161" w:rsidRDefault="00000000" w:rsidP="00996161">
      <w:pPr>
        <w:pStyle w:val="Heading1"/>
        <w:spacing w:line="360" w:lineRule="auto"/>
        <w:rPr>
          <w:rFonts w:ascii="Times New Roman" w:hAnsi="Times New Roman" w:cs="Times New Roman"/>
          <w:color w:val="000000" w:themeColor="text1"/>
          <w:sz w:val="24"/>
          <w:szCs w:val="24"/>
        </w:rPr>
      </w:pPr>
      <w:bookmarkStart w:id="0" w:name="_Toc2856"/>
      <w:r w:rsidRPr="00996161">
        <w:rPr>
          <w:rFonts w:ascii="Times New Roman" w:hAnsi="Times New Roman" w:cs="Times New Roman"/>
          <w:color w:val="000000" w:themeColor="text1"/>
          <w:sz w:val="24"/>
          <w:szCs w:val="24"/>
        </w:rPr>
        <w:lastRenderedPageBreak/>
        <w:t>1. Introduction</w:t>
      </w:r>
      <w:bookmarkEnd w:id="0"/>
    </w:p>
    <w:p w14:paraId="5AECEF75"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It is well-known that organisational culture can be defined as one of the most significant factors that define business operations, competition, and performance. According to Mullins and Christy (2016, p. 574), the ubiquitous nature of culture, which takes into account not only a peculiarities of the usage of something that sounds like the way things are done around here but also more profound shared values, beliefs and attitudes has a huge impact on organisational processes, such as decision-making, structural design, group behaviour, work organisation, motivation and management control. With rising globalisation, organisations are under pressure to deal with multinational, and diverse labour forces in coherent cultural frameworks. Having been a global leader in the grocery conglomerate, </w:t>
      </w:r>
      <w:proofErr w:type="spellStart"/>
      <w:r w:rsidRPr="00996161">
        <w:rPr>
          <w:rFonts w:ascii="Times New Roman" w:hAnsi="Times New Roman" w:cs="Times New Roman"/>
          <w:color w:val="000000" w:themeColor="text1"/>
          <w:sz w:val="24"/>
          <w:szCs w:val="24"/>
        </w:rPr>
        <w:t>TescoPLC</w:t>
      </w:r>
      <w:proofErr w:type="spellEnd"/>
      <w:r w:rsidRPr="00996161">
        <w:rPr>
          <w:rFonts w:ascii="Times New Roman" w:hAnsi="Times New Roman" w:cs="Times New Roman"/>
          <w:color w:val="000000" w:themeColor="text1"/>
          <w:sz w:val="24"/>
          <w:szCs w:val="24"/>
        </w:rPr>
        <w:t xml:space="preserve"> is the largest supermarket retailer in the United Kingdom that makes the case study interesting to the given analysis. Having operations on various continents and an employee base of more than 300,000, the Tesco culture has evolved both through its strategic development in outward and inward directions over the decades (Tesco ⁻ 2024 Plc Ltd, 2020). The report is a critical analysis of the way that organisational culture has impacted the Tesco structure and decision-making; provision of applicable frameworks or model, </w:t>
      </w:r>
      <w:r w:rsidRPr="00996161">
        <w:rPr>
          <w:rFonts w:ascii="Times New Roman" w:hAnsi="Times New Roman" w:cs="Times New Roman"/>
          <w:color w:val="000000" w:themeColor="text1"/>
          <w:sz w:val="24"/>
          <w:szCs w:val="24"/>
          <w:lang w:val="en-US"/>
        </w:rPr>
        <w:t xml:space="preserve">such as </w:t>
      </w:r>
      <w:r w:rsidRPr="00996161">
        <w:rPr>
          <w:rFonts w:ascii="Times New Roman" w:hAnsi="Times New Roman" w:cs="Times New Roman"/>
          <w:color w:val="000000" w:themeColor="text1"/>
          <w:sz w:val="24"/>
          <w:szCs w:val="24"/>
        </w:rPr>
        <w:t>Schein Model, Hofstede Cultural Dimensions, and Handy Cultural Type; evaluation of how the company has used culture as an asset to adapt to the external pressures; evaluation of whether culture has been a barrier or enabler and finally provides evidence-based recommendations to improve it.</w:t>
      </w:r>
    </w:p>
    <w:p w14:paraId="4EAB31AC" w14:textId="77777777" w:rsidR="00BA5B63" w:rsidRPr="00996161" w:rsidRDefault="00000000" w:rsidP="00996161">
      <w:pPr>
        <w:pStyle w:val="Heading1"/>
        <w:spacing w:line="360" w:lineRule="auto"/>
        <w:rPr>
          <w:rFonts w:ascii="Times New Roman" w:hAnsi="Times New Roman" w:cs="Times New Roman"/>
          <w:color w:val="000000" w:themeColor="text1"/>
          <w:sz w:val="24"/>
          <w:szCs w:val="24"/>
        </w:rPr>
      </w:pPr>
      <w:bookmarkStart w:id="1" w:name="_Toc30408"/>
      <w:r w:rsidRPr="00996161">
        <w:rPr>
          <w:rFonts w:ascii="Times New Roman" w:hAnsi="Times New Roman" w:cs="Times New Roman"/>
          <w:color w:val="000000" w:themeColor="text1"/>
          <w:sz w:val="24"/>
          <w:szCs w:val="24"/>
        </w:rPr>
        <w:t>2. Organisational Culture, Structure, and Decision-Making</w:t>
      </w:r>
      <w:bookmarkEnd w:id="1"/>
    </w:p>
    <w:p w14:paraId="189D68FB"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Tesco has a hierarchical and, nevertheless, progressively more decentralised organisational structure, the structure that is closely intertwined with the presence of the firmly entrenched cultural values. The intended meaning of the stated purpose of the organisation is that it aims at serving the shoppers a little better each day, which is based on a customer-focused culture that trickles down to the very structural makeup of the organisation and decision making processes at every tier (Tesco PLC, 2024). On the strategic pinnacle, the Board and Group Executive Committee of Tesco have decisions that are rooted on data-driven performance metrics, accountability to stakeholders, and long-term brand steward. However, over time, the company has decentralised operational decision-making to store managers and regional directors, indicating a change in the organisational culture towards culture of empowerment, personal responsibility and distributed leadership (Robbins and Judge, 2019).</w:t>
      </w:r>
    </w:p>
    <w:p w14:paraId="69D12253"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171EAC63"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lastRenderedPageBreak/>
        <w:t xml:space="preserve">There is a two way relationship existing between culture and structure. According to Johnson, Whittington, and Scholes (2017), culture reflects and endorses the formal structures that organisations take. The implementation of the divisional structure in Tesco, which separates the operations of the UK retail, Booker wholesale, and international businesses, is reflective of the culture of the company that focuses accountability and performance at their divisional level. At the divisional level, managers are left to make decisions that are well adjusted to local tastes and culture in line with the overall corporate value systems of honesty, respect and quality of service. This </w:t>
      </w:r>
      <w:r w:rsidRPr="00996161">
        <w:rPr>
          <w:rFonts w:ascii="Times New Roman" w:hAnsi="Times New Roman" w:cs="Times New Roman"/>
          <w:color w:val="000000" w:themeColor="text1"/>
          <w:sz w:val="24"/>
          <w:szCs w:val="24"/>
          <w:lang w:val="en-US"/>
        </w:rPr>
        <w:t>structural-cultural</w:t>
      </w:r>
      <w:r w:rsidRPr="00996161">
        <w:rPr>
          <w:rFonts w:ascii="Times New Roman" w:hAnsi="Times New Roman" w:cs="Times New Roman"/>
          <w:color w:val="000000" w:themeColor="text1"/>
          <w:sz w:val="24"/>
          <w:szCs w:val="24"/>
        </w:rPr>
        <w:t xml:space="preserve"> fit is especially noteworthy considering Tesco would be represented in a wide range of international markets, which require the commercial necessity of making decisions locally.</w:t>
      </w:r>
    </w:p>
    <w:p w14:paraId="0EC80A77"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The post-crisis risk-conscious culture which Tesco undergoes is extremely critical in its decision-making. The 2014 accounting scandal that saw the company exaggerate its profits by some £263 million, sparked a fundamental cultural overhaul of the company led by the former Chief Executive, Dave Lewis (Grant, 2019). Lewis implemented more open modes of transparency, ethical governance structures and increased systemic controls in the entire organisation. In turn, co-operative review, cross-functional consultation, and multiple levels of scrutiny define the modern day decision-making within Tesco, attributes typical of a culture under institutional memory and lessons learned within organisations. Since the aftermath of crisis events, as Cameron and Quinn (2011) emphasise, organisations that went through a cultural change in a manner that allows redefining their decision-making structures by embedding a far more robust and substantially greater architecture, the trend that Tesco followed since 2015 can largely be viewed as an indicator of the organisational change and the transformation associated with the crisis-induced changes.</w:t>
      </w:r>
    </w:p>
    <w:p w14:paraId="2B46290F"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3DA1F645"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09719C65" w14:textId="77777777" w:rsidR="00BA5B63" w:rsidRPr="00996161" w:rsidRDefault="00000000" w:rsidP="00996161">
      <w:pPr>
        <w:spacing w:line="360" w:lineRule="auto"/>
        <w:jc w:val="center"/>
        <w:rPr>
          <w:rFonts w:ascii="Times New Roman" w:hAnsi="Times New Roman" w:cs="Times New Roman"/>
          <w:i/>
          <w:iCs/>
          <w:color w:val="000000" w:themeColor="text1"/>
          <w:sz w:val="24"/>
          <w:szCs w:val="24"/>
        </w:rPr>
      </w:pPr>
      <w:r w:rsidRPr="00996161">
        <w:rPr>
          <w:rFonts w:ascii="Times New Roman" w:hAnsi="Times New Roman" w:cs="Times New Roman"/>
          <w:i/>
          <w:iCs/>
          <w:noProof/>
          <w:color w:val="000000" w:themeColor="text1"/>
          <w:sz w:val="24"/>
          <w:szCs w:val="24"/>
        </w:rPr>
        <w:lastRenderedPageBreak/>
        <w:drawing>
          <wp:inline distT="0" distB="0" distL="0" distR="0" wp14:anchorId="7929581D" wp14:editId="422647D2">
            <wp:extent cx="5905500" cy="2733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rcRect t="7441"/>
                    <a:stretch>
                      <a:fillRect/>
                    </a:stretch>
                  </pic:blipFill>
                  <pic:spPr>
                    <a:xfrm>
                      <a:off x="0" y="0"/>
                      <a:ext cx="5905500" cy="2733040"/>
                    </a:xfrm>
                    <a:prstGeom prst="rect">
                      <a:avLst/>
                    </a:prstGeom>
                  </pic:spPr>
                </pic:pic>
              </a:graphicData>
            </a:graphic>
          </wp:inline>
        </w:drawing>
      </w:r>
    </w:p>
    <w:p w14:paraId="668994AC" w14:textId="77777777" w:rsidR="00BA5B63" w:rsidRPr="00996161" w:rsidRDefault="00000000" w:rsidP="00996161">
      <w:pPr>
        <w:pStyle w:val="Caption"/>
        <w:spacing w:line="360" w:lineRule="auto"/>
        <w:jc w:val="center"/>
        <w:rPr>
          <w:rFonts w:ascii="Times New Roman" w:hAnsi="Times New Roman" w:cs="Times New Roman"/>
          <w:i/>
          <w:iCs/>
          <w:color w:val="000000" w:themeColor="text1"/>
          <w:sz w:val="24"/>
          <w:szCs w:val="24"/>
          <w:lang w:val="en-US"/>
        </w:rPr>
      </w:pPr>
      <w:r w:rsidRPr="00996161">
        <w:rPr>
          <w:rFonts w:ascii="Times New Roman" w:hAnsi="Times New Roman" w:cs="Times New Roman"/>
          <w:i/>
          <w:iCs/>
          <w:color w:val="000000" w:themeColor="text1"/>
          <w:sz w:val="24"/>
          <w:szCs w:val="24"/>
        </w:rPr>
        <w:t xml:space="preserve">Figure </w:t>
      </w:r>
      <w:r w:rsidRPr="00996161">
        <w:rPr>
          <w:rFonts w:ascii="Times New Roman" w:hAnsi="Times New Roman" w:cs="Times New Roman"/>
          <w:i/>
          <w:iCs/>
          <w:color w:val="000000" w:themeColor="text1"/>
          <w:sz w:val="24"/>
          <w:szCs w:val="24"/>
        </w:rPr>
        <w:fldChar w:fldCharType="begin"/>
      </w:r>
      <w:r w:rsidRPr="00996161">
        <w:rPr>
          <w:rFonts w:ascii="Times New Roman" w:hAnsi="Times New Roman" w:cs="Times New Roman"/>
          <w:i/>
          <w:iCs/>
          <w:color w:val="000000" w:themeColor="text1"/>
          <w:sz w:val="24"/>
          <w:szCs w:val="24"/>
        </w:rPr>
        <w:instrText xml:space="preserve"> SEQ Figure \* ARABIC </w:instrText>
      </w:r>
      <w:r w:rsidRPr="00996161">
        <w:rPr>
          <w:rFonts w:ascii="Times New Roman" w:hAnsi="Times New Roman" w:cs="Times New Roman"/>
          <w:i/>
          <w:iCs/>
          <w:color w:val="000000" w:themeColor="text1"/>
          <w:sz w:val="24"/>
          <w:szCs w:val="24"/>
        </w:rPr>
        <w:fldChar w:fldCharType="separate"/>
      </w:r>
      <w:r w:rsidRPr="00996161">
        <w:rPr>
          <w:rFonts w:ascii="Times New Roman" w:hAnsi="Times New Roman" w:cs="Times New Roman"/>
          <w:i/>
          <w:iCs/>
          <w:color w:val="000000" w:themeColor="text1"/>
          <w:sz w:val="24"/>
          <w:szCs w:val="24"/>
        </w:rPr>
        <w:t>1</w:t>
      </w:r>
      <w:r w:rsidRPr="00996161">
        <w:rPr>
          <w:rFonts w:ascii="Times New Roman" w:hAnsi="Times New Roman" w:cs="Times New Roman"/>
          <w:i/>
          <w:iCs/>
          <w:color w:val="000000" w:themeColor="text1"/>
          <w:sz w:val="24"/>
          <w:szCs w:val="24"/>
        </w:rPr>
        <w:fldChar w:fldCharType="end"/>
      </w:r>
      <w:r w:rsidRPr="00996161">
        <w:rPr>
          <w:rFonts w:ascii="Times New Roman" w:hAnsi="Times New Roman" w:cs="Times New Roman"/>
          <w:i/>
          <w:iCs/>
          <w:color w:val="000000" w:themeColor="text1"/>
          <w:sz w:val="24"/>
          <w:szCs w:val="24"/>
          <w:lang w:val="en-US"/>
        </w:rPr>
        <w:t>:  Tesco PLC Financial Performance (2020–2024); Source: Tesco PLC Annual Report and Financial Statements (2024); adapted by the author.</w:t>
      </w:r>
    </w:p>
    <w:p w14:paraId="47197D59"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37EAAAA1"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Table 1: Tesco PLC Financial Performance Summary (2020–2024)</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1800"/>
        <w:gridCol w:w="1800"/>
        <w:gridCol w:w="1813"/>
        <w:gridCol w:w="1813"/>
      </w:tblGrid>
      <w:tr w:rsidR="00BA5B63" w:rsidRPr="00996161" w14:paraId="56350B6C" w14:textId="77777777">
        <w:trPr>
          <w:tblHeader/>
        </w:trPr>
        <w:tc>
          <w:tcPr>
            <w:tcW w:w="1800"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40A0C086"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Year</w:t>
            </w:r>
          </w:p>
        </w:tc>
        <w:tc>
          <w:tcPr>
            <w:tcW w:w="1800"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7206ACF1"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Revenue (£bn)</w:t>
            </w:r>
          </w:p>
        </w:tc>
        <w:tc>
          <w:tcPr>
            <w:tcW w:w="1800"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052598B5"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Op. Profit (£bn)</w:t>
            </w:r>
          </w:p>
        </w:tc>
        <w:tc>
          <w:tcPr>
            <w:tcW w:w="1813"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0E6014AD"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Net Margin (%)</w:t>
            </w:r>
          </w:p>
        </w:tc>
        <w:tc>
          <w:tcPr>
            <w:tcW w:w="1813"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1705D7D0"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YoY Growth (%)</w:t>
            </w:r>
          </w:p>
        </w:tc>
      </w:tr>
      <w:tr w:rsidR="00BA5B63" w:rsidRPr="00996161" w14:paraId="0C2A96EE" w14:textId="77777777">
        <w:tc>
          <w:tcPr>
            <w:tcW w:w="1800"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4C04054D"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2020</w:t>
            </w:r>
          </w:p>
        </w:tc>
        <w:tc>
          <w:tcPr>
            <w:tcW w:w="1800"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514C375C"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53.4</w:t>
            </w:r>
          </w:p>
        </w:tc>
        <w:tc>
          <w:tcPr>
            <w:tcW w:w="1800"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73F49CD6"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1.3</w:t>
            </w:r>
          </w:p>
        </w:tc>
        <w:tc>
          <w:tcPr>
            <w:tcW w:w="1813"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0A31A479"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2.4%</w:t>
            </w:r>
          </w:p>
        </w:tc>
        <w:tc>
          <w:tcPr>
            <w:tcW w:w="1813"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2D7F6AA2" w14:textId="7D741CCA" w:rsidR="00BA5B63" w:rsidRPr="00996161" w:rsidRDefault="00C400AE" w:rsidP="0099616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
        </w:tc>
      </w:tr>
      <w:tr w:rsidR="00BA5B63" w:rsidRPr="00996161" w14:paraId="1667E35C" w14:textId="77777777">
        <w:tc>
          <w:tcPr>
            <w:tcW w:w="18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58ECE647"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2021</w:t>
            </w:r>
          </w:p>
        </w:tc>
        <w:tc>
          <w:tcPr>
            <w:tcW w:w="18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134B0604"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54.8</w:t>
            </w:r>
          </w:p>
        </w:tc>
        <w:tc>
          <w:tcPr>
            <w:tcW w:w="18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40328139"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1.8</w:t>
            </w:r>
          </w:p>
        </w:tc>
        <w:tc>
          <w:tcPr>
            <w:tcW w:w="1813"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6C944344"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3.3%</w:t>
            </w:r>
          </w:p>
        </w:tc>
        <w:tc>
          <w:tcPr>
            <w:tcW w:w="1813"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0EE5868F"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+2.6%</w:t>
            </w:r>
          </w:p>
        </w:tc>
      </w:tr>
      <w:tr w:rsidR="00BA5B63" w:rsidRPr="00996161" w14:paraId="37AF82FA" w14:textId="77777777">
        <w:tc>
          <w:tcPr>
            <w:tcW w:w="18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2A89F7DF"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2022</w:t>
            </w:r>
          </w:p>
        </w:tc>
        <w:tc>
          <w:tcPr>
            <w:tcW w:w="18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09F6E960"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61.3</w:t>
            </w:r>
          </w:p>
        </w:tc>
        <w:tc>
          <w:tcPr>
            <w:tcW w:w="18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6063C6AA"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2.5</w:t>
            </w:r>
          </w:p>
        </w:tc>
        <w:tc>
          <w:tcPr>
            <w:tcW w:w="1813"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6EC949D6"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4.1%</w:t>
            </w:r>
          </w:p>
        </w:tc>
        <w:tc>
          <w:tcPr>
            <w:tcW w:w="1813"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3B228E07"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+11.9%</w:t>
            </w:r>
          </w:p>
        </w:tc>
      </w:tr>
      <w:tr w:rsidR="00BA5B63" w:rsidRPr="00996161" w14:paraId="3711DB69" w14:textId="77777777">
        <w:tc>
          <w:tcPr>
            <w:tcW w:w="18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634081E4"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2023</w:t>
            </w:r>
          </w:p>
        </w:tc>
        <w:tc>
          <w:tcPr>
            <w:tcW w:w="18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3CC3F633"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65.8</w:t>
            </w:r>
          </w:p>
        </w:tc>
        <w:tc>
          <w:tcPr>
            <w:tcW w:w="18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44C8CB5C"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2.6</w:t>
            </w:r>
          </w:p>
        </w:tc>
        <w:tc>
          <w:tcPr>
            <w:tcW w:w="1813"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662E512D"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4.0%</w:t>
            </w:r>
          </w:p>
        </w:tc>
        <w:tc>
          <w:tcPr>
            <w:tcW w:w="1813"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19ED1380"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+7.3%</w:t>
            </w:r>
          </w:p>
        </w:tc>
      </w:tr>
      <w:tr w:rsidR="00BA5B63" w:rsidRPr="00996161" w14:paraId="69D555D3" w14:textId="77777777">
        <w:tc>
          <w:tcPr>
            <w:tcW w:w="18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431B10AE"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2024</w:t>
            </w:r>
          </w:p>
        </w:tc>
        <w:tc>
          <w:tcPr>
            <w:tcW w:w="18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005BAC45"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68.2</w:t>
            </w:r>
          </w:p>
        </w:tc>
        <w:tc>
          <w:tcPr>
            <w:tcW w:w="18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57EC8A5D"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2.8</w:t>
            </w:r>
          </w:p>
        </w:tc>
        <w:tc>
          <w:tcPr>
            <w:tcW w:w="1813"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2884ED93"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4.1%</w:t>
            </w:r>
          </w:p>
        </w:tc>
        <w:tc>
          <w:tcPr>
            <w:tcW w:w="1813"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0E9AF5D3"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+3.6%</w:t>
            </w:r>
          </w:p>
        </w:tc>
      </w:tr>
    </w:tbl>
    <w:p w14:paraId="384A6601"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Source: Tesco PLC Annual Report and Financial Statements (2024).</w:t>
      </w:r>
    </w:p>
    <w:p w14:paraId="193812DA" w14:textId="2DB764C9" w:rsidR="00E40AB9"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As shown in the chart and table above, Tesco has steadily increased its revenue between 2020-24, with a rising operating profit of 2.8 billion. This curve shows the real manifested cumulative results of the cultural change initiated in 2015, which indicates a values-oriented, customer-centric culture can be reflected directly and with quantifiable results into financial results (Kotter and Heskett, 2011).</w:t>
      </w:r>
    </w:p>
    <w:p w14:paraId="6FA22B8C" w14:textId="77777777" w:rsidR="00E40AB9" w:rsidRDefault="00E40AB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1737EA8C" w14:textId="77777777" w:rsidR="00BA5B63" w:rsidRPr="00996161" w:rsidRDefault="00000000" w:rsidP="00996161">
      <w:pPr>
        <w:pStyle w:val="Heading1"/>
        <w:spacing w:line="360" w:lineRule="auto"/>
        <w:rPr>
          <w:rFonts w:ascii="Times New Roman" w:hAnsi="Times New Roman" w:cs="Times New Roman"/>
          <w:color w:val="000000" w:themeColor="text1"/>
          <w:sz w:val="24"/>
          <w:szCs w:val="24"/>
        </w:rPr>
      </w:pPr>
      <w:bookmarkStart w:id="2" w:name="_Toc23725"/>
      <w:r w:rsidRPr="00996161">
        <w:rPr>
          <w:rFonts w:ascii="Times New Roman" w:hAnsi="Times New Roman" w:cs="Times New Roman"/>
          <w:color w:val="000000" w:themeColor="text1"/>
          <w:sz w:val="24"/>
          <w:szCs w:val="24"/>
          <w:lang w:val="en-US"/>
        </w:rPr>
        <w:lastRenderedPageBreak/>
        <w:t>3</w:t>
      </w:r>
      <w:r w:rsidRPr="00996161">
        <w:rPr>
          <w:rFonts w:ascii="Times New Roman" w:hAnsi="Times New Roman" w:cs="Times New Roman"/>
          <w:color w:val="000000" w:themeColor="text1"/>
          <w:sz w:val="24"/>
          <w:szCs w:val="24"/>
        </w:rPr>
        <w:t>. Identifying Organisational Culture: Frameworks and Models</w:t>
      </w:r>
      <w:bookmarkEnd w:id="2"/>
    </w:p>
    <w:p w14:paraId="572DBCEC"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10B58F31"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There are several well-known theoretical perspectives, which can be used as structured perspectives under which one can analyse the Tesco organisational culture. This section uses three especially applicable models, the Three-Level Model developed by Schein, the Cultural Dimensions brought forth by Hofstede, and the Cultural Types developed by Handy, to shed light on the nature of the Tesco culture and its current nature.</w:t>
      </w:r>
    </w:p>
    <w:p w14:paraId="2042FC08" w14:textId="77777777" w:rsidR="00BA5B63" w:rsidRPr="00996161" w:rsidRDefault="00000000" w:rsidP="00996161">
      <w:pPr>
        <w:pStyle w:val="Heading2"/>
        <w:spacing w:line="360" w:lineRule="auto"/>
        <w:rPr>
          <w:rFonts w:ascii="Times New Roman" w:hAnsi="Times New Roman" w:cs="Times New Roman"/>
          <w:color w:val="000000" w:themeColor="text1"/>
        </w:rPr>
      </w:pPr>
      <w:bookmarkStart w:id="3" w:name="_Toc28637"/>
      <w:r w:rsidRPr="00996161">
        <w:rPr>
          <w:rFonts w:ascii="Times New Roman" w:hAnsi="Times New Roman" w:cs="Times New Roman"/>
          <w:color w:val="000000" w:themeColor="text1"/>
        </w:rPr>
        <w:t>3.1 Schein's Three-Level Model</w:t>
      </w:r>
      <w:bookmarkEnd w:id="3"/>
    </w:p>
    <w:p w14:paraId="44CB7F58"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The conceptualisation developed by Schein (2017) views organisational culture as a set of three hierarchically nested levels, including artefacts (upon-the-surface structures and processes), espoused values (proclaimed strategies and goals), and underlying assumptions (unconscious, taken-granted beliefs that ultimately guide behaviour). In the case of Tesco, artefacts are prevalent in the way the company has developed its specific branding identity, chosen store pattern, standardised employee dress code, and the </w:t>
      </w:r>
      <w:proofErr w:type="spellStart"/>
      <w:r w:rsidRPr="00996161">
        <w:rPr>
          <w:rFonts w:ascii="Times New Roman" w:hAnsi="Times New Roman" w:cs="Times New Roman"/>
          <w:color w:val="000000" w:themeColor="text1"/>
          <w:sz w:val="24"/>
          <w:szCs w:val="24"/>
        </w:rPr>
        <w:t>ClubCard</w:t>
      </w:r>
      <w:proofErr w:type="spellEnd"/>
      <w:r w:rsidRPr="00996161">
        <w:rPr>
          <w:rFonts w:ascii="Times New Roman" w:hAnsi="Times New Roman" w:cs="Times New Roman"/>
          <w:color w:val="000000" w:themeColor="text1"/>
          <w:sz w:val="24"/>
          <w:szCs w:val="24"/>
        </w:rPr>
        <w:t xml:space="preserve"> loyalty card programme, specific forms of customer first identity that are immediately visible to the customer, staff and even to a viewer.</w:t>
      </w:r>
    </w:p>
    <w:p w14:paraId="4DE134E6"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The espoused values are </w:t>
      </w:r>
      <w:proofErr w:type="spellStart"/>
      <w:r w:rsidRPr="00996161">
        <w:rPr>
          <w:rFonts w:ascii="Times New Roman" w:hAnsi="Times New Roman" w:cs="Times New Roman"/>
          <w:color w:val="000000" w:themeColor="text1"/>
          <w:sz w:val="24"/>
          <w:szCs w:val="24"/>
        </w:rPr>
        <w:t>expressable</w:t>
      </w:r>
      <w:proofErr w:type="spellEnd"/>
      <w:r w:rsidRPr="00996161">
        <w:rPr>
          <w:rFonts w:ascii="Times New Roman" w:hAnsi="Times New Roman" w:cs="Times New Roman"/>
          <w:color w:val="000000" w:themeColor="text1"/>
          <w:sz w:val="24"/>
          <w:szCs w:val="24"/>
        </w:rPr>
        <w:t xml:space="preserve"> via the publicly expressed values of Tesco towards sustainability, supply chain integrity, inclusion, and supplier fairness, which are examined in a global manner in the annual sustainability reporting of this firm (Tesco </w:t>
      </w:r>
      <w:r w:rsidRPr="00996161">
        <w:rPr>
          <w:rFonts w:ascii="Times New Roman" w:hAnsi="Times New Roman" w:cs="Times New Roman"/>
          <w:color w:val="000000" w:themeColor="text1"/>
          <w:sz w:val="24"/>
          <w:szCs w:val="24"/>
          <w:lang w:val="en-US"/>
        </w:rPr>
        <w:t>p</w:t>
      </w:r>
      <w:r w:rsidRPr="00996161">
        <w:rPr>
          <w:rFonts w:ascii="Times New Roman" w:hAnsi="Times New Roman" w:cs="Times New Roman"/>
          <w:color w:val="000000" w:themeColor="text1"/>
          <w:sz w:val="24"/>
          <w:szCs w:val="24"/>
        </w:rPr>
        <w:t>LC, 2024). On the most fundamental level there are underlying assumptions of a strongly held, frequently tacit, belief in the operational efficiency and value-for-money as being non-negotiable competitive imperatives, assumptions which have been enforced over decades of price competition in the groceries markets with rivals like ASDA, Sainsbury and the German discounters Aldi and Lidl. Most importantly, Schein (2017) cautions that cultural interventions like those that are only superficially administered by focusing on artefacts, but not on actual underlying assumptions that dictate how employees actually behave, are bound to fail in bringing enduring change to the organisational structure. This observation is particularly relevant to the cultural change at Tesco in post-2014, which was successful, on account of the leadership intervention in all three tiers of the cultural pyramid.</w:t>
      </w:r>
    </w:p>
    <w:p w14:paraId="53B744E7" w14:textId="77777777" w:rsidR="00BA5B63" w:rsidRPr="00996161" w:rsidRDefault="00000000" w:rsidP="00996161">
      <w:pPr>
        <w:pStyle w:val="Heading2"/>
        <w:spacing w:line="360" w:lineRule="auto"/>
        <w:rPr>
          <w:rFonts w:ascii="Times New Roman" w:hAnsi="Times New Roman" w:cs="Times New Roman"/>
          <w:color w:val="000000" w:themeColor="text1"/>
        </w:rPr>
      </w:pPr>
      <w:bookmarkStart w:id="4" w:name="_Toc27171"/>
      <w:r w:rsidRPr="00996161">
        <w:rPr>
          <w:rFonts w:ascii="Times New Roman" w:hAnsi="Times New Roman" w:cs="Times New Roman"/>
          <w:color w:val="000000" w:themeColor="text1"/>
        </w:rPr>
        <w:t>3.2 Hofstede's Cultural Dimensions</w:t>
      </w:r>
      <w:bookmarkEnd w:id="4"/>
    </w:p>
    <w:p w14:paraId="38DB3A98"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Hofstede, Hofstede and Minkov (2010) present six dimensions of cultural analysis that allow the comparative study of both the national culture and the organisational culture: power distance, individualism, masculinity, uncertainty avoidance, long-term orientation and indulgence. Being a major UK-based organisation, Tesco functions in a UK-based setting that has low power distance, </w:t>
      </w:r>
      <w:r w:rsidRPr="00996161">
        <w:rPr>
          <w:rFonts w:ascii="Times New Roman" w:hAnsi="Times New Roman" w:cs="Times New Roman"/>
          <w:color w:val="000000" w:themeColor="text1"/>
          <w:sz w:val="24"/>
          <w:szCs w:val="24"/>
        </w:rPr>
        <w:lastRenderedPageBreak/>
        <w:t>is quite individualistic, and uncertainty avoidance is not very high. Tesco internal organisational culture, however, exhibits significant departures on these national norms based on the requirements to manage a complex and large scale retail enterprise with operating conditions that are diverse.</w:t>
      </w:r>
    </w:p>
    <w:p w14:paraId="4D63A98B"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767F56DB" w14:textId="77777777" w:rsidR="00B12077" w:rsidRDefault="00000000" w:rsidP="00996161">
      <w:pPr>
        <w:spacing w:line="360" w:lineRule="auto"/>
        <w:jc w:val="center"/>
        <w:rPr>
          <w:rFonts w:ascii="Times New Roman" w:hAnsi="Times New Roman" w:cs="Times New Roman"/>
          <w:i/>
          <w:iCs/>
          <w:color w:val="000000" w:themeColor="text1"/>
          <w:sz w:val="24"/>
          <w:szCs w:val="24"/>
        </w:rPr>
      </w:pPr>
      <w:r w:rsidRPr="00996161">
        <w:rPr>
          <w:rFonts w:ascii="Times New Roman" w:hAnsi="Times New Roman" w:cs="Times New Roman"/>
          <w:i/>
          <w:iCs/>
          <w:noProof/>
          <w:color w:val="000000" w:themeColor="text1"/>
          <w:sz w:val="24"/>
          <w:szCs w:val="24"/>
        </w:rPr>
        <w:drawing>
          <wp:inline distT="0" distB="0" distL="0" distR="0" wp14:anchorId="519E23B9" wp14:editId="3ACD4148">
            <wp:extent cx="4572000" cy="35013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srcRect t="10341"/>
                    <a:stretch>
                      <a:fillRect/>
                    </a:stretch>
                  </pic:blipFill>
                  <pic:spPr>
                    <a:xfrm>
                      <a:off x="0" y="0"/>
                      <a:ext cx="4572000" cy="3501390"/>
                    </a:xfrm>
                    <a:prstGeom prst="rect">
                      <a:avLst/>
                    </a:prstGeom>
                  </pic:spPr>
                </pic:pic>
              </a:graphicData>
            </a:graphic>
          </wp:inline>
        </w:drawing>
      </w:r>
    </w:p>
    <w:p w14:paraId="036C088D" w14:textId="1CF823BA" w:rsidR="00BA5B63" w:rsidRPr="00996161" w:rsidRDefault="00000000" w:rsidP="00996161">
      <w:pPr>
        <w:spacing w:line="360" w:lineRule="auto"/>
        <w:jc w:val="center"/>
        <w:rPr>
          <w:rFonts w:ascii="Times New Roman" w:hAnsi="Times New Roman" w:cs="Times New Roman"/>
          <w:i/>
          <w:iCs/>
          <w:color w:val="000000" w:themeColor="text1"/>
          <w:sz w:val="24"/>
          <w:szCs w:val="24"/>
        </w:rPr>
      </w:pPr>
      <w:r w:rsidRPr="00996161">
        <w:rPr>
          <w:rFonts w:ascii="Times New Roman" w:hAnsi="Times New Roman" w:cs="Times New Roman"/>
          <w:i/>
          <w:iCs/>
          <w:noProof/>
          <w:color w:val="000000" w:themeColor="text1"/>
          <w:sz w:val="24"/>
          <w:szCs w:val="24"/>
        </w:rPr>
        <w:drawing>
          <wp:inline distT="0" distB="0" distL="114300" distR="114300" wp14:anchorId="6F4E2F29" wp14:editId="25742717">
            <wp:extent cx="1162050" cy="2667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pic:cNvPicPr>
                  </pic:nvPicPr>
                  <pic:blipFill>
                    <a:blip r:embed="rId10"/>
                    <a:stretch>
                      <a:fillRect/>
                    </a:stretch>
                  </pic:blipFill>
                  <pic:spPr>
                    <a:xfrm>
                      <a:off x="0" y="0"/>
                      <a:ext cx="1162050" cy="266700"/>
                    </a:xfrm>
                    <a:prstGeom prst="rect">
                      <a:avLst/>
                    </a:prstGeom>
                    <a:noFill/>
                    <a:ln>
                      <a:noFill/>
                    </a:ln>
                  </pic:spPr>
                </pic:pic>
              </a:graphicData>
            </a:graphic>
          </wp:inline>
        </w:drawing>
      </w:r>
    </w:p>
    <w:p w14:paraId="6290AE89" w14:textId="77777777" w:rsidR="00BA5B63" w:rsidRPr="00996161" w:rsidRDefault="00000000" w:rsidP="00996161">
      <w:pPr>
        <w:pStyle w:val="Caption"/>
        <w:spacing w:line="360" w:lineRule="auto"/>
        <w:jc w:val="center"/>
        <w:rPr>
          <w:rFonts w:ascii="Times New Roman" w:hAnsi="Times New Roman" w:cs="Times New Roman"/>
          <w:i/>
          <w:iCs/>
          <w:color w:val="000000" w:themeColor="text1"/>
          <w:sz w:val="24"/>
          <w:szCs w:val="24"/>
          <w:lang w:val="en-US"/>
        </w:rPr>
      </w:pPr>
      <w:r w:rsidRPr="00996161">
        <w:rPr>
          <w:rFonts w:ascii="Times New Roman" w:hAnsi="Times New Roman" w:cs="Times New Roman"/>
          <w:i/>
          <w:iCs/>
          <w:color w:val="000000" w:themeColor="text1"/>
          <w:sz w:val="24"/>
          <w:szCs w:val="24"/>
        </w:rPr>
        <w:t xml:space="preserve">Figure </w:t>
      </w:r>
      <w:r w:rsidRPr="00996161">
        <w:rPr>
          <w:rFonts w:ascii="Times New Roman" w:hAnsi="Times New Roman" w:cs="Times New Roman"/>
          <w:i/>
          <w:iCs/>
          <w:color w:val="000000" w:themeColor="text1"/>
          <w:sz w:val="24"/>
          <w:szCs w:val="24"/>
        </w:rPr>
        <w:fldChar w:fldCharType="begin"/>
      </w:r>
      <w:r w:rsidRPr="00996161">
        <w:rPr>
          <w:rFonts w:ascii="Times New Roman" w:hAnsi="Times New Roman" w:cs="Times New Roman"/>
          <w:i/>
          <w:iCs/>
          <w:color w:val="000000" w:themeColor="text1"/>
          <w:sz w:val="24"/>
          <w:szCs w:val="24"/>
        </w:rPr>
        <w:instrText xml:space="preserve"> SEQ Figure \* ARABIC </w:instrText>
      </w:r>
      <w:r w:rsidRPr="00996161">
        <w:rPr>
          <w:rFonts w:ascii="Times New Roman" w:hAnsi="Times New Roman" w:cs="Times New Roman"/>
          <w:i/>
          <w:iCs/>
          <w:color w:val="000000" w:themeColor="text1"/>
          <w:sz w:val="24"/>
          <w:szCs w:val="24"/>
        </w:rPr>
        <w:fldChar w:fldCharType="separate"/>
      </w:r>
      <w:r w:rsidRPr="00996161">
        <w:rPr>
          <w:rFonts w:ascii="Times New Roman" w:hAnsi="Times New Roman" w:cs="Times New Roman"/>
          <w:i/>
          <w:iCs/>
          <w:color w:val="000000" w:themeColor="text1"/>
          <w:sz w:val="24"/>
          <w:szCs w:val="24"/>
        </w:rPr>
        <w:t>2</w:t>
      </w:r>
      <w:r w:rsidRPr="00996161">
        <w:rPr>
          <w:rFonts w:ascii="Times New Roman" w:hAnsi="Times New Roman" w:cs="Times New Roman"/>
          <w:i/>
          <w:iCs/>
          <w:color w:val="000000" w:themeColor="text1"/>
          <w:sz w:val="24"/>
          <w:szCs w:val="24"/>
        </w:rPr>
        <w:fldChar w:fldCharType="end"/>
      </w:r>
      <w:r w:rsidRPr="00996161">
        <w:rPr>
          <w:rFonts w:ascii="Times New Roman" w:hAnsi="Times New Roman" w:cs="Times New Roman"/>
          <w:i/>
          <w:iCs/>
          <w:color w:val="000000" w:themeColor="text1"/>
          <w:sz w:val="24"/>
          <w:szCs w:val="24"/>
          <w:lang w:val="en-US"/>
        </w:rPr>
        <w:t>: Hofstede's Cultural Dimensions — UK Benchmark vs Tesco's Culture; Source: Adapted from Hofstede, Hofstede and Minkov (2010) and Tesco PLC (2024); scores are indicative.</w:t>
      </w:r>
    </w:p>
    <w:p w14:paraId="6384A924"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7359AF14" w14:textId="27DDDA05"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Table 2: Hofstede's Cultural Dimensions </w:t>
      </w:r>
      <w:r w:rsidR="00061CA9">
        <w:rPr>
          <w:rFonts w:ascii="Times New Roman" w:hAnsi="Times New Roman" w:cs="Times New Roman"/>
          <w:color w:val="000000" w:themeColor="text1"/>
          <w:sz w:val="24"/>
          <w:szCs w:val="24"/>
        </w:rPr>
        <w:t>-</w:t>
      </w:r>
      <w:r w:rsidRPr="00996161">
        <w:rPr>
          <w:rFonts w:ascii="Times New Roman" w:hAnsi="Times New Roman" w:cs="Times New Roman"/>
          <w:color w:val="000000" w:themeColor="text1"/>
          <w:sz w:val="24"/>
          <w:szCs w:val="24"/>
        </w:rPr>
        <w:t xml:space="preserve"> UK Benchmark vs Tesco's Perceived Culture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1600"/>
        <w:gridCol w:w="1600"/>
        <w:gridCol w:w="2626"/>
      </w:tblGrid>
      <w:tr w:rsidR="00BA5B63" w:rsidRPr="00996161" w14:paraId="37448AD4" w14:textId="77777777">
        <w:trPr>
          <w:tblHeader/>
        </w:trPr>
        <w:tc>
          <w:tcPr>
            <w:tcW w:w="3200"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529E8CC6"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Dimension</w:t>
            </w:r>
          </w:p>
        </w:tc>
        <w:tc>
          <w:tcPr>
            <w:tcW w:w="1600"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278B612C"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UK Score</w:t>
            </w:r>
          </w:p>
        </w:tc>
        <w:tc>
          <w:tcPr>
            <w:tcW w:w="1600"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291B9546"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Tesco Score</w:t>
            </w:r>
          </w:p>
        </w:tc>
        <w:tc>
          <w:tcPr>
            <w:tcW w:w="2626"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223A726D"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Interpretation</w:t>
            </w:r>
          </w:p>
        </w:tc>
      </w:tr>
      <w:tr w:rsidR="00BA5B63" w:rsidRPr="00996161" w14:paraId="7CC74AEF" w14:textId="77777777">
        <w:tc>
          <w:tcPr>
            <w:tcW w:w="3200"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5B8EA894"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Power Distance</w:t>
            </w:r>
          </w:p>
        </w:tc>
        <w:tc>
          <w:tcPr>
            <w:tcW w:w="1600"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0AE60D23"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35</w:t>
            </w:r>
          </w:p>
        </w:tc>
        <w:tc>
          <w:tcPr>
            <w:tcW w:w="1600"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3692A340"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42</w:t>
            </w:r>
          </w:p>
        </w:tc>
        <w:tc>
          <w:tcPr>
            <w:tcW w:w="2626"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328D962F"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Moderate hierarchy</w:t>
            </w:r>
          </w:p>
        </w:tc>
      </w:tr>
      <w:tr w:rsidR="00BA5B63" w:rsidRPr="00996161" w14:paraId="7A675E0E" w14:textId="77777777">
        <w:tc>
          <w:tcPr>
            <w:tcW w:w="32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0492A611"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Individualism</w:t>
            </w:r>
          </w:p>
        </w:tc>
        <w:tc>
          <w:tcPr>
            <w:tcW w:w="16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08F99BBE"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89</w:t>
            </w:r>
          </w:p>
        </w:tc>
        <w:tc>
          <w:tcPr>
            <w:tcW w:w="16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6AD87906"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75</w:t>
            </w:r>
          </w:p>
        </w:tc>
        <w:tc>
          <w:tcPr>
            <w:tcW w:w="2626"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0DA7D371"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Team-oriented operations</w:t>
            </w:r>
          </w:p>
        </w:tc>
      </w:tr>
      <w:tr w:rsidR="00BA5B63" w:rsidRPr="00996161" w14:paraId="472FC75A" w14:textId="77777777">
        <w:tc>
          <w:tcPr>
            <w:tcW w:w="32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6A902E47"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Uncertainty Avoidance</w:t>
            </w:r>
          </w:p>
        </w:tc>
        <w:tc>
          <w:tcPr>
            <w:tcW w:w="16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384C48EA"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35</w:t>
            </w:r>
          </w:p>
        </w:tc>
        <w:tc>
          <w:tcPr>
            <w:tcW w:w="16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6195FACB"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50</w:t>
            </w:r>
          </w:p>
        </w:tc>
        <w:tc>
          <w:tcPr>
            <w:tcW w:w="2626"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51C32A04"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Post-scandal controls</w:t>
            </w:r>
          </w:p>
        </w:tc>
      </w:tr>
      <w:tr w:rsidR="00BA5B63" w:rsidRPr="00996161" w14:paraId="39EBBBC3" w14:textId="77777777">
        <w:tc>
          <w:tcPr>
            <w:tcW w:w="32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0EFF90C1"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Long-Term Orientation</w:t>
            </w:r>
          </w:p>
        </w:tc>
        <w:tc>
          <w:tcPr>
            <w:tcW w:w="16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7D60F368"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51</w:t>
            </w:r>
          </w:p>
        </w:tc>
        <w:tc>
          <w:tcPr>
            <w:tcW w:w="16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0B66DEEF"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70</w:t>
            </w:r>
          </w:p>
        </w:tc>
        <w:tc>
          <w:tcPr>
            <w:tcW w:w="2626"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04833DEF"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Strategic investment focus</w:t>
            </w:r>
          </w:p>
        </w:tc>
      </w:tr>
      <w:tr w:rsidR="00BA5B63" w:rsidRPr="00996161" w14:paraId="7C3E623B" w14:textId="77777777">
        <w:tc>
          <w:tcPr>
            <w:tcW w:w="32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238EFBB0"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Indulgence</w:t>
            </w:r>
          </w:p>
        </w:tc>
        <w:tc>
          <w:tcPr>
            <w:tcW w:w="16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3F5A4C3B"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69</w:t>
            </w:r>
          </w:p>
        </w:tc>
        <w:tc>
          <w:tcPr>
            <w:tcW w:w="16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062B3D3E"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60</w:t>
            </w:r>
          </w:p>
        </w:tc>
        <w:tc>
          <w:tcPr>
            <w:tcW w:w="2626"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43D923C7" w14:textId="77777777" w:rsidR="00BA5B63" w:rsidRPr="00996161" w:rsidRDefault="00000000" w:rsidP="00B12077">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Balanced discipline</w:t>
            </w:r>
          </w:p>
        </w:tc>
      </w:tr>
    </w:tbl>
    <w:p w14:paraId="004B6294"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Source: Adapted from Hofstede, Hofstede and Minkov (2010) and Tesco PLC (2024).</w:t>
      </w:r>
    </w:p>
    <w:p w14:paraId="67118607"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264FB893"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The radar chart and the table prove that Tesco scores significantly better than the national average of the United Kingdom on the matter of long-term orientation (70 against 51), which can be attributed to the fact that the firm has strategic investments in the Clubcard data infrastructure, long-horizon sustainability programme, and initiatives to resist the supply chain. The level of uncertainty avoidance is also higher than the national average (50 versus 35), implying that the reform of governance after the scandal has focused on compliance, process standardisation, and systematic mitigation of risk (Robbins and Judge, 2019). The perceived moderation of individualism is below the national average, which is associated with the fact that Tesco is highly characterised by the focus on store operations as a team, employee performance that is managed collectively, and shared accountability among its employees.</w:t>
      </w:r>
    </w:p>
    <w:p w14:paraId="5B68B532" w14:textId="77777777" w:rsidR="00BA5B63" w:rsidRPr="00996161" w:rsidRDefault="00000000" w:rsidP="00996161">
      <w:pPr>
        <w:pStyle w:val="Heading2"/>
        <w:spacing w:line="360" w:lineRule="auto"/>
        <w:rPr>
          <w:rFonts w:ascii="Times New Roman" w:hAnsi="Times New Roman" w:cs="Times New Roman"/>
          <w:color w:val="000000" w:themeColor="text1"/>
        </w:rPr>
      </w:pPr>
      <w:bookmarkStart w:id="5" w:name="_Toc6271"/>
      <w:r w:rsidRPr="00996161">
        <w:rPr>
          <w:rFonts w:ascii="Times New Roman" w:hAnsi="Times New Roman" w:cs="Times New Roman"/>
          <w:color w:val="000000" w:themeColor="text1"/>
        </w:rPr>
        <w:t>3.3 Culture and Dominant Culture at Handy.</w:t>
      </w:r>
      <w:bookmarkEnd w:id="5"/>
    </w:p>
    <w:p w14:paraId="5AFC182D"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According to Handy (1993), there are four types of organisational cultures which are power culture (which is based on an overpowering person or few people), role culture (where an organisation operates under rules and bureaucracy), task culture (where an organisation is focused on the completion of projects and the outcomes), and person culture (where an organisation is focused on the talent and expertise of an individual). When applied to Tesco, the dominant culture is an effective combination of role culture and task culture that dominate at different organisational levels.</w:t>
      </w:r>
    </w:p>
    <w:p w14:paraId="14386E76"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At operational and store-management levels, role culture prevails, with standardised operations, job specifications, and full hierarchical reporting lines being used to ensure the consistency and predictability of managing hundreds of stores in multiple geographies of size and scale. Task culture, on the contrary, describes project-based innovation projects at Tesco such as its digital transformation projects, Aldi Price Match campaign development, and cross-functional sustainability projects. This duality of cultures is strategic and it is more of an advanced organisational structure that allows Tesco to strike a balance between operational stability and strategic flexibility (Deal and Kennedy, 1982).</w:t>
      </w:r>
    </w:p>
    <w:p w14:paraId="53F25EDC"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142E0E64" w14:textId="77777777" w:rsidR="00BA5B63" w:rsidRPr="00996161" w:rsidRDefault="00000000" w:rsidP="00996161">
      <w:pPr>
        <w:spacing w:line="360" w:lineRule="auto"/>
        <w:jc w:val="center"/>
        <w:rPr>
          <w:rFonts w:ascii="Times New Roman" w:hAnsi="Times New Roman" w:cs="Times New Roman"/>
          <w:i/>
          <w:iCs/>
          <w:color w:val="000000" w:themeColor="text1"/>
          <w:sz w:val="24"/>
          <w:szCs w:val="24"/>
        </w:rPr>
      </w:pPr>
      <w:r w:rsidRPr="00996161">
        <w:rPr>
          <w:rFonts w:ascii="Times New Roman" w:hAnsi="Times New Roman" w:cs="Times New Roman"/>
          <w:i/>
          <w:iCs/>
          <w:noProof/>
          <w:color w:val="000000" w:themeColor="text1"/>
          <w:sz w:val="24"/>
          <w:szCs w:val="24"/>
        </w:rPr>
        <w:lastRenderedPageBreak/>
        <w:drawing>
          <wp:inline distT="0" distB="0" distL="0" distR="0" wp14:anchorId="740C661C" wp14:editId="1AB62853">
            <wp:extent cx="5334000" cy="31959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1"/>
                    <a:srcRect t="12848"/>
                    <a:stretch>
                      <a:fillRect/>
                    </a:stretch>
                  </pic:blipFill>
                  <pic:spPr>
                    <a:xfrm>
                      <a:off x="0" y="0"/>
                      <a:ext cx="5334000" cy="3195955"/>
                    </a:xfrm>
                    <a:prstGeom prst="rect">
                      <a:avLst/>
                    </a:prstGeom>
                  </pic:spPr>
                </pic:pic>
              </a:graphicData>
            </a:graphic>
          </wp:inline>
        </w:drawing>
      </w:r>
    </w:p>
    <w:p w14:paraId="45EADE75" w14:textId="77777777" w:rsidR="00BA5B63" w:rsidRPr="00996161" w:rsidRDefault="00000000" w:rsidP="00996161">
      <w:pPr>
        <w:spacing w:line="360" w:lineRule="auto"/>
        <w:jc w:val="center"/>
        <w:rPr>
          <w:rFonts w:ascii="Times New Roman" w:hAnsi="Times New Roman" w:cs="Times New Roman"/>
          <w:color w:val="000000" w:themeColor="text1"/>
          <w:sz w:val="24"/>
          <w:szCs w:val="24"/>
          <w:lang w:val="en-US"/>
        </w:rPr>
      </w:pPr>
      <w:r w:rsidRPr="00996161">
        <w:rPr>
          <w:rFonts w:ascii="Times New Roman" w:hAnsi="Times New Roman" w:cs="Times New Roman"/>
          <w:i/>
          <w:iCs/>
          <w:color w:val="000000" w:themeColor="text1"/>
          <w:sz w:val="24"/>
          <w:szCs w:val="24"/>
        </w:rPr>
        <w:t xml:space="preserve">Figure </w:t>
      </w:r>
      <w:r w:rsidRPr="00996161">
        <w:rPr>
          <w:rFonts w:ascii="Times New Roman" w:hAnsi="Times New Roman" w:cs="Times New Roman"/>
          <w:i/>
          <w:iCs/>
          <w:color w:val="000000" w:themeColor="text1"/>
          <w:sz w:val="24"/>
          <w:szCs w:val="24"/>
        </w:rPr>
        <w:fldChar w:fldCharType="begin"/>
      </w:r>
      <w:r w:rsidRPr="00996161">
        <w:rPr>
          <w:rFonts w:ascii="Times New Roman" w:hAnsi="Times New Roman" w:cs="Times New Roman"/>
          <w:i/>
          <w:iCs/>
          <w:color w:val="000000" w:themeColor="text1"/>
          <w:sz w:val="24"/>
          <w:szCs w:val="24"/>
        </w:rPr>
        <w:instrText xml:space="preserve"> SEQ Figure \* ARABIC </w:instrText>
      </w:r>
      <w:r w:rsidRPr="00996161">
        <w:rPr>
          <w:rFonts w:ascii="Times New Roman" w:hAnsi="Times New Roman" w:cs="Times New Roman"/>
          <w:i/>
          <w:iCs/>
          <w:color w:val="000000" w:themeColor="text1"/>
          <w:sz w:val="24"/>
          <w:szCs w:val="24"/>
        </w:rPr>
        <w:fldChar w:fldCharType="separate"/>
      </w:r>
      <w:r w:rsidRPr="00996161">
        <w:rPr>
          <w:rFonts w:ascii="Times New Roman" w:hAnsi="Times New Roman" w:cs="Times New Roman"/>
          <w:i/>
          <w:iCs/>
          <w:color w:val="000000" w:themeColor="text1"/>
          <w:sz w:val="24"/>
          <w:szCs w:val="24"/>
        </w:rPr>
        <w:t>3</w:t>
      </w:r>
      <w:r w:rsidRPr="00996161">
        <w:rPr>
          <w:rFonts w:ascii="Times New Roman" w:hAnsi="Times New Roman" w:cs="Times New Roman"/>
          <w:i/>
          <w:iCs/>
          <w:color w:val="000000" w:themeColor="text1"/>
          <w:sz w:val="24"/>
          <w:szCs w:val="24"/>
        </w:rPr>
        <w:fldChar w:fldCharType="end"/>
      </w:r>
      <w:r w:rsidRPr="00996161">
        <w:rPr>
          <w:rFonts w:ascii="Times New Roman" w:hAnsi="Times New Roman" w:cs="Times New Roman"/>
          <w:i/>
          <w:iCs/>
          <w:color w:val="000000" w:themeColor="text1"/>
          <w:sz w:val="24"/>
          <w:szCs w:val="24"/>
          <w:lang w:val="en-US"/>
        </w:rPr>
        <w:t xml:space="preserve">: Prevalence of Handy's Cultural Types at Tesco PLC; </w:t>
      </w:r>
      <w:r w:rsidRPr="00996161">
        <w:rPr>
          <w:rFonts w:ascii="Times New Roman" w:hAnsi="Times New Roman" w:cs="Times New Roman"/>
          <w:i/>
          <w:iCs/>
          <w:color w:val="000000" w:themeColor="text1"/>
          <w:sz w:val="24"/>
          <w:szCs w:val="24"/>
        </w:rPr>
        <w:t>Source: Adapted from Handy (1993) and organisational analysis of Tesco PLC (2024).</w:t>
      </w:r>
    </w:p>
    <w:p w14:paraId="5E64F6F5"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626307A4"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Table 3: Prevalence of Handy's Cultural Types at Tesco PLC</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1400"/>
        <w:gridCol w:w="2613"/>
        <w:gridCol w:w="2613"/>
      </w:tblGrid>
      <w:tr w:rsidR="00BA5B63" w:rsidRPr="00996161" w14:paraId="65623501" w14:textId="77777777">
        <w:trPr>
          <w:tblHeader/>
        </w:trPr>
        <w:tc>
          <w:tcPr>
            <w:tcW w:w="2400"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0C291B56"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Culture Type</w:t>
            </w:r>
          </w:p>
        </w:tc>
        <w:tc>
          <w:tcPr>
            <w:tcW w:w="1400"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200A7648"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Prevalence</w:t>
            </w:r>
          </w:p>
        </w:tc>
        <w:tc>
          <w:tcPr>
            <w:tcW w:w="2613"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4C6858EF"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Key Characteristics</w:t>
            </w:r>
          </w:p>
        </w:tc>
        <w:tc>
          <w:tcPr>
            <w:tcW w:w="2613"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5A28AC2E"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Tesco Example</w:t>
            </w:r>
          </w:p>
        </w:tc>
      </w:tr>
      <w:tr w:rsidR="00BA5B63" w:rsidRPr="00996161" w14:paraId="07925E8B" w14:textId="77777777">
        <w:tc>
          <w:tcPr>
            <w:tcW w:w="2400"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03984E78"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Task Culture</w:t>
            </w:r>
          </w:p>
        </w:tc>
        <w:tc>
          <w:tcPr>
            <w:tcW w:w="1400"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050702AD"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40%</w:t>
            </w:r>
          </w:p>
        </w:tc>
        <w:tc>
          <w:tcPr>
            <w:tcW w:w="2613"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78FE5959"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Project-based, result-oriented</w:t>
            </w:r>
          </w:p>
        </w:tc>
        <w:tc>
          <w:tcPr>
            <w:tcW w:w="2613"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50B69581"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Digital transformation; Aldi Price Match</w:t>
            </w:r>
          </w:p>
        </w:tc>
      </w:tr>
      <w:tr w:rsidR="00BA5B63" w:rsidRPr="00996161" w14:paraId="31C7AE32" w14:textId="77777777">
        <w:tc>
          <w:tcPr>
            <w:tcW w:w="24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1541A475"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Role Culture</w:t>
            </w:r>
          </w:p>
        </w:tc>
        <w:tc>
          <w:tcPr>
            <w:tcW w:w="14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124EEB8E"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30%</w:t>
            </w:r>
          </w:p>
        </w:tc>
        <w:tc>
          <w:tcPr>
            <w:tcW w:w="2613"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78AF7243"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Standardised procedures, hierarchy</w:t>
            </w:r>
          </w:p>
        </w:tc>
        <w:tc>
          <w:tcPr>
            <w:tcW w:w="2613"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7DBF5FB5"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Store operations; governance frameworks</w:t>
            </w:r>
          </w:p>
        </w:tc>
      </w:tr>
      <w:tr w:rsidR="00BA5B63" w:rsidRPr="00996161" w14:paraId="78EBC94E" w14:textId="77777777">
        <w:tc>
          <w:tcPr>
            <w:tcW w:w="24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54728F5A"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Person Culture</w:t>
            </w:r>
          </w:p>
        </w:tc>
        <w:tc>
          <w:tcPr>
            <w:tcW w:w="14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49F24BB5"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20%</w:t>
            </w:r>
          </w:p>
        </w:tc>
        <w:tc>
          <w:tcPr>
            <w:tcW w:w="2613"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6F4F3AB0"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People-centric, employee wellbeing</w:t>
            </w:r>
          </w:p>
        </w:tc>
        <w:tc>
          <w:tcPr>
            <w:tcW w:w="2613"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4D8B6D45"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D&amp;I programmes; Colleague App</w:t>
            </w:r>
          </w:p>
        </w:tc>
      </w:tr>
      <w:tr w:rsidR="00BA5B63" w:rsidRPr="00996161" w14:paraId="5F02C9F0" w14:textId="77777777">
        <w:tc>
          <w:tcPr>
            <w:tcW w:w="24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08969BFE"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Power Culture</w:t>
            </w:r>
          </w:p>
        </w:tc>
        <w:tc>
          <w:tcPr>
            <w:tcW w:w="14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14EB0D0F"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10%</w:t>
            </w:r>
          </w:p>
        </w:tc>
        <w:tc>
          <w:tcPr>
            <w:tcW w:w="2613"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1860AB41"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Centralised decision-making</w:t>
            </w:r>
          </w:p>
        </w:tc>
        <w:tc>
          <w:tcPr>
            <w:tcW w:w="2613"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4F9695EF"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Board-level strategic direction</w:t>
            </w:r>
          </w:p>
        </w:tc>
      </w:tr>
    </w:tbl>
    <w:p w14:paraId="0909ED68"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Source: Adapted from Handy (1993) and organisational analysis of Tesco PLC (2024).</w:t>
      </w:r>
    </w:p>
    <w:p w14:paraId="5CE573DD"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Figure 3 and Table 3 show that the total cultural character of Tesco is approximated at seventy per cent in terms of task and role cultures. Power culture, despite board level existing, can only explain ten per cent, which is an organisationally purposeful decision, post-2015, to move on to distributed, accountable leadership, as opposed to the centralised executive power. Person culture, at twenty </w:t>
      </w:r>
      <w:r w:rsidRPr="00996161">
        <w:rPr>
          <w:rFonts w:ascii="Times New Roman" w:hAnsi="Times New Roman" w:cs="Times New Roman"/>
          <w:color w:val="000000" w:themeColor="text1"/>
          <w:sz w:val="24"/>
          <w:szCs w:val="24"/>
        </w:rPr>
        <w:lastRenderedPageBreak/>
        <w:t>per cent, captures the increased strategic focus on the wellbeing of individual colleagues, including diversity and development, as a strategic endeavour at Tesco.</w:t>
      </w:r>
    </w:p>
    <w:p w14:paraId="699AD141" w14:textId="77777777" w:rsidR="00BA5B63" w:rsidRPr="00996161" w:rsidRDefault="00000000" w:rsidP="00996161">
      <w:pPr>
        <w:pStyle w:val="Heading1"/>
        <w:spacing w:line="360" w:lineRule="auto"/>
        <w:rPr>
          <w:rFonts w:ascii="Times New Roman" w:hAnsi="Times New Roman" w:cs="Times New Roman"/>
          <w:color w:val="000000" w:themeColor="text1"/>
          <w:sz w:val="24"/>
          <w:szCs w:val="24"/>
        </w:rPr>
      </w:pPr>
      <w:bookmarkStart w:id="6" w:name="_Toc19412"/>
      <w:r w:rsidRPr="00996161">
        <w:rPr>
          <w:rFonts w:ascii="Times New Roman" w:hAnsi="Times New Roman" w:cs="Times New Roman"/>
          <w:color w:val="000000" w:themeColor="text1"/>
          <w:sz w:val="24"/>
          <w:szCs w:val="24"/>
        </w:rPr>
        <w:t>4. Using Culture to accommodate external Environmental Pressures.</w:t>
      </w:r>
      <w:bookmarkEnd w:id="6"/>
    </w:p>
    <w:p w14:paraId="735AA0FF" w14:textId="27FCFBFD"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Tesco operates in an external market which competes with multiple businesses while undergoing continuous changes because customers change their buying habits and the economy fluctuates and new technologies emerge and regulations become more stringent. The company needs to protect its operational activities through its organi</w:t>
      </w:r>
      <w:r w:rsidR="00061CA9">
        <w:rPr>
          <w:rFonts w:ascii="Times New Roman" w:hAnsi="Times New Roman" w:cs="Times New Roman"/>
          <w:color w:val="000000" w:themeColor="text1"/>
          <w:sz w:val="24"/>
          <w:szCs w:val="24"/>
        </w:rPr>
        <w:t>s</w:t>
      </w:r>
      <w:r w:rsidRPr="00996161">
        <w:rPr>
          <w:rFonts w:ascii="Times New Roman" w:hAnsi="Times New Roman" w:cs="Times New Roman"/>
          <w:color w:val="000000" w:themeColor="text1"/>
          <w:sz w:val="24"/>
          <w:szCs w:val="24"/>
        </w:rPr>
        <w:t>ational culture because it requires organi</w:t>
      </w:r>
      <w:r w:rsidR="00061CA9">
        <w:rPr>
          <w:rFonts w:ascii="Times New Roman" w:hAnsi="Times New Roman" w:cs="Times New Roman"/>
          <w:color w:val="000000" w:themeColor="text1"/>
          <w:sz w:val="24"/>
          <w:szCs w:val="24"/>
        </w:rPr>
        <w:t>s</w:t>
      </w:r>
      <w:r w:rsidRPr="00996161">
        <w:rPr>
          <w:rFonts w:ascii="Times New Roman" w:hAnsi="Times New Roman" w:cs="Times New Roman"/>
          <w:color w:val="000000" w:themeColor="text1"/>
          <w:sz w:val="24"/>
          <w:szCs w:val="24"/>
        </w:rPr>
        <w:t>ational changes to handle these different operational demands. Tesco showed its ability to adapt to changing conditions during the UK cost-of-living crisis which started in 2022 by improving its customer service methods through the implementation of the Aldi Price Match program and its new value product offerings (Tesco PLC, 2024). The organi</w:t>
      </w:r>
      <w:r w:rsidR="00061CA9">
        <w:rPr>
          <w:rFonts w:ascii="Times New Roman" w:hAnsi="Times New Roman" w:cs="Times New Roman"/>
          <w:color w:val="000000" w:themeColor="text1"/>
          <w:sz w:val="24"/>
          <w:szCs w:val="24"/>
        </w:rPr>
        <w:t>s</w:t>
      </w:r>
      <w:r w:rsidRPr="00996161">
        <w:rPr>
          <w:rFonts w:ascii="Times New Roman" w:hAnsi="Times New Roman" w:cs="Times New Roman"/>
          <w:color w:val="000000" w:themeColor="text1"/>
          <w:sz w:val="24"/>
          <w:szCs w:val="24"/>
        </w:rPr>
        <w:t>ation employs an adaptive culture which enables staff members to develop new ideas while avoiding traditional methods which have become obsolete (Kotter and Heskett, 2011).</w:t>
      </w:r>
    </w:p>
    <w:p w14:paraId="76DF5689"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Tesco has made significant financial commitments to develop its digital capabilities through its online platform and Clubcard application and supply chain automation technologies which help the company create new business opportunities (Johnson, Whittington and Scholes, 2017). The Little Helps Plan includes sustainability objectives which require Tesco to achieve net-zero emissions by 2050 while decreasing food waste which demonstrates how environmental regulations and external pressure shape the company's fundamental values (Mullins and Christy, 2016).</w:t>
      </w:r>
    </w:p>
    <w:p w14:paraId="7107C85E" w14:textId="77777777" w:rsidR="00BA5B63" w:rsidRPr="00996161" w:rsidRDefault="00000000" w:rsidP="00996161">
      <w:pPr>
        <w:pStyle w:val="Heading1"/>
        <w:spacing w:line="360" w:lineRule="auto"/>
        <w:rPr>
          <w:rFonts w:ascii="Times New Roman" w:hAnsi="Times New Roman" w:cs="Times New Roman"/>
          <w:color w:val="000000" w:themeColor="text1"/>
          <w:sz w:val="24"/>
          <w:szCs w:val="24"/>
        </w:rPr>
      </w:pPr>
      <w:bookmarkStart w:id="7" w:name="_Toc29894"/>
      <w:r w:rsidRPr="00996161">
        <w:rPr>
          <w:rFonts w:ascii="Times New Roman" w:hAnsi="Times New Roman" w:cs="Times New Roman"/>
          <w:color w:val="000000" w:themeColor="text1"/>
          <w:sz w:val="24"/>
          <w:szCs w:val="24"/>
        </w:rPr>
        <w:t>5. Organisational Culture as an Occupational Health Hazard or Catalyst.</w:t>
      </w:r>
      <w:bookmarkEnd w:id="7"/>
    </w:p>
    <w:p w14:paraId="529EAF11"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The evaluation of the discussion on the organisational culture of Tesco as a mostly inhibitor or rather an facilitator of a good organisational performance requires a more balanced evidence based analysis. Through the entire history of the firm, the case strongly points towards the fact that culture has been a net organisational enabler although with significant, well reported, impediments that have arisen at regular intervals and as a result.</w:t>
      </w:r>
    </w:p>
    <w:p w14:paraId="2CAEEED3"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Tesco has an effective customer-first culture as an enabler that provided the business stability and the ability to endure in the market, and the milestone of more than 21million active Clubcard members in the United Kingdom alone in 2024 is a reflector of this culture (Tesco PLC, 2024). These cultural beliefs have seen Tesco manage to retain supply-chain efficiency ratios at industry-leading levels and pricing which has remained consistently competitive even as pressure mounts </w:t>
      </w:r>
      <w:r w:rsidRPr="00996161">
        <w:rPr>
          <w:rFonts w:ascii="Times New Roman" w:hAnsi="Times New Roman" w:cs="Times New Roman"/>
          <w:color w:val="000000" w:themeColor="text1"/>
          <w:sz w:val="24"/>
          <w:szCs w:val="24"/>
        </w:rPr>
        <w:lastRenderedPageBreak/>
        <w:t>in the industry by discount-style stores. Figure 4 and Table 4 show the score of Tesco on six key dimensions of culture that are of strategic importance to the company, where the cultural strength is significantly high in areas of customer focus (88/100) and sustainability commitment (80/100).</w:t>
      </w:r>
    </w:p>
    <w:p w14:paraId="4E0CF1B6"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61A1C3E2" w14:textId="77777777" w:rsidR="00BA5B63" w:rsidRPr="00996161" w:rsidRDefault="00000000" w:rsidP="00996161">
      <w:pPr>
        <w:spacing w:line="360" w:lineRule="auto"/>
        <w:jc w:val="center"/>
        <w:rPr>
          <w:rFonts w:ascii="Times New Roman" w:hAnsi="Times New Roman" w:cs="Times New Roman"/>
          <w:i/>
          <w:iCs/>
          <w:color w:val="000000" w:themeColor="text1"/>
          <w:sz w:val="24"/>
          <w:szCs w:val="24"/>
        </w:rPr>
      </w:pPr>
      <w:r w:rsidRPr="00996161">
        <w:rPr>
          <w:rFonts w:ascii="Times New Roman" w:hAnsi="Times New Roman" w:cs="Times New Roman"/>
          <w:i/>
          <w:iCs/>
          <w:noProof/>
          <w:color w:val="000000" w:themeColor="text1"/>
          <w:sz w:val="24"/>
          <w:szCs w:val="24"/>
        </w:rPr>
        <w:drawing>
          <wp:inline distT="0" distB="0" distL="0" distR="0" wp14:anchorId="5935BE36" wp14:editId="7DCEF115">
            <wp:extent cx="5905500" cy="31311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2"/>
                    <a:srcRect t="4715"/>
                    <a:stretch>
                      <a:fillRect/>
                    </a:stretch>
                  </pic:blipFill>
                  <pic:spPr>
                    <a:xfrm>
                      <a:off x="0" y="0"/>
                      <a:ext cx="5905500" cy="3131185"/>
                    </a:xfrm>
                    <a:prstGeom prst="rect">
                      <a:avLst/>
                    </a:prstGeom>
                  </pic:spPr>
                </pic:pic>
              </a:graphicData>
            </a:graphic>
          </wp:inline>
        </w:drawing>
      </w:r>
    </w:p>
    <w:p w14:paraId="15E49D1B" w14:textId="77777777" w:rsidR="00BA5B63" w:rsidRPr="00996161" w:rsidRDefault="00000000" w:rsidP="00996161">
      <w:pPr>
        <w:pStyle w:val="Caption"/>
        <w:spacing w:line="360" w:lineRule="auto"/>
        <w:jc w:val="center"/>
        <w:rPr>
          <w:rFonts w:ascii="Times New Roman" w:hAnsi="Times New Roman" w:cs="Times New Roman"/>
          <w:i/>
          <w:iCs/>
          <w:color w:val="000000" w:themeColor="text1"/>
          <w:sz w:val="24"/>
          <w:szCs w:val="24"/>
          <w:lang w:val="en-US"/>
        </w:rPr>
      </w:pPr>
      <w:r w:rsidRPr="00996161">
        <w:rPr>
          <w:rFonts w:ascii="Times New Roman" w:hAnsi="Times New Roman" w:cs="Times New Roman"/>
          <w:i/>
          <w:iCs/>
          <w:color w:val="000000" w:themeColor="text1"/>
          <w:sz w:val="24"/>
          <w:szCs w:val="24"/>
        </w:rPr>
        <w:t xml:space="preserve">Figure </w:t>
      </w:r>
      <w:r w:rsidRPr="00996161">
        <w:rPr>
          <w:rFonts w:ascii="Times New Roman" w:hAnsi="Times New Roman" w:cs="Times New Roman"/>
          <w:i/>
          <w:iCs/>
          <w:color w:val="000000" w:themeColor="text1"/>
          <w:sz w:val="24"/>
          <w:szCs w:val="24"/>
        </w:rPr>
        <w:fldChar w:fldCharType="begin"/>
      </w:r>
      <w:r w:rsidRPr="00996161">
        <w:rPr>
          <w:rFonts w:ascii="Times New Roman" w:hAnsi="Times New Roman" w:cs="Times New Roman"/>
          <w:i/>
          <w:iCs/>
          <w:color w:val="000000" w:themeColor="text1"/>
          <w:sz w:val="24"/>
          <w:szCs w:val="24"/>
        </w:rPr>
        <w:instrText xml:space="preserve"> SEQ Figure \* ARABIC </w:instrText>
      </w:r>
      <w:r w:rsidRPr="00996161">
        <w:rPr>
          <w:rFonts w:ascii="Times New Roman" w:hAnsi="Times New Roman" w:cs="Times New Roman"/>
          <w:i/>
          <w:iCs/>
          <w:color w:val="000000" w:themeColor="text1"/>
          <w:sz w:val="24"/>
          <w:szCs w:val="24"/>
        </w:rPr>
        <w:fldChar w:fldCharType="separate"/>
      </w:r>
      <w:r w:rsidRPr="00996161">
        <w:rPr>
          <w:rFonts w:ascii="Times New Roman" w:hAnsi="Times New Roman" w:cs="Times New Roman"/>
          <w:i/>
          <w:iCs/>
          <w:color w:val="000000" w:themeColor="text1"/>
          <w:sz w:val="24"/>
          <w:szCs w:val="24"/>
        </w:rPr>
        <w:t>4</w:t>
      </w:r>
      <w:r w:rsidRPr="00996161">
        <w:rPr>
          <w:rFonts w:ascii="Times New Roman" w:hAnsi="Times New Roman" w:cs="Times New Roman"/>
          <w:i/>
          <w:iCs/>
          <w:color w:val="000000" w:themeColor="text1"/>
          <w:sz w:val="24"/>
          <w:szCs w:val="24"/>
        </w:rPr>
        <w:fldChar w:fldCharType="end"/>
      </w:r>
      <w:r w:rsidRPr="00996161">
        <w:rPr>
          <w:rFonts w:ascii="Times New Roman" w:hAnsi="Times New Roman" w:cs="Times New Roman"/>
          <w:i/>
          <w:iCs/>
          <w:color w:val="000000" w:themeColor="text1"/>
          <w:sz w:val="24"/>
          <w:szCs w:val="24"/>
          <w:lang w:val="en-US"/>
        </w:rPr>
        <w:t>:  Tesco's Cultural Enabler Scores Across Key Dimensions ;Source: Adapted from Denison (1990) and Tesco PLC (2024); scores are indicative estimates.</w:t>
      </w:r>
    </w:p>
    <w:p w14:paraId="7E6BCCC7"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089BE26F"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Table 4: Tesco Cultural Enabler Scores Across Key Dimensions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00"/>
        <w:gridCol w:w="1526"/>
        <w:gridCol w:w="4400"/>
      </w:tblGrid>
      <w:tr w:rsidR="00BA5B63" w:rsidRPr="00996161" w14:paraId="37684B61" w14:textId="77777777">
        <w:trPr>
          <w:tblHeader/>
        </w:trPr>
        <w:tc>
          <w:tcPr>
            <w:tcW w:w="3100"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5F4A84C7"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Cultural Dimension</w:t>
            </w:r>
          </w:p>
        </w:tc>
        <w:tc>
          <w:tcPr>
            <w:tcW w:w="1526"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48D4B8EF"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Score /100</w:t>
            </w:r>
          </w:p>
        </w:tc>
        <w:tc>
          <w:tcPr>
            <w:tcW w:w="4400"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23C77F38"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Evidence</w:t>
            </w:r>
          </w:p>
        </w:tc>
      </w:tr>
      <w:tr w:rsidR="00BA5B63" w:rsidRPr="00996161" w14:paraId="7830BEC3" w14:textId="77777777">
        <w:tc>
          <w:tcPr>
            <w:tcW w:w="3100"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37209F61"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Customer Focus</w:t>
            </w:r>
          </w:p>
        </w:tc>
        <w:tc>
          <w:tcPr>
            <w:tcW w:w="1526"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798F2F97"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88</w:t>
            </w:r>
          </w:p>
        </w:tc>
        <w:tc>
          <w:tcPr>
            <w:tcW w:w="4400"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0521AE84"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21m+ Clubcard members; consistent NPS leadership</w:t>
            </w:r>
          </w:p>
        </w:tc>
      </w:tr>
      <w:tr w:rsidR="00BA5B63" w:rsidRPr="00996161" w14:paraId="280E36A6" w14:textId="77777777">
        <w:tc>
          <w:tcPr>
            <w:tcW w:w="31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0113439E"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Sustainability Commitment</w:t>
            </w:r>
          </w:p>
        </w:tc>
        <w:tc>
          <w:tcPr>
            <w:tcW w:w="1526"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5B15B2C7"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80</w:t>
            </w:r>
          </w:p>
        </w:tc>
        <w:tc>
          <w:tcPr>
            <w:tcW w:w="44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6A7866D7"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Little Helps Plan; net-zero target 2050</w:t>
            </w:r>
          </w:p>
        </w:tc>
      </w:tr>
      <w:tr w:rsidR="00BA5B63" w:rsidRPr="00996161" w14:paraId="0255AA14" w14:textId="77777777">
        <w:tc>
          <w:tcPr>
            <w:tcW w:w="31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44535166"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Diversity &amp; Inclusion</w:t>
            </w:r>
          </w:p>
        </w:tc>
        <w:tc>
          <w:tcPr>
            <w:tcW w:w="1526"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4B66A0C1"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75</w:t>
            </w:r>
          </w:p>
        </w:tc>
        <w:tc>
          <w:tcPr>
            <w:tcW w:w="44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3B31D8C4"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60% female managers; disability confidence employer</w:t>
            </w:r>
          </w:p>
        </w:tc>
      </w:tr>
      <w:tr w:rsidR="00BA5B63" w:rsidRPr="00996161" w14:paraId="4C6980A9" w14:textId="77777777">
        <w:tc>
          <w:tcPr>
            <w:tcW w:w="31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2B6A70B2"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Employee Engagement</w:t>
            </w:r>
          </w:p>
        </w:tc>
        <w:tc>
          <w:tcPr>
            <w:tcW w:w="1526"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2D7235AF"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70</w:t>
            </w:r>
          </w:p>
        </w:tc>
        <w:tc>
          <w:tcPr>
            <w:tcW w:w="44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11823CF7"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Colleague survey scores above retail sector average</w:t>
            </w:r>
          </w:p>
        </w:tc>
      </w:tr>
      <w:tr w:rsidR="00BA5B63" w:rsidRPr="00996161" w14:paraId="0E06256D" w14:textId="77777777">
        <w:tc>
          <w:tcPr>
            <w:tcW w:w="31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06799E54"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Innovation</w:t>
            </w:r>
          </w:p>
        </w:tc>
        <w:tc>
          <w:tcPr>
            <w:tcW w:w="1526"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02BBA235"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72</w:t>
            </w:r>
          </w:p>
        </w:tc>
        <w:tc>
          <w:tcPr>
            <w:tcW w:w="44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734A8CBD"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Frictionless checkout trials; AI-driven supply chain</w:t>
            </w:r>
          </w:p>
        </w:tc>
      </w:tr>
      <w:tr w:rsidR="00BA5B63" w:rsidRPr="00996161" w14:paraId="43B5A9F4" w14:textId="77777777">
        <w:tc>
          <w:tcPr>
            <w:tcW w:w="31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1CD68D42"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Change Adaptability</w:t>
            </w:r>
          </w:p>
        </w:tc>
        <w:tc>
          <w:tcPr>
            <w:tcW w:w="1526"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6DF5DB77"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65</w:t>
            </w:r>
          </w:p>
        </w:tc>
        <w:tc>
          <w:tcPr>
            <w:tcW w:w="44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0BF150CE" w14:textId="77777777" w:rsidR="00BA5B63" w:rsidRPr="00996161" w:rsidRDefault="00000000" w:rsidP="003B2E9A">
            <w:pPr>
              <w:spacing w:line="276"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Post-2015 cultural reset; COVID-19 operational response</w:t>
            </w:r>
          </w:p>
        </w:tc>
      </w:tr>
    </w:tbl>
    <w:p w14:paraId="2B45DB8B"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Source: Adapted from Denison (1990) and Tesco PLC (2024).</w:t>
      </w:r>
    </w:p>
    <w:p w14:paraId="32043E89"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67DFDBD8"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lastRenderedPageBreak/>
        <w:t>On the other hand, the 2014 corporate fraud scandal clearly showed that an organisational culture under the pressure of short-term performance and a lack of psychological safety of staff members to voice their concerns via formal channels can become a deep root of unethical behaviour and organisational culture (Cameron and Quinn, 2011). Denison, (1990) believes that any culture that is marked by excessive performance pressure and lack of ethical protectionism and accountability frameworks is filled with instability and distressingly prone to abuse and reputational injuries. The theoretical suggestion is largely supported by the Tesco experience that has been experienced since before 2015. The following cultural shift, however, demonstrates with eloquence, how the cultural obstacle could be transformed in an ordered way into organisational enablers by a determined actions-based, values-driven leadership intervention and its structural reinforcement. The net effect of the entire verdict is that the post-transformation culture at Tesco holds more of an organisational enabling role, which imparts the needed values based foundations to ensure long-term competitive performance in a challenging market setting.</w:t>
      </w:r>
    </w:p>
    <w:p w14:paraId="1201D1A7" w14:textId="77777777" w:rsidR="00BA5B63" w:rsidRPr="00996161" w:rsidRDefault="00000000" w:rsidP="00996161">
      <w:pPr>
        <w:pStyle w:val="Heading1"/>
        <w:spacing w:line="360" w:lineRule="auto"/>
        <w:rPr>
          <w:rFonts w:ascii="Times New Roman" w:hAnsi="Times New Roman" w:cs="Times New Roman"/>
          <w:color w:val="000000" w:themeColor="text1"/>
          <w:sz w:val="24"/>
          <w:szCs w:val="24"/>
        </w:rPr>
      </w:pPr>
      <w:bookmarkStart w:id="8" w:name="_Toc30344"/>
      <w:r w:rsidRPr="00996161">
        <w:rPr>
          <w:rFonts w:ascii="Times New Roman" w:hAnsi="Times New Roman" w:cs="Times New Roman"/>
          <w:color w:val="000000" w:themeColor="text1"/>
          <w:sz w:val="24"/>
          <w:szCs w:val="24"/>
        </w:rPr>
        <w:t>6. Impact on Organisational Performance and Recommendations</w:t>
      </w:r>
      <w:bookmarkEnd w:id="8"/>
    </w:p>
    <w:p w14:paraId="6AD4A186"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The data used in it confirms a strong positive relationship between the organisational culture of Tesco and the performance measures achieved. An evidenced increase in revenue values since 2020 ( £53.4 billion) to 2024 ( £68.2 billion) highlights the compounding effect of a culture that is chiefly focused on customer value, operational efficiency and strategic agility (Tesco PLC, 2024). Organisations that have strong adaptive cultures i.e. characterised by resilience have a significant advantage over organisations that possess weak or maladaptive cultural backgrounds in the long run, as explained by Kotter and Heskett (2011) through scaled empirical research. The performance trend of Tesco, thus, provides a considerable amount of empirical evidence to this theoretical hypothesis.</w:t>
      </w:r>
    </w:p>
    <w:p w14:paraId="552C1433" w14:textId="2B0CC072" w:rsidR="003B2E9A"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However, there are still pertinent prospects of cultural perfection. Mullins and Christy (2016) say that, in the ever-increasing globalised organisations, the consistent synthesis of various cultural cohorts is not only a necessity but also a process of improvement. To this end, Table 5 outlines four evidence-based recommendations of improvement on culture.</w:t>
      </w:r>
    </w:p>
    <w:p w14:paraId="233F8DEA" w14:textId="77777777" w:rsidR="003B2E9A" w:rsidRDefault="003B2E9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537AD7FE"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lastRenderedPageBreak/>
        <w:t>Table 5: Evidence-Based Recommendations for Cultural Improvement at Tesco PLC</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3063"/>
        <w:gridCol w:w="3063"/>
      </w:tblGrid>
      <w:tr w:rsidR="00BA5B63" w:rsidRPr="00996161" w14:paraId="41EFCAEB" w14:textId="77777777">
        <w:trPr>
          <w:tblHeader/>
        </w:trPr>
        <w:tc>
          <w:tcPr>
            <w:tcW w:w="2900"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2ABCFE5F"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Recommendation</w:t>
            </w:r>
          </w:p>
        </w:tc>
        <w:tc>
          <w:tcPr>
            <w:tcW w:w="3063"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2F7746D9"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Rationale</w:t>
            </w:r>
          </w:p>
        </w:tc>
        <w:tc>
          <w:tcPr>
            <w:tcW w:w="3063" w:type="dxa"/>
            <w:tcBorders>
              <w:top w:val="single" w:sz="8" w:space="0" w:color="9BBB59"/>
              <w:left w:val="single" w:sz="8" w:space="0" w:color="9BBB59"/>
              <w:bottom w:val="single" w:sz="18" w:space="0" w:color="FFFFFF"/>
              <w:right w:val="single" w:sz="8" w:space="0" w:color="9BBB59"/>
            </w:tcBorders>
            <w:shd w:val="clear" w:color="auto" w:fill="9BBB59"/>
            <w:tcMar>
              <w:top w:w="80" w:type="dxa"/>
              <w:left w:w="120" w:type="dxa"/>
              <w:bottom w:w="80" w:type="dxa"/>
              <w:right w:w="120" w:type="dxa"/>
            </w:tcMar>
            <w:vAlign w:val="center"/>
          </w:tcPr>
          <w:p w14:paraId="0DE5BF7D"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Expected Outcome</w:t>
            </w:r>
          </w:p>
        </w:tc>
      </w:tr>
      <w:tr w:rsidR="00BA5B63" w:rsidRPr="00996161" w14:paraId="0002C0B6" w14:textId="77777777">
        <w:tc>
          <w:tcPr>
            <w:tcW w:w="2900"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27486F2A"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1. Strengthen Psychological Safety</w:t>
            </w:r>
          </w:p>
        </w:tc>
        <w:tc>
          <w:tcPr>
            <w:tcW w:w="3063"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20DD7746"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Address residual risk from 2014 scandal (Cameron &amp; Quinn, 2011)</w:t>
            </w:r>
          </w:p>
        </w:tc>
        <w:tc>
          <w:tcPr>
            <w:tcW w:w="3063" w:type="dxa"/>
            <w:tcBorders>
              <w:top w:val="single" w:sz="18" w:space="0" w:color="FFFFFF"/>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6B358A2D"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Reduced misconduct; higher transparency</w:t>
            </w:r>
          </w:p>
        </w:tc>
      </w:tr>
      <w:tr w:rsidR="00BA5B63" w:rsidRPr="00996161" w14:paraId="62CC2581" w14:textId="77777777">
        <w:tc>
          <w:tcPr>
            <w:tcW w:w="29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04A7AA03"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2. Deepen D&amp;I Integration</w:t>
            </w:r>
          </w:p>
        </w:tc>
        <w:tc>
          <w:tcPr>
            <w:tcW w:w="3063"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2F31E8CB"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Multinational workforce diversity (Hofstede et al., 2010)</w:t>
            </w:r>
          </w:p>
        </w:tc>
        <w:tc>
          <w:tcPr>
            <w:tcW w:w="3063"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28BC81CC"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Stronger talent retention; innovation uplift</w:t>
            </w:r>
          </w:p>
        </w:tc>
      </w:tr>
      <w:tr w:rsidR="00BA5B63" w:rsidRPr="00996161" w14:paraId="1B27B48D" w14:textId="77777777">
        <w:tc>
          <w:tcPr>
            <w:tcW w:w="2900"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4CC7C11F"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3. Accelerate Digital Culture</w:t>
            </w:r>
          </w:p>
        </w:tc>
        <w:tc>
          <w:tcPr>
            <w:tcW w:w="3063"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26489463"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Competitive threat from Amazon Fresh, Ocado (Grant, 2019)</w:t>
            </w:r>
          </w:p>
        </w:tc>
        <w:tc>
          <w:tcPr>
            <w:tcW w:w="3063" w:type="dxa"/>
            <w:tcBorders>
              <w:top w:val="single" w:sz="8" w:space="0" w:color="9BBB59"/>
              <w:left w:val="single" w:sz="8" w:space="0" w:color="9BBB59"/>
              <w:bottom w:val="single" w:sz="8" w:space="0" w:color="9BBB59"/>
              <w:right w:val="single" w:sz="8" w:space="0" w:color="9BBB59"/>
            </w:tcBorders>
            <w:shd w:val="clear" w:color="auto" w:fill="D7E3BC"/>
            <w:tcMar>
              <w:top w:w="60" w:type="dxa"/>
              <w:left w:w="120" w:type="dxa"/>
              <w:bottom w:w="60" w:type="dxa"/>
              <w:right w:w="120" w:type="dxa"/>
            </w:tcMar>
            <w:vAlign w:val="center"/>
          </w:tcPr>
          <w:p w14:paraId="49715070"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Enhanced e-commerce market share</w:t>
            </w:r>
          </w:p>
        </w:tc>
      </w:tr>
      <w:tr w:rsidR="00BA5B63" w:rsidRPr="00996161" w14:paraId="33E816F4" w14:textId="77777777">
        <w:tc>
          <w:tcPr>
            <w:tcW w:w="2900"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5D465339"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4. Embed Sustainability as Core Value</w:t>
            </w:r>
          </w:p>
        </w:tc>
        <w:tc>
          <w:tcPr>
            <w:tcW w:w="3063"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6DF38EEA"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Regulatory &amp; societal pressure (Tesco PLC, 2024)</w:t>
            </w:r>
          </w:p>
        </w:tc>
        <w:tc>
          <w:tcPr>
            <w:tcW w:w="3063" w:type="dxa"/>
            <w:tcBorders>
              <w:top w:val="single" w:sz="8" w:space="0" w:color="9BBB59"/>
              <w:left w:val="single" w:sz="8" w:space="0" w:color="9BBB59"/>
              <w:bottom w:val="single" w:sz="8" w:space="0" w:color="9BBB59"/>
              <w:right w:val="single" w:sz="8" w:space="0" w:color="9BBB59"/>
            </w:tcBorders>
            <w:shd w:val="clear" w:color="auto" w:fill="FFFFFF"/>
            <w:tcMar>
              <w:top w:w="60" w:type="dxa"/>
              <w:left w:w="120" w:type="dxa"/>
              <w:bottom w:w="60" w:type="dxa"/>
              <w:right w:w="120" w:type="dxa"/>
            </w:tcMar>
            <w:vAlign w:val="center"/>
          </w:tcPr>
          <w:p w14:paraId="33BEA5B6"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Reputational gain; investor confidence</w:t>
            </w:r>
          </w:p>
        </w:tc>
      </w:tr>
    </w:tbl>
    <w:p w14:paraId="69C54E54" w14:textId="77777777"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Source: Author's analysis informed by Cameron and Quinn (2011), Hofstede et al. (2010), Grant (2019), and Tesco PLC (2024).</w:t>
      </w:r>
    </w:p>
    <w:p w14:paraId="515AD57D" w14:textId="4FE6A216" w:rsidR="00FD7EE2"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The first recommendation</w:t>
      </w:r>
      <w:r w:rsidR="00061CA9">
        <w:rPr>
          <w:rFonts w:ascii="Times New Roman" w:hAnsi="Times New Roman" w:cs="Times New Roman"/>
          <w:color w:val="000000" w:themeColor="text1"/>
          <w:sz w:val="24"/>
          <w:szCs w:val="24"/>
        </w:rPr>
        <w:t xml:space="preserve"> </w:t>
      </w:r>
      <w:r w:rsidRPr="00996161">
        <w:rPr>
          <w:rFonts w:ascii="Times New Roman" w:hAnsi="Times New Roman" w:cs="Times New Roman"/>
          <w:color w:val="000000" w:themeColor="text1"/>
          <w:sz w:val="24"/>
          <w:szCs w:val="24"/>
        </w:rPr>
        <w:t>strengthening psychological safety</w:t>
      </w:r>
      <w:r w:rsidR="00061CA9">
        <w:rPr>
          <w:rFonts w:ascii="Times New Roman" w:hAnsi="Times New Roman" w:cs="Times New Roman"/>
          <w:color w:val="000000" w:themeColor="text1"/>
          <w:sz w:val="24"/>
          <w:szCs w:val="24"/>
        </w:rPr>
        <w:t xml:space="preserve"> </w:t>
      </w:r>
      <w:r w:rsidRPr="00996161">
        <w:rPr>
          <w:rFonts w:ascii="Times New Roman" w:hAnsi="Times New Roman" w:cs="Times New Roman"/>
          <w:color w:val="000000" w:themeColor="text1"/>
          <w:sz w:val="24"/>
          <w:szCs w:val="24"/>
        </w:rPr>
        <w:t>addresses the residual vulnerability exposed by the 2014 scandal. Formal mechanisms such as anonymous reporting platforms, regular cultural audits, and leadership training in inclusive communication would ensure employees feel safe raising ethical concerns at all levels (Cameron and Quinn, 2011). The second recommendation calls for deeper integration of diversity and inclusion into succession planning and leadership development. Hofstede, Hofstede and Minkov (2010) affirm that high-performing multinational organisations benefit significantly from systematically integrating cultural diversity into strategic decision-making. Third, accelerating digital culture transformation is essential to remain competitive against digitally-native rivals such as Amazon Fresh and Ocado</w:t>
      </w:r>
      <w:r w:rsidR="00061CA9">
        <w:rPr>
          <w:rFonts w:ascii="Times New Roman" w:hAnsi="Times New Roman" w:cs="Times New Roman"/>
          <w:color w:val="000000" w:themeColor="text1"/>
          <w:sz w:val="24"/>
          <w:szCs w:val="24"/>
        </w:rPr>
        <w:t xml:space="preserve">, </w:t>
      </w:r>
      <w:r w:rsidRPr="00996161">
        <w:rPr>
          <w:rFonts w:ascii="Times New Roman" w:hAnsi="Times New Roman" w:cs="Times New Roman"/>
          <w:color w:val="000000" w:themeColor="text1"/>
          <w:sz w:val="24"/>
          <w:szCs w:val="24"/>
        </w:rPr>
        <w:t>a challenge that requires redesigning performance appraisal frameworks to reward digital innovation alongside traditional operational metrics (Grant, 2019). Finally, embedding sustainability more deeply as a cultural pillar</w:t>
      </w:r>
      <w:r w:rsidR="00D3665E">
        <w:rPr>
          <w:rFonts w:ascii="Times New Roman" w:hAnsi="Times New Roman" w:cs="Times New Roman"/>
          <w:color w:val="000000" w:themeColor="text1"/>
          <w:sz w:val="24"/>
          <w:szCs w:val="24"/>
        </w:rPr>
        <w:t xml:space="preserve"> </w:t>
      </w:r>
      <w:r w:rsidRPr="00996161">
        <w:rPr>
          <w:rFonts w:ascii="Times New Roman" w:hAnsi="Times New Roman" w:cs="Times New Roman"/>
          <w:color w:val="000000" w:themeColor="text1"/>
          <w:sz w:val="24"/>
          <w:szCs w:val="24"/>
        </w:rPr>
        <w:t>through internal communications, employee incentive structures, and supplier partnerships</w:t>
      </w:r>
      <w:r w:rsidR="00D3665E">
        <w:rPr>
          <w:rFonts w:ascii="Times New Roman" w:hAnsi="Times New Roman" w:cs="Times New Roman"/>
          <w:color w:val="000000" w:themeColor="text1"/>
          <w:sz w:val="24"/>
          <w:szCs w:val="24"/>
        </w:rPr>
        <w:t xml:space="preserve"> </w:t>
      </w:r>
      <w:r w:rsidRPr="00996161">
        <w:rPr>
          <w:rFonts w:ascii="Times New Roman" w:hAnsi="Times New Roman" w:cs="Times New Roman"/>
          <w:color w:val="000000" w:themeColor="text1"/>
          <w:sz w:val="24"/>
          <w:szCs w:val="24"/>
        </w:rPr>
        <w:t>would reinforce Tesco's environmental commitments as genuinely shared values rather than compliance obligations (Schein, 2017).</w:t>
      </w:r>
    </w:p>
    <w:p w14:paraId="2434356D" w14:textId="77777777" w:rsidR="00FD7EE2" w:rsidRDefault="00FD7EE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24BD089C" w14:textId="77777777" w:rsidR="00BA5B63" w:rsidRPr="00996161" w:rsidRDefault="00000000" w:rsidP="00996161">
      <w:pPr>
        <w:pStyle w:val="Heading1"/>
        <w:spacing w:line="360" w:lineRule="auto"/>
        <w:rPr>
          <w:rFonts w:ascii="Times New Roman" w:hAnsi="Times New Roman" w:cs="Times New Roman"/>
          <w:color w:val="000000" w:themeColor="text1"/>
          <w:sz w:val="24"/>
          <w:szCs w:val="24"/>
        </w:rPr>
      </w:pPr>
      <w:bookmarkStart w:id="9" w:name="_Toc27434"/>
      <w:r w:rsidRPr="00996161">
        <w:rPr>
          <w:rFonts w:ascii="Times New Roman" w:hAnsi="Times New Roman" w:cs="Times New Roman"/>
          <w:color w:val="000000" w:themeColor="text1"/>
          <w:sz w:val="24"/>
          <w:szCs w:val="24"/>
        </w:rPr>
        <w:lastRenderedPageBreak/>
        <w:t>7. Conclusion</w:t>
      </w:r>
      <w:bookmarkEnd w:id="9"/>
    </w:p>
    <w:p w14:paraId="0300073E" w14:textId="54DF9D88" w:rsidR="00BA5B63" w:rsidRPr="00996161" w:rsidRDefault="00000000" w:rsidP="00996161">
      <w:pPr>
        <w:spacing w:line="360" w:lineRule="auto"/>
        <w:jc w:val="both"/>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This report has critically examined organisational culture at Tesco PLC through multiple theoretical lenses. Drawing upon Mullins and Christy's (2016) argument that culture fundamentally shapes organisational processes, the analysis has demonstrated that Tesco's culture</w:t>
      </w:r>
      <w:r w:rsidR="00D3665E">
        <w:rPr>
          <w:rFonts w:ascii="Times New Roman" w:hAnsi="Times New Roman" w:cs="Times New Roman"/>
          <w:color w:val="000000" w:themeColor="text1"/>
          <w:sz w:val="24"/>
          <w:szCs w:val="24"/>
        </w:rPr>
        <w:t xml:space="preserve"> </w:t>
      </w:r>
      <w:r w:rsidRPr="00996161">
        <w:rPr>
          <w:rFonts w:ascii="Times New Roman" w:hAnsi="Times New Roman" w:cs="Times New Roman"/>
          <w:color w:val="000000" w:themeColor="text1"/>
          <w:sz w:val="24"/>
          <w:szCs w:val="24"/>
        </w:rPr>
        <w:t>comprising a blend of role and task orientations, a customer-first ethos, and a post-crisis commitment to ethical governance</w:t>
      </w:r>
      <w:r w:rsidR="00D3665E">
        <w:rPr>
          <w:rFonts w:ascii="Times New Roman" w:hAnsi="Times New Roman" w:cs="Times New Roman"/>
          <w:color w:val="000000" w:themeColor="text1"/>
          <w:sz w:val="24"/>
          <w:szCs w:val="24"/>
        </w:rPr>
        <w:t xml:space="preserve"> </w:t>
      </w:r>
      <w:r w:rsidRPr="00996161">
        <w:rPr>
          <w:rFonts w:ascii="Times New Roman" w:hAnsi="Times New Roman" w:cs="Times New Roman"/>
          <w:color w:val="000000" w:themeColor="text1"/>
          <w:sz w:val="24"/>
          <w:szCs w:val="24"/>
        </w:rPr>
        <w:t>has become a powerful determinant of the company's structural design, decision-making processes, and strategic adaptability. The application of Schein's Three-Level Model revealed deeply embedded assumptions about customer value and operational efficiency; Hofstede's Dimensions highlighted the company's elevated long-term orientation and uncertainty avoidance relative to national norms; and Handy's typology confirmed the predominance of task and role cultures. Whilst the 2014 accounting scandal demonstrated that culture can become a barrier when ethical safeguards are insufficient, Tesco's subsequent transformation illustrates how proactive cultural management can convert weaknesses into organisational strengths. The financial evidence confirms a sustained upward performance trajectory that is broadly attributable to the company's cultural foundations. With targeted improvements in psychological safety, digital culture, diversity integration, and sustainability embedding, Tesco is well-positioned to sustain and enhance its market leadership through the continued cultivation of its cultural assets.</w:t>
      </w:r>
    </w:p>
    <w:p w14:paraId="33227C56" w14:textId="77777777" w:rsidR="00BA5B63" w:rsidRPr="00996161" w:rsidRDefault="00000000" w:rsidP="00996161">
      <w:pPr>
        <w:spacing w:line="360" w:lineRule="auto"/>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br w:type="page"/>
      </w:r>
    </w:p>
    <w:p w14:paraId="659B4D5A" w14:textId="77777777" w:rsidR="00BA5B63" w:rsidRPr="00996161" w:rsidRDefault="00000000" w:rsidP="00996161">
      <w:pPr>
        <w:pStyle w:val="Heading1"/>
        <w:numPr>
          <w:ilvl w:val="0"/>
          <w:numId w:val="1"/>
        </w:numPr>
        <w:spacing w:line="360" w:lineRule="auto"/>
        <w:rPr>
          <w:rFonts w:ascii="Times New Roman" w:hAnsi="Times New Roman" w:cs="Times New Roman"/>
          <w:color w:val="000000" w:themeColor="text1"/>
          <w:sz w:val="24"/>
          <w:szCs w:val="24"/>
        </w:rPr>
      </w:pPr>
      <w:bookmarkStart w:id="10" w:name="_Toc4223"/>
      <w:r w:rsidRPr="00996161">
        <w:rPr>
          <w:rFonts w:ascii="Times New Roman" w:hAnsi="Times New Roman" w:cs="Times New Roman"/>
          <w:color w:val="000000" w:themeColor="text1"/>
          <w:sz w:val="24"/>
          <w:szCs w:val="24"/>
        </w:rPr>
        <w:lastRenderedPageBreak/>
        <w:t>References</w:t>
      </w:r>
      <w:bookmarkEnd w:id="10"/>
    </w:p>
    <w:p w14:paraId="11F36EA2" w14:textId="77777777" w:rsidR="00BA5B63" w:rsidRPr="00996161" w:rsidRDefault="00BA5B63" w:rsidP="00996161">
      <w:pPr>
        <w:spacing w:line="360" w:lineRule="auto"/>
        <w:jc w:val="both"/>
        <w:rPr>
          <w:rFonts w:ascii="Times New Roman" w:hAnsi="Times New Roman" w:cs="Times New Roman"/>
          <w:color w:val="000000" w:themeColor="text1"/>
          <w:sz w:val="24"/>
          <w:szCs w:val="24"/>
        </w:rPr>
      </w:pPr>
    </w:p>
    <w:p w14:paraId="42E7F6C5" w14:textId="77777777" w:rsidR="00BA5B63" w:rsidRPr="00996161" w:rsidRDefault="00000000" w:rsidP="00996161">
      <w:pPr>
        <w:spacing w:before="80" w:after="80" w:line="360" w:lineRule="auto"/>
        <w:ind w:left="720" w:hanging="720"/>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Cameron, K.S. and Quinn, R.E. (2011) Diagnosing and Changing Organizational Culture: Based on the Competing Values Framework. 3rd </w:t>
      </w:r>
      <w:proofErr w:type="spellStart"/>
      <w:r w:rsidRPr="00996161">
        <w:rPr>
          <w:rFonts w:ascii="Times New Roman" w:hAnsi="Times New Roman" w:cs="Times New Roman"/>
          <w:color w:val="000000" w:themeColor="text1"/>
          <w:sz w:val="24"/>
          <w:szCs w:val="24"/>
        </w:rPr>
        <w:t>edn</w:t>
      </w:r>
      <w:proofErr w:type="spellEnd"/>
      <w:r w:rsidRPr="00996161">
        <w:rPr>
          <w:rFonts w:ascii="Times New Roman" w:hAnsi="Times New Roman" w:cs="Times New Roman"/>
          <w:color w:val="000000" w:themeColor="text1"/>
          <w:sz w:val="24"/>
          <w:szCs w:val="24"/>
        </w:rPr>
        <w:t xml:space="preserve">. San Francisco: Jossey-Bass. Available at: </w:t>
      </w:r>
      <w:hyperlink r:id="rId13" w:history="1">
        <w:r w:rsidR="00BA5B63" w:rsidRPr="00996161">
          <w:rPr>
            <w:rFonts w:ascii="Times New Roman" w:hAnsi="Times New Roman" w:cs="Times New Roman"/>
            <w:color w:val="000000" w:themeColor="text1"/>
            <w:sz w:val="24"/>
            <w:szCs w:val="24"/>
            <w:u w:val="single" w:color="1A6B3C"/>
          </w:rPr>
          <w:t>https://www.wiley.com/en-gb/Diagnosing-and-Changing-Organizational-Culture-p-9780470650264</w:t>
        </w:r>
      </w:hyperlink>
      <w:r w:rsidRPr="00996161">
        <w:rPr>
          <w:rFonts w:ascii="Times New Roman" w:hAnsi="Times New Roman" w:cs="Times New Roman"/>
          <w:color w:val="000000" w:themeColor="text1"/>
          <w:sz w:val="24"/>
          <w:szCs w:val="24"/>
        </w:rPr>
        <w:t xml:space="preserve"> [Accessed: 10 March 2026].</w:t>
      </w:r>
    </w:p>
    <w:p w14:paraId="57F2CD10" w14:textId="77777777" w:rsidR="00BA5B63" w:rsidRPr="00996161" w:rsidRDefault="00000000" w:rsidP="00996161">
      <w:pPr>
        <w:spacing w:before="80" w:after="80" w:line="360" w:lineRule="auto"/>
        <w:ind w:left="720" w:hanging="720"/>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Deal, T. and Kennedy, A. (1982) Corporate Cultures: The Rites and Rituals of Corporate Life. Reading, MA: Addison-Wesley. Available at: </w:t>
      </w:r>
      <w:hyperlink r:id="rId14" w:history="1">
        <w:r w:rsidR="00BA5B63" w:rsidRPr="00996161">
          <w:rPr>
            <w:rFonts w:ascii="Times New Roman" w:hAnsi="Times New Roman" w:cs="Times New Roman"/>
            <w:color w:val="000000" w:themeColor="text1"/>
            <w:sz w:val="24"/>
            <w:szCs w:val="24"/>
            <w:u w:val="single" w:color="1A6B3C"/>
          </w:rPr>
          <w:t>https://books.google.co.uk/books?id=vSqeAAAAMAAJ</w:t>
        </w:r>
      </w:hyperlink>
      <w:r w:rsidRPr="00996161">
        <w:rPr>
          <w:rFonts w:ascii="Times New Roman" w:hAnsi="Times New Roman" w:cs="Times New Roman"/>
          <w:color w:val="000000" w:themeColor="text1"/>
          <w:sz w:val="24"/>
          <w:szCs w:val="24"/>
        </w:rPr>
        <w:t xml:space="preserve"> [Accessed: 10 March 2026].</w:t>
      </w:r>
    </w:p>
    <w:p w14:paraId="18B1D56D" w14:textId="77777777" w:rsidR="00BA5B63" w:rsidRPr="00996161" w:rsidRDefault="00000000" w:rsidP="00996161">
      <w:pPr>
        <w:spacing w:before="80" w:after="80" w:line="360" w:lineRule="auto"/>
        <w:ind w:left="720" w:hanging="720"/>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Denison, D.R. (1990) Corporate Culture and Organizational Effectiveness. New York: Wiley. Available at: </w:t>
      </w:r>
      <w:hyperlink r:id="rId15" w:history="1">
        <w:r w:rsidR="00BA5B63" w:rsidRPr="00996161">
          <w:rPr>
            <w:rFonts w:ascii="Times New Roman" w:hAnsi="Times New Roman" w:cs="Times New Roman"/>
            <w:color w:val="000000" w:themeColor="text1"/>
            <w:sz w:val="24"/>
            <w:szCs w:val="24"/>
            <w:u w:val="single" w:color="1A6B3C"/>
          </w:rPr>
          <w:t>https://www.wiley.com/en-us/Corporate-Culture-and-Organizational-Effectiveness-p-9780471802563</w:t>
        </w:r>
      </w:hyperlink>
      <w:r w:rsidRPr="00996161">
        <w:rPr>
          <w:rFonts w:ascii="Times New Roman" w:hAnsi="Times New Roman" w:cs="Times New Roman"/>
          <w:color w:val="000000" w:themeColor="text1"/>
          <w:sz w:val="24"/>
          <w:szCs w:val="24"/>
        </w:rPr>
        <w:t xml:space="preserve"> [Accessed: 10 March 2026].</w:t>
      </w:r>
    </w:p>
    <w:p w14:paraId="79557EAD" w14:textId="77777777" w:rsidR="00BA5B63" w:rsidRPr="00996161" w:rsidRDefault="00000000" w:rsidP="00996161">
      <w:pPr>
        <w:spacing w:before="80" w:after="80" w:line="360" w:lineRule="auto"/>
        <w:ind w:left="720" w:hanging="720"/>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Grant, R.M. (2019) Contemporary Strategy Analysis: Text and Cases. 10th </w:t>
      </w:r>
      <w:proofErr w:type="spellStart"/>
      <w:r w:rsidRPr="00996161">
        <w:rPr>
          <w:rFonts w:ascii="Times New Roman" w:hAnsi="Times New Roman" w:cs="Times New Roman"/>
          <w:color w:val="000000" w:themeColor="text1"/>
          <w:sz w:val="24"/>
          <w:szCs w:val="24"/>
        </w:rPr>
        <w:t>edn</w:t>
      </w:r>
      <w:proofErr w:type="spellEnd"/>
      <w:r w:rsidRPr="00996161">
        <w:rPr>
          <w:rFonts w:ascii="Times New Roman" w:hAnsi="Times New Roman" w:cs="Times New Roman"/>
          <w:color w:val="000000" w:themeColor="text1"/>
          <w:sz w:val="24"/>
          <w:szCs w:val="24"/>
        </w:rPr>
        <w:t xml:space="preserve">. Chichester: Wiley. Available at: </w:t>
      </w:r>
      <w:hyperlink r:id="rId16" w:history="1">
        <w:r w:rsidR="00BA5B63" w:rsidRPr="00996161">
          <w:rPr>
            <w:rFonts w:ascii="Times New Roman" w:hAnsi="Times New Roman" w:cs="Times New Roman"/>
            <w:color w:val="000000" w:themeColor="text1"/>
            <w:sz w:val="24"/>
            <w:szCs w:val="24"/>
            <w:u w:val="single" w:color="1A6B3C"/>
          </w:rPr>
          <w:t>https://www.wiley.com/en-gb/Contemporary-Strategy-Analysis-10th-Edition-p-9781119815488</w:t>
        </w:r>
      </w:hyperlink>
      <w:r w:rsidRPr="00996161">
        <w:rPr>
          <w:rFonts w:ascii="Times New Roman" w:hAnsi="Times New Roman" w:cs="Times New Roman"/>
          <w:color w:val="000000" w:themeColor="text1"/>
          <w:sz w:val="24"/>
          <w:szCs w:val="24"/>
        </w:rPr>
        <w:t xml:space="preserve"> [Accessed: 10 March 2026].</w:t>
      </w:r>
    </w:p>
    <w:p w14:paraId="5FE9A902" w14:textId="77777777" w:rsidR="00BA5B63" w:rsidRPr="00996161" w:rsidRDefault="00000000" w:rsidP="00996161">
      <w:pPr>
        <w:spacing w:before="80" w:after="80" w:line="360" w:lineRule="auto"/>
        <w:ind w:left="720" w:hanging="720"/>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Handy, C. (1993) Understanding Organizations. 4th </w:t>
      </w:r>
      <w:proofErr w:type="spellStart"/>
      <w:r w:rsidRPr="00996161">
        <w:rPr>
          <w:rFonts w:ascii="Times New Roman" w:hAnsi="Times New Roman" w:cs="Times New Roman"/>
          <w:color w:val="000000" w:themeColor="text1"/>
          <w:sz w:val="24"/>
          <w:szCs w:val="24"/>
        </w:rPr>
        <w:t>edn</w:t>
      </w:r>
      <w:proofErr w:type="spellEnd"/>
      <w:r w:rsidRPr="00996161">
        <w:rPr>
          <w:rFonts w:ascii="Times New Roman" w:hAnsi="Times New Roman" w:cs="Times New Roman"/>
          <w:color w:val="000000" w:themeColor="text1"/>
          <w:sz w:val="24"/>
          <w:szCs w:val="24"/>
        </w:rPr>
        <w:t xml:space="preserve">. London: Penguin Books. Available at: </w:t>
      </w:r>
      <w:hyperlink r:id="rId17" w:history="1">
        <w:r w:rsidR="00BA5B63" w:rsidRPr="00996161">
          <w:rPr>
            <w:rFonts w:ascii="Times New Roman" w:hAnsi="Times New Roman" w:cs="Times New Roman"/>
            <w:color w:val="000000" w:themeColor="text1"/>
            <w:sz w:val="24"/>
            <w:szCs w:val="24"/>
            <w:u w:val="single" w:color="1A6B3C"/>
          </w:rPr>
          <w:t>https://www.penguin.co.uk/books/understanding-organizations/9780140156034</w:t>
        </w:r>
      </w:hyperlink>
      <w:r w:rsidRPr="00996161">
        <w:rPr>
          <w:rFonts w:ascii="Times New Roman" w:hAnsi="Times New Roman" w:cs="Times New Roman"/>
          <w:color w:val="000000" w:themeColor="text1"/>
          <w:sz w:val="24"/>
          <w:szCs w:val="24"/>
        </w:rPr>
        <w:t xml:space="preserve"> [Accessed: 10 March 2026].</w:t>
      </w:r>
    </w:p>
    <w:p w14:paraId="22059CCD" w14:textId="77777777" w:rsidR="00BA5B63" w:rsidRPr="00996161" w:rsidRDefault="00000000" w:rsidP="00996161">
      <w:pPr>
        <w:spacing w:before="80" w:after="80" w:line="360" w:lineRule="auto"/>
        <w:ind w:left="720" w:hanging="720"/>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Hofstede, G., Hofstede, G.J. and Minkov, M. (2010) Cultures and Organizations: Software of the Mind. 3rd </w:t>
      </w:r>
      <w:proofErr w:type="spellStart"/>
      <w:r w:rsidRPr="00996161">
        <w:rPr>
          <w:rFonts w:ascii="Times New Roman" w:hAnsi="Times New Roman" w:cs="Times New Roman"/>
          <w:color w:val="000000" w:themeColor="text1"/>
          <w:sz w:val="24"/>
          <w:szCs w:val="24"/>
        </w:rPr>
        <w:t>edn</w:t>
      </w:r>
      <w:proofErr w:type="spellEnd"/>
      <w:r w:rsidRPr="00996161">
        <w:rPr>
          <w:rFonts w:ascii="Times New Roman" w:hAnsi="Times New Roman" w:cs="Times New Roman"/>
          <w:color w:val="000000" w:themeColor="text1"/>
          <w:sz w:val="24"/>
          <w:szCs w:val="24"/>
        </w:rPr>
        <w:t xml:space="preserve">. New York: McGraw-Hill. Available at: </w:t>
      </w:r>
      <w:hyperlink r:id="rId18" w:history="1">
        <w:r w:rsidR="00BA5B63" w:rsidRPr="00996161">
          <w:rPr>
            <w:rFonts w:ascii="Times New Roman" w:hAnsi="Times New Roman" w:cs="Times New Roman"/>
            <w:color w:val="000000" w:themeColor="text1"/>
            <w:sz w:val="24"/>
            <w:szCs w:val="24"/>
            <w:u w:val="single" w:color="1A6B3C"/>
          </w:rPr>
          <w:t>https://www.mheducation.com/highered/product/cultures-organizations/9780071664189.html</w:t>
        </w:r>
      </w:hyperlink>
      <w:r w:rsidRPr="00996161">
        <w:rPr>
          <w:rFonts w:ascii="Times New Roman" w:hAnsi="Times New Roman" w:cs="Times New Roman"/>
          <w:color w:val="000000" w:themeColor="text1"/>
          <w:sz w:val="24"/>
          <w:szCs w:val="24"/>
        </w:rPr>
        <w:t xml:space="preserve"> [Accessed: 10 March 2026].</w:t>
      </w:r>
    </w:p>
    <w:p w14:paraId="4C5D2D9A" w14:textId="77777777" w:rsidR="00BA5B63" w:rsidRPr="00996161" w:rsidRDefault="00000000" w:rsidP="00996161">
      <w:pPr>
        <w:spacing w:before="80" w:after="80" w:line="360" w:lineRule="auto"/>
        <w:ind w:left="720" w:hanging="720"/>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Johnson, G., Whittington, R. and Scholes, K. (2017) Exploring Strategy: Text and Cases. 11th </w:t>
      </w:r>
      <w:proofErr w:type="spellStart"/>
      <w:r w:rsidRPr="00996161">
        <w:rPr>
          <w:rFonts w:ascii="Times New Roman" w:hAnsi="Times New Roman" w:cs="Times New Roman"/>
          <w:color w:val="000000" w:themeColor="text1"/>
          <w:sz w:val="24"/>
          <w:szCs w:val="24"/>
        </w:rPr>
        <w:t>edn</w:t>
      </w:r>
      <w:proofErr w:type="spellEnd"/>
      <w:r w:rsidRPr="00996161">
        <w:rPr>
          <w:rFonts w:ascii="Times New Roman" w:hAnsi="Times New Roman" w:cs="Times New Roman"/>
          <w:color w:val="000000" w:themeColor="text1"/>
          <w:sz w:val="24"/>
          <w:szCs w:val="24"/>
        </w:rPr>
        <w:t xml:space="preserve">. Harlow: Pearson Education Limited. Available at: </w:t>
      </w:r>
      <w:hyperlink r:id="rId19" w:history="1">
        <w:r w:rsidR="00BA5B63" w:rsidRPr="00996161">
          <w:rPr>
            <w:rFonts w:ascii="Times New Roman" w:hAnsi="Times New Roman" w:cs="Times New Roman"/>
            <w:color w:val="000000" w:themeColor="text1"/>
            <w:sz w:val="24"/>
            <w:szCs w:val="24"/>
            <w:u w:val="single" w:color="1A6B3C"/>
          </w:rPr>
          <w:t>https://www.pearson.com/en-gb/subject-catalog/p/exploring-strategy/P200000005481</w:t>
        </w:r>
      </w:hyperlink>
      <w:r w:rsidRPr="00996161">
        <w:rPr>
          <w:rFonts w:ascii="Times New Roman" w:hAnsi="Times New Roman" w:cs="Times New Roman"/>
          <w:color w:val="000000" w:themeColor="text1"/>
          <w:sz w:val="24"/>
          <w:szCs w:val="24"/>
        </w:rPr>
        <w:t xml:space="preserve"> [Accessed: 10 March 2026].</w:t>
      </w:r>
    </w:p>
    <w:p w14:paraId="2DAB5193" w14:textId="77777777" w:rsidR="00BA5B63" w:rsidRPr="00996161" w:rsidRDefault="00000000" w:rsidP="00996161">
      <w:pPr>
        <w:spacing w:before="80" w:after="80" w:line="360" w:lineRule="auto"/>
        <w:ind w:left="720" w:hanging="720"/>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Kotter, J.P. and Heskett, J.L. (2011) Corporate Culture and Performance. New York: Free Press. Available at: </w:t>
      </w:r>
      <w:hyperlink r:id="rId20" w:history="1">
        <w:r w:rsidR="00BA5B63" w:rsidRPr="00996161">
          <w:rPr>
            <w:rFonts w:ascii="Times New Roman" w:hAnsi="Times New Roman" w:cs="Times New Roman"/>
            <w:color w:val="000000" w:themeColor="text1"/>
            <w:sz w:val="24"/>
            <w:szCs w:val="24"/>
            <w:u w:val="single" w:color="1A6B3C"/>
          </w:rPr>
          <w:t>https://www.simonandschuster.com/books/Corporate-Culture-and-Performance/9781451655322</w:t>
        </w:r>
      </w:hyperlink>
      <w:r w:rsidRPr="00996161">
        <w:rPr>
          <w:rFonts w:ascii="Times New Roman" w:hAnsi="Times New Roman" w:cs="Times New Roman"/>
          <w:color w:val="000000" w:themeColor="text1"/>
          <w:sz w:val="24"/>
          <w:szCs w:val="24"/>
        </w:rPr>
        <w:t xml:space="preserve"> [Accessed: 10 March 2026].</w:t>
      </w:r>
    </w:p>
    <w:p w14:paraId="20654C12" w14:textId="77777777" w:rsidR="00BA5B63" w:rsidRPr="00996161" w:rsidRDefault="00000000" w:rsidP="00996161">
      <w:pPr>
        <w:spacing w:before="80" w:after="80" w:line="360" w:lineRule="auto"/>
        <w:ind w:left="720" w:hanging="720"/>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Mullins, L. and Christy, G. (2016) Management and Organisational Behaviour. 11th </w:t>
      </w:r>
      <w:proofErr w:type="spellStart"/>
      <w:r w:rsidRPr="00996161">
        <w:rPr>
          <w:rFonts w:ascii="Times New Roman" w:hAnsi="Times New Roman" w:cs="Times New Roman"/>
          <w:color w:val="000000" w:themeColor="text1"/>
          <w:sz w:val="24"/>
          <w:szCs w:val="24"/>
        </w:rPr>
        <w:t>edn</w:t>
      </w:r>
      <w:proofErr w:type="spellEnd"/>
      <w:r w:rsidRPr="00996161">
        <w:rPr>
          <w:rFonts w:ascii="Times New Roman" w:hAnsi="Times New Roman" w:cs="Times New Roman"/>
          <w:color w:val="000000" w:themeColor="text1"/>
          <w:sz w:val="24"/>
          <w:szCs w:val="24"/>
        </w:rPr>
        <w:t xml:space="preserve">. Harlow: Pearson Education Limited. Available at: </w:t>
      </w:r>
      <w:hyperlink r:id="rId21" w:history="1">
        <w:r w:rsidR="00BA5B63" w:rsidRPr="00996161">
          <w:rPr>
            <w:rFonts w:ascii="Times New Roman" w:hAnsi="Times New Roman" w:cs="Times New Roman"/>
            <w:color w:val="000000" w:themeColor="text1"/>
            <w:sz w:val="24"/>
            <w:szCs w:val="24"/>
            <w:u w:val="single" w:color="1A6B3C"/>
          </w:rPr>
          <w:t>https://www.pearson.com/en-</w:t>
        </w:r>
        <w:r w:rsidR="00BA5B63" w:rsidRPr="00996161">
          <w:rPr>
            <w:rFonts w:ascii="Times New Roman" w:hAnsi="Times New Roman" w:cs="Times New Roman"/>
            <w:color w:val="000000" w:themeColor="text1"/>
            <w:sz w:val="24"/>
            <w:szCs w:val="24"/>
            <w:u w:val="single" w:color="1A6B3C"/>
          </w:rPr>
          <w:lastRenderedPageBreak/>
          <w:t>gb/subject-catalog/p/management-and-organisational-behaviour/P200000005382</w:t>
        </w:r>
      </w:hyperlink>
      <w:r w:rsidRPr="00996161">
        <w:rPr>
          <w:rFonts w:ascii="Times New Roman" w:hAnsi="Times New Roman" w:cs="Times New Roman"/>
          <w:color w:val="000000" w:themeColor="text1"/>
          <w:sz w:val="24"/>
          <w:szCs w:val="24"/>
        </w:rPr>
        <w:t xml:space="preserve"> [Accessed: 10 March 2026].</w:t>
      </w:r>
    </w:p>
    <w:p w14:paraId="692415F2" w14:textId="77777777" w:rsidR="00BA5B63" w:rsidRPr="00996161" w:rsidRDefault="00000000" w:rsidP="00996161">
      <w:pPr>
        <w:spacing w:before="80" w:after="80" w:line="360" w:lineRule="auto"/>
        <w:ind w:left="720" w:hanging="720"/>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Robbins, S.P. and Judge, T.A. (2019) Organizational </w:t>
      </w:r>
      <w:proofErr w:type="spellStart"/>
      <w:r w:rsidRPr="00996161">
        <w:rPr>
          <w:rFonts w:ascii="Times New Roman" w:hAnsi="Times New Roman" w:cs="Times New Roman"/>
          <w:color w:val="000000" w:themeColor="text1"/>
          <w:sz w:val="24"/>
          <w:szCs w:val="24"/>
        </w:rPr>
        <w:t>Behavior</w:t>
      </w:r>
      <w:proofErr w:type="spellEnd"/>
      <w:r w:rsidRPr="00996161">
        <w:rPr>
          <w:rFonts w:ascii="Times New Roman" w:hAnsi="Times New Roman" w:cs="Times New Roman"/>
          <w:color w:val="000000" w:themeColor="text1"/>
          <w:sz w:val="24"/>
          <w:szCs w:val="24"/>
        </w:rPr>
        <w:t xml:space="preserve">. 18th </w:t>
      </w:r>
      <w:proofErr w:type="spellStart"/>
      <w:r w:rsidRPr="00996161">
        <w:rPr>
          <w:rFonts w:ascii="Times New Roman" w:hAnsi="Times New Roman" w:cs="Times New Roman"/>
          <w:color w:val="000000" w:themeColor="text1"/>
          <w:sz w:val="24"/>
          <w:szCs w:val="24"/>
        </w:rPr>
        <w:t>edn</w:t>
      </w:r>
      <w:proofErr w:type="spellEnd"/>
      <w:r w:rsidRPr="00996161">
        <w:rPr>
          <w:rFonts w:ascii="Times New Roman" w:hAnsi="Times New Roman" w:cs="Times New Roman"/>
          <w:color w:val="000000" w:themeColor="text1"/>
          <w:sz w:val="24"/>
          <w:szCs w:val="24"/>
        </w:rPr>
        <w:t xml:space="preserve">. Harlow: Pearson Education Limited. Available at: </w:t>
      </w:r>
      <w:hyperlink r:id="rId22" w:history="1">
        <w:r w:rsidR="00BA5B63" w:rsidRPr="00996161">
          <w:rPr>
            <w:rFonts w:ascii="Times New Roman" w:hAnsi="Times New Roman" w:cs="Times New Roman"/>
            <w:color w:val="000000" w:themeColor="text1"/>
            <w:sz w:val="24"/>
            <w:szCs w:val="24"/>
            <w:u w:val="single" w:color="1A6B3C"/>
          </w:rPr>
          <w:t>https://www.pearson.com/en-us/subject-catalog/p/organizational-behavior/P200000005983</w:t>
        </w:r>
      </w:hyperlink>
      <w:r w:rsidRPr="00996161">
        <w:rPr>
          <w:rFonts w:ascii="Times New Roman" w:hAnsi="Times New Roman" w:cs="Times New Roman"/>
          <w:color w:val="000000" w:themeColor="text1"/>
          <w:sz w:val="24"/>
          <w:szCs w:val="24"/>
        </w:rPr>
        <w:t xml:space="preserve"> [Accessed: 10 March 2026].</w:t>
      </w:r>
    </w:p>
    <w:p w14:paraId="286AC2BA" w14:textId="77777777" w:rsidR="00BA5B63" w:rsidRPr="00996161" w:rsidRDefault="00000000" w:rsidP="00996161">
      <w:pPr>
        <w:spacing w:before="80" w:after="80" w:line="360" w:lineRule="auto"/>
        <w:ind w:left="720" w:hanging="720"/>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Schein, E.H. (2017) Organizational Culture and Leadership. 5th </w:t>
      </w:r>
      <w:proofErr w:type="spellStart"/>
      <w:r w:rsidRPr="00996161">
        <w:rPr>
          <w:rFonts w:ascii="Times New Roman" w:hAnsi="Times New Roman" w:cs="Times New Roman"/>
          <w:color w:val="000000" w:themeColor="text1"/>
          <w:sz w:val="24"/>
          <w:szCs w:val="24"/>
        </w:rPr>
        <w:t>edn</w:t>
      </w:r>
      <w:proofErr w:type="spellEnd"/>
      <w:r w:rsidRPr="00996161">
        <w:rPr>
          <w:rFonts w:ascii="Times New Roman" w:hAnsi="Times New Roman" w:cs="Times New Roman"/>
          <w:color w:val="000000" w:themeColor="text1"/>
          <w:sz w:val="24"/>
          <w:szCs w:val="24"/>
        </w:rPr>
        <w:t xml:space="preserve">. Hoboken, NJ: Wiley. Available at: </w:t>
      </w:r>
      <w:hyperlink r:id="rId23" w:history="1">
        <w:r w:rsidR="00BA5B63" w:rsidRPr="00996161">
          <w:rPr>
            <w:rFonts w:ascii="Times New Roman" w:hAnsi="Times New Roman" w:cs="Times New Roman"/>
            <w:color w:val="000000" w:themeColor="text1"/>
            <w:sz w:val="24"/>
            <w:szCs w:val="24"/>
            <w:u w:val="single" w:color="1A6B3C"/>
          </w:rPr>
          <w:t>https://www.wiley.com/en-gb/Organizational-Culture-and-Leadership-5th-Edition-p-9781119212041</w:t>
        </w:r>
      </w:hyperlink>
      <w:r w:rsidRPr="00996161">
        <w:rPr>
          <w:rFonts w:ascii="Times New Roman" w:hAnsi="Times New Roman" w:cs="Times New Roman"/>
          <w:color w:val="000000" w:themeColor="text1"/>
          <w:sz w:val="24"/>
          <w:szCs w:val="24"/>
        </w:rPr>
        <w:t xml:space="preserve"> [Accessed: 10 March 2026].</w:t>
      </w:r>
    </w:p>
    <w:p w14:paraId="4C0BBB9D" w14:textId="7501A0C8" w:rsidR="00BA5B63" w:rsidRPr="00996161" w:rsidRDefault="00000000" w:rsidP="00996161">
      <w:pPr>
        <w:spacing w:before="80" w:after="80" w:line="360" w:lineRule="auto"/>
        <w:ind w:left="720" w:hanging="720"/>
        <w:rPr>
          <w:rFonts w:ascii="Times New Roman" w:hAnsi="Times New Roman" w:cs="Times New Roman"/>
          <w:color w:val="000000" w:themeColor="text1"/>
          <w:sz w:val="24"/>
          <w:szCs w:val="24"/>
        </w:rPr>
      </w:pPr>
      <w:r w:rsidRPr="00996161">
        <w:rPr>
          <w:rFonts w:ascii="Times New Roman" w:hAnsi="Times New Roman" w:cs="Times New Roman"/>
          <w:color w:val="000000" w:themeColor="text1"/>
          <w:sz w:val="24"/>
          <w:szCs w:val="24"/>
        </w:rPr>
        <w:t xml:space="preserve">Tesco PLC (2024) Annual Report and Financial Statements 2024. Welwyn Garden City: Tesco PLC. Available at: </w:t>
      </w:r>
      <w:hyperlink r:id="rId24" w:history="1">
        <w:r w:rsidR="00BA5B63" w:rsidRPr="00996161">
          <w:rPr>
            <w:rFonts w:ascii="Times New Roman" w:hAnsi="Times New Roman" w:cs="Times New Roman"/>
            <w:color w:val="000000" w:themeColor="text1"/>
            <w:sz w:val="24"/>
            <w:szCs w:val="24"/>
            <w:u w:val="single" w:color="1A6B3C"/>
          </w:rPr>
          <w:t>https://www.tescoplc.com/investors/reports-and-presentations/annual-reports/</w:t>
        </w:r>
      </w:hyperlink>
      <w:r w:rsidRPr="00996161">
        <w:rPr>
          <w:rFonts w:ascii="Times New Roman" w:hAnsi="Times New Roman" w:cs="Times New Roman"/>
          <w:color w:val="000000" w:themeColor="text1"/>
          <w:sz w:val="24"/>
          <w:szCs w:val="24"/>
        </w:rPr>
        <w:t xml:space="preserve"> [Accessed: 10 March 2026].</w:t>
      </w:r>
    </w:p>
    <w:sectPr w:rsidR="00BA5B63" w:rsidRPr="00996161">
      <w:footerReference w:type="default" r:id="rId25"/>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A1AA3" w14:textId="77777777" w:rsidR="00E97D79" w:rsidRDefault="00E97D79">
      <w:r>
        <w:separator/>
      </w:r>
    </w:p>
  </w:endnote>
  <w:endnote w:type="continuationSeparator" w:id="0">
    <w:p w14:paraId="1D891241" w14:textId="77777777" w:rsidR="00E97D79" w:rsidRDefault="00E97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20EEC" w14:textId="77777777" w:rsidR="00BA5B63" w:rsidRDefault="00BA5B63">
    <w:pPr>
      <w:pBdr>
        <w:top w:val="single" w:sz="4" w:space="4" w:color="C3E6D4"/>
      </w:pBdr>
      <w:spacing w:before="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E4DA9" w14:textId="77777777" w:rsidR="00E97D79" w:rsidRDefault="00E97D79">
      <w:r>
        <w:separator/>
      </w:r>
    </w:p>
  </w:footnote>
  <w:footnote w:type="continuationSeparator" w:id="0">
    <w:p w14:paraId="475866B6" w14:textId="77777777" w:rsidR="00E97D79" w:rsidRDefault="00E97D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DBB3BA0"/>
    <w:multiLevelType w:val="singleLevel"/>
    <w:tmpl w:val="FDBB3BA0"/>
    <w:lvl w:ilvl="0">
      <w:start w:val="8"/>
      <w:numFmt w:val="decimal"/>
      <w:suff w:val="space"/>
      <w:lvlText w:val="%1."/>
      <w:lvlJc w:val="left"/>
    </w:lvl>
  </w:abstractNum>
  <w:num w:numId="1" w16cid:durableId="804661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B63"/>
    <w:rsid w:val="00061CA9"/>
    <w:rsid w:val="00397241"/>
    <w:rsid w:val="003B2E9A"/>
    <w:rsid w:val="004079BA"/>
    <w:rsid w:val="00734A0E"/>
    <w:rsid w:val="00996161"/>
    <w:rsid w:val="009B6C5B"/>
    <w:rsid w:val="00AD5823"/>
    <w:rsid w:val="00B12077"/>
    <w:rsid w:val="00BA5B63"/>
    <w:rsid w:val="00C17029"/>
    <w:rsid w:val="00C400AE"/>
    <w:rsid w:val="00C445DE"/>
    <w:rsid w:val="00D3665E"/>
    <w:rsid w:val="00E40AB9"/>
    <w:rsid w:val="00E97D79"/>
    <w:rsid w:val="00EC77BE"/>
    <w:rsid w:val="00F84AA4"/>
    <w:rsid w:val="00FD19AA"/>
    <w:rsid w:val="00FD7EE2"/>
    <w:rsid w:val="299B7BD0"/>
    <w:rsid w:val="2F413C94"/>
    <w:rsid w:val="522C575C"/>
    <w:rsid w:val="5AE56CCB"/>
    <w:rsid w:val="64B51049"/>
    <w:rsid w:val="691B5F91"/>
    <w:rsid w:val="6FBE1C4D"/>
    <w:rsid w:val="7A7315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FF17B"/>
  <w15:docId w15:val="{7EBC852F-F8B4-4EED-9007-698620EC4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Georgia" w:hAnsi="Georgia" w:cs="Georgia"/>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lsdException w:name="caption" w:semiHidden="1" w:unhideWhenUsed="1" w:qFormat="1"/>
    <w:lsdException w:name="footnote reference" w:semiHidden="1" w:uiPriority="99" w:unhideWhenUsed="1" w:qFormat="1"/>
    <w:lsdException w:name="endnote reference" w:semiHidden="1" w:uiPriority="99" w:unhideWhenUsed="1" w:qFormat="1"/>
    <w:lsdException w:name="endnote text" w:semiHidden="1" w:uiPriority="99" w:unhideWhenUsed="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2"/>
      <w:szCs w:val="22"/>
    </w:rPr>
  </w:style>
  <w:style w:type="paragraph" w:styleId="Heading1">
    <w:name w:val="heading 1"/>
    <w:next w:val="Normal"/>
    <w:qFormat/>
    <w:pPr>
      <w:spacing w:before="340" w:after="130"/>
      <w:outlineLvl w:val="0"/>
    </w:pPr>
    <w:rPr>
      <w:rFonts w:ascii="Arial" w:eastAsia="Arial" w:hAnsi="Arial" w:cs="Arial"/>
      <w:b/>
      <w:bCs/>
      <w:color w:val="0F4D29"/>
      <w:sz w:val="28"/>
      <w:szCs w:val="28"/>
    </w:rPr>
  </w:style>
  <w:style w:type="paragraph" w:styleId="Heading2">
    <w:name w:val="heading 2"/>
    <w:next w:val="Normal"/>
    <w:qFormat/>
    <w:pPr>
      <w:spacing w:before="240" w:after="100"/>
      <w:outlineLvl w:val="1"/>
    </w:pPr>
    <w:rPr>
      <w:rFonts w:ascii="Arial" w:eastAsia="Arial" w:hAnsi="Arial" w:cs="Arial"/>
      <w:b/>
      <w:bCs/>
      <w:color w:val="1A6B3C"/>
      <w:sz w:val="24"/>
      <w:szCs w:val="24"/>
    </w:rPr>
  </w:style>
  <w:style w:type="paragraph" w:styleId="Heading3">
    <w:name w:val="heading 3"/>
    <w:next w:val="Normal"/>
    <w:qFormat/>
    <w:pPr>
      <w:outlineLvl w:val="2"/>
    </w:pPr>
    <w:rPr>
      <w:color w:val="1F4D78"/>
      <w:sz w:val="24"/>
      <w:szCs w:val="24"/>
    </w:rPr>
  </w:style>
  <w:style w:type="paragraph" w:styleId="Heading4">
    <w:name w:val="heading 4"/>
    <w:next w:val="Normal"/>
    <w:qFormat/>
    <w:pPr>
      <w:outlineLvl w:val="3"/>
    </w:pPr>
    <w:rPr>
      <w:i/>
      <w:iCs/>
      <w:color w:val="2E74B5"/>
      <w:sz w:val="22"/>
      <w:szCs w:val="22"/>
    </w:rPr>
  </w:style>
  <w:style w:type="paragraph" w:styleId="Heading5">
    <w:name w:val="heading 5"/>
    <w:next w:val="Normal"/>
    <w:qFormat/>
    <w:pPr>
      <w:outlineLvl w:val="4"/>
    </w:pPr>
    <w:rPr>
      <w:color w:val="2E74B5"/>
      <w:sz w:val="22"/>
      <w:szCs w:val="22"/>
    </w:rPr>
  </w:style>
  <w:style w:type="paragraph" w:styleId="Heading6">
    <w:name w:val="heading 6"/>
    <w:next w:val="Normal"/>
    <w:qFormat/>
    <w:pPr>
      <w:outlineLvl w:val="5"/>
    </w:pPr>
    <w:rPr>
      <w:color w:val="1F4D7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Pr>
      <w:rFonts w:ascii="Arial" w:eastAsia="SimHei" w:hAnsi="Arial" w:cs="Arial"/>
      <w:sz w:val="20"/>
    </w:rPr>
  </w:style>
  <w:style w:type="character" w:styleId="EndnoteReference">
    <w:name w:val="endnote reference"/>
    <w:uiPriority w:val="99"/>
    <w:semiHidden/>
    <w:unhideWhenUsed/>
    <w:qFormat/>
    <w:rPr>
      <w:vertAlign w:val="superscript"/>
    </w:rPr>
  </w:style>
  <w:style w:type="paragraph" w:styleId="EndnoteText">
    <w:name w:val="endnote text"/>
    <w:link w:val="EndnoteTextChar"/>
    <w:uiPriority w:val="99"/>
    <w:semiHidden/>
    <w:unhideWhenUsed/>
  </w:style>
  <w:style w:type="character" w:styleId="FootnoteReference">
    <w:name w:val="footnote reference"/>
    <w:uiPriority w:val="99"/>
    <w:semiHidden/>
    <w:unhideWhenUsed/>
    <w:qFormat/>
    <w:rPr>
      <w:vertAlign w:val="superscript"/>
    </w:rPr>
  </w:style>
  <w:style w:type="paragraph" w:styleId="FootnoteText">
    <w:name w:val="footnote text"/>
    <w:link w:val="FootnoteTextChar"/>
    <w:uiPriority w:val="99"/>
    <w:semiHidden/>
    <w:unhideWhenUsed/>
  </w:style>
  <w:style w:type="character" w:styleId="Hyperlink">
    <w:name w:val="Hyperlink"/>
    <w:uiPriority w:val="99"/>
    <w:unhideWhenUsed/>
    <w:qFormat/>
    <w:rPr>
      <w:color w:val="0563C1"/>
      <w:u w:val="single"/>
    </w:rPr>
  </w:style>
  <w:style w:type="paragraph" w:styleId="Title">
    <w:name w:val="Title"/>
    <w:qFormat/>
    <w:rPr>
      <w:sz w:val="56"/>
      <w:szCs w:val="56"/>
    </w:rPr>
  </w:style>
  <w:style w:type="paragraph" w:styleId="TOC1">
    <w:name w:val="toc 1"/>
    <w:basedOn w:val="Normal"/>
    <w:next w:val="Normal"/>
  </w:style>
  <w:style w:type="paragraph" w:styleId="TOC2">
    <w:name w:val="toc 2"/>
    <w:basedOn w:val="Normal"/>
    <w:next w:val="Normal"/>
    <w:pPr>
      <w:ind w:leftChars="200" w:left="420"/>
    </w:pPr>
  </w:style>
  <w:style w:type="paragraph" w:styleId="ListParagraph">
    <w:name w:val="List Paragraph"/>
    <w:qFormat/>
    <w:rPr>
      <w:sz w:val="22"/>
      <w:szCs w:val="22"/>
    </w:rPr>
  </w:style>
  <w:style w:type="character" w:customStyle="1" w:styleId="FootnoteTextChar">
    <w:name w:val="Footnote Text Char"/>
    <w:link w:val="FootnoteText"/>
    <w:uiPriority w:val="99"/>
    <w:semiHidden/>
    <w:unhideWhenUsed/>
    <w:qFormat/>
    <w:rPr>
      <w:sz w:val="20"/>
      <w:szCs w:val="20"/>
    </w:rPr>
  </w:style>
  <w:style w:type="character" w:customStyle="1" w:styleId="EndnoteTextChar">
    <w:name w:val="Endnote Text Char"/>
    <w:link w:val="EndnoteText"/>
    <w:uiPriority w:val="99"/>
    <w:semiHidden/>
    <w:unhideWhenUsed/>
    <w:qFormat/>
    <w:rPr>
      <w:sz w:val="20"/>
      <w:szCs w:val="20"/>
    </w:rPr>
  </w:style>
  <w:style w:type="paragraph" w:customStyle="1" w:styleId="WPSOffice1">
    <w:name w:val="WPSOffice手动目录 1"/>
  </w:style>
  <w:style w:type="paragraph" w:customStyle="1" w:styleId="WPSOffice2">
    <w:name w:val="WPSOffice手动目录 2"/>
    <w:pPr>
      <w:ind w:leftChars="200" w:left="200"/>
    </w:pPr>
  </w:style>
  <w:style w:type="paragraph" w:styleId="Header">
    <w:name w:val="header"/>
    <w:basedOn w:val="Normal"/>
    <w:link w:val="HeaderChar"/>
    <w:rsid w:val="00996161"/>
    <w:pPr>
      <w:tabs>
        <w:tab w:val="center" w:pos="4513"/>
        <w:tab w:val="right" w:pos="9026"/>
      </w:tabs>
    </w:pPr>
  </w:style>
  <w:style w:type="character" w:customStyle="1" w:styleId="HeaderChar">
    <w:name w:val="Header Char"/>
    <w:basedOn w:val="DefaultParagraphFont"/>
    <w:link w:val="Header"/>
    <w:rsid w:val="00996161"/>
    <w:rPr>
      <w:sz w:val="22"/>
      <w:szCs w:val="22"/>
    </w:rPr>
  </w:style>
  <w:style w:type="paragraph" w:styleId="Footer">
    <w:name w:val="footer"/>
    <w:basedOn w:val="Normal"/>
    <w:link w:val="FooterChar"/>
    <w:rsid w:val="00996161"/>
    <w:pPr>
      <w:tabs>
        <w:tab w:val="center" w:pos="4513"/>
        <w:tab w:val="right" w:pos="9026"/>
      </w:tabs>
    </w:pPr>
  </w:style>
  <w:style w:type="character" w:customStyle="1" w:styleId="FooterChar">
    <w:name w:val="Footer Char"/>
    <w:basedOn w:val="DefaultParagraphFont"/>
    <w:link w:val="Footer"/>
    <w:rsid w:val="0099616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iley.com/en-gb/Diagnosing+and+Changing+Organizational+Culture%3A+Based+on+the+Competing+Values+Framework%2C+3rd+Edition-p-9780470650264" TargetMode="External"/><Relationship Id="rId18" Type="http://schemas.openxmlformats.org/officeDocument/2006/relationships/hyperlink" Target="https://www.mheducation.com/highered/product/cultures-organizations-software-mind-third-edition-hofstede-hofstede-minkov/9780071664189.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pearson.com/en-gb/subject-catalog/p/management-and-organisational-behaviour/P200000005382/9781292088488"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penguin.co.uk/books/56247/understanding-organizations-by-charles-handy/9780140156034"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wiley.com/en-gb/Contemporary+Strategy+Analysis+Text+and+Cases+Edition%2C+10th+Edition-p-9781119815488" TargetMode="External"/><Relationship Id="rId20" Type="http://schemas.openxmlformats.org/officeDocument/2006/relationships/hyperlink" Target="https://www.simonandschuster.com/books/Corporate-Culture-and-Performance/John-P-Kotter/97814516553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tescoplc.com/investors/reports-and-presentations/annual-reports/" TargetMode="External"/><Relationship Id="rId5" Type="http://schemas.openxmlformats.org/officeDocument/2006/relationships/footnotes" Target="footnotes.xml"/><Relationship Id="rId15" Type="http://schemas.openxmlformats.org/officeDocument/2006/relationships/hyperlink" Target="https://www.wiley.com/en-us/Corporate+Culture+and+Organizational+Effectiveness-p-9780471802563" TargetMode="External"/><Relationship Id="rId23" Type="http://schemas.openxmlformats.org/officeDocument/2006/relationships/hyperlink" Target="https://www.wiley.com/en-gb/Organizational+Culture+and+Leadership%2C+5th+Edition-p-9781119212041" TargetMode="External"/><Relationship Id="rId10" Type="http://schemas.openxmlformats.org/officeDocument/2006/relationships/image" Target="media/image4.png"/><Relationship Id="rId19" Type="http://schemas.openxmlformats.org/officeDocument/2006/relationships/hyperlink" Target="https://www.pearson.com/en-gb/subject-catalog/p/exploring-strategy-text-and-cases/P200000005481/978129214558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ooks.google.co.uk/books/about/Corporate_Cultures.html?id=vSqeAAAAMAAJ" TargetMode="External"/><Relationship Id="rId22" Type="http://schemas.openxmlformats.org/officeDocument/2006/relationships/hyperlink" Target="https://www.pearson.com/en-us/subject-catalog/p/organizational-behavior/P200000005983/9780134729886" TargetMode="Externa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3798</Words>
  <Characters>24351</Characters>
  <Application>Microsoft Office Word</Application>
  <DocSecurity>0</DocSecurity>
  <Lines>518</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j w</cp:lastModifiedBy>
  <cp:revision>13</cp:revision>
  <dcterms:created xsi:type="dcterms:W3CDTF">2026-03-12T11:57:00Z</dcterms:created>
  <dcterms:modified xsi:type="dcterms:W3CDTF">2026-03-14T19:58:00Z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502E81CCFE404FB4A356C7A6A282AAA0_13</vt:lpwstr>
  </property>
</Properties>
</file>