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3"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243"/>
      </w:tblGrid>
      <w:tr w:rsidR="00C66CFD" w:rsidRPr="00210378" w14:paraId="064FF62D" w14:textId="77777777" w:rsidTr="00991612">
        <w:trPr>
          <w:trHeight w:val="715"/>
        </w:trPr>
        <w:tc>
          <w:tcPr>
            <w:tcW w:w="9243" w:type="dxa"/>
            <w:shd w:val="clear" w:color="auto" w:fill="auto"/>
          </w:tcPr>
          <w:p w14:paraId="416C51F8" w14:textId="20F135EA" w:rsidR="00C66CFD" w:rsidRPr="00E5484A" w:rsidRDefault="009A0F00" w:rsidP="00C66CFD">
            <w:pPr>
              <w:pStyle w:val="Formlabel"/>
              <w:jc w:val="center"/>
              <w:rPr>
                <w:b/>
                <w:sz w:val="24"/>
              </w:rPr>
            </w:pPr>
            <w:r>
              <w:rPr>
                <w:b/>
                <w:sz w:val="24"/>
              </w:rPr>
              <w:t>B</w:t>
            </w:r>
            <w:r w:rsidR="00C66CFD" w:rsidRPr="00E5484A">
              <w:rPr>
                <w:b/>
                <w:sz w:val="24"/>
              </w:rPr>
              <w:t>Sc Applied Psychology</w:t>
            </w:r>
          </w:p>
          <w:p w14:paraId="63ACAD1D" w14:textId="77777777" w:rsidR="00991612" w:rsidRDefault="009A0F00" w:rsidP="00C66CFD">
            <w:pPr>
              <w:pStyle w:val="Formlabel"/>
              <w:jc w:val="center"/>
              <w:rPr>
                <w:b/>
                <w:sz w:val="24"/>
              </w:rPr>
            </w:pPr>
            <w:r>
              <w:rPr>
                <w:b/>
                <w:sz w:val="24"/>
              </w:rPr>
              <w:t>ECAP6003 Forensic Psychology and the Criminal Mind</w:t>
            </w:r>
            <w:r w:rsidR="00E5484A" w:rsidRPr="00E5484A">
              <w:rPr>
                <w:b/>
                <w:sz w:val="24"/>
              </w:rPr>
              <w:t xml:space="preserve">: </w:t>
            </w:r>
          </w:p>
          <w:p w14:paraId="739169BD" w14:textId="2CAF7F20" w:rsidR="00C66CFD" w:rsidRPr="00E5484A" w:rsidRDefault="00E5484A" w:rsidP="00C66CFD">
            <w:pPr>
              <w:pStyle w:val="Formlabel"/>
              <w:jc w:val="center"/>
              <w:rPr>
                <w:b/>
                <w:sz w:val="24"/>
              </w:rPr>
            </w:pPr>
            <w:r w:rsidRPr="00E5484A">
              <w:rPr>
                <w:b/>
                <w:sz w:val="24"/>
              </w:rPr>
              <w:t>Re</w:t>
            </w:r>
            <w:r w:rsidR="009A0F00">
              <w:rPr>
                <w:b/>
                <w:sz w:val="24"/>
              </w:rPr>
              <w:t>habilitative</w:t>
            </w:r>
            <w:r w:rsidRPr="00E5484A">
              <w:rPr>
                <w:b/>
                <w:sz w:val="24"/>
              </w:rPr>
              <w:t xml:space="preserve"> Proposal </w:t>
            </w:r>
          </w:p>
          <w:p w14:paraId="2C925EEA" w14:textId="77777777" w:rsidR="00E5484A" w:rsidRPr="00210378" w:rsidRDefault="00E5484A" w:rsidP="00C66CFD">
            <w:pPr>
              <w:pStyle w:val="Formlabel"/>
              <w:jc w:val="center"/>
              <w:rPr>
                <w:b/>
                <w:sz w:val="22"/>
                <w:szCs w:val="22"/>
              </w:rPr>
            </w:pPr>
          </w:p>
        </w:tc>
      </w:tr>
      <w:tr w:rsidR="000F5955" w:rsidRPr="00210378" w14:paraId="6023DF48" w14:textId="77777777" w:rsidTr="00991612">
        <w:trPr>
          <w:trHeight w:val="715"/>
        </w:trPr>
        <w:tc>
          <w:tcPr>
            <w:tcW w:w="9243" w:type="dxa"/>
            <w:shd w:val="clear" w:color="auto" w:fill="auto"/>
          </w:tcPr>
          <w:p w14:paraId="78713675" w14:textId="77777777" w:rsidR="000F5955" w:rsidRDefault="009A0F00" w:rsidP="00CC53AF">
            <w:pPr>
              <w:pStyle w:val="Formlabel"/>
              <w:rPr>
                <w:b/>
                <w:sz w:val="22"/>
                <w:szCs w:val="22"/>
              </w:rPr>
            </w:pPr>
            <w:r w:rsidRPr="00210378">
              <w:rPr>
                <w:b/>
                <w:sz w:val="22"/>
                <w:szCs w:val="22"/>
              </w:rPr>
              <w:t>Pro</w:t>
            </w:r>
            <w:r>
              <w:rPr>
                <w:b/>
                <w:sz w:val="22"/>
                <w:szCs w:val="22"/>
              </w:rPr>
              <w:t>posal title:</w:t>
            </w:r>
          </w:p>
          <w:p w14:paraId="5143E250" w14:textId="77777777" w:rsidR="005A677E" w:rsidRDefault="005A677E" w:rsidP="00CC53AF">
            <w:pPr>
              <w:pStyle w:val="Formlabel"/>
              <w:rPr>
                <w:bCs/>
                <w:sz w:val="22"/>
                <w:szCs w:val="22"/>
              </w:rPr>
            </w:pPr>
            <w:r w:rsidRPr="005A677E">
              <w:rPr>
                <w:bCs/>
                <w:sz w:val="22"/>
                <w:szCs w:val="22"/>
              </w:rPr>
              <w:t>Rehabilitating Youth: Building Positive Futures through Tailored Interventions</w:t>
            </w:r>
            <w:r>
              <w:rPr>
                <w:bCs/>
                <w:sz w:val="22"/>
                <w:szCs w:val="22"/>
              </w:rPr>
              <w:t>.</w:t>
            </w:r>
          </w:p>
          <w:p w14:paraId="266DDF7F" w14:textId="14153C95" w:rsidR="00991612" w:rsidRPr="00210378" w:rsidRDefault="00991612" w:rsidP="00CC53AF">
            <w:pPr>
              <w:pStyle w:val="Formlabel"/>
              <w:rPr>
                <w:b/>
                <w:sz w:val="22"/>
                <w:szCs w:val="22"/>
              </w:rPr>
            </w:pPr>
          </w:p>
        </w:tc>
      </w:tr>
      <w:tr w:rsidR="00991612" w:rsidRPr="00210378" w14:paraId="422E707E" w14:textId="77777777" w:rsidTr="00991612">
        <w:trPr>
          <w:trHeight w:val="715"/>
        </w:trPr>
        <w:tc>
          <w:tcPr>
            <w:tcW w:w="9243" w:type="dxa"/>
            <w:shd w:val="clear" w:color="auto" w:fill="auto"/>
          </w:tcPr>
          <w:p w14:paraId="5381CB6B" w14:textId="1085A6C2" w:rsidR="00991612" w:rsidRPr="00D53A1F" w:rsidRDefault="00991612" w:rsidP="00CC53AF">
            <w:pPr>
              <w:pStyle w:val="Formlabel"/>
              <w:rPr>
                <w:bCs/>
                <w:i/>
                <w:iCs/>
                <w:sz w:val="22"/>
                <w:szCs w:val="22"/>
              </w:rPr>
            </w:pPr>
            <w:r>
              <w:rPr>
                <w:b/>
                <w:sz w:val="22"/>
                <w:szCs w:val="22"/>
              </w:rPr>
              <w:t>Proposal theme:</w:t>
            </w:r>
            <w:r w:rsidR="00D53A1F">
              <w:rPr>
                <w:b/>
                <w:sz w:val="22"/>
                <w:szCs w:val="22"/>
              </w:rPr>
              <w:t xml:space="preserve"> </w:t>
            </w:r>
          </w:p>
          <w:p w14:paraId="35D06169" w14:textId="38EE6210" w:rsidR="001A0EE9" w:rsidRDefault="001A0EE9" w:rsidP="00CC53AF">
            <w:pPr>
              <w:pStyle w:val="Formlabel"/>
              <w:rPr>
                <w:sz w:val="22"/>
                <w:szCs w:val="22"/>
              </w:rPr>
            </w:pPr>
            <w:r w:rsidRPr="001A0EE9">
              <w:rPr>
                <w:sz w:val="22"/>
                <w:szCs w:val="22"/>
              </w:rPr>
              <w:t>The scale to which young offending is a problem continues to provoke attention with a need for improved interventions, rehabilitation, and support (Young et al., 2017). Research suggests that positive tailored rehabilitative techniques that address the unique requirements of young offenders have reduced recidivism, improved societal reintegration, and long-term positive impacts on the individuals (Jolliffe et al., 2017; Petrosino et al., 2017). This proposal will develop a strengths-based rehabilitation program for a young offender with Adverse Childhood Experiences (ACEs) using the Good Lives Model (GLM) (Ward, 2002; Ward et al., 2007). The GLM is a strengths-based approach to young offender rehabilitation, assuming that, in general, all individuals share the exact basic needs and aspirations that they attempt to achieve during their lives (Ward, 2012). Continuing to build knowledge on successful forms of rehabilitative techniques for young offenders could improve and reduce the number of those incarcerated and reoffending.</w:t>
            </w:r>
          </w:p>
          <w:p w14:paraId="60E166B7" w14:textId="1C277337" w:rsidR="00991612" w:rsidRPr="00210378" w:rsidRDefault="00991612" w:rsidP="00CC53AF">
            <w:pPr>
              <w:pStyle w:val="Formlabel"/>
              <w:rPr>
                <w:b/>
                <w:sz w:val="22"/>
                <w:szCs w:val="22"/>
              </w:rPr>
            </w:pPr>
          </w:p>
        </w:tc>
      </w:tr>
      <w:tr w:rsidR="009E10F9" w:rsidRPr="00210378" w14:paraId="2342E4C2" w14:textId="77777777" w:rsidTr="00991612">
        <w:trPr>
          <w:trHeight w:val="715"/>
        </w:trPr>
        <w:tc>
          <w:tcPr>
            <w:tcW w:w="9243" w:type="dxa"/>
            <w:shd w:val="clear" w:color="auto" w:fill="auto"/>
          </w:tcPr>
          <w:p w14:paraId="2DC2B27F" w14:textId="01FFA866" w:rsidR="00627059" w:rsidRDefault="009A0F00" w:rsidP="00CC53AF">
            <w:pPr>
              <w:pStyle w:val="Formlabel"/>
              <w:rPr>
                <w:b/>
                <w:bCs/>
                <w:iCs/>
                <w:sz w:val="22"/>
                <w:szCs w:val="22"/>
              </w:rPr>
            </w:pPr>
            <w:r w:rsidRPr="009A0F00">
              <w:rPr>
                <w:b/>
                <w:bCs/>
                <w:iCs/>
                <w:sz w:val="22"/>
                <w:szCs w:val="22"/>
              </w:rPr>
              <w:t>Background literature review:</w:t>
            </w:r>
          </w:p>
          <w:p w14:paraId="46008C5C" w14:textId="2955B368" w:rsidR="002245EE" w:rsidRDefault="00DA5ED2" w:rsidP="0044041D">
            <w:pPr>
              <w:pStyle w:val="Formlabel"/>
              <w:rPr>
                <w:bCs/>
                <w:iCs/>
                <w:sz w:val="22"/>
                <w:szCs w:val="22"/>
              </w:rPr>
            </w:pPr>
            <w:r w:rsidRPr="00DA5ED2">
              <w:rPr>
                <w:bCs/>
                <w:iCs/>
                <w:sz w:val="22"/>
                <w:szCs w:val="22"/>
              </w:rPr>
              <w:t>In England and Wales, young offenders are identified as individuals between the ages of 10 and 17 who have committed a criminal act(s) (Paton et al., 2009). Young people between the ages of 18 and 25 years, despite being treated as adults by the law, if sent to prison, are commonly sent to specific institutes for their age group, and not an adult prison (Gov.UK, 2023). When a young offender is apprehended, it is often the case that they will go through a process focusing on rehabilitation of the young offender</w:t>
            </w:r>
            <w:r w:rsidR="0017278B">
              <w:rPr>
                <w:bCs/>
                <w:iCs/>
                <w:sz w:val="22"/>
                <w:szCs w:val="22"/>
              </w:rPr>
              <w:t>,</w:t>
            </w:r>
            <w:r w:rsidRPr="00DA5ED2">
              <w:rPr>
                <w:bCs/>
                <w:iCs/>
                <w:sz w:val="22"/>
                <w:szCs w:val="22"/>
              </w:rPr>
              <w:t xml:space="preserve"> rather than incarceration</w:t>
            </w:r>
            <w:r w:rsidR="0017278B">
              <w:rPr>
                <w:bCs/>
                <w:iCs/>
                <w:sz w:val="22"/>
                <w:szCs w:val="22"/>
              </w:rPr>
              <w:t>,</w:t>
            </w:r>
            <w:r w:rsidRPr="00DA5ED2">
              <w:rPr>
                <w:bCs/>
                <w:iCs/>
                <w:sz w:val="22"/>
                <w:szCs w:val="22"/>
              </w:rPr>
              <w:t xml:space="preserve"> by addressing issues that may have contributed to their offending behaviour and seeking to make positive changes in their behaviour (Pooley, 2020). </w:t>
            </w:r>
          </w:p>
          <w:p w14:paraId="55F0CB31" w14:textId="77777777" w:rsidR="00DA5ED2" w:rsidRPr="0044041D" w:rsidRDefault="00DA5ED2" w:rsidP="0044041D">
            <w:pPr>
              <w:pStyle w:val="Formlabel"/>
              <w:rPr>
                <w:bCs/>
                <w:iCs/>
                <w:sz w:val="22"/>
                <w:szCs w:val="22"/>
              </w:rPr>
            </w:pPr>
          </w:p>
          <w:p w14:paraId="66A908B4" w14:textId="77777777" w:rsidR="002912E5" w:rsidRDefault="007A215D" w:rsidP="0044041D">
            <w:pPr>
              <w:pStyle w:val="Formlabel"/>
              <w:rPr>
                <w:bCs/>
                <w:iCs/>
                <w:sz w:val="22"/>
                <w:szCs w:val="22"/>
              </w:rPr>
            </w:pPr>
            <w:r w:rsidRPr="007A215D">
              <w:rPr>
                <w:bCs/>
                <w:iCs/>
                <w:sz w:val="22"/>
                <w:szCs w:val="22"/>
              </w:rPr>
              <w:t xml:space="preserve">Research on young offenders considers a correlation between adverse childhood experiences (ACEs) and partaking in criminal activity, and continuing to re-offend, supporting the need for establishing trauma-informed systems (Dierkhising et al., 2013; Fox et al., 2015; Graf et al., 2021; Wolff et al., 2017). A further connection to an increased risk in criminal behaviours for this age group is that of mental health, also associated with adverse childhood experiences and linked to a higher risk of criminal recidivism, substance abuse, and other adverse outcomes (Beaudry et al., 2021; Feder et al., 2018; </w:t>
            </w:r>
            <w:proofErr w:type="spellStart"/>
            <w:r w:rsidRPr="007A215D">
              <w:rPr>
                <w:bCs/>
                <w:iCs/>
                <w:sz w:val="22"/>
                <w:szCs w:val="22"/>
              </w:rPr>
              <w:t>Wibbelink</w:t>
            </w:r>
            <w:proofErr w:type="spellEnd"/>
            <w:r w:rsidRPr="007A215D">
              <w:rPr>
                <w:bCs/>
                <w:iCs/>
                <w:sz w:val="22"/>
                <w:szCs w:val="22"/>
              </w:rPr>
              <w:t xml:space="preserve"> et al., 2017). However, there is limited research to support a connection between all three: mental health, ACEs, and an increased likelihood of adolescents offending, suggesting further research is necessary to assist in developing rehabilitation techniques that target an individual’s needs, according to their specific set of circumstances (Aebi et al., 2015; Turner et al., 2021). There is a wealth of literature supporting a connection between adverse childhood experiences and young offending. However, it also remains clear that further research is necessary to understand better whether ACEs and trauma can be linked to specific criminal behaviours and for informing prevention and intervention strategies. </w:t>
            </w:r>
          </w:p>
          <w:p w14:paraId="657671FA" w14:textId="2F36DC2A" w:rsidR="007A215D" w:rsidRDefault="007A215D" w:rsidP="0044041D">
            <w:pPr>
              <w:pStyle w:val="Formlabel"/>
              <w:rPr>
                <w:bCs/>
                <w:iCs/>
                <w:sz w:val="22"/>
                <w:szCs w:val="22"/>
              </w:rPr>
            </w:pPr>
            <w:r w:rsidRPr="007A215D">
              <w:rPr>
                <w:bCs/>
                <w:iCs/>
                <w:sz w:val="22"/>
                <w:szCs w:val="22"/>
              </w:rPr>
              <w:t xml:space="preserve"> </w:t>
            </w:r>
          </w:p>
          <w:p w14:paraId="0FA1C100" w14:textId="1AAB0DA3" w:rsidR="008A13A2" w:rsidRDefault="00334078" w:rsidP="0044041D">
            <w:pPr>
              <w:pStyle w:val="Formlabel"/>
              <w:rPr>
                <w:bCs/>
                <w:iCs/>
                <w:sz w:val="22"/>
                <w:szCs w:val="22"/>
              </w:rPr>
            </w:pPr>
            <w:r w:rsidRPr="00334078">
              <w:rPr>
                <w:bCs/>
                <w:iCs/>
                <w:sz w:val="22"/>
                <w:szCs w:val="22"/>
              </w:rPr>
              <w:t xml:space="preserve">Furthermore, a large body of research suggests that the incarceration of young offenders has shown to be more damaging than rehabilitative (Lambie &amp; Randell, 2013). Young offenders often exhibit negative consequences when placed in an environment that appears </w:t>
            </w:r>
            <w:r w:rsidRPr="00334078">
              <w:rPr>
                <w:bCs/>
                <w:iCs/>
                <w:sz w:val="22"/>
                <w:szCs w:val="22"/>
              </w:rPr>
              <w:lastRenderedPageBreak/>
              <w:t xml:space="preserve">to disregard mental health, learning, or behavioural issues (Barnert et al., 2021; Dmitrieva et al., 2012; </w:t>
            </w:r>
            <w:proofErr w:type="spellStart"/>
            <w:r w:rsidRPr="00334078">
              <w:rPr>
                <w:bCs/>
                <w:iCs/>
                <w:sz w:val="22"/>
                <w:szCs w:val="22"/>
              </w:rPr>
              <w:t>Teplin</w:t>
            </w:r>
            <w:proofErr w:type="spellEnd"/>
            <w:r w:rsidRPr="00334078">
              <w:rPr>
                <w:bCs/>
                <w:iCs/>
                <w:sz w:val="22"/>
                <w:szCs w:val="22"/>
              </w:rPr>
              <w:t xml:space="preserve"> et al., 2021). Neglecting such issues at a crucial age of development has been associated with impaired development of autonomy, identity, practising romantic relationships, and social integration, observing a high percentage of young offenders going on to re-offend (Cauffman &amp; Steinberg, 2012; Grove et al., 2021; </w:t>
            </w:r>
            <w:proofErr w:type="spellStart"/>
            <w:r w:rsidRPr="00334078">
              <w:rPr>
                <w:bCs/>
                <w:iCs/>
                <w:sz w:val="22"/>
                <w:szCs w:val="22"/>
              </w:rPr>
              <w:t>Jäggi</w:t>
            </w:r>
            <w:proofErr w:type="spellEnd"/>
            <w:r w:rsidRPr="00334078">
              <w:rPr>
                <w:bCs/>
                <w:iCs/>
                <w:sz w:val="22"/>
                <w:szCs w:val="22"/>
              </w:rPr>
              <w:t xml:space="preserve"> et al., 2021). Such findings support further a rehabilitative and holistic approach to assist in reducing young offender recidivism. However, rehabilitation programs may focus too much on improving young offenders’ thoughts and behaviours through programmes that are too short to make long-term changes whilst losing touch with the social root issues (Goshe, 2019). That said, incarceration may offer more problems to offenders, reducing links with society, possibly encouraging hostile networks, and therefore increasing the likelihood of further criminal activity.</w:t>
            </w:r>
          </w:p>
          <w:p w14:paraId="4A69754D" w14:textId="77777777" w:rsidR="00334078" w:rsidRDefault="00334078" w:rsidP="0044041D">
            <w:pPr>
              <w:pStyle w:val="Formlabel"/>
              <w:rPr>
                <w:bCs/>
                <w:iCs/>
                <w:sz w:val="22"/>
                <w:szCs w:val="22"/>
              </w:rPr>
            </w:pPr>
          </w:p>
          <w:p w14:paraId="268C4413" w14:textId="594F8654" w:rsidR="00290F00" w:rsidRDefault="00672B26" w:rsidP="0044041D">
            <w:pPr>
              <w:pStyle w:val="Formlabel"/>
              <w:rPr>
                <w:bCs/>
                <w:iCs/>
                <w:sz w:val="22"/>
                <w:szCs w:val="22"/>
              </w:rPr>
            </w:pPr>
            <w:r w:rsidRPr="00672B26">
              <w:rPr>
                <w:bCs/>
                <w:iCs/>
                <w:sz w:val="22"/>
                <w:szCs w:val="22"/>
              </w:rPr>
              <w:t xml:space="preserve">Moreover, </w:t>
            </w:r>
            <w:r w:rsidR="00074271">
              <w:rPr>
                <w:bCs/>
                <w:iCs/>
                <w:sz w:val="22"/>
                <w:szCs w:val="22"/>
              </w:rPr>
              <w:t xml:space="preserve">it is estimated </w:t>
            </w:r>
            <w:r w:rsidRPr="00672B26">
              <w:rPr>
                <w:bCs/>
                <w:iCs/>
                <w:sz w:val="22"/>
                <w:szCs w:val="22"/>
              </w:rPr>
              <w:t xml:space="preserve">that 75% of young offenders will return to the justice system within three years (Lotti, 2022). Evidence suggests that rehabilitation focuses too highly on an individual’s deficits, such as faulty cognition and poor decision-making, omitting the key factors resulting in the youth falling into the justice system initially (Kaylor &amp; </w:t>
            </w:r>
            <w:proofErr w:type="spellStart"/>
            <w:r w:rsidRPr="00672B26">
              <w:rPr>
                <w:bCs/>
                <w:iCs/>
                <w:sz w:val="22"/>
                <w:szCs w:val="22"/>
              </w:rPr>
              <w:t>Jeglic</w:t>
            </w:r>
            <w:proofErr w:type="spellEnd"/>
            <w:r w:rsidRPr="00672B26">
              <w:rPr>
                <w:bCs/>
                <w:iCs/>
                <w:sz w:val="22"/>
                <w:szCs w:val="22"/>
              </w:rPr>
              <w:t xml:space="preserve">, 2022; McNeill, 2012; Morse et al., 2022). Rehabilitation requires the skills to develop both personal and social transformation of the young offender, delivered by a balanced method of personal and social interventions, staying with the individual for a more extended period, creating a more resilient form of rehabilitation (Goshe, 2019b; Netto et al., 2014; Sankofa et al., 2018; Western et al., 2015). There are limited studies into the effectiveness of more extended rehabilitation and aftercare programmes, with future research needing to be inclusive of the frequency and types of crimes linked to improved rates of recidivism by young offenders (Duan et al., 2023; Farrington et al., 2017; James et al., 2013; Van der put et al., 2012). Effective rehabilitation can lead to a decrease in recidivism rates and an enhancement in the well-being of young offenders. Employing the correct forms of rehabilitation remains vital to successful outcomes. </w:t>
            </w:r>
          </w:p>
          <w:p w14:paraId="0E45E14D" w14:textId="77777777" w:rsidR="00672B26" w:rsidRDefault="00672B26" w:rsidP="0044041D">
            <w:pPr>
              <w:pStyle w:val="Formlabel"/>
              <w:rPr>
                <w:bCs/>
                <w:iCs/>
                <w:sz w:val="22"/>
                <w:szCs w:val="22"/>
              </w:rPr>
            </w:pPr>
          </w:p>
          <w:p w14:paraId="53F16C83" w14:textId="13BEBCA8" w:rsidR="00DF3836" w:rsidRDefault="007E06E3" w:rsidP="0044041D">
            <w:pPr>
              <w:pStyle w:val="Formlabel"/>
              <w:rPr>
                <w:bCs/>
                <w:iCs/>
                <w:sz w:val="22"/>
                <w:szCs w:val="22"/>
              </w:rPr>
            </w:pPr>
            <w:r w:rsidRPr="007E06E3">
              <w:rPr>
                <w:bCs/>
                <w:iCs/>
                <w:sz w:val="22"/>
                <w:szCs w:val="22"/>
              </w:rPr>
              <w:t>One approach to rehabilitation is that of the Good Lives Model (GLM; Ward, 2002). The GLM is a strength-based approach, considering the offenders’ core aspirations and interests, aiming to provide the individual with both the internal and external resources to reach these and assist in developing more personally meaningful and fulfilling, offence-free lives, and reducing risk (Fortune et al., 2012). The GLM focuses on approach goals rather than avoidance goals</w:t>
            </w:r>
            <w:r w:rsidR="00EB269D">
              <w:rPr>
                <w:bCs/>
                <w:iCs/>
                <w:sz w:val="22"/>
                <w:szCs w:val="22"/>
              </w:rPr>
              <w:t>, for example, how</w:t>
            </w:r>
            <w:r w:rsidRPr="007E06E3">
              <w:rPr>
                <w:bCs/>
                <w:iCs/>
                <w:sz w:val="22"/>
                <w:szCs w:val="22"/>
              </w:rPr>
              <w:t xml:space="preserve"> to avoid further offending (Ward, 2012). However, this may prove difficult for adolescents to grasp, their age group struggling to look towards the future, imagining a life without their current circumstances, which may lead to feelings of hopelessness (Andrews et al., 2011; Fortune, 2018; Prescott, 2013). Issues surrounding this are not unexpected because the GLM was initially produced for work with adult offenders (Ward, 2002). In this case, </w:t>
            </w:r>
            <w:r w:rsidR="00FF23C8">
              <w:rPr>
                <w:bCs/>
                <w:iCs/>
                <w:sz w:val="22"/>
                <w:szCs w:val="22"/>
              </w:rPr>
              <w:t xml:space="preserve">continuing to make </w:t>
            </w:r>
            <w:r w:rsidRPr="007E06E3">
              <w:rPr>
                <w:bCs/>
                <w:iCs/>
                <w:sz w:val="22"/>
                <w:szCs w:val="22"/>
              </w:rPr>
              <w:t xml:space="preserve">adaptations to the model, considering the terminology and concepts of the program, could assist in making it a less complex model for a young offender to understand. </w:t>
            </w:r>
          </w:p>
          <w:p w14:paraId="4CD18D00" w14:textId="77777777" w:rsidR="007E06E3" w:rsidRDefault="007E06E3" w:rsidP="0044041D">
            <w:pPr>
              <w:pStyle w:val="Formlabel"/>
              <w:rPr>
                <w:bCs/>
                <w:iCs/>
                <w:sz w:val="22"/>
                <w:szCs w:val="22"/>
              </w:rPr>
            </w:pPr>
          </w:p>
          <w:p w14:paraId="006D5489" w14:textId="3AC009FD" w:rsidR="00DF3836" w:rsidRDefault="00FD578D" w:rsidP="0044041D">
            <w:pPr>
              <w:pStyle w:val="Formlabel"/>
              <w:rPr>
                <w:bCs/>
                <w:iCs/>
                <w:sz w:val="22"/>
                <w:szCs w:val="22"/>
              </w:rPr>
            </w:pPr>
            <w:r w:rsidRPr="00FD578D">
              <w:rPr>
                <w:bCs/>
                <w:iCs/>
                <w:sz w:val="22"/>
                <w:szCs w:val="22"/>
              </w:rPr>
              <w:t>Moreover, applying a risk assessment such as the Structured Assessment of Violence Risk in Youth (SAVRY; Borum et al., 2020) has proven effective in reducing recidivism, identifying a young offender’s risk of reoffending, and coordinating this with the intensity of intervention required (Viljoen et al., 2020; Vincent et al., 2012; Zhou et al., 2017). Not all screening assessments have displayed the same positive outcomes. For example, when screening for ACEs, using the ACE questionnaire derived from an adapted version of the Conflict Tactics Scale (Straus et al., 1990), adverse effects</w:t>
            </w:r>
            <w:r w:rsidR="00F306F9">
              <w:rPr>
                <w:bCs/>
                <w:iCs/>
                <w:sz w:val="22"/>
                <w:szCs w:val="22"/>
              </w:rPr>
              <w:t xml:space="preserve"> w</w:t>
            </w:r>
            <w:r w:rsidR="009E7683">
              <w:rPr>
                <w:bCs/>
                <w:iCs/>
                <w:sz w:val="22"/>
                <w:szCs w:val="22"/>
              </w:rPr>
              <w:t>ere</w:t>
            </w:r>
            <w:r w:rsidR="00F306F9">
              <w:rPr>
                <w:bCs/>
                <w:iCs/>
                <w:sz w:val="22"/>
                <w:szCs w:val="22"/>
              </w:rPr>
              <w:t xml:space="preserve"> reported</w:t>
            </w:r>
            <w:r w:rsidR="009E7683">
              <w:rPr>
                <w:bCs/>
                <w:iCs/>
                <w:sz w:val="22"/>
                <w:szCs w:val="22"/>
              </w:rPr>
              <w:t xml:space="preserve">, such as, being </w:t>
            </w:r>
            <w:r w:rsidRPr="00FD578D">
              <w:rPr>
                <w:bCs/>
                <w:iCs/>
                <w:sz w:val="22"/>
                <w:szCs w:val="22"/>
              </w:rPr>
              <w:t>left with feelings of intrusion and discomfort, whilst lack of training le</w:t>
            </w:r>
            <w:r w:rsidR="0085322C">
              <w:rPr>
                <w:bCs/>
                <w:iCs/>
                <w:sz w:val="22"/>
                <w:szCs w:val="22"/>
              </w:rPr>
              <w:t>ft</w:t>
            </w:r>
            <w:r w:rsidRPr="00FD578D">
              <w:rPr>
                <w:bCs/>
                <w:iCs/>
                <w:sz w:val="22"/>
                <w:szCs w:val="22"/>
              </w:rPr>
              <w:t xml:space="preserve"> healthcare workers </w:t>
            </w:r>
            <w:r w:rsidR="0085322C">
              <w:rPr>
                <w:bCs/>
                <w:iCs/>
                <w:sz w:val="22"/>
                <w:szCs w:val="22"/>
              </w:rPr>
              <w:t xml:space="preserve">feeling </w:t>
            </w:r>
            <w:r w:rsidRPr="00FD578D">
              <w:rPr>
                <w:bCs/>
                <w:iCs/>
                <w:sz w:val="22"/>
                <w:szCs w:val="22"/>
              </w:rPr>
              <w:t xml:space="preserve">unprepared </w:t>
            </w:r>
            <w:r w:rsidR="0085322C">
              <w:rPr>
                <w:bCs/>
                <w:iCs/>
                <w:sz w:val="22"/>
                <w:szCs w:val="22"/>
              </w:rPr>
              <w:t>for</w:t>
            </w:r>
            <w:r w:rsidRPr="00FD578D">
              <w:rPr>
                <w:bCs/>
                <w:iCs/>
                <w:sz w:val="22"/>
                <w:szCs w:val="22"/>
              </w:rPr>
              <w:t xml:space="preserve"> this line of questioning</w:t>
            </w:r>
            <w:r w:rsidR="0085322C">
              <w:rPr>
                <w:bCs/>
                <w:iCs/>
                <w:sz w:val="22"/>
                <w:szCs w:val="22"/>
              </w:rPr>
              <w:t>,</w:t>
            </w:r>
            <w:r w:rsidRPr="00FD578D">
              <w:rPr>
                <w:bCs/>
                <w:iCs/>
                <w:sz w:val="22"/>
                <w:szCs w:val="22"/>
              </w:rPr>
              <w:t xml:space="preserve"> around sensitive experiences (</w:t>
            </w:r>
            <w:proofErr w:type="spellStart"/>
            <w:r w:rsidRPr="00FD578D">
              <w:rPr>
                <w:bCs/>
                <w:iCs/>
                <w:sz w:val="22"/>
                <w:szCs w:val="22"/>
              </w:rPr>
              <w:t>Finkelhor</w:t>
            </w:r>
            <w:proofErr w:type="spellEnd"/>
            <w:r w:rsidRPr="00FD578D">
              <w:rPr>
                <w:bCs/>
                <w:iCs/>
                <w:sz w:val="22"/>
                <w:szCs w:val="22"/>
              </w:rPr>
              <w:t xml:space="preserve">, 2018; McLennan et al., 2020; McLennan et al., 2020). </w:t>
            </w:r>
          </w:p>
          <w:p w14:paraId="050393B7" w14:textId="77777777" w:rsidR="00FD578D" w:rsidRDefault="00FD578D" w:rsidP="0044041D">
            <w:pPr>
              <w:pStyle w:val="Formlabel"/>
              <w:rPr>
                <w:bCs/>
                <w:iCs/>
                <w:sz w:val="22"/>
                <w:szCs w:val="22"/>
              </w:rPr>
            </w:pPr>
          </w:p>
          <w:p w14:paraId="402B5531" w14:textId="659C0E91" w:rsidR="00EF5121" w:rsidRDefault="006A6F6F" w:rsidP="00CC53AF">
            <w:pPr>
              <w:pStyle w:val="Formlabel"/>
              <w:rPr>
                <w:bCs/>
                <w:iCs/>
                <w:sz w:val="22"/>
                <w:szCs w:val="22"/>
              </w:rPr>
            </w:pPr>
            <w:r w:rsidRPr="006A6F6F">
              <w:rPr>
                <w:bCs/>
                <w:iCs/>
                <w:sz w:val="22"/>
                <w:szCs w:val="22"/>
              </w:rPr>
              <w:t>The aim of a 12-month rehabilitation program using the GLM for a young offender with ACEs is to promote holistic development, addressing criminogenic needs whilst promoting positive, pro-social goals. Thi</w:t>
            </w:r>
            <w:r w:rsidR="003320ED">
              <w:rPr>
                <w:bCs/>
                <w:iCs/>
                <w:sz w:val="22"/>
                <w:szCs w:val="22"/>
              </w:rPr>
              <w:t>s will i</w:t>
            </w:r>
            <w:r w:rsidRPr="006A6F6F">
              <w:rPr>
                <w:bCs/>
                <w:iCs/>
                <w:sz w:val="22"/>
                <w:szCs w:val="22"/>
              </w:rPr>
              <w:t xml:space="preserve">nvolve mitigating the impact of ACEs by enhancing protective factors, building life skills, and promoting a supportive environment, ultimately empowering the individual to lead a fulfilling </w:t>
            </w:r>
            <w:r w:rsidR="001E3EDE" w:rsidRPr="006A6F6F">
              <w:rPr>
                <w:bCs/>
                <w:iCs/>
                <w:sz w:val="22"/>
                <w:szCs w:val="22"/>
              </w:rPr>
              <w:t>life,</w:t>
            </w:r>
            <w:r w:rsidRPr="006A6F6F">
              <w:rPr>
                <w:bCs/>
                <w:iCs/>
                <w:sz w:val="22"/>
                <w:szCs w:val="22"/>
              </w:rPr>
              <w:t xml:space="preserve"> and avoiding reoffending. This program seeks to reduce recidivism risk whilst enhancing the offender’s well-being and deepening existing research knowledge (Serie et al., 2023; Van Damme et al., 2017).</w:t>
            </w:r>
          </w:p>
          <w:p w14:paraId="02F9AF09" w14:textId="77777777" w:rsidR="00991612" w:rsidRDefault="00991612" w:rsidP="00CC53AF">
            <w:pPr>
              <w:pStyle w:val="Formlabel"/>
              <w:rPr>
                <w:b/>
                <w:iCs/>
                <w:sz w:val="22"/>
                <w:szCs w:val="22"/>
              </w:rPr>
            </w:pPr>
          </w:p>
          <w:p w14:paraId="4374269C" w14:textId="77CE562D" w:rsidR="00991612" w:rsidRDefault="00991612" w:rsidP="00CC53AF">
            <w:pPr>
              <w:pStyle w:val="Formlabel"/>
              <w:rPr>
                <w:b/>
                <w:iCs/>
                <w:sz w:val="22"/>
                <w:szCs w:val="22"/>
              </w:rPr>
            </w:pPr>
          </w:p>
          <w:p w14:paraId="6A899FB7" w14:textId="77777777" w:rsidR="00991612" w:rsidRDefault="00991612" w:rsidP="00CC53AF">
            <w:pPr>
              <w:pStyle w:val="Formlabel"/>
              <w:rPr>
                <w:b/>
                <w:iCs/>
                <w:sz w:val="22"/>
                <w:szCs w:val="22"/>
              </w:rPr>
            </w:pPr>
          </w:p>
          <w:p w14:paraId="552D7959" w14:textId="77777777" w:rsidR="00991612" w:rsidRDefault="00991612" w:rsidP="00CC53AF">
            <w:pPr>
              <w:pStyle w:val="Formlabel"/>
              <w:rPr>
                <w:b/>
                <w:iCs/>
                <w:sz w:val="22"/>
                <w:szCs w:val="22"/>
              </w:rPr>
            </w:pPr>
          </w:p>
          <w:p w14:paraId="1135B55B" w14:textId="3D0E0082" w:rsidR="00991612" w:rsidRDefault="00991612" w:rsidP="00CC53AF">
            <w:pPr>
              <w:pStyle w:val="Formlabel"/>
              <w:rPr>
                <w:b/>
                <w:iCs/>
                <w:sz w:val="22"/>
                <w:szCs w:val="22"/>
              </w:rPr>
            </w:pPr>
          </w:p>
          <w:p w14:paraId="5D364A93" w14:textId="06D7D0F5" w:rsidR="00991612" w:rsidRDefault="00991612" w:rsidP="00CC53AF">
            <w:pPr>
              <w:pStyle w:val="Formlabel"/>
              <w:rPr>
                <w:b/>
                <w:iCs/>
                <w:sz w:val="22"/>
                <w:szCs w:val="22"/>
              </w:rPr>
            </w:pPr>
          </w:p>
          <w:p w14:paraId="2077FB88" w14:textId="35F9508C" w:rsidR="00991612" w:rsidRDefault="00991612" w:rsidP="00CC53AF">
            <w:pPr>
              <w:pStyle w:val="Formlabel"/>
              <w:rPr>
                <w:b/>
                <w:iCs/>
                <w:sz w:val="22"/>
                <w:szCs w:val="22"/>
              </w:rPr>
            </w:pPr>
          </w:p>
          <w:p w14:paraId="3893D0EB" w14:textId="77777777" w:rsidR="00991612" w:rsidRDefault="00991612" w:rsidP="00CC53AF">
            <w:pPr>
              <w:pStyle w:val="Formlabel"/>
              <w:rPr>
                <w:b/>
                <w:iCs/>
                <w:sz w:val="22"/>
                <w:szCs w:val="22"/>
              </w:rPr>
            </w:pPr>
          </w:p>
          <w:p w14:paraId="149E2DC7" w14:textId="77777777" w:rsidR="00991612" w:rsidRDefault="00991612" w:rsidP="00CC53AF">
            <w:pPr>
              <w:pStyle w:val="Formlabel"/>
              <w:rPr>
                <w:b/>
                <w:iCs/>
                <w:sz w:val="22"/>
                <w:szCs w:val="22"/>
              </w:rPr>
            </w:pPr>
          </w:p>
          <w:p w14:paraId="392A3513" w14:textId="547B2DF0" w:rsidR="00991612" w:rsidRPr="009A0F00" w:rsidRDefault="00991612" w:rsidP="00CC53AF">
            <w:pPr>
              <w:pStyle w:val="Formlabel"/>
              <w:rPr>
                <w:b/>
                <w:iCs/>
                <w:sz w:val="22"/>
                <w:szCs w:val="22"/>
              </w:rPr>
            </w:pPr>
          </w:p>
        </w:tc>
      </w:tr>
      <w:tr w:rsidR="009E10F9" w:rsidRPr="00210378" w14:paraId="0696DE9E" w14:textId="77777777" w:rsidTr="00991612">
        <w:trPr>
          <w:trHeight w:val="2481"/>
        </w:trPr>
        <w:tc>
          <w:tcPr>
            <w:tcW w:w="9243" w:type="dxa"/>
            <w:shd w:val="clear" w:color="auto" w:fill="auto"/>
          </w:tcPr>
          <w:p w14:paraId="185BB769" w14:textId="5D410042" w:rsidR="004B2F08" w:rsidRPr="008C1B8E" w:rsidRDefault="00991612" w:rsidP="004B2F08">
            <w:pPr>
              <w:pStyle w:val="ListParagraph"/>
              <w:spacing w:line="240" w:lineRule="auto"/>
              <w:ind w:left="0"/>
              <w:rPr>
                <w:rFonts w:ascii="Arial" w:hAnsi="Arial" w:cs="Arial"/>
                <w:bCs/>
                <w:i/>
                <w:iCs/>
                <w:sz w:val="20"/>
                <w:szCs w:val="20"/>
              </w:rPr>
            </w:pPr>
            <w:r w:rsidRPr="00210378">
              <w:rPr>
                <w:rFonts w:ascii="Arial" w:hAnsi="Arial" w:cs="Arial"/>
                <w:b/>
              </w:rPr>
              <w:lastRenderedPageBreak/>
              <w:t xml:space="preserve">Proposed methodology: </w:t>
            </w:r>
          </w:p>
          <w:p w14:paraId="7CA9C1EE" w14:textId="27EF0B7A" w:rsidR="00991612" w:rsidRDefault="00C72083" w:rsidP="00991612">
            <w:pPr>
              <w:pStyle w:val="ListParagraph"/>
              <w:spacing w:line="240" w:lineRule="auto"/>
              <w:ind w:left="0"/>
              <w:rPr>
                <w:rFonts w:ascii="Arial" w:hAnsi="Arial" w:cs="Arial"/>
                <w:bCs/>
              </w:rPr>
            </w:pPr>
            <w:r w:rsidRPr="00C72083">
              <w:rPr>
                <w:rFonts w:ascii="Arial" w:hAnsi="Arial" w:cs="Arial"/>
                <w:bCs/>
              </w:rPr>
              <w:t xml:space="preserve">The proposed methodology aims to create a structured and adaptable framework for implementing the core principles of the Good Lives Model (GLM; Ward, 2002) whilst regularly incorporating a structured risk assessment tool, the Structured Assessment of Violence Risk in Youth (SAVRY; Borum et al., 2020). Young offenders will actively participate in assisting to identify their strengths, needs, and personal goals. GLM principles (Ward, 2002) will be used to develop an individualised treatment plan based on these assessments. Interventions and strategies will be established to address the specific areas of concern relating to adverse childhood experiences. It will be highlighted that communication and cooperation are vital to a holistic and integrated approach. Over the 12-month program, regular monitoring, evaluation of progress, and risk assessments will be carried out. These will allow for adjustments to be made promptly, ensuring continued improvement and long-term success in the rehabilitation program. The programme will focus on improving adolescents' well-being, reducing their risk of reoffending, and increasing their pro-social behaviours. </w:t>
            </w:r>
          </w:p>
          <w:p w14:paraId="39B4738C" w14:textId="77777777" w:rsidR="00C72083" w:rsidRDefault="00C72083" w:rsidP="00991612">
            <w:pPr>
              <w:pStyle w:val="ListParagraph"/>
              <w:spacing w:line="240" w:lineRule="auto"/>
              <w:ind w:left="0"/>
              <w:rPr>
                <w:rFonts w:ascii="Arial" w:hAnsi="Arial" w:cs="Arial"/>
                <w:i/>
              </w:rPr>
            </w:pPr>
          </w:p>
          <w:p w14:paraId="530465E7" w14:textId="103526CA" w:rsidR="00991612" w:rsidRDefault="00991612" w:rsidP="00CC53AF">
            <w:pPr>
              <w:pStyle w:val="ListParagraph"/>
              <w:spacing w:line="240" w:lineRule="auto"/>
              <w:ind w:left="0"/>
              <w:rPr>
                <w:rFonts w:ascii="Arial" w:hAnsi="Arial" w:cs="Arial"/>
                <w:b/>
              </w:rPr>
            </w:pPr>
            <w:r>
              <w:rPr>
                <w:rFonts w:ascii="Arial" w:hAnsi="Arial" w:cs="Arial"/>
                <w:b/>
              </w:rPr>
              <w:t>The rehabilitative intervention design:</w:t>
            </w:r>
          </w:p>
          <w:p w14:paraId="260A4822" w14:textId="6E21516F" w:rsidR="00991612" w:rsidRDefault="00436E6D" w:rsidP="00CC53AF">
            <w:pPr>
              <w:pStyle w:val="ListParagraph"/>
              <w:spacing w:line="240" w:lineRule="auto"/>
              <w:ind w:left="0"/>
              <w:rPr>
                <w:rFonts w:ascii="Arial" w:hAnsi="Arial" w:cs="Arial"/>
                <w:b/>
              </w:rPr>
            </w:pPr>
            <w:r w:rsidRPr="00436E6D">
              <w:rPr>
                <w:rFonts w:ascii="Arial" w:hAnsi="Arial" w:cs="Arial"/>
                <w:bCs/>
              </w:rPr>
              <w:t>This rehabilitative intervention will employ the Good Lives Model (Ward, 2002). The intervention program will be tailored to the unique needs of a young offender with a history of adverse childhood experiences (ACEs). The program will run for 12 months, focusing on developing positive well-being, skill development, family/caregiver involvement, and community integration, aiming to underpin a fulfilling and pro-social future. The first part of the program will gain an initial assessment of the young person, establishing a trusting and supportive working relationship. Sessions will be held weekly, introducing goal setting, appropriately timing the introduction of outside support networks, trauma counselling, mindfulness training, coping mechanisms, and basic life skills. After the first 12 weeks, the results of a risk assessment and feedback from the young person will determine the next 12 weeks' interventions. The GLM will be used as it focuses on enhancing an individual's overall well-being and quality of life rather than just addressing specific problematic behaviours. The duration of the program is designed to provide ongoing support, encourage growth, and reduce the likelihood of recidivism by addressing basic comprehensive needs. Continuous monitoring and evaluation will be vital in sustaining a positive program.</w:t>
            </w:r>
            <w:r w:rsidR="00A6010A">
              <w:rPr>
                <w:rFonts w:ascii="Arial" w:hAnsi="Arial" w:cs="Arial"/>
                <w:b/>
              </w:rPr>
              <w:t xml:space="preserve"> </w:t>
            </w:r>
          </w:p>
          <w:p w14:paraId="5F8861B5" w14:textId="77777777" w:rsidR="00D14850" w:rsidRDefault="00D14850" w:rsidP="00CC53AF">
            <w:pPr>
              <w:pStyle w:val="ListParagraph"/>
              <w:spacing w:line="240" w:lineRule="auto"/>
              <w:ind w:left="0"/>
              <w:rPr>
                <w:rFonts w:ascii="Arial" w:hAnsi="Arial" w:cs="Arial"/>
                <w:b/>
              </w:rPr>
            </w:pPr>
          </w:p>
          <w:p w14:paraId="575D0874" w14:textId="77777777" w:rsidR="000F0960" w:rsidRDefault="000F0960" w:rsidP="00CC53AF">
            <w:pPr>
              <w:pStyle w:val="ListParagraph"/>
              <w:spacing w:line="240" w:lineRule="auto"/>
              <w:ind w:left="0"/>
              <w:rPr>
                <w:rFonts w:ascii="Arial" w:hAnsi="Arial" w:cs="Arial"/>
                <w:b/>
              </w:rPr>
            </w:pPr>
          </w:p>
          <w:p w14:paraId="3E81FD63" w14:textId="0F3DF7ED" w:rsidR="00991612" w:rsidRDefault="00991612" w:rsidP="00CC53AF">
            <w:pPr>
              <w:pStyle w:val="ListParagraph"/>
              <w:spacing w:line="240" w:lineRule="auto"/>
              <w:ind w:left="0"/>
              <w:rPr>
                <w:rFonts w:ascii="Arial" w:hAnsi="Arial" w:cs="Arial"/>
                <w:b/>
              </w:rPr>
            </w:pPr>
            <w:r>
              <w:rPr>
                <w:rFonts w:ascii="Arial" w:hAnsi="Arial" w:cs="Arial"/>
                <w:b/>
              </w:rPr>
              <w:lastRenderedPageBreak/>
              <w:t>The target population and recruitment:</w:t>
            </w:r>
          </w:p>
          <w:p w14:paraId="43C04983" w14:textId="4AF23073" w:rsidR="00991612" w:rsidRDefault="00A379A4" w:rsidP="008C59A3">
            <w:pPr>
              <w:pStyle w:val="ListParagraph"/>
              <w:spacing w:line="240" w:lineRule="auto"/>
              <w:ind w:left="0"/>
              <w:rPr>
                <w:rFonts w:ascii="Arial" w:hAnsi="Arial" w:cs="Arial"/>
                <w:bCs/>
              </w:rPr>
            </w:pPr>
            <w:r w:rsidRPr="00A379A4">
              <w:rPr>
                <w:rFonts w:ascii="Arial" w:hAnsi="Arial" w:cs="Arial"/>
                <w:bCs/>
              </w:rPr>
              <w:t xml:space="preserve">The target population for the rehabilitative intervention will be young offenders aged between 12-17 years who have a history of adverse childhood experiences (ACEs). Addressing the individual needs of this age group through a rehabilitative process provides more positive outcomes in reducing the risk of reoffending. Individuals will be selected by consorting closely with </w:t>
            </w:r>
            <w:r w:rsidR="00CE6810">
              <w:rPr>
                <w:rFonts w:ascii="Arial" w:hAnsi="Arial" w:cs="Arial"/>
                <w:bCs/>
              </w:rPr>
              <w:t xml:space="preserve">professionals </w:t>
            </w:r>
            <w:r w:rsidRPr="00A379A4">
              <w:rPr>
                <w:rFonts w:ascii="Arial" w:hAnsi="Arial" w:cs="Arial"/>
                <w:bCs/>
              </w:rPr>
              <w:t>working in the justice system, mental health, social services, and schools</w:t>
            </w:r>
            <w:r w:rsidR="00CE6810">
              <w:rPr>
                <w:rFonts w:ascii="Arial" w:hAnsi="Arial" w:cs="Arial"/>
                <w:bCs/>
              </w:rPr>
              <w:t xml:space="preserve"> </w:t>
            </w:r>
            <w:r w:rsidRPr="00A379A4">
              <w:rPr>
                <w:rFonts w:ascii="Arial" w:hAnsi="Arial" w:cs="Arial"/>
                <w:bCs/>
              </w:rPr>
              <w:t>to identify eligible young offenders who meet the criteria for participation. The programme will consist of weekly sessions, establishing a rapport and trust with the young person while developing an understanding of their long-term goals and what originally motivated them to</w:t>
            </w:r>
            <w:r w:rsidR="00DA571E">
              <w:rPr>
                <w:rFonts w:ascii="Arial" w:hAnsi="Arial" w:cs="Arial"/>
                <w:bCs/>
              </w:rPr>
              <w:t>wards crime</w:t>
            </w:r>
            <w:r w:rsidRPr="00A379A4">
              <w:rPr>
                <w:rFonts w:ascii="Arial" w:hAnsi="Arial" w:cs="Arial"/>
                <w:bCs/>
              </w:rPr>
              <w:t xml:space="preserve">. </w:t>
            </w:r>
          </w:p>
          <w:p w14:paraId="360C4F2B" w14:textId="77777777" w:rsidR="00A379A4" w:rsidRDefault="00A379A4" w:rsidP="008C59A3">
            <w:pPr>
              <w:pStyle w:val="ListParagraph"/>
              <w:spacing w:line="240" w:lineRule="auto"/>
              <w:ind w:left="0"/>
              <w:rPr>
                <w:rFonts w:ascii="Arial" w:hAnsi="Arial" w:cs="Arial"/>
              </w:rPr>
            </w:pPr>
          </w:p>
          <w:p w14:paraId="5DDD7FB0" w14:textId="77777777" w:rsidR="00991612" w:rsidRDefault="00991612" w:rsidP="008C59A3">
            <w:pPr>
              <w:pStyle w:val="ListParagraph"/>
              <w:spacing w:line="240" w:lineRule="auto"/>
              <w:ind w:left="0"/>
              <w:rPr>
                <w:rFonts w:ascii="Arial" w:hAnsi="Arial" w:cs="Arial"/>
                <w:b/>
                <w:bCs/>
              </w:rPr>
            </w:pPr>
            <w:r w:rsidRPr="00991612">
              <w:rPr>
                <w:rFonts w:ascii="Arial" w:hAnsi="Arial" w:cs="Arial"/>
                <w:b/>
                <w:bCs/>
              </w:rPr>
              <w:t xml:space="preserve">Materials/measures: </w:t>
            </w:r>
          </w:p>
          <w:p w14:paraId="6D7778F3" w14:textId="215DD6F3" w:rsidR="004F1B2B" w:rsidRPr="004F1B2B" w:rsidRDefault="0064531F" w:rsidP="008C59A3">
            <w:pPr>
              <w:pStyle w:val="ListParagraph"/>
              <w:spacing w:line="240" w:lineRule="auto"/>
              <w:ind w:left="0"/>
              <w:rPr>
                <w:rFonts w:ascii="Arial" w:hAnsi="Arial" w:cs="Arial"/>
              </w:rPr>
            </w:pPr>
            <w:r w:rsidRPr="0064531F">
              <w:rPr>
                <w:rFonts w:ascii="Arial" w:hAnsi="Arial" w:cs="Arial"/>
              </w:rPr>
              <w:t>The Good Lives Model will guide an individual through its principles, along with goal-setting exercises, and give a better understanding of the GLM concepts, encouraging active participation within the rehabilitation program. Suitable feedback assessments will be utilised throughout the program</w:t>
            </w:r>
            <w:r w:rsidR="00066FBC">
              <w:rPr>
                <w:rFonts w:ascii="Arial" w:hAnsi="Arial" w:cs="Arial"/>
              </w:rPr>
              <w:t>.</w:t>
            </w:r>
            <w:r w:rsidRPr="0064531F">
              <w:rPr>
                <w:rFonts w:ascii="Arial" w:hAnsi="Arial" w:cs="Arial"/>
              </w:rPr>
              <w:t xml:space="preserve"> </w:t>
            </w:r>
            <w:r w:rsidR="008F7D97">
              <w:rPr>
                <w:rFonts w:ascii="Arial" w:hAnsi="Arial" w:cs="Arial"/>
              </w:rPr>
              <w:t>F</w:t>
            </w:r>
            <w:r w:rsidRPr="0064531F">
              <w:rPr>
                <w:rFonts w:ascii="Arial" w:hAnsi="Arial" w:cs="Arial"/>
              </w:rPr>
              <w:t xml:space="preserve">eedback from the young offender and outside sources being vital in adapting the program when </w:t>
            </w:r>
            <w:r w:rsidR="008F7D97">
              <w:rPr>
                <w:rFonts w:ascii="Arial" w:hAnsi="Arial" w:cs="Arial"/>
              </w:rPr>
              <w:t>required</w:t>
            </w:r>
            <w:r w:rsidRPr="0064531F">
              <w:rPr>
                <w:rFonts w:ascii="Arial" w:hAnsi="Arial" w:cs="Arial"/>
              </w:rPr>
              <w:t xml:space="preserve">. The SAVRY will also be used to reassess risk and protective factors at regular intervals whilst ensuring interventions are continuously meeting the individuals’ current needs and measuring any change in their risk levels. </w:t>
            </w:r>
          </w:p>
          <w:p w14:paraId="53267D04" w14:textId="397E75AC" w:rsidR="00991612" w:rsidRPr="00991612" w:rsidRDefault="00991612" w:rsidP="008C59A3">
            <w:pPr>
              <w:pStyle w:val="ListParagraph"/>
              <w:spacing w:line="240" w:lineRule="auto"/>
              <w:ind w:left="0"/>
              <w:rPr>
                <w:rFonts w:ascii="Arial" w:hAnsi="Arial" w:cs="Arial"/>
                <w:b/>
                <w:bCs/>
              </w:rPr>
            </w:pPr>
          </w:p>
        </w:tc>
      </w:tr>
      <w:tr w:rsidR="009E10F9" w:rsidRPr="00210378" w14:paraId="6FD11615" w14:textId="77777777" w:rsidTr="00991612">
        <w:trPr>
          <w:trHeight w:val="2660"/>
        </w:trPr>
        <w:tc>
          <w:tcPr>
            <w:tcW w:w="9243" w:type="dxa"/>
            <w:shd w:val="clear" w:color="auto" w:fill="auto"/>
          </w:tcPr>
          <w:p w14:paraId="7B1D6B53" w14:textId="6137DC69" w:rsidR="00FD04DE" w:rsidRPr="004B2F08" w:rsidRDefault="00991612" w:rsidP="00CC53AF">
            <w:pPr>
              <w:pStyle w:val="ListParagraph"/>
              <w:spacing w:after="0" w:line="240" w:lineRule="auto"/>
              <w:ind w:left="0"/>
              <w:rPr>
                <w:rFonts w:ascii="Arial" w:hAnsi="Arial" w:cs="Arial"/>
                <w:i/>
                <w:iCs/>
                <w:sz w:val="20"/>
                <w:szCs w:val="20"/>
              </w:rPr>
            </w:pPr>
            <w:r w:rsidRPr="00991612">
              <w:rPr>
                <w:rFonts w:ascii="Arial" w:hAnsi="Arial" w:cs="Arial"/>
                <w:b/>
                <w:bCs/>
              </w:rPr>
              <w:lastRenderedPageBreak/>
              <w:t>Procedure:</w:t>
            </w:r>
            <w:r w:rsidR="004B2F08">
              <w:rPr>
                <w:rFonts w:ascii="Arial" w:hAnsi="Arial" w:cs="Arial"/>
                <w:b/>
                <w:bCs/>
              </w:rPr>
              <w:t xml:space="preserve"> </w:t>
            </w:r>
          </w:p>
          <w:p w14:paraId="2012DA59" w14:textId="614C2620" w:rsidR="00991612" w:rsidRDefault="00991612" w:rsidP="00CC53AF">
            <w:pPr>
              <w:pStyle w:val="ListParagraph"/>
              <w:spacing w:after="0" w:line="240" w:lineRule="auto"/>
              <w:ind w:left="0"/>
              <w:rPr>
                <w:rFonts w:ascii="Arial" w:hAnsi="Arial" w:cs="Arial"/>
                <w:b/>
                <w:bCs/>
              </w:rPr>
            </w:pPr>
          </w:p>
          <w:p w14:paraId="0534655E" w14:textId="77777777" w:rsidR="0080679C" w:rsidRPr="0080679C" w:rsidRDefault="0080679C" w:rsidP="0080679C">
            <w:pPr>
              <w:pStyle w:val="NormalWeb"/>
              <w:spacing w:before="0" w:beforeAutospacing="0" w:after="0" w:afterAutospacing="0"/>
              <w:rPr>
                <w:rFonts w:ascii="Arial" w:hAnsi="Arial" w:cs="Arial"/>
                <w:color w:val="0E101A"/>
                <w:sz w:val="22"/>
                <w:szCs w:val="22"/>
              </w:rPr>
            </w:pPr>
            <w:r w:rsidRPr="0080679C">
              <w:rPr>
                <w:rFonts w:ascii="Arial" w:hAnsi="Arial" w:cs="Arial"/>
                <w:color w:val="0E101A"/>
                <w:sz w:val="22"/>
                <w:szCs w:val="22"/>
                <w:u w:val="single"/>
              </w:rPr>
              <w:t>Weeks 1-2: Initial Assessment and Goal Setting</w:t>
            </w:r>
          </w:p>
          <w:p w14:paraId="46216A4A" w14:textId="77777777" w:rsidR="0080679C" w:rsidRPr="0080679C" w:rsidRDefault="0080679C" w:rsidP="0080679C">
            <w:pPr>
              <w:pStyle w:val="NormalWeb"/>
              <w:spacing w:before="0" w:beforeAutospacing="0" w:after="0" w:afterAutospacing="0"/>
              <w:rPr>
                <w:rFonts w:ascii="Arial" w:hAnsi="Arial" w:cs="Arial"/>
                <w:color w:val="0E101A"/>
                <w:sz w:val="22"/>
                <w:szCs w:val="22"/>
              </w:rPr>
            </w:pPr>
            <w:r w:rsidRPr="0080679C">
              <w:rPr>
                <w:rFonts w:ascii="Arial" w:hAnsi="Arial" w:cs="Arial"/>
                <w:color w:val="0E101A"/>
                <w:sz w:val="22"/>
                <w:szCs w:val="22"/>
              </w:rPr>
              <w:t> </w:t>
            </w:r>
          </w:p>
          <w:p w14:paraId="0AF779FE" w14:textId="6AE53920" w:rsidR="0080679C" w:rsidRPr="0080679C" w:rsidRDefault="0080679C" w:rsidP="0080679C">
            <w:pPr>
              <w:pStyle w:val="NormalWeb"/>
              <w:spacing w:before="0" w:beforeAutospacing="0" w:after="0" w:afterAutospacing="0"/>
              <w:rPr>
                <w:rFonts w:ascii="Arial" w:hAnsi="Arial" w:cs="Arial"/>
                <w:color w:val="0E101A"/>
                <w:sz w:val="22"/>
                <w:szCs w:val="22"/>
              </w:rPr>
            </w:pPr>
            <w:r w:rsidRPr="0080679C">
              <w:rPr>
                <w:rFonts w:ascii="Arial" w:hAnsi="Arial" w:cs="Arial"/>
                <w:color w:val="0E101A"/>
                <w:sz w:val="22"/>
                <w:szCs w:val="22"/>
              </w:rPr>
              <w:t>Week 1: This will consist of introductions and rapport-building activities: open communication, eye contact, and active listening</w:t>
            </w:r>
            <w:r w:rsidR="00F10E65">
              <w:rPr>
                <w:rFonts w:ascii="Arial" w:hAnsi="Arial" w:cs="Arial"/>
                <w:color w:val="0E101A"/>
                <w:sz w:val="22"/>
                <w:szCs w:val="22"/>
              </w:rPr>
              <w:t>,</w:t>
            </w:r>
            <w:r w:rsidRPr="0080679C">
              <w:rPr>
                <w:rFonts w:ascii="Arial" w:hAnsi="Arial" w:cs="Arial"/>
                <w:color w:val="0E101A"/>
                <w:sz w:val="22"/>
                <w:szCs w:val="22"/>
              </w:rPr>
              <w:t xml:space="preserve"> to establish trust and a supportive working relationship. An initial assessment of the individual will allow them to discuss how they have come to be in this situation, discussing ACEs if comfortable. The SAVRY will be completed to determine baseline risks. </w:t>
            </w:r>
          </w:p>
          <w:p w14:paraId="530FC855" w14:textId="77777777" w:rsidR="0080679C" w:rsidRPr="0080679C" w:rsidRDefault="0080679C" w:rsidP="0080679C">
            <w:pPr>
              <w:pStyle w:val="NormalWeb"/>
              <w:spacing w:before="0" w:beforeAutospacing="0" w:after="0" w:afterAutospacing="0"/>
              <w:rPr>
                <w:rFonts w:ascii="Arial" w:hAnsi="Arial" w:cs="Arial"/>
                <w:color w:val="0E101A"/>
                <w:sz w:val="22"/>
                <w:szCs w:val="22"/>
              </w:rPr>
            </w:pPr>
            <w:r w:rsidRPr="0080679C">
              <w:rPr>
                <w:rFonts w:ascii="Arial" w:hAnsi="Arial" w:cs="Arial"/>
                <w:color w:val="0E101A"/>
                <w:sz w:val="22"/>
                <w:szCs w:val="22"/>
              </w:rPr>
              <w:t> </w:t>
            </w:r>
          </w:p>
          <w:p w14:paraId="1F855486" w14:textId="77777777" w:rsidR="0080679C" w:rsidRPr="0080679C" w:rsidRDefault="0080679C" w:rsidP="0080679C">
            <w:pPr>
              <w:pStyle w:val="NormalWeb"/>
              <w:spacing w:before="0" w:beforeAutospacing="0" w:after="0" w:afterAutospacing="0"/>
              <w:rPr>
                <w:rFonts w:ascii="Arial" w:hAnsi="Arial" w:cs="Arial"/>
                <w:color w:val="0E101A"/>
                <w:sz w:val="22"/>
                <w:szCs w:val="22"/>
              </w:rPr>
            </w:pPr>
            <w:r w:rsidRPr="0080679C">
              <w:rPr>
                <w:rFonts w:ascii="Arial" w:hAnsi="Arial" w:cs="Arial"/>
                <w:color w:val="0E101A"/>
                <w:sz w:val="22"/>
                <w:szCs w:val="22"/>
              </w:rPr>
              <w:t>Week 2: Using the principles of the GLM, short-term goals will be set with active engagement from the individual. Discuss with the young person if they want to introduce family members/caregivers' involvement. If not, are there other outside sources they want to engage with to help achieve their goals?</w:t>
            </w:r>
          </w:p>
          <w:p w14:paraId="293EABEA" w14:textId="77777777" w:rsidR="00456FAD" w:rsidRDefault="00456FAD" w:rsidP="00CC53AF">
            <w:pPr>
              <w:pStyle w:val="ListParagraph"/>
              <w:spacing w:after="0" w:line="240" w:lineRule="auto"/>
              <w:ind w:left="0"/>
              <w:rPr>
                <w:rFonts w:ascii="Arial" w:hAnsi="Arial" w:cs="Arial"/>
              </w:rPr>
            </w:pPr>
          </w:p>
          <w:p w14:paraId="4ED88224" w14:textId="4CB70E21" w:rsidR="00C54056" w:rsidRPr="00C54056" w:rsidRDefault="00C54056" w:rsidP="00CC53AF">
            <w:pPr>
              <w:pStyle w:val="ListParagraph"/>
              <w:spacing w:after="0" w:line="240" w:lineRule="auto"/>
              <w:ind w:left="0"/>
              <w:rPr>
                <w:rFonts w:ascii="Arial" w:hAnsi="Arial" w:cs="Arial"/>
                <w:u w:val="single"/>
              </w:rPr>
            </w:pPr>
            <w:r w:rsidRPr="00C54056">
              <w:rPr>
                <w:rFonts w:ascii="Arial" w:hAnsi="Arial" w:cs="Arial"/>
                <w:u w:val="single"/>
              </w:rPr>
              <w:t>Weeks 3-6: Immediate Interventions</w:t>
            </w:r>
          </w:p>
          <w:p w14:paraId="63BA69EA" w14:textId="017E1E3D" w:rsidR="00991612" w:rsidRDefault="00991612" w:rsidP="00CC53AF">
            <w:pPr>
              <w:pStyle w:val="ListParagraph"/>
              <w:spacing w:after="0" w:line="240" w:lineRule="auto"/>
              <w:ind w:left="0"/>
              <w:rPr>
                <w:rFonts w:ascii="Arial" w:hAnsi="Arial" w:cs="Arial"/>
              </w:rPr>
            </w:pPr>
          </w:p>
          <w:p w14:paraId="5D473D22" w14:textId="5D430CF2" w:rsidR="0023528F" w:rsidRDefault="002F3B73" w:rsidP="00CC53AF">
            <w:pPr>
              <w:pStyle w:val="ListParagraph"/>
              <w:spacing w:after="0" w:line="240" w:lineRule="auto"/>
              <w:ind w:left="0"/>
              <w:rPr>
                <w:rFonts w:ascii="Arial" w:hAnsi="Arial" w:cs="Arial"/>
              </w:rPr>
            </w:pPr>
            <w:r>
              <w:rPr>
                <w:rFonts w:ascii="Arial" w:hAnsi="Arial" w:cs="Arial"/>
              </w:rPr>
              <w:t xml:space="preserve">Week 3: </w:t>
            </w:r>
            <w:r w:rsidR="00882512">
              <w:rPr>
                <w:rFonts w:ascii="Arial" w:hAnsi="Arial" w:cs="Arial"/>
              </w:rPr>
              <w:t xml:space="preserve">Discuss counselling sessions with </w:t>
            </w:r>
            <w:r w:rsidR="006A4471">
              <w:rPr>
                <w:rFonts w:ascii="Arial" w:hAnsi="Arial" w:cs="Arial"/>
              </w:rPr>
              <w:t>a</w:t>
            </w:r>
            <w:r w:rsidR="00882512">
              <w:rPr>
                <w:rFonts w:ascii="Arial" w:hAnsi="Arial" w:cs="Arial"/>
              </w:rPr>
              <w:t xml:space="preserve"> focus on trauma</w:t>
            </w:r>
            <w:r w:rsidR="006A4471">
              <w:rPr>
                <w:rFonts w:ascii="Arial" w:hAnsi="Arial" w:cs="Arial"/>
              </w:rPr>
              <w:t>-</w:t>
            </w:r>
            <w:r w:rsidR="00882512">
              <w:rPr>
                <w:rFonts w:ascii="Arial" w:hAnsi="Arial" w:cs="Arial"/>
              </w:rPr>
              <w:t>informed care</w:t>
            </w:r>
            <w:r w:rsidR="000E3251">
              <w:rPr>
                <w:rFonts w:ascii="Arial" w:hAnsi="Arial" w:cs="Arial"/>
              </w:rPr>
              <w:t>.</w:t>
            </w:r>
            <w:r w:rsidR="00EC09A6">
              <w:rPr>
                <w:rFonts w:ascii="Arial" w:hAnsi="Arial" w:cs="Arial"/>
              </w:rPr>
              <w:t xml:space="preserve"> Introduce an understanding as to how trauma impacts an </w:t>
            </w:r>
            <w:r w:rsidR="002D4BB4">
              <w:rPr>
                <w:rFonts w:ascii="Arial" w:hAnsi="Arial" w:cs="Arial"/>
              </w:rPr>
              <w:t>individual’s</w:t>
            </w:r>
            <w:r w:rsidR="00EC09A6">
              <w:rPr>
                <w:rFonts w:ascii="Arial" w:hAnsi="Arial" w:cs="Arial"/>
              </w:rPr>
              <w:t xml:space="preserve"> behaviour and </w:t>
            </w:r>
            <w:r w:rsidR="002D4BB4">
              <w:rPr>
                <w:rFonts w:ascii="Arial" w:hAnsi="Arial" w:cs="Arial"/>
              </w:rPr>
              <w:t xml:space="preserve">their </w:t>
            </w:r>
            <w:r w:rsidR="00EC09A6">
              <w:rPr>
                <w:rFonts w:ascii="Arial" w:hAnsi="Arial" w:cs="Arial"/>
              </w:rPr>
              <w:t>choices</w:t>
            </w:r>
            <w:r w:rsidR="00267D79">
              <w:rPr>
                <w:rFonts w:ascii="Arial" w:hAnsi="Arial" w:cs="Arial"/>
              </w:rPr>
              <w:t>.</w:t>
            </w:r>
          </w:p>
          <w:p w14:paraId="2FC08F05" w14:textId="77777777" w:rsidR="00267D79" w:rsidRDefault="00267D79" w:rsidP="00CC53AF">
            <w:pPr>
              <w:pStyle w:val="ListParagraph"/>
              <w:spacing w:after="0" w:line="240" w:lineRule="auto"/>
              <w:ind w:left="0"/>
              <w:rPr>
                <w:rFonts w:ascii="Arial" w:hAnsi="Arial" w:cs="Arial"/>
              </w:rPr>
            </w:pPr>
          </w:p>
          <w:p w14:paraId="4BD5031C" w14:textId="70548224" w:rsidR="00267D79" w:rsidRDefault="00267D79" w:rsidP="00CC53AF">
            <w:pPr>
              <w:pStyle w:val="ListParagraph"/>
              <w:spacing w:after="0" w:line="240" w:lineRule="auto"/>
              <w:ind w:left="0"/>
              <w:rPr>
                <w:rFonts w:ascii="Arial" w:hAnsi="Arial" w:cs="Arial"/>
              </w:rPr>
            </w:pPr>
            <w:r>
              <w:rPr>
                <w:rFonts w:ascii="Arial" w:hAnsi="Arial" w:cs="Arial"/>
              </w:rPr>
              <w:t xml:space="preserve">Week 4: Introduce </w:t>
            </w:r>
            <w:r w:rsidR="00B030C4">
              <w:rPr>
                <w:rFonts w:ascii="Arial" w:hAnsi="Arial" w:cs="Arial"/>
              </w:rPr>
              <w:t>individual counselling session</w:t>
            </w:r>
            <w:r w:rsidR="00F32EEC">
              <w:rPr>
                <w:rFonts w:ascii="Arial" w:hAnsi="Arial" w:cs="Arial"/>
              </w:rPr>
              <w:t>s</w:t>
            </w:r>
            <w:r w:rsidR="00B030C4">
              <w:rPr>
                <w:rFonts w:ascii="Arial" w:hAnsi="Arial" w:cs="Arial"/>
              </w:rPr>
              <w:t>.</w:t>
            </w:r>
          </w:p>
          <w:p w14:paraId="0AB2F355" w14:textId="77777777" w:rsidR="00B030C4" w:rsidRDefault="00B030C4" w:rsidP="00CC53AF">
            <w:pPr>
              <w:pStyle w:val="ListParagraph"/>
              <w:spacing w:after="0" w:line="240" w:lineRule="auto"/>
              <w:ind w:left="0"/>
              <w:rPr>
                <w:rFonts w:ascii="Arial" w:hAnsi="Arial" w:cs="Arial"/>
              </w:rPr>
            </w:pPr>
          </w:p>
          <w:p w14:paraId="0A759485" w14:textId="0FBFB8E7" w:rsidR="00B030C4" w:rsidRDefault="00B030C4" w:rsidP="00CC53AF">
            <w:pPr>
              <w:pStyle w:val="ListParagraph"/>
              <w:spacing w:after="0" w:line="240" w:lineRule="auto"/>
              <w:ind w:left="0"/>
              <w:rPr>
                <w:rFonts w:ascii="Arial" w:hAnsi="Arial" w:cs="Arial"/>
              </w:rPr>
            </w:pPr>
            <w:r>
              <w:rPr>
                <w:rFonts w:ascii="Arial" w:hAnsi="Arial" w:cs="Arial"/>
              </w:rPr>
              <w:t>Week</w:t>
            </w:r>
            <w:r w:rsidR="00246BAE">
              <w:rPr>
                <w:rFonts w:ascii="Arial" w:hAnsi="Arial" w:cs="Arial"/>
              </w:rPr>
              <w:t>s</w:t>
            </w:r>
            <w:r>
              <w:rPr>
                <w:rFonts w:ascii="Arial" w:hAnsi="Arial" w:cs="Arial"/>
              </w:rPr>
              <w:t xml:space="preserve"> 5-6</w:t>
            </w:r>
            <w:r w:rsidR="009228FC">
              <w:rPr>
                <w:rFonts w:ascii="Arial" w:hAnsi="Arial" w:cs="Arial"/>
              </w:rPr>
              <w:t>: Maintain regular counselling sessions. Implement targeted interventions</w:t>
            </w:r>
            <w:r w:rsidR="0054569D">
              <w:rPr>
                <w:rFonts w:ascii="Arial" w:hAnsi="Arial" w:cs="Arial"/>
              </w:rPr>
              <w:t>, enhancing skills to regulate emotions</w:t>
            </w:r>
            <w:r w:rsidR="00301F2B">
              <w:rPr>
                <w:rFonts w:ascii="Arial" w:hAnsi="Arial" w:cs="Arial"/>
              </w:rPr>
              <w:t xml:space="preserve">. Introduce mindfulness training along with coping strategies. </w:t>
            </w:r>
          </w:p>
          <w:p w14:paraId="4F21FB86" w14:textId="77777777" w:rsidR="00730026" w:rsidRDefault="00730026" w:rsidP="00CC53AF">
            <w:pPr>
              <w:pStyle w:val="ListParagraph"/>
              <w:spacing w:after="0" w:line="240" w:lineRule="auto"/>
              <w:ind w:left="0"/>
              <w:rPr>
                <w:rFonts w:ascii="Arial" w:hAnsi="Arial" w:cs="Arial"/>
              </w:rPr>
            </w:pPr>
          </w:p>
          <w:p w14:paraId="6613FEB2" w14:textId="77777777" w:rsidR="006A4471" w:rsidRDefault="006A4471" w:rsidP="00CC53AF">
            <w:pPr>
              <w:pStyle w:val="ListParagraph"/>
              <w:spacing w:after="0" w:line="240" w:lineRule="auto"/>
              <w:ind w:left="0"/>
              <w:rPr>
                <w:rFonts w:ascii="Arial" w:hAnsi="Arial" w:cs="Arial"/>
                <w:u w:val="single"/>
              </w:rPr>
            </w:pPr>
          </w:p>
          <w:p w14:paraId="298A4024" w14:textId="6E2A7EDE" w:rsidR="006A4471" w:rsidRPr="00DD1F17" w:rsidRDefault="00730026" w:rsidP="00CC53AF">
            <w:pPr>
              <w:pStyle w:val="ListParagraph"/>
              <w:spacing w:after="0" w:line="240" w:lineRule="auto"/>
              <w:ind w:left="0"/>
              <w:rPr>
                <w:rFonts w:ascii="Arial" w:hAnsi="Arial" w:cs="Arial"/>
                <w:u w:val="single"/>
              </w:rPr>
            </w:pPr>
            <w:r w:rsidRPr="00DD1F17">
              <w:rPr>
                <w:rFonts w:ascii="Arial" w:hAnsi="Arial" w:cs="Arial"/>
                <w:u w:val="single"/>
              </w:rPr>
              <w:t>Weeks 7-8: Skill-Building</w:t>
            </w:r>
          </w:p>
          <w:p w14:paraId="554790EB" w14:textId="77777777" w:rsidR="00DD1F17" w:rsidRDefault="00DD1F17" w:rsidP="00CC53AF">
            <w:pPr>
              <w:pStyle w:val="ListParagraph"/>
              <w:spacing w:after="0" w:line="240" w:lineRule="auto"/>
              <w:ind w:left="0"/>
              <w:rPr>
                <w:rFonts w:ascii="Arial" w:hAnsi="Arial" w:cs="Arial"/>
              </w:rPr>
            </w:pPr>
          </w:p>
          <w:p w14:paraId="7A2DF3A7" w14:textId="271392B2" w:rsidR="001F4BAA" w:rsidRDefault="00052FAF" w:rsidP="00CC53AF">
            <w:pPr>
              <w:pStyle w:val="ListParagraph"/>
              <w:spacing w:after="0" w:line="240" w:lineRule="auto"/>
              <w:ind w:left="0"/>
              <w:rPr>
                <w:rFonts w:ascii="Arial" w:hAnsi="Arial" w:cs="Arial"/>
              </w:rPr>
            </w:pPr>
            <w:r w:rsidRPr="00052FAF">
              <w:rPr>
                <w:rFonts w:ascii="Arial" w:hAnsi="Arial" w:cs="Arial"/>
              </w:rPr>
              <w:t>Weeks 7-8: Continuing with counselling, mindfulness, and coping strategies. Work on basic life skills through a workshop-based intervention</w:t>
            </w:r>
            <w:r w:rsidR="00A33F1B">
              <w:rPr>
                <w:rFonts w:ascii="Arial" w:hAnsi="Arial" w:cs="Arial"/>
              </w:rPr>
              <w:t>,</w:t>
            </w:r>
            <w:r w:rsidRPr="00052FAF">
              <w:rPr>
                <w:rFonts w:ascii="Arial" w:hAnsi="Arial" w:cs="Arial"/>
              </w:rPr>
              <w:t xml:space="preserve"> or individual (this will be discussed in the initial goal-setting session). Address education requirements that focus on communication, problem-solving, and decision-making skills.</w:t>
            </w:r>
          </w:p>
          <w:p w14:paraId="328ED2E1" w14:textId="77777777" w:rsidR="00313B2E" w:rsidRDefault="00313B2E" w:rsidP="00CC53AF">
            <w:pPr>
              <w:pStyle w:val="ListParagraph"/>
              <w:spacing w:after="0" w:line="240" w:lineRule="auto"/>
              <w:ind w:left="0"/>
              <w:rPr>
                <w:rFonts w:ascii="Arial" w:hAnsi="Arial" w:cs="Arial"/>
                <w:u w:val="single"/>
              </w:rPr>
            </w:pPr>
          </w:p>
          <w:p w14:paraId="34679DF5" w14:textId="77777777" w:rsidR="00313B2E" w:rsidRDefault="00313B2E" w:rsidP="00CC53AF">
            <w:pPr>
              <w:pStyle w:val="ListParagraph"/>
              <w:spacing w:after="0" w:line="240" w:lineRule="auto"/>
              <w:ind w:left="0"/>
              <w:rPr>
                <w:rFonts w:ascii="Arial" w:hAnsi="Arial" w:cs="Arial"/>
                <w:u w:val="single"/>
              </w:rPr>
            </w:pPr>
          </w:p>
          <w:p w14:paraId="420A3074" w14:textId="2C3CD296" w:rsidR="001F4BAA" w:rsidRPr="00313B2E" w:rsidRDefault="001F4BAA" w:rsidP="00CC53AF">
            <w:pPr>
              <w:pStyle w:val="ListParagraph"/>
              <w:spacing w:after="0" w:line="240" w:lineRule="auto"/>
              <w:ind w:left="0"/>
              <w:rPr>
                <w:rFonts w:ascii="Arial" w:hAnsi="Arial" w:cs="Arial"/>
                <w:u w:val="single"/>
              </w:rPr>
            </w:pPr>
            <w:r w:rsidRPr="00313B2E">
              <w:rPr>
                <w:rFonts w:ascii="Arial" w:hAnsi="Arial" w:cs="Arial"/>
                <w:u w:val="single"/>
              </w:rPr>
              <w:t>Weeks 9-12</w:t>
            </w:r>
            <w:r w:rsidR="00313B2E" w:rsidRPr="00313B2E">
              <w:rPr>
                <w:rFonts w:ascii="Arial" w:hAnsi="Arial" w:cs="Arial"/>
                <w:u w:val="single"/>
              </w:rPr>
              <w:t>: Monitoring and Adjustments</w:t>
            </w:r>
          </w:p>
          <w:p w14:paraId="3D505C64" w14:textId="77777777" w:rsidR="00313B2E" w:rsidRDefault="00313B2E" w:rsidP="00CC53AF">
            <w:pPr>
              <w:pStyle w:val="ListParagraph"/>
              <w:spacing w:after="0" w:line="240" w:lineRule="auto"/>
              <w:ind w:left="0"/>
              <w:rPr>
                <w:rFonts w:ascii="Arial" w:hAnsi="Arial" w:cs="Arial"/>
              </w:rPr>
            </w:pPr>
          </w:p>
          <w:p w14:paraId="30CA6AE0" w14:textId="376283AA" w:rsidR="00313B2E" w:rsidRDefault="00313B2E" w:rsidP="00CC53AF">
            <w:pPr>
              <w:pStyle w:val="ListParagraph"/>
              <w:spacing w:after="0" w:line="240" w:lineRule="auto"/>
              <w:ind w:left="0"/>
              <w:rPr>
                <w:rFonts w:ascii="Arial" w:hAnsi="Arial" w:cs="Arial"/>
              </w:rPr>
            </w:pPr>
            <w:r>
              <w:rPr>
                <w:rFonts w:ascii="Arial" w:hAnsi="Arial" w:cs="Arial"/>
              </w:rPr>
              <w:t xml:space="preserve">Weeks 9-10: </w:t>
            </w:r>
            <w:r w:rsidR="009127A5">
              <w:rPr>
                <w:rFonts w:ascii="Arial" w:hAnsi="Arial" w:cs="Arial"/>
              </w:rPr>
              <w:t>Using SAVRY</w:t>
            </w:r>
            <w:r w:rsidR="009F515B">
              <w:rPr>
                <w:rFonts w:ascii="Arial" w:hAnsi="Arial" w:cs="Arial"/>
              </w:rPr>
              <w:t>,</w:t>
            </w:r>
            <w:r w:rsidR="009127A5">
              <w:rPr>
                <w:rFonts w:ascii="Arial" w:hAnsi="Arial" w:cs="Arial"/>
              </w:rPr>
              <w:t xml:space="preserve"> conduct a risk assessment. </w:t>
            </w:r>
            <w:r w:rsidR="000C53BE">
              <w:rPr>
                <w:rFonts w:ascii="Arial" w:hAnsi="Arial" w:cs="Arial"/>
              </w:rPr>
              <w:t>Ask the individual for their feedback</w:t>
            </w:r>
            <w:r w:rsidR="009F515B">
              <w:rPr>
                <w:rFonts w:ascii="Arial" w:hAnsi="Arial" w:cs="Arial"/>
              </w:rPr>
              <w:t xml:space="preserve"> and</w:t>
            </w:r>
            <w:r w:rsidR="000C53BE">
              <w:rPr>
                <w:rFonts w:ascii="Arial" w:hAnsi="Arial" w:cs="Arial"/>
              </w:rPr>
              <w:t xml:space="preserve"> any outside </w:t>
            </w:r>
            <w:r w:rsidR="00E97267">
              <w:rPr>
                <w:rFonts w:ascii="Arial" w:hAnsi="Arial" w:cs="Arial"/>
              </w:rPr>
              <w:t>sources who have been involved to date.</w:t>
            </w:r>
          </w:p>
          <w:p w14:paraId="3E560FB6" w14:textId="77777777" w:rsidR="00E97267" w:rsidRDefault="00E97267" w:rsidP="00CC53AF">
            <w:pPr>
              <w:pStyle w:val="ListParagraph"/>
              <w:spacing w:after="0" w:line="240" w:lineRule="auto"/>
              <w:ind w:left="0"/>
              <w:rPr>
                <w:rFonts w:ascii="Arial" w:hAnsi="Arial" w:cs="Arial"/>
              </w:rPr>
            </w:pPr>
          </w:p>
          <w:p w14:paraId="18121D8B" w14:textId="27FAC32C" w:rsidR="00E97267" w:rsidRDefault="00E97267" w:rsidP="00CC53AF">
            <w:pPr>
              <w:pStyle w:val="ListParagraph"/>
              <w:spacing w:after="0" w:line="240" w:lineRule="auto"/>
              <w:ind w:left="0"/>
              <w:rPr>
                <w:rFonts w:ascii="Arial" w:hAnsi="Arial" w:cs="Arial"/>
              </w:rPr>
            </w:pPr>
            <w:r>
              <w:rPr>
                <w:rFonts w:ascii="Arial" w:hAnsi="Arial" w:cs="Arial"/>
              </w:rPr>
              <w:t xml:space="preserve">Weeks 11-12: </w:t>
            </w:r>
            <w:r w:rsidR="004D24F9">
              <w:rPr>
                <w:rFonts w:ascii="Arial" w:hAnsi="Arial" w:cs="Arial"/>
              </w:rPr>
              <w:t>Using assessment</w:t>
            </w:r>
            <w:r w:rsidR="00517980">
              <w:rPr>
                <w:rFonts w:ascii="Arial" w:hAnsi="Arial" w:cs="Arial"/>
              </w:rPr>
              <w:t xml:space="preserve"> results and feedback</w:t>
            </w:r>
            <w:r w:rsidR="004D24F9">
              <w:rPr>
                <w:rFonts w:ascii="Arial" w:hAnsi="Arial" w:cs="Arial"/>
              </w:rPr>
              <w:t>,</w:t>
            </w:r>
            <w:r w:rsidR="00517980">
              <w:rPr>
                <w:rFonts w:ascii="Arial" w:hAnsi="Arial" w:cs="Arial"/>
              </w:rPr>
              <w:t xml:space="preserve"> make any modifications that may be required</w:t>
            </w:r>
            <w:r w:rsidR="00CF4594">
              <w:rPr>
                <w:rFonts w:ascii="Arial" w:hAnsi="Arial" w:cs="Arial"/>
              </w:rPr>
              <w:t xml:space="preserve">. </w:t>
            </w:r>
            <w:r w:rsidR="00936BF8">
              <w:rPr>
                <w:rFonts w:ascii="Arial" w:hAnsi="Arial" w:cs="Arial"/>
              </w:rPr>
              <w:t>Discuss</w:t>
            </w:r>
            <w:r w:rsidR="00D66873">
              <w:rPr>
                <w:rFonts w:ascii="Arial" w:hAnsi="Arial" w:cs="Arial"/>
              </w:rPr>
              <w:t xml:space="preserve"> with the </w:t>
            </w:r>
            <w:r w:rsidR="004D24F9">
              <w:rPr>
                <w:rFonts w:ascii="Arial" w:hAnsi="Arial" w:cs="Arial"/>
              </w:rPr>
              <w:t>individual’s</w:t>
            </w:r>
            <w:r w:rsidR="00D66873">
              <w:rPr>
                <w:rFonts w:ascii="Arial" w:hAnsi="Arial" w:cs="Arial"/>
              </w:rPr>
              <w:t xml:space="preserve"> full engagement as to what they would like to achieve over the </w:t>
            </w:r>
            <w:r w:rsidR="00CF4594">
              <w:rPr>
                <w:rFonts w:ascii="Arial" w:hAnsi="Arial" w:cs="Arial"/>
              </w:rPr>
              <w:t>next 12 week</w:t>
            </w:r>
            <w:r w:rsidR="00D66873">
              <w:rPr>
                <w:rFonts w:ascii="Arial" w:hAnsi="Arial" w:cs="Arial"/>
              </w:rPr>
              <w:t>s.</w:t>
            </w:r>
          </w:p>
          <w:p w14:paraId="3E3511E1" w14:textId="77777777" w:rsidR="009F515B" w:rsidRDefault="009F515B" w:rsidP="00CC53AF">
            <w:pPr>
              <w:pStyle w:val="ListParagraph"/>
              <w:spacing w:after="0" w:line="240" w:lineRule="auto"/>
              <w:ind w:left="0"/>
              <w:rPr>
                <w:rFonts w:ascii="Arial" w:hAnsi="Arial" w:cs="Arial"/>
              </w:rPr>
            </w:pPr>
          </w:p>
          <w:p w14:paraId="591D315A" w14:textId="77777777" w:rsidR="00E97267" w:rsidRPr="00C54056" w:rsidRDefault="00E97267" w:rsidP="00CC53AF">
            <w:pPr>
              <w:pStyle w:val="ListParagraph"/>
              <w:spacing w:after="0" w:line="240" w:lineRule="auto"/>
              <w:ind w:left="0"/>
              <w:rPr>
                <w:rFonts w:ascii="Arial" w:hAnsi="Arial" w:cs="Arial"/>
              </w:rPr>
            </w:pPr>
          </w:p>
          <w:p w14:paraId="5E5AB0AC" w14:textId="267BE802" w:rsidR="00991612" w:rsidRPr="004F75C8" w:rsidRDefault="004F75C8" w:rsidP="00CC53AF">
            <w:pPr>
              <w:pStyle w:val="ListParagraph"/>
              <w:spacing w:after="0" w:line="240" w:lineRule="auto"/>
              <w:ind w:left="0"/>
              <w:rPr>
                <w:rFonts w:ascii="Arial" w:hAnsi="Arial" w:cs="Arial"/>
                <w:u w:val="single"/>
              </w:rPr>
            </w:pPr>
            <w:r w:rsidRPr="004F75C8">
              <w:rPr>
                <w:rFonts w:ascii="Arial" w:hAnsi="Arial" w:cs="Arial"/>
                <w:u w:val="single"/>
              </w:rPr>
              <w:t>Months 3-6: Skill Review Sessions</w:t>
            </w:r>
          </w:p>
          <w:p w14:paraId="0F1C453D" w14:textId="4A98E0EB" w:rsidR="00991612" w:rsidRDefault="00991612" w:rsidP="00CC53AF">
            <w:pPr>
              <w:pStyle w:val="ListParagraph"/>
              <w:spacing w:after="0" w:line="240" w:lineRule="auto"/>
              <w:ind w:left="0"/>
              <w:rPr>
                <w:rFonts w:ascii="Arial" w:hAnsi="Arial" w:cs="Arial"/>
                <w:b/>
                <w:bCs/>
              </w:rPr>
            </w:pPr>
          </w:p>
          <w:p w14:paraId="56FCFA6C" w14:textId="12200435" w:rsidR="009A50AF" w:rsidRDefault="00DB322B" w:rsidP="00CC53AF">
            <w:pPr>
              <w:pStyle w:val="ListParagraph"/>
              <w:spacing w:after="0" w:line="240" w:lineRule="auto"/>
              <w:ind w:left="0"/>
              <w:rPr>
                <w:rFonts w:ascii="Arial" w:hAnsi="Arial" w:cs="Arial"/>
              </w:rPr>
            </w:pPr>
            <w:r w:rsidRPr="00DB322B">
              <w:rPr>
                <w:rFonts w:ascii="Arial" w:hAnsi="Arial" w:cs="Arial"/>
              </w:rPr>
              <w:t>Months 3-6: Reinforce the skills acquired within the first three months and conduct both individual and group sessions to review the use of coping mechanisms. Observe behavioural progress using self-reporting and feedback from the individual. Adjust interventions if necessary. Discuss further life skills the individual would like to address and encourage using these skills in day-to-day living.</w:t>
            </w:r>
          </w:p>
          <w:p w14:paraId="12F9090B" w14:textId="77777777" w:rsidR="00DB322B" w:rsidRDefault="00DB322B" w:rsidP="00CC53AF">
            <w:pPr>
              <w:pStyle w:val="ListParagraph"/>
              <w:spacing w:after="0" w:line="240" w:lineRule="auto"/>
              <w:ind w:left="0"/>
              <w:rPr>
                <w:rFonts w:ascii="Arial" w:hAnsi="Arial" w:cs="Arial"/>
              </w:rPr>
            </w:pPr>
          </w:p>
          <w:p w14:paraId="22FBC351" w14:textId="7A806AAB" w:rsidR="0086325D" w:rsidRDefault="0086325D" w:rsidP="00CC53AF">
            <w:pPr>
              <w:pStyle w:val="ListParagraph"/>
              <w:spacing w:after="0" w:line="240" w:lineRule="auto"/>
              <w:ind w:left="0"/>
              <w:rPr>
                <w:rFonts w:ascii="Arial" w:hAnsi="Arial" w:cs="Arial"/>
                <w:u w:val="single"/>
              </w:rPr>
            </w:pPr>
            <w:r w:rsidRPr="002E3CAE">
              <w:rPr>
                <w:rFonts w:ascii="Arial" w:hAnsi="Arial" w:cs="Arial"/>
                <w:u w:val="single"/>
              </w:rPr>
              <w:t xml:space="preserve">Months 6-9: </w:t>
            </w:r>
            <w:r w:rsidR="00106FC8" w:rsidRPr="002E3CAE">
              <w:rPr>
                <w:rFonts w:ascii="Arial" w:hAnsi="Arial" w:cs="Arial"/>
                <w:u w:val="single"/>
              </w:rPr>
              <w:t>Advancing Therapy Techniques</w:t>
            </w:r>
            <w:r w:rsidR="002E3CAE" w:rsidRPr="002E3CAE">
              <w:rPr>
                <w:rFonts w:ascii="Arial" w:hAnsi="Arial" w:cs="Arial"/>
                <w:u w:val="single"/>
              </w:rPr>
              <w:t xml:space="preserve"> &amp; Goal Setting</w:t>
            </w:r>
          </w:p>
          <w:p w14:paraId="38F6C3FF" w14:textId="77777777" w:rsidR="002E3CAE" w:rsidRDefault="002E3CAE" w:rsidP="00CC53AF">
            <w:pPr>
              <w:pStyle w:val="ListParagraph"/>
              <w:spacing w:after="0" w:line="240" w:lineRule="auto"/>
              <w:ind w:left="0"/>
              <w:rPr>
                <w:rFonts w:ascii="Arial" w:hAnsi="Arial" w:cs="Arial"/>
                <w:u w:val="single"/>
              </w:rPr>
            </w:pPr>
          </w:p>
          <w:p w14:paraId="29BED343" w14:textId="5A7E40A6" w:rsidR="009A50AF" w:rsidRDefault="00C72344" w:rsidP="00CC53AF">
            <w:pPr>
              <w:pStyle w:val="ListParagraph"/>
              <w:spacing w:after="0" w:line="240" w:lineRule="auto"/>
              <w:ind w:left="0"/>
              <w:rPr>
                <w:rFonts w:ascii="Arial" w:hAnsi="Arial" w:cs="Arial"/>
              </w:rPr>
            </w:pPr>
            <w:r w:rsidRPr="00C72344">
              <w:rPr>
                <w:rFonts w:ascii="Arial" w:hAnsi="Arial" w:cs="Arial"/>
              </w:rPr>
              <w:t>Months 6-9: Introduce further therapies to address underlying issues: music therapy. Using the principles of the GLM, discuss further goal-setting ideas, focusing on life aspirations and what would aid in positive life experiences. Continue introducing outside sources discussed with the individual, strengthening positive community connections.</w:t>
            </w:r>
          </w:p>
          <w:p w14:paraId="0ADF9E89" w14:textId="77777777" w:rsidR="00C72344" w:rsidRPr="004F75C8" w:rsidRDefault="00C72344" w:rsidP="00CC53AF">
            <w:pPr>
              <w:pStyle w:val="ListParagraph"/>
              <w:spacing w:after="0" w:line="240" w:lineRule="auto"/>
              <w:ind w:left="0"/>
              <w:rPr>
                <w:rFonts w:ascii="Arial" w:hAnsi="Arial" w:cs="Arial"/>
              </w:rPr>
            </w:pPr>
          </w:p>
          <w:p w14:paraId="4F8DD9E6" w14:textId="5578D0E0" w:rsidR="00991612" w:rsidRDefault="003F620D" w:rsidP="00CC53AF">
            <w:pPr>
              <w:pStyle w:val="ListParagraph"/>
              <w:spacing w:after="0" w:line="240" w:lineRule="auto"/>
              <w:ind w:left="0"/>
              <w:rPr>
                <w:rFonts w:ascii="Arial" w:hAnsi="Arial" w:cs="Arial"/>
                <w:u w:val="single"/>
              </w:rPr>
            </w:pPr>
            <w:r>
              <w:rPr>
                <w:rFonts w:ascii="Arial" w:hAnsi="Arial" w:cs="Arial"/>
                <w:u w:val="single"/>
              </w:rPr>
              <w:t>Months 9-12: Transition Planning &amp; Future Goals</w:t>
            </w:r>
          </w:p>
          <w:p w14:paraId="432DE78F" w14:textId="77777777" w:rsidR="009E09A5" w:rsidRDefault="009E09A5" w:rsidP="00CC53AF">
            <w:pPr>
              <w:pStyle w:val="ListParagraph"/>
              <w:spacing w:after="0" w:line="240" w:lineRule="auto"/>
              <w:ind w:left="0"/>
              <w:rPr>
                <w:rFonts w:ascii="Arial" w:hAnsi="Arial" w:cs="Arial"/>
                <w:u w:val="single"/>
              </w:rPr>
            </w:pPr>
          </w:p>
          <w:p w14:paraId="245A6437" w14:textId="77777777" w:rsidR="00985F10" w:rsidRPr="00985F10" w:rsidRDefault="00985F10" w:rsidP="00985F10">
            <w:pPr>
              <w:pStyle w:val="NormalWeb"/>
              <w:spacing w:before="0" w:beforeAutospacing="0" w:after="0" w:afterAutospacing="0"/>
              <w:rPr>
                <w:rFonts w:ascii="Arial" w:hAnsi="Arial" w:cs="Arial"/>
                <w:color w:val="0E101A"/>
                <w:sz w:val="22"/>
                <w:szCs w:val="22"/>
              </w:rPr>
            </w:pPr>
            <w:r w:rsidRPr="00985F10">
              <w:rPr>
                <w:rFonts w:ascii="Arial" w:hAnsi="Arial" w:cs="Arial"/>
                <w:color w:val="0E101A"/>
                <w:sz w:val="22"/>
                <w:szCs w:val="22"/>
              </w:rPr>
              <w:t>Months 9-12: Use sessions to discuss the individual's educational and vocational goals. Establish methods of achieving these goals with continued support. Start the transition process to aftercare support. Discuss long-term goals aligned with the GLM to encourage a positive and meaningful future for the young person. </w:t>
            </w:r>
          </w:p>
          <w:p w14:paraId="3AC358F0" w14:textId="77777777" w:rsidR="00985F10" w:rsidRPr="00985F10" w:rsidRDefault="00985F10" w:rsidP="00985F10">
            <w:pPr>
              <w:pStyle w:val="NormalWeb"/>
              <w:spacing w:before="0" w:beforeAutospacing="0" w:after="0" w:afterAutospacing="0"/>
              <w:rPr>
                <w:rFonts w:ascii="Arial" w:hAnsi="Arial" w:cs="Arial"/>
                <w:color w:val="0E101A"/>
                <w:sz w:val="22"/>
                <w:szCs w:val="22"/>
              </w:rPr>
            </w:pPr>
            <w:r w:rsidRPr="00985F10">
              <w:rPr>
                <w:rStyle w:val="Strong"/>
                <w:rFonts w:ascii="Arial" w:hAnsi="Arial" w:cs="Arial"/>
                <w:color w:val="0E101A"/>
                <w:sz w:val="22"/>
                <w:szCs w:val="22"/>
              </w:rPr>
              <w:t> </w:t>
            </w:r>
          </w:p>
          <w:p w14:paraId="7337C98C" w14:textId="46751004" w:rsidR="00985F10" w:rsidRPr="00985F10" w:rsidRDefault="00985F10" w:rsidP="00985F10">
            <w:pPr>
              <w:pStyle w:val="NormalWeb"/>
              <w:spacing w:before="0" w:beforeAutospacing="0" w:after="0" w:afterAutospacing="0"/>
              <w:rPr>
                <w:rFonts w:ascii="Arial" w:hAnsi="Arial" w:cs="Arial"/>
                <w:color w:val="0E101A"/>
                <w:sz w:val="22"/>
                <w:szCs w:val="22"/>
              </w:rPr>
            </w:pPr>
            <w:r w:rsidRPr="00985F10">
              <w:rPr>
                <w:rFonts w:ascii="Arial" w:hAnsi="Arial" w:cs="Arial"/>
                <w:color w:val="0E101A"/>
                <w:sz w:val="22"/>
                <w:szCs w:val="22"/>
              </w:rPr>
              <w:t>This program structure takes a phased approach, allowing time for building a foundation through assessment and goal setting</w:t>
            </w:r>
            <w:r w:rsidR="00454993">
              <w:rPr>
                <w:rFonts w:ascii="Arial" w:hAnsi="Arial" w:cs="Arial"/>
                <w:color w:val="0E101A"/>
                <w:sz w:val="22"/>
                <w:szCs w:val="22"/>
              </w:rPr>
              <w:t>,</w:t>
            </w:r>
            <w:r w:rsidRPr="00985F10">
              <w:rPr>
                <w:rFonts w:ascii="Arial" w:hAnsi="Arial" w:cs="Arial"/>
                <w:color w:val="0E101A"/>
                <w:sz w:val="22"/>
                <w:szCs w:val="22"/>
              </w:rPr>
              <w:t xml:space="preserve"> and implementing interventions to address issues related to trauma and emotional regulation directly. Regular monitoring and adjustments are crucial for implementing a flexible and responsive process to address the individual's needs. This timeline is adaptable and can be adjusted to support the young person's unique needs, being sure to remain with them for as long as possible. Continued involvement from the individual and their support system is paramount to the success of this rehabilitation program.</w:t>
            </w:r>
          </w:p>
          <w:p w14:paraId="2D6BD527" w14:textId="2D8FA500" w:rsidR="003F620D" w:rsidRDefault="003F620D" w:rsidP="00CC53AF">
            <w:pPr>
              <w:pStyle w:val="ListParagraph"/>
              <w:spacing w:after="0" w:line="240" w:lineRule="auto"/>
              <w:ind w:left="0"/>
              <w:rPr>
                <w:rFonts w:ascii="Arial" w:hAnsi="Arial" w:cs="Arial"/>
                <w:b/>
                <w:bCs/>
              </w:rPr>
            </w:pPr>
          </w:p>
          <w:p w14:paraId="4F636778" w14:textId="77777777" w:rsidR="00991612" w:rsidRDefault="00991612" w:rsidP="00CC53AF">
            <w:pPr>
              <w:pStyle w:val="ListParagraph"/>
              <w:spacing w:after="0" w:line="240" w:lineRule="auto"/>
              <w:ind w:left="0"/>
              <w:rPr>
                <w:rFonts w:ascii="Arial" w:hAnsi="Arial" w:cs="Arial"/>
                <w:b/>
                <w:bCs/>
              </w:rPr>
            </w:pPr>
          </w:p>
          <w:p w14:paraId="113D5FCC" w14:textId="3385483A" w:rsidR="00991612" w:rsidRDefault="00991612" w:rsidP="00CC53AF">
            <w:pPr>
              <w:pStyle w:val="ListParagraph"/>
              <w:spacing w:after="0" w:line="240" w:lineRule="auto"/>
              <w:ind w:left="0"/>
              <w:rPr>
                <w:rFonts w:ascii="Arial" w:hAnsi="Arial" w:cs="Arial"/>
                <w:b/>
                <w:bCs/>
              </w:rPr>
            </w:pPr>
            <w:r>
              <w:rPr>
                <w:rFonts w:ascii="Arial" w:hAnsi="Arial" w:cs="Arial"/>
                <w:b/>
                <w:bCs/>
              </w:rPr>
              <w:t>Ethical considerations:</w:t>
            </w:r>
          </w:p>
          <w:p w14:paraId="2F262BA2" w14:textId="77777777" w:rsidR="00840A19" w:rsidRDefault="00840A19" w:rsidP="00CC53AF">
            <w:pPr>
              <w:pStyle w:val="ListParagraph"/>
              <w:spacing w:after="0" w:line="240" w:lineRule="auto"/>
              <w:ind w:left="0"/>
              <w:rPr>
                <w:rFonts w:ascii="Arial" w:hAnsi="Arial" w:cs="Arial"/>
              </w:rPr>
            </w:pPr>
          </w:p>
          <w:p w14:paraId="4F074E09" w14:textId="1682C1E3" w:rsidR="00991612" w:rsidRDefault="002E78DA" w:rsidP="00CC53AF">
            <w:pPr>
              <w:pStyle w:val="ListParagraph"/>
              <w:spacing w:after="0" w:line="240" w:lineRule="auto"/>
              <w:ind w:left="0"/>
              <w:rPr>
                <w:rFonts w:ascii="Arial" w:hAnsi="Arial" w:cs="Arial"/>
                <w:b/>
                <w:bCs/>
              </w:rPr>
            </w:pPr>
            <w:r w:rsidRPr="002E78DA">
              <w:rPr>
                <w:rFonts w:ascii="Arial" w:hAnsi="Arial" w:cs="Arial"/>
              </w:rPr>
              <w:t>Ethical consent in this rehabilitation program would need to be received voluntarily from the young offender</w:t>
            </w:r>
            <w:r w:rsidR="006E7FEF">
              <w:rPr>
                <w:rFonts w:ascii="Arial" w:hAnsi="Arial" w:cs="Arial"/>
              </w:rPr>
              <w:t>,</w:t>
            </w:r>
            <w:r w:rsidRPr="002E78DA">
              <w:rPr>
                <w:rFonts w:ascii="Arial" w:hAnsi="Arial" w:cs="Arial"/>
              </w:rPr>
              <w:t xml:space="preserve"> or their legal guardian</w:t>
            </w:r>
            <w:r w:rsidR="006E7FEF">
              <w:rPr>
                <w:rFonts w:ascii="Arial" w:hAnsi="Arial" w:cs="Arial"/>
              </w:rPr>
              <w:t>,</w:t>
            </w:r>
            <w:r w:rsidRPr="002E78DA">
              <w:rPr>
                <w:rFonts w:ascii="Arial" w:hAnsi="Arial" w:cs="Arial"/>
              </w:rPr>
              <w:t xml:space="preserve"> while ensuring they are clear about the program details. This program will not directly impact their sentence time but will uphold autonomy. Participation must be voluntary to observe the most favourable outcome, and it will be made clear that withdrawal at any time is possible without affecting their sentence. Risk assessments (SAVRY) will be carried out at the start of each intervention to mitigate the risk of harm to the individual or those working with them. Carrying out regular assessments will help to determine emotional readiness, and there will be professional support available should the individual feel any distress due to the intervention program. Ethical considerations will be continually addressed with open and honest communication, cultural competence, </w:t>
            </w:r>
            <w:r w:rsidRPr="002E78DA">
              <w:rPr>
                <w:rFonts w:ascii="Arial" w:hAnsi="Arial" w:cs="Arial"/>
              </w:rPr>
              <w:lastRenderedPageBreak/>
              <w:t xml:space="preserve">and a flexible, person-centred approach, reducing potential </w:t>
            </w:r>
            <w:r w:rsidR="004A3F76" w:rsidRPr="002E78DA">
              <w:rPr>
                <w:rFonts w:ascii="Arial" w:hAnsi="Arial" w:cs="Arial"/>
              </w:rPr>
              <w:t>harm,</w:t>
            </w:r>
            <w:r w:rsidRPr="002E78DA">
              <w:rPr>
                <w:rFonts w:ascii="Arial" w:hAnsi="Arial" w:cs="Arial"/>
              </w:rPr>
              <w:t xml:space="preserve"> and ensuring the well-being of the individuals.  </w:t>
            </w:r>
            <w:r w:rsidR="00950349" w:rsidRPr="00950349">
              <w:rPr>
                <w:rFonts w:ascii="Arial" w:hAnsi="Arial" w:cs="Arial"/>
                <w:b/>
                <w:bCs/>
              </w:rPr>
              <w:br/>
            </w:r>
          </w:p>
          <w:p w14:paraId="3A4077F1" w14:textId="41200C02" w:rsidR="00641D7A" w:rsidRPr="00E80CF2" w:rsidRDefault="00641D7A" w:rsidP="005E34DB">
            <w:pPr>
              <w:pStyle w:val="ListParagraph"/>
              <w:spacing w:after="0" w:line="240" w:lineRule="auto"/>
              <w:ind w:left="0"/>
              <w:rPr>
                <w:rFonts w:ascii="Arial" w:hAnsi="Arial" w:cs="Arial"/>
                <w:b/>
                <w:bCs/>
              </w:rPr>
            </w:pPr>
          </w:p>
          <w:p w14:paraId="32AB470A" w14:textId="6114CB23" w:rsidR="00B23969" w:rsidRPr="00210378" w:rsidRDefault="00B23969" w:rsidP="005E34DB">
            <w:pPr>
              <w:pStyle w:val="ListParagraph"/>
              <w:spacing w:after="0" w:line="240" w:lineRule="auto"/>
              <w:ind w:left="0"/>
              <w:rPr>
                <w:rFonts w:ascii="Arial" w:hAnsi="Arial" w:cs="Arial"/>
              </w:rPr>
            </w:pPr>
          </w:p>
        </w:tc>
      </w:tr>
      <w:tr w:rsidR="009E10F9" w:rsidRPr="00210378" w14:paraId="19B8D313" w14:textId="77777777" w:rsidTr="00991612">
        <w:trPr>
          <w:trHeight w:val="2560"/>
        </w:trPr>
        <w:tc>
          <w:tcPr>
            <w:tcW w:w="9243" w:type="dxa"/>
            <w:shd w:val="clear" w:color="auto" w:fill="auto"/>
          </w:tcPr>
          <w:p w14:paraId="21707925" w14:textId="29C3929A" w:rsidR="004A4FCC" w:rsidRPr="00991612" w:rsidRDefault="00991612" w:rsidP="004A4FCC">
            <w:pPr>
              <w:rPr>
                <w:rFonts w:ascii="Arial" w:hAnsi="Arial" w:cs="Arial"/>
                <w:b/>
                <w:bCs/>
                <w:sz w:val="22"/>
                <w:szCs w:val="22"/>
              </w:rPr>
            </w:pPr>
            <w:r w:rsidRPr="00991612">
              <w:rPr>
                <w:rFonts w:ascii="Arial" w:hAnsi="Arial" w:cs="Arial"/>
                <w:b/>
                <w:bCs/>
                <w:sz w:val="22"/>
                <w:szCs w:val="22"/>
              </w:rPr>
              <w:lastRenderedPageBreak/>
              <w:t xml:space="preserve">Planned analysis: </w:t>
            </w:r>
          </w:p>
          <w:p w14:paraId="115F8AB6" w14:textId="77777777" w:rsidR="00840A19" w:rsidRDefault="00840A19" w:rsidP="00991612">
            <w:pPr>
              <w:rPr>
                <w:rFonts w:ascii="Arial" w:hAnsi="Arial" w:cs="Arial"/>
                <w:sz w:val="22"/>
                <w:szCs w:val="22"/>
              </w:rPr>
            </w:pPr>
          </w:p>
          <w:p w14:paraId="118A2F1D" w14:textId="13AF21B7" w:rsidR="00991612" w:rsidRDefault="006F4A10" w:rsidP="00991612">
            <w:r w:rsidRPr="006F4A10">
              <w:rPr>
                <w:rFonts w:ascii="Arial" w:hAnsi="Arial" w:cs="Arial"/>
                <w:sz w:val="22"/>
                <w:szCs w:val="22"/>
              </w:rPr>
              <w:t xml:space="preserve">Using the SAVRY at the start of intervention will allow for a baseline measure establishing risk levels for reoffending. The initial assessment of the young offender will provide baseline measures for the depth of trauma suffered, behavioural observations, life skills, identifying any mental health conditions, educational needs, </w:t>
            </w:r>
            <w:r w:rsidR="00840A19" w:rsidRPr="006F4A10">
              <w:rPr>
                <w:rFonts w:ascii="Arial" w:hAnsi="Arial" w:cs="Arial"/>
                <w:sz w:val="22"/>
                <w:szCs w:val="22"/>
              </w:rPr>
              <w:t>family,</w:t>
            </w:r>
            <w:r w:rsidRPr="006F4A10">
              <w:rPr>
                <w:rFonts w:ascii="Arial" w:hAnsi="Arial" w:cs="Arial"/>
                <w:sz w:val="22"/>
                <w:szCs w:val="22"/>
              </w:rPr>
              <w:t xml:space="preserve"> and friend dynamics, and what their goals and aspirations in life are. Evaluating the efficacy of the rehabilitative intervention program will be done by assessing measures at intervals appropriate to the development of the young offender. Carrying out these assessments will provide a comprehensive understanding of the individual's development, along with the effectiveness of the interventions, all the while allowing for suitable adjustments to be made within the rehabilitation program, ensuring it remains responsive to the individual and their set goals. By continually carrying out assessments and collecting feedback, the program can provide a more holistic assessment of the rehabilitation's impact on reducing the risk of reoffending</w:t>
            </w:r>
            <w:r w:rsidR="00881868">
              <w:rPr>
                <w:rFonts w:ascii="Arial" w:hAnsi="Arial" w:cs="Arial"/>
                <w:sz w:val="22"/>
                <w:szCs w:val="22"/>
              </w:rPr>
              <w:t>,</w:t>
            </w:r>
            <w:r w:rsidRPr="006F4A10">
              <w:rPr>
                <w:rFonts w:ascii="Arial" w:hAnsi="Arial" w:cs="Arial"/>
                <w:sz w:val="22"/>
                <w:szCs w:val="22"/>
              </w:rPr>
              <w:t xml:space="preserve"> whilst providing the tools for ongoing positive life changes. </w:t>
            </w:r>
          </w:p>
          <w:p w14:paraId="2CF54875" w14:textId="20B0ED8F" w:rsidR="00E80CF2" w:rsidRPr="000546E9" w:rsidRDefault="00E80CF2" w:rsidP="00991612">
            <w:pPr>
              <w:rPr>
                <w:rFonts w:ascii="Arial" w:hAnsi="Arial" w:cs="Arial"/>
                <w:b/>
                <w:bCs/>
              </w:rPr>
            </w:pPr>
          </w:p>
          <w:p w14:paraId="27A2558D" w14:textId="5F0641F0" w:rsidR="00991612" w:rsidRPr="004A4FCC" w:rsidRDefault="00991612" w:rsidP="00127CAE"/>
        </w:tc>
      </w:tr>
      <w:tr w:rsidR="009E10F9" w:rsidRPr="00210378" w14:paraId="5DA08F94" w14:textId="77777777" w:rsidTr="00991612">
        <w:trPr>
          <w:trHeight w:val="4109"/>
        </w:trPr>
        <w:tc>
          <w:tcPr>
            <w:tcW w:w="9243" w:type="dxa"/>
            <w:shd w:val="clear" w:color="auto" w:fill="auto"/>
          </w:tcPr>
          <w:p w14:paraId="232E6A00" w14:textId="77777777" w:rsidR="00982567" w:rsidRDefault="009E10F9" w:rsidP="00991612">
            <w:pPr>
              <w:pStyle w:val="ListParagraph"/>
              <w:spacing w:line="240" w:lineRule="auto"/>
              <w:ind w:left="0"/>
              <w:rPr>
                <w:rFonts w:ascii="Arial" w:hAnsi="Arial" w:cs="Arial"/>
                <w:b/>
              </w:rPr>
            </w:pPr>
            <w:r w:rsidRPr="00210378">
              <w:rPr>
                <w:rFonts w:ascii="Arial" w:hAnsi="Arial" w:cs="Arial"/>
                <w:b/>
              </w:rPr>
              <w:t xml:space="preserve">What are the expected outputs from this project? </w:t>
            </w:r>
          </w:p>
          <w:p w14:paraId="39D827AA" w14:textId="77777777" w:rsidR="00840A19" w:rsidRDefault="00840A19" w:rsidP="00192E6F">
            <w:pPr>
              <w:pStyle w:val="ListParagraph"/>
              <w:spacing w:line="240" w:lineRule="auto"/>
              <w:ind w:left="0"/>
              <w:rPr>
                <w:rFonts w:ascii="Arial" w:hAnsi="Arial" w:cs="Arial"/>
                <w:bCs/>
              </w:rPr>
            </w:pPr>
          </w:p>
          <w:p w14:paraId="3DE92499" w14:textId="6420DDF7" w:rsidR="000546E9" w:rsidRDefault="006A0ACA" w:rsidP="00192E6F">
            <w:pPr>
              <w:pStyle w:val="ListParagraph"/>
              <w:spacing w:line="240" w:lineRule="auto"/>
              <w:ind w:left="0"/>
              <w:rPr>
                <w:rFonts w:ascii="Arial" w:hAnsi="Arial" w:cs="Arial"/>
                <w:bCs/>
              </w:rPr>
            </w:pPr>
            <w:r w:rsidRPr="006A0ACA">
              <w:rPr>
                <w:rFonts w:ascii="Arial" w:hAnsi="Arial" w:cs="Arial"/>
                <w:bCs/>
              </w:rPr>
              <w:t xml:space="preserve">The anticipated outcomes of the 12-month rehabilitation program utilising the Good Lives Model for young offenders with </w:t>
            </w:r>
            <w:r w:rsidR="00B8608E">
              <w:rPr>
                <w:rFonts w:ascii="Arial" w:hAnsi="Arial" w:cs="Arial"/>
                <w:bCs/>
              </w:rPr>
              <w:t>a</w:t>
            </w:r>
            <w:r w:rsidRPr="006A0ACA">
              <w:rPr>
                <w:rFonts w:ascii="Arial" w:hAnsi="Arial" w:cs="Arial"/>
                <w:bCs/>
              </w:rPr>
              <w:t xml:space="preserve">dverse </w:t>
            </w:r>
            <w:r w:rsidR="00B8608E">
              <w:rPr>
                <w:rFonts w:ascii="Arial" w:hAnsi="Arial" w:cs="Arial"/>
                <w:bCs/>
              </w:rPr>
              <w:t>c</w:t>
            </w:r>
            <w:r w:rsidRPr="006A0ACA">
              <w:rPr>
                <w:rFonts w:ascii="Arial" w:hAnsi="Arial" w:cs="Arial"/>
                <w:bCs/>
              </w:rPr>
              <w:t xml:space="preserve">hildhood </w:t>
            </w:r>
            <w:r w:rsidR="00B8608E">
              <w:rPr>
                <w:rFonts w:ascii="Arial" w:hAnsi="Arial" w:cs="Arial"/>
                <w:bCs/>
              </w:rPr>
              <w:t>e</w:t>
            </w:r>
            <w:r w:rsidRPr="006A0ACA">
              <w:rPr>
                <w:rFonts w:ascii="Arial" w:hAnsi="Arial" w:cs="Arial"/>
                <w:bCs/>
              </w:rPr>
              <w:t xml:space="preserve">xperiences encompass a comprehensive transformation. This initiative aims to </w:t>
            </w:r>
            <w:r w:rsidR="00C80932">
              <w:rPr>
                <w:rFonts w:ascii="Arial" w:hAnsi="Arial" w:cs="Arial"/>
                <w:bCs/>
              </w:rPr>
              <w:t>provide</w:t>
            </w:r>
            <w:r w:rsidR="00515A97">
              <w:rPr>
                <w:rFonts w:ascii="Arial" w:hAnsi="Arial" w:cs="Arial"/>
                <w:bCs/>
              </w:rPr>
              <w:t xml:space="preserve"> positive</w:t>
            </w:r>
            <w:r w:rsidRPr="006A0ACA">
              <w:rPr>
                <w:rFonts w:ascii="Arial" w:hAnsi="Arial" w:cs="Arial"/>
                <w:bCs/>
              </w:rPr>
              <w:t xml:space="preserve"> results such as heightened life skills, protective factors, and diminished criminogenic influences. Success is envisioned through improved mental health, educational and vocational </w:t>
            </w:r>
            <w:r w:rsidR="004E5103">
              <w:rPr>
                <w:rFonts w:ascii="Arial" w:hAnsi="Arial" w:cs="Arial"/>
                <w:bCs/>
              </w:rPr>
              <w:t>improve</w:t>
            </w:r>
            <w:r w:rsidRPr="006A0ACA">
              <w:rPr>
                <w:rFonts w:ascii="Arial" w:hAnsi="Arial" w:cs="Arial"/>
                <w:bCs/>
              </w:rPr>
              <w:t xml:space="preserve">ments, </w:t>
            </w:r>
            <w:r w:rsidR="00D37CB1">
              <w:rPr>
                <w:rFonts w:ascii="Arial" w:hAnsi="Arial" w:cs="Arial"/>
                <w:bCs/>
              </w:rPr>
              <w:t>encouraging</w:t>
            </w:r>
            <w:r w:rsidRPr="006A0ACA">
              <w:rPr>
                <w:rFonts w:ascii="Arial" w:hAnsi="Arial" w:cs="Arial"/>
                <w:bCs/>
              </w:rPr>
              <w:t xml:space="preserve"> a positive attitude change, and facilitating </w:t>
            </w:r>
            <w:r w:rsidR="004E5103">
              <w:rPr>
                <w:rFonts w:ascii="Arial" w:hAnsi="Arial" w:cs="Arial"/>
                <w:bCs/>
              </w:rPr>
              <w:t xml:space="preserve">healthy </w:t>
            </w:r>
            <w:r w:rsidRPr="006A0ACA">
              <w:rPr>
                <w:rFonts w:ascii="Arial" w:hAnsi="Arial" w:cs="Arial"/>
                <w:bCs/>
              </w:rPr>
              <w:t xml:space="preserve">community reintegration. By prioritising client satisfaction and achieving a notable reduction in recidivism, the program </w:t>
            </w:r>
            <w:r w:rsidR="00FD5CC2">
              <w:rPr>
                <w:rFonts w:ascii="Arial" w:hAnsi="Arial" w:cs="Arial"/>
                <w:bCs/>
              </w:rPr>
              <w:t>aims</w:t>
            </w:r>
            <w:r w:rsidRPr="006A0ACA">
              <w:rPr>
                <w:rFonts w:ascii="Arial" w:hAnsi="Arial" w:cs="Arial"/>
                <w:bCs/>
              </w:rPr>
              <w:t xml:space="preserve"> to </w:t>
            </w:r>
            <w:r w:rsidR="00FD5CC2">
              <w:rPr>
                <w:rFonts w:ascii="Arial" w:hAnsi="Arial" w:cs="Arial"/>
                <w:bCs/>
              </w:rPr>
              <w:t>provide</w:t>
            </w:r>
            <w:r w:rsidRPr="006A0ACA">
              <w:rPr>
                <w:rFonts w:ascii="Arial" w:hAnsi="Arial" w:cs="Arial"/>
                <w:bCs/>
              </w:rPr>
              <w:t xml:space="preserve"> a lasting sense of stability, breaking the cycle of criminal behaviour and addressing the root causes associated with ACEs.</w:t>
            </w:r>
          </w:p>
          <w:p w14:paraId="19A803A5" w14:textId="2496F5E9" w:rsidR="000546E9" w:rsidRPr="000546E9" w:rsidRDefault="000546E9" w:rsidP="00192E6F">
            <w:pPr>
              <w:pStyle w:val="ListParagraph"/>
              <w:spacing w:line="240" w:lineRule="auto"/>
              <w:ind w:left="0"/>
              <w:rPr>
                <w:rFonts w:ascii="Arial" w:hAnsi="Arial" w:cs="Arial"/>
                <w:b/>
              </w:rPr>
            </w:pPr>
          </w:p>
        </w:tc>
      </w:tr>
      <w:tr w:rsidR="009E10F9" w:rsidRPr="00210378" w14:paraId="2523D482" w14:textId="77777777" w:rsidTr="00991612">
        <w:trPr>
          <w:trHeight w:val="4650"/>
        </w:trPr>
        <w:tc>
          <w:tcPr>
            <w:tcW w:w="9243" w:type="dxa"/>
            <w:shd w:val="clear" w:color="auto" w:fill="auto"/>
          </w:tcPr>
          <w:p w14:paraId="73B11B45" w14:textId="77777777" w:rsidR="00E41099" w:rsidRDefault="00AC16C0" w:rsidP="00AC16C0">
            <w:pPr>
              <w:pStyle w:val="ListParagraph"/>
              <w:ind w:left="0"/>
              <w:rPr>
                <w:rFonts w:ascii="Arial" w:hAnsi="Arial" w:cs="Arial"/>
                <w:i/>
              </w:rPr>
            </w:pPr>
            <w:r w:rsidRPr="00210378">
              <w:rPr>
                <w:rFonts w:ascii="Arial" w:hAnsi="Arial" w:cs="Arial"/>
                <w:b/>
              </w:rPr>
              <w:lastRenderedPageBreak/>
              <w:t xml:space="preserve">Timescales for project completion </w:t>
            </w:r>
          </w:p>
          <w:p w14:paraId="6C702598" w14:textId="02D6F87B" w:rsidR="001D2066" w:rsidRDefault="006D0BA6" w:rsidP="00AC16C0">
            <w:pPr>
              <w:pStyle w:val="ListParagraph"/>
              <w:ind w:left="0"/>
              <w:rPr>
                <w:rFonts w:ascii="Arial" w:hAnsi="Arial" w:cs="Arial"/>
              </w:rPr>
            </w:pPr>
            <w:r>
              <w:rPr>
                <w:rFonts w:ascii="Arial" w:hAnsi="Arial" w:cs="Arial"/>
              </w:rPr>
              <w:t xml:space="preserve">Gantt Chart of proposed timescale: </w:t>
            </w:r>
          </w:p>
          <w:p w14:paraId="6027A169" w14:textId="77777777" w:rsidR="006D0BA6" w:rsidRDefault="006D0BA6" w:rsidP="00AC16C0">
            <w:pPr>
              <w:pStyle w:val="ListParagraph"/>
              <w:ind w:left="0"/>
              <w:rPr>
                <w:rFonts w:ascii="Arial" w:hAnsi="Arial" w:cs="Arial"/>
                <w:i/>
              </w:rPr>
            </w:pPr>
          </w:p>
          <w:tbl>
            <w:tblPr>
              <w:tblStyle w:val="TableGrid"/>
              <w:tblW w:w="0" w:type="auto"/>
              <w:tblLook w:val="04A0" w:firstRow="1" w:lastRow="0" w:firstColumn="1" w:lastColumn="0" w:noHBand="0" w:noVBand="1"/>
            </w:tblPr>
            <w:tblGrid>
              <w:gridCol w:w="1195"/>
              <w:gridCol w:w="715"/>
              <w:gridCol w:w="617"/>
              <w:gridCol w:w="649"/>
              <w:gridCol w:w="649"/>
              <w:gridCol w:w="649"/>
              <w:gridCol w:w="649"/>
              <w:gridCol w:w="649"/>
              <w:gridCol w:w="649"/>
              <w:gridCol w:w="649"/>
              <w:gridCol w:w="649"/>
              <w:gridCol w:w="649"/>
              <w:gridCol w:w="649"/>
            </w:tblGrid>
            <w:tr w:rsidR="00D34DA4" w14:paraId="51C5B232" w14:textId="77777777" w:rsidTr="00B059E4">
              <w:trPr>
                <w:trHeight w:val="780"/>
              </w:trPr>
              <w:tc>
                <w:tcPr>
                  <w:tcW w:w="9016" w:type="dxa"/>
                  <w:gridSpan w:val="13"/>
                  <w:shd w:val="clear" w:color="auto" w:fill="C5E0B3" w:themeFill="accent6" w:themeFillTint="66"/>
                </w:tcPr>
                <w:p w14:paraId="09926F54" w14:textId="77777777" w:rsidR="00D34DA4" w:rsidRPr="00DA22E5" w:rsidRDefault="00D34DA4" w:rsidP="00D34DA4">
                  <w:pPr>
                    <w:rPr>
                      <w:rFonts w:ascii="Arial" w:hAnsi="Arial" w:cs="Arial"/>
                    </w:rPr>
                  </w:pPr>
                  <w:r>
                    <w:rPr>
                      <w:rFonts w:ascii="Arial" w:hAnsi="Arial" w:cs="Arial"/>
                    </w:rPr>
                    <w:t>Rehabilitative Proposal</w:t>
                  </w:r>
                </w:p>
              </w:tc>
            </w:tr>
            <w:tr w:rsidR="00D34DA4" w14:paraId="6C5CC6D6" w14:textId="77777777" w:rsidTr="00B059E4">
              <w:tc>
                <w:tcPr>
                  <w:tcW w:w="1086" w:type="dxa"/>
                </w:tcPr>
                <w:p w14:paraId="28520959" w14:textId="77777777" w:rsidR="00D34DA4" w:rsidRPr="0053064A" w:rsidRDefault="00D34DA4" w:rsidP="00D34DA4">
                  <w:pPr>
                    <w:rPr>
                      <w:rFonts w:ascii="Arial" w:hAnsi="Arial" w:cs="Arial"/>
                    </w:rPr>
                  </w:pPr>
                  <w:r>
                    <w:rPr>
                      <w:rFonts w:ascii="Arial" w:hAnsi="Arial" w:cs="Arial"/>
                    </w:rPr>
                    <w:t>Activity</w:t>
                  </w:r>
                </w:p>
              </w:tc>
              <w:tc>
                <w:tcPr>
                  <w:tcW w:w="752" w:type="dxa"/>
                </w:tcPr>
                <w:p w14:paraId="6E3D655C" w14:textId="77777777" w:rsidR="00D34DA4" w:rsidRPr="009C6A82" w:rsidRDefault="00D34DA4" w:rsidP="00D34DA4">
                  <w:pPr>
                    <w:rPr>
                      <w:rFonts w:ascii="Arial" w:hAnsi="Arial" w:cs="Arial"/>
                      <w:sz w:val="18"/>
                      <w:szCs w:val="18"/>
                    </w:rPr>
                  </w:pPr>
                  <w:r w:rsidRPr="009C6A82">
                    <w:rPr>
                      <w:rFonts w:ascii="Arial" w:hAnsi="Arial" w:cs="Arial"/>
                      <w:sz w:val="18"/>
                      <w:szCs w:val="18"/>
                    </w:rPr>
                    <w:t>Jan 2025</w:t>
                  </w:r>
                </w:p>
              </w:tc>
              <w:tc>
                <w:tcPr>
                  <w:tcW w:w="568" w:type="dxa"/>
                </w:tcPr>
                <w:p w14:paraId="446665F2" w14:textId="77777777" w:rsidR="00D34DA4" w:rsidRPr="009C6A82" w:rsidRDefault="00D34DA4" w:rsidP="00D34DA4">
                  <w:pPr>
                    <w:rPr>
                      <w:rFonts w:ascii="Arial" w:hAnsi="Arial" w:cs="Arial"/>
                      <w:sz w:val="18"/>
                      <w:szCs w:val="18"/>
                    </w:rPr>
                  </w:pPr>
                  <w:r w:rsidRPr="009C6A82">
                    <w:rPr>
                      <w:rFonts w:ascii="Arial" w:hAnsi="Arial" w:cs="Arial"/>
                      <w:sz w:val="18"/>
                      <w:szCs w:val="18"/>
                    </w:rPr>
                    <w:t>Feb 2024</w:t>
                  </w:r>
                </w:p>
              </w:tc>
              <w:tc>
                <w:tcPr>
                  <w:tcW w:w="661" w:type="dxa"/>
                </w:tcPr>
                <w:p w14:paraId="2761C191" w14:textId="77777777" w:rsidR="00D34DA4" w:rsidRPr="009C6A82" w:rsidRDefault="00D34DA4" w:rsidP="00D34DA4">
                  <w:pPr>
                    <w:rPr>
                      <w:rFonts w:ascii="Arial" w:hAnsi="Arial" w:cs="Arial"/>
                      <w:sz w:val="18"/>
                      <w:szCs w:val="18"/>
                    </w:rPr>
                  </w:pPr>
                  <w:r w:rsidRPr="009C6A82">
                    <w:rPr>
                      <w:rFonts w:ascii="Arial" w:hAnsi="Arial" w:cs="Arial"/>
                      <w:sz w:val="18"/>
                      <w:szCs w:val="18"/>
                    </w:rPr>
                    <w:t>Mar 2024</w:t>
                  </w:r>
                </w:p>
              </w:tc>
              <w:tc>
                <w:tcPr>
                  <w:tcW w:w="661" w:type="dxa"/>
                </w:tcPr>
                <w:p w14:paraId="6C4BAA8B" w14:textId="77777777" w:rsidR="00D34DA4" w:rsidRPr="009C6A82" w:rsidRDefault="00D34DA4" w:rsidP="00D34DA4">
                  <w:pPr>
                    <w:rPr>
                      <w:rFonts w:ascii="Arial" w:hAnsi="Arial" w:cs="Arial"/>
                      <w:sz w:val="18"/>
                      <w:szCs w:val="18"/>
                    </w:rPr>
                  </w:pPr>
                  <w:r w:rsidRPr="009C6A82">
                    <w:rPr>
                      <w:rFonts w:ascii="Arial" w:hAnsi="Arial" w:cs="Arial"/>
                      <w:sz w:val="18"/>
                      <w:szCs w:val="18"/>
                    </w:rPr>
                    <w:t>Apr 2024</w:t>
                  </w:r>
                </w:p>
              </w:tc>
              <w:tc>
                <w:tcPr>
                  <w:tcW w:w="661" w:type="dxa"/>
                </w:tcPr>
                <w:p w14:paraId="2DDA92A7" w14:textId="77777777" w:rsidR="00D34DA4" w:rsidRPr="009C6A82" w:rsidRDefault="00D34DA4" w:rsidP="00D34DA4">
                  <w:pPr>
                    <w:rPr>
                      <w:rFonts w:ascii="Arial" w:hAnsi="Arial" w:cs="Arial"/>
                      <w:sz w:val="18"/>
                      <w:szCs w:val="18"/>
                    </w:rPr>
                  </w:pPr>
                  <w:r w:rsidRPr="009C6A82">
                    <w:rPr>
                      <w:rFonts w:ascii="Arial" w:hAnsi="Arial" w:cs="Arial"/>
                      <w:sz w:val="18"/>
                      <w:szCs w:val="18"/>
                    </w:rPr>
                    <w:t>May 2024</w:t>
                  </w:r>
                </w:p>
              </w:tc>
              <w:tc>
                <w:tcPr>
                  <w:tcW w:w="661" w:type="dxa"/>
                </w:tcPr>
                <w:p w14:paraId="3538E9C2" w14:textId="77777777" w:rsidR="00D34DA4" w:rsidRPr="009C6A82" w:rsidRDefault="00D34DA4" w:rsidP="00D34DA4">
                  <w:pPr>
                    <w:rPr>
                      <w:rFonts w:ascii="Arial" w:hAnsi="Arial" w:cs="Arial"/>
                      <w:sz w:val="18"/>
                      <w:szCs w:val="18"/>
                    </w:rPr>
                  </w:pPr>
                  <w:r w:rsidRPr="009C6A82">
                    <w:rPr>
                      <w:rFonts w:ascii="Arial" w:hAnsi="Arial" w:cs="Arial"/>
                      <w:sz w:val="18"/>
                      <w:szCs w:val="18"/>
                    </w:rPr>
                    <w:t>June 2024</w:t>
                  </w:r>
                </w:p>
              </w:tc>
              <w:tc>
                <w:tcPr>
                  <w:tcW w:w="661" w:type="dxa"/>
                </w:tcPr>
                <w:p w14:paraId="636C9031" w14:textId="77777777" w:rsidR="00D34DA4" w:rsidRPr="009C6A82" w:rsidRDefault="00D34DA4" w:rsidP="00D34DA4">
                  <w:pPr>
                    <w:rPr>
                      <w:rFonts w:ascii="Arial" w:hAnsi="Arial" w:cs="Arial"/>
                      <w:sz w:val="18"/>
                      <w:szCs w:val="18"/>
                    </w:rPr>
                  </w:pPr>
                  <w:r w:rsidRPr="009C6A82">
                    <w:rPr>
                      <w:rFonts w:ascii="Arial" w:hAnsi="Arial" w:cs="Arial"/>
                      <w:sz w:val="18"/>
                      <w:szCs w:val="18"/>
                    </w:rPr>
                    <w:t>July 2024</w:t>
                  </w:r>
                </w:p>
              </w:tc>
              <w:tc>
                <w:tcPr>
                  <w:tcW w:w="661" w:type="dxa"/>
                </w:tcPr>
                <w:p w14:paraId="56E48409" w14:textId="77777777" w:rsidR="00D34DA4" w:rsidRPr="009C6A82" w:rsidRDefault="00D34DA4" w:rsidP="00D34DA4">
                  <w:pPr>
                    <w:rPr>
                      <w:rFonts w:ascii="Arial" w:hAnsi="Arial" w:cs="Arial"/>
                      <w:sz w:val="18"/>
                      <w:szCs w:val="18"/>
                    </w:rPr>
                  </w:pPr>
                  <w:r w:rsidRPr="009C6A82">
                    <w:rPr>
                      <w:rFonts w:ascii="Arial" w:hAnsi="Arial" w:cs="Arial"/>
                      <w:sz w:val="18"/>
                      <w:szCs w:val="18"/>
                    </w:rPr>
                    <w:t>Aug 2024</w:t>
                  </w:r>
                </w:p>
              </w:tc>
              <w:tc>
                <w:tcPr>
                  <w:tcW w:w="661" w:type="dxa"/>
                </w:tcPr>
                <w:p w14:paraId="17AA3E1D" w14:textId="77777777" w:rsidR="00D34DA4" w:rsidRPr="009C6A82" w:rsidRDefault="00D34DA4" w:rsidP="00D34DA4">
                  <w:pPr>
                    <w:rPr>
                      <w:rFonts w:ascii="Arial" w:hAnsi="Arial" w:cs="Arial"/>
                      <w:sz w:val="18"/>
                      <w:szCs w:val="18"/>
                    </w:rPr>
                  </w:pPr>
                  <w:r w:rsidRPr="009C6A82">
                    <w:rPr>
                      <w:rFonts w:ascii="Arial" w:hAnsi="Arial" w:cs="Arial"/>
                      <w:sz w:val="18"/>
                      <w:szCs w:val="18"/>
                    </w:rPr>
                    <w:t>Sept 2024</w:t>
                  </w:r>
                </w:p>
              </w:tc>
              <w:tc>
                <w:tcPr>
                  <w:tcW w:w="661" w:type="dxa"/>
                </w:tcPr>
                <w:p w14:paraId="791DA723" w14:textId="77777777" w:rsidR="00D34DA4" w:rsidRPr="009C6A82" w:rsidRDefault="00D34DA4" w:rsidP="00D34DA4">
                  <w:pPr>
                    <w:rPr>
                      <w:rFonts w:ascii="Arial" w:hAnsi="Arial" w:cs="Arial"/>
                      <w:sz w:val="18"/>
                      <w:szCs w:val="18"/>
                    </w:rPr>
                  </w:pPr>
                  <w:r w:rsidRPr="009C6A82">
                    <w:rPr>
                      <w:rFonts w:ascii="Arial" w:hAnsi="Arial" w:cs="Arial"/>
                      <w:sz w:val="18"/>
                      <w:szCs w:val="18"/>
                    </w:rPr>
                    <w:t>Oct 2024</w:t>
                  </w:r>
                </w:p>
              </w:tc>
              <w:tc>
                <w:tcPr>
                  <w:tcW w:w="661" w:type="dxa"/>
                </w:tcPr>
                <w:p w14:paraId="01A1EA4C" w14:textId="77777777" w:rsidR="00D34DA4" w:rsidRPr="009C6A82" w:rsidRDefault="00D34DA4" w:rsidP="00D34DA4">
                  <w:pPr>
                    <w:rPr>
                      <w:rFonts w:ascii="Arial" w:hAnsi="Arial" w:cs="Arial"/>
                      <w:sz w:val="18"/>
                      <w:szCs w:val="18"/>
                    </w:rPr>
                  </w:pPr>
                  <w:r w:rsidRPr="009C6A82">
                    <w:rPr>
                      <w:rFonts w:ascii="Arial" w:hAnsi="Arial" w:cs="Arial"/>
                      <w:sz w:val="18"/>
                      <w:szCs w:val="18"/>
                    </w:rPr>
                    <w:t>Nov 2024</w:t>
                  </w:r>
                </w:p>
              </w:tc>
              <w:tc>
                <w:tcPr>
                  <w:tcW w:w="661" w:type="dxa"/>
                </w:tcPr>
                <w:p w14:paraId="3BA60D66" w14:textId="77777777" w:rsidR="00D34DA4" w:rsidRPr="009C6A82" w:rsidRDefault="00D34DA4" w:rsidP="00D34DA4">
                  <w:pPr>
                    <w:rPr>
                      <w:rFonts w:ascii="Arial" w:hAnsi="Arial" w:cs="Arial"/>
                      <w:sz w:val="18"/>
                      <w:szCs w:val="18"/>
                    </w:rPr>
                  </w:pPr>
                  <w:r w:rsidRPr="009C6A82">
                    <w:rPr>
                      <w:rFonts w:ascii="Arial" w:hAnsi="Arial" w:cs="Arial"/>
                      <w:sz w:val="18"/>
                      <w:szCs w:val="18"/>
                    </w:rPr>
                    <w:t>Dec 2024</w:t>
                  </w:r>
                </w:p>
              </w:tc>
            </w:tr>
            <w:tr w:rsidR="00D34DA4" w14:paraId="28826303" w14:textId="77777777" w:rsidTr="00B059E4">
              <w:trPr>
                <w:trHeight w:val="775"/>
              </w:trPr>
              <w:tc>
                <w:tcPr>
                  <w:tcW w:w="1086" w:type="dxa"/>
                </w:tcPr>
                <w:p w14:paraId="3E4501AB" w14:textId="77777777" w:rsidR="00D34DA4" w:rsidRDefault="00D34DA4" w:rsidP="00D34DA4">
                  <w:pPr>
                    <w:rPr>
                      <w:rFonts w:ascii="Arial" w:hAnsi="Arial" w:cs="Arial"/>
                      <w:sz w:val="16"/>
                      <w:szCs w:val="16"/>
                    </w:rPr>
                  </w:pPr>
                  <w:r>
                    <w:rPr>
                      <w:rFonts w:ascii="Arial" w:hAnsi="Arial" w:cs="Arial"/>
                      <w:sz w:val="16"/>
                      <w:szCs w:val="16"/>
                    </w:rPr>
                    <w:t>Introduction</w:t>
                  </w:r>
                </w:p>
                <w:p w14:paraId="785DD5C2" w14:textId="77777777" w:rsidR="00D34DA4" w:rsidRDefault="00D34DA4" w:rsidP="00D34DA4">
                  <w:pPr>
                    <w:rPr>
                      <w:rFonts w:ascii="Arial" w:hAnsi="Arial" w:cs="Arial"/>
                      <w:sz w:val="16"/>
                      <w:szCs w:val="16"/>
                    </w:rPr>
                  </w:pPr>
                  <w:r>
                    <w:rPr>
                      <w:rFonts w:ascii="Arial" w:hAnsi="Arial" w:cs="Arial"/>
                      <w:sz w:val="16"/>
                      <w:szCs w:val="16"/>
                    </w:rPr>
                    <w:t>Rapport-building activities</w:t>
                  </w:r>
                </w:p>
                <w:p w14:paraId="42DE6F1C" w14:textId="77777777" w:rsidR="00D34DA4" w:rsidRDefault="00D34DA4" w:rsidP="00D34DA4">
                  <w:pPr>
                    <w:rPr>
                      <w:rFonts w:ascii="Arial" w:hAnsi="Arial" w:cs="Arial"/>
                      <w:sz w:val="16"/>
                      <w:szCs w:val="16"/>
                    </w:rPr>
                  </w:pPr>
                  <w:r>
                    <w:rPr>
                      <w:rFonts w:ascii="Arial" w:hAnsi="Arial" w:cs="Arial"/>
                      <w:sz w:val="16"/>
                      <w:szCs w:val="16"/>
                    </w:rPr>
                    <w:t>Assessment</w:t>
                  </w:r>
                </w:p>
                <w:p w14:paraId="6A5953EB" w14:textId="77777777" w:rsidR="00D34DA4" w:rsidRDefault="00D34DA4" w:rsidP="00D34DA4">
                  <w:pPr>
                    <w:rPr>
                      <w:rFonts w:ascii="Arial" w:hAnsi="Arial" w:cs="Arial"/>
                      <w:sz w:val="16"/>
                      <w:szCs w:val="16"/>
                    </w:rPr>
                  </w:pPr>
                  <w:r>
                    <w:rPr>
                      <w:rFonts w:ascii="Arial" w:hAnsi="Arial" w:cs="Arial"/>
                      <w:sz w:val="16"/>
                      <w:szCs w:val="16"/>
                    </w:rPr>
                    <w:t>SAVRY</w:t>
                  </w:r>
                </w:p>
                <w:p w14:paraId="7FF55AE6" w14:textId="77777777" w:rsidR="00D34DA4" w:rsidRDefault="00D34DA4" w:rsidP="00D34DA4">
                  <w:pPr>
                    <w:rPr>
                      <w:rFonts w:ascii="Arial" w:hAnsi="Arial" w:cs="Arial"/>
                      <w:sz w:val="16"/>
                      <w:szCs w:val="16"/>
                    </w:rPr>
                  </w:pPr>
                  <w:r>
                    <w:rPr>
                      <w:rFonts w:ascii="Arial" w:hAnsi="Arial" w:cs="Arial"/>
                      <w:sz w:val="16"/>
                      <w:szCs w:val="16"/>
                    </w:rPr>
                    <w:t>GLM Goal setting</w:t>
                  </w:r>
                </w:p>
                <w:p w14:paraId="02AD256A" w14:textId="77777777" w:rsidR="00D34DA4" w:rsidRPr="009C6A82" w:rsidRDefault="00D34DA4" w:rsidP="00D34DA4">
                  <w:pPr>
                    <w:rPr>
                      <w:rFonts w:ascii="Arial" w:hAnsi="Arial" w:cs="Arial"/>
                      <w:sz w:val="16"/>
                      <w:szCs w:val="16"/>
                    </w:rPr>
                  </w:pPr>
                  <w:r>
                    <w:rPr>
                      <w:rFonts w:ascii="Arial" w:hAnsi="Arial" w:cs="Arial"/>
                      <w:sz w:val="16"/>
                      <w:szCs w:val="16"/>
                    </w:rPr>
                    <w:t>Counselling sessions commence</w:t>
                  </w:r>
                  <w:r w:rsidRPr="009C6A82">
                    <w:rPr>
                      <w:rFonts w:ascii="Arial" w:hAnsi="Arial" w:cs="Arial"/>
                      <w:sz w:val="16"/>
                      <w:szCs w:val="16"/>
                    </w:rPr>
                    <w:t xml:space="preserve"> </w:t>
                  </w:r>
                </w:p>
              </w:tc>
              <w:tc>
                <w:tcPr>
                  <w:tcW w:w="752" w:type="dxa"/>
                  <w:shd w:val="clear" w:color="auto" w:fill="ACB9CA" w:themeFill="text2" w:themeFillTint="66"/>
                </w:tcPr>
                <w:p w14:paraId="478110B9" w14:textId="77777777" w:rsidR="00D34DA4" w:rsidRDefault="00D34DA4" w:rsidP="00D34DA4"/>
              </w:tc>
              <w:tc>
                <w:tcPr>
                  <w:tcW w:w="568" w:type="dxa"/>
                </w:tcPr>
                <w:p w14:paraId="3D6B7269" w14:textId="77777777" w:rsidR="00D34DA4" w:rsidRDefault="00D34DA4" w:rsidP="00D34DA4"/>
              </w:tc>
              <w:tc>
                <w:tcPr>
                  <w:tcW w:w="661" w:type="dxa"/>
                </w:tcPr>
                <w:p w14:paraId="5E10F185" w14:textId="77777777" w:rsidR="00D34DA4" w:rsidRDefault="00D34DA4" w:rsidP="00D34DA4"/>
              </w:tc>
              <w:tc>
                <w:tcPr>
                  <w:tcW w:w="661" w:type="dxa"/>
                </w:tcPr>
                <w:p w14:paraId="4B0E712E" w14:textId="77777777" w:rsidR="00D34DA4" w:rsidRDefault="00D34DA4" w:rsidP="00D34DA4"/>
              </w:tc>
              <w:tc>
                <w:tcPr>
                  <w:tcW w:w="661" w:type="dxa"/>
                </w:tcPr>
                <w:p w14:paraId="0418C0D7" w14:textId="77777777" w:rsidR="00D34DA4" w:rsidRDefault="00D34DA4" w:rsidP="00D34DA4"/>
              </w:tc>
              <w:tc>
                <w:tcPr>
                  <w:tcW w:w="661" w:type="dxa"/>
                </w:tcPr>
                <w:p w14:paraId="44AAA463" w14:textId="77777777" w:rsidR="00D34DA4" w:rsidRDefault="00D34DA4" w:rsidP="00D34DA4"/>
              </w:tc>
              <w:tc>
                <w:tcPr>
                  <w:tcW w:w="661" w:type="dxa"/>
                </w:tcPr>
                <w:p w14:paraId="61715137" w14:textId="77777777" w:rsidR="00D34DA4" w:rsidRDefault="00D34DA4" w:rsidP="00D34DA4"/>
              </w:tc>
              <w:tc>
                <w:tcPr>
                  <w:tcW w:w="661" w:type="dxa"/>
                </w:tcPr>
                <w:p w14:paraId="5345905C" w14:textId="77777777" w:rsidR="00D34DA4" w:rsidRDefault="00D34DA4" w:rsidP="00D34DA4"/>
              </w:tc>
              <w:tc>
                <w:tcPr>
                  <w:tcW w:w="661" w:type="dxa"/>
                </w:tcPr>
                <w:p w14:paraId="2EBFEA0C" w14:textId="77777777" w:rsidR="00D34DA4" w:rsidRDefault="00D34DA4" w:rsidP="00D34DA4"/>
              </w:tc>
              <w:tc>
                <w:tcPr>
                  <w:tcW w:w="661" w:type="dxa"/>
                </w:tcPr>
                <w:p w14:paraId="138292EC" w14:textId="77777777" w:rsidR="00D34DA4" w:rsidRDefault="00D34DA4" w:rsidP="00D34DA4"/>
              </w:tc>
              <w:tc>
                <w:tcPr>
                  <w:tcW w:w="661" w:type="dxa"/>
                </w:tcPr>
                <w:p w14:paraId="134B22EE" w14:textId="77777777" w:rsidR="00D34DA4" w:rsidRDefault="00D34DA4" w:rsidP="00D34DA4"/>
              </w:tc>
              <w:tc>
                <w:tcPr>
                  <w:tcW w:w="661" w:type="dxa"/>
                </w:tcPr>
                <w:p w14:paraId="4487CAF8" w14:textId="77777777" w:rsidR="00D34DA4" w:rsidRDefault="00D34DA4" w:rsidP="00D34DA4"/>
              </w:tc>
            </w:tr>
            <w:tr w:rsidR="00D34DA4" w14:paraId="1631AF89" w14:textId="77777777" w:rsidTr="00B059E4">
              <w:tc>
                <w:tcPr>
                  <w:tcW w:w="1086" w:type="dxa"/>
                </w:tcPr>
                <w:p w14:paraId="2D1D388B" w14:textId="77777777" w:rsidR="00D34DA4" w:rsidRDefault="00D34DA4" w:rsidP="00D34DA4">
                  <w:pPr>
                    <w:rPr>
                      <w:rFonts w:ascii="Arial" w:hAnsi="Arial" w:cs="Arial"/>
                      <w:sz w:val="16"/>
                      <w:szCs w:val="16"/>
                    </w:rPr>
                  </w:pPr>
                  <w:r>
                    <w:rPr>
                      <w:rFonts w:ascii="Arial" w:hAnsi="Arial" w:cs="Arial"/>
                      <w:sz w:val="16"/>
                      <w:szCs w:val="16"/>
                    </w:rPr>
                    <w:t>Counselling sessions</w:t>
                  </w:r>
                </w:p>
                <w:p w14:paraId="550EE6CA" w14:textId="77777777" w:rsidR="00D34DA4" w:rsidRDefault="00D34DA4" w:rsidP="00D34DA4">
                  <w:pPr>
                    <w:rPr>
                      <w:rFonts w:ascii="Arial" w:hAnsi="Arial" w:cs="Arial"/>
                      <w:sz w:val="16"/>
                      <w:szCs w:val="16"/>
                    </w:rPr>
                  </w:pPr>
                  <w:r>
                    <w:rPr>
                      <w:rFonts w:ascii="Arial" w:hAnsi="Arial" w:cs="Arial"/>
                      <w:sz w:val="16"/>
                      <w:szCs w:val="16"/>
                    </w:rPr>
                    <w:t>Introduce mindfulness &amp; coping strategies.</w:t>
                  </w:r>
                </w:p>
                <w:p w14:paraId="37B8B95C" w14:textId="77777777" w:rsidR="00D34DA4" w:rsidRPr="009C6A82" w:rsidRDefault="00D34DA4" w:rsidP="00D34DA4">
                  <w:pPr>
                    <w:rPr>
                      <w:rFonts w:ascii="Arial" w:hAnsi="Arial" w:cs="Arial"/>
                      <w:sz w:val="16"/>
                      <w:szCs w:val="16"/>
                    </w:rPr>
                  </w:pPr>
                  <w:r>
                    <w:rPr>
                      <w:rFonts w:ascii="Arial" w:hAnsi="Arial" w:cs="Arial"/>
                      <w:sz w:val="16"/>
                      <w:szCs w:val="16"/>
                    </w:rPr>
                    <w:t>Implement targeted interventions.</w:t>
                  </w:r>
                </w:p>
              </w:tc>
              <w:tc>
                <w:tcPr>
                  <w:tcW w:w="752" w:type="dxa"/>
                </w:tcPr>
                <w:p w14:paraId="44ABE06E" w14:textId="77777777" w:rsidR="00D34DA4" w:rsidRDefault="00D34DA4" w:rsidP="00D34DA4"/>
              </w:tc>
              <w:tc>
                <w:tcPr>
                  <w:tcW w:w="568" w:type="dxa"/>
                  <w:shd w:val="clear" w:color="auto" w:fill="F7CAAC" w:themeFill="accent2" w:themeFillTint="66"/>
                </w:tcPr>
                <w:p w14:paraId="10CDA5EB" w14:textId="77777777" w:rsidR="00D34DA4" w:rsidRDefault="00D34DA4" w:rsidP="00D34DA4"/>
              </w:tc>
              <w:tc>
                <w:tcPr>
                  <w:tcW w:w="661" w:type="dxa"/>
                </w:tcPr>
                <w:p w14:paraId="3C62E690" w14:textId="77777777" w:rsidR="00D34DA4" w:rsidRDefault="00D34DA4" w:rsidP="00D34DA4"/>
              </w:tc>
              <w:tc>
                <w:tcPr>
                  <w:tcW w:w="661" w:type="dxa"/>
                </w:tcPr>
                <w:p w14:paraId="3933F303" w14:textId="77777777" w:rsidR="00D34DA4" w:rsidRDefault="00D34DA4" w:rsidP="00D34DA4"/>
              </w:tc>
              <w:tc>
                <w:tcPr>
                  <w:tcW w:w="661" w:type="dxa"/>
                </w:tcPr>
                <w:p w14:paraId="18FE859F" w14:textId="77777777" w:rsidR="00D34DA4" w:rsidRDefault="00D34DA4" w:rsidP="00D34DA4"/>
              </w:tc>
              <w:tc>
                <w:tcPr>
                  <w:tcW w:w="661" w:type="dxa"/>
                </w:tcPr>
                <w:p w14:paraId="7758DBD5" w14:textId="77777777" w:rsidR="00D34DA4" w:rsidRDefault="00D34DA4" w:rsidP="00D34DA4"/>
              </w:tc>
              <w:tc>
                <w:tcPr>
                  <w:tcW w:w="661" w:type="dxa"/>
                </w:tcPr>
                <w:p w14:paraId="26F667A0" w14:textId="77777777" w:rsidR="00D34DA4" w:rsidRDefault="00D34DA4" w:rsidP="00D34DA4"/>
              </w:tc>
              <w:tc>
                <w:tcPr>
                  <w:tcW w:w="661" w:type="dxa"/>
                </w:tcPr>
                <w:p w14:paraId="55F238AB" w14:textId="77777777" w:rsidR="00D34DA4" w:rsidRDefault="00D34DA4" w:rsidP="00D34DA4"/>
              </w:tc>
              <w:tc>
                <w:tcPr>
                  <w:tcW w:w="661" w:type="dxa"/>
                </w:tcPr>
                <w:p w14:paraId="4874E644" w14:textId="77777777" w:rsidR="00D34DA4" w:rsidRDefault="00D34DA4" w:rsidP="00D34DA4"/>
              </w:tc>
              <w:tc>
                <w:tcPr>
                  <w:tcW w:w="661" w:type="dxa"/>
                </w:tcPr>
                <w:p w14:paraId="47B298FE" w14:textId="77777777" w:rsidR="00D34DA4" w:rsidRDefault="00D34DA4" w:rsidP="00D34DA4"/>
              </w:tc>
              <w:tc>
                <w:tcPr>
                  <w:tcW w:w="661" w:type="dxa"/>
                </w:tcPr>
                <w:p w14:paraId="29A41D65" w14:textId="77777777" w:rsidR="00D34DA4" w:rsidRDefault="00D34DA4" w:rsidP="00D34DA4"/>
              </w:tc>
              <w:tc>
                <w:tcPr>
                  <w:tcW w:w="661" w:type="dxa"/>
                </w:tcPr>
                <w:p w14:paraId="18086C5B" w14:textId="77777777" w:rsidR="00D34DA4" w:rsidRDefault="00D34DA4" w:rsidP="00D34DA4"/>
              </w:tc>
            </w:tr>
            <w:tr w:rsidR="00D34DA4" w14:paraId="15998DFA" w14:textId="77777777" w:rsidTr="00B059E4">
              <w:tc>
                <w:tcPr>
                  <w:tcW w:w="1086" w:type="dxa"/>
                </w:tcPr>
                <w:p w14:paraId="0B27D165" w14:textId="77777777" w:rsidR="00D34DA4" w:rsidRDefault="00D34DA4" w:rsidP="00D34DA4">
                  <w:pPr>
                    <w:rPr>
                      <w:rFonts w:ascii="Arial" w:hAnsi="Arial" w:cs="Arial"/>
                      <w:sz w:val="16"/>
                      <w:szCs w:val="16"/>
                    </w:rPr>
                  </w:pPr>
                  <w:r>
                    <w:rPr>
                      <w:rFonts w:ascii="Arial" w:hAnsi="Arial" w:cs="Arial"/>
                      <w:sz w:val="16"/>
                      <w:szCs w:val="16"/>
                    </w:rPr>
                    <w:t>SAVRY risk assessment</w:t>
                  </w:r>
                </w:p>
                <w:p w14:paraId="1198D321" w14:textId="77777777" w:rsidR="00D34DA4" w:rsidRDefault="00D34DA4" w:rsidP="00D34DA4">
                  <w:pPr>
                    <w:rPr>
                      <w:rFonts w:ascii="Arial" w:hAnsi="Arial" w:cs="Arial"/>
                      <w:sz w:val="16"/>
                      <w:szCs w:val="16"/>
                    </w:rPr>
                  </w:pPr>
                  <w:r>
                    <w:rPr>
                      <w:rFonts w:ascii="Arial" w:hAnsi="Arial" w:cs="Arial"/>
                      <w:sz w:val="16"/>
                      <w:szCs w:val="16"/>
                    </w:rPr>
                    <w:t>Feedback from young offender, and outside sources</w:t>
                  </w:r>
                </w:p>
                <w:p w14:paraId="2EE85EBF" w14:textId="77777777" w:rsidR="00D34DA4" w:rsidRDefault="00D34DA4" w:rsidP="00D34DA4">
                  <w:pPr>
                    <w:rPr>
                      <w:rFonts w:ascii="Arial" w:hAnsi="Arial" w:cs="Arial"/>
                      <w:sz w:val="16"/>
                      <w:szCs w:val="16"/>
                    </w:rPr>
                  </w:pPr>
                  <w:r>
                    <w:rPr>
                      <w:rFonts w:ascii="Arial" w:hAnsi="Arial" w:cs="Arial"/>
                      <w:sz w:val="16"/>
                      <w:szCs w:val="16"/>
                    </w:rPr>
                    <w:t>Implement any modifications.</w:t>
                  </w:r>
                </w:p>
                <w:p w14:paraId="2387A359" w14:textId="77777777" w:rsidR="00D34DA4" w:rsidRPr="009576AD" w:rsidRDefault="00D34DA4" w:rsidP="00D34DA4">
                  <w:pPr>
                    <w:rPr>
                      <w:rFonts w:ascii="Arial" w:hAnsi="Arial" w:cs="Arial"/>
                      <w:sz w:val="16"/>
                      <w:szCs w:val="16"/>
                    </w:rPr>
                  </w:pPr>
                  <w:r>
                    <w:rPr>
                      <w:rFonts w:ascii="Arial" w:hAnsi="Arial" w:cs="Arial"/>
                      <w:sz w:val="16"/>
                      <w:szCs w:val="16"/>
                    </w:rPr>
                    <w:t>Discuss next 12 weeks</w:t>
                  </w:r>
                </w:p>
              </w:tc>
              <w:tc>
                <w:tcPr>
                  <w:tcW w:w="752" w:type="dxa"/>
                </w:tcPr>
                <w:p w14:paraId="25925EA2" w14:textId="77777777" w:rsidR="00D34DA4" w:rsidRDefault="00D34DA4" w:rsidP="00D34DA4"/>
              </w:tc>
              <w:tc>
                <w:tcPr>
                  <w:tcW w:w="568" w:type="dxa"/>
                </w:tcPr>
                <w:p w14:paraId="7B452365" w14:textId="77777777" w:rsidR="00D34DA4" w:rsidRDefault="00D34DA4" w:rsidP="00D34DA4"/>
              </w:tc>
              <w:tc>
                <w:tcPr>
                  <w:tcW w:w="661" w:type="dxa"/>
                  <w:shd w:val="clear" w:color="auto" w:fill="DBDBDB" w:themeFill="accent3" w:themeFillTint="66"/>
                </w:tcPr>
                <w:p w14:paraId="266BE2E3" w14:textId="77777777" w:rsidR="00D34DA4" w:rsidRDefault="00D34DA4" w:rsidP="00D34DA4"/>
              </w:tc>
              <w:tc>
                <w:tcPr>
                  <w:tcW w:w="661" w:type="dxa"/>
                </w:tcPr>
                <w:p w14:paraId="13EBE86C" w14:textId="77777777" w:rsidR="00D34DA4" w:rsidRDefault="00D34DA4" w:rsidP="00D34DA4"/>
              </w:tc>
              <w:tc>
                <w:tcPr>
                  <w:tcW w:w="661" w:type="dxa"/>
                </w:tcPr>
                <w:p w14:paraId="5C40356C" w14:textId="77777777" w:rsidR="00D34DA4" w:rsidRDefault="00D34DA4" w:rsidP="00D34DA4"/>
              </w:tc>
              <w:tc>
                <w:tcPr>
                  <w:tcW w:w="661" w:type="dxa"/>
                </w:tcPr>
                <w:p w14:paraId="264E674C" w14:textId="77777777" w:rsidR="00D34DA4" w:rsidRDefault="00D34DA4" w:rsidP="00D34DA4"/>
              </w:tc>
              <w:tc>
                <w:tcPr>
                  <w:tcW w:w="661" w:type="dxa"/>
                </w:tcPr>
                <w:p w14:paraId="28DD9A24" w14:textId="77777777" w:rsidR="00D34DA4" w:rsidRDefault="00D34DA4" w:rsidP="00D34DA4"/>
              </w:tc>
              <w:tc>
                <w:tcPr>
                  <w:tcW w:w="661" w:type="dxa"/>
                </w:tcPr>
                <w:p w14:paraId="586F0E26" w14:textId="77777777" w:rsidR="00D34DA4" w:rsidRDefault="00D34DA4" w:rsidP="00D34DA4"/>
              </w:tc>
              <w:tc>
                <w:tcPr>
                  <w:tcW w:w="661" w:type="dxa"/>
                </w:tcPr>
                <w:p w14:paraId="377EB50D" w14:textId="77777777" w:rsidR="00D34DA4" w:rsidRDefault="00D34DA4" w:rsidP="00D34DA4"/>
              </w:tc>
              <w:tc>
                <w:tcPr>
                  <w:tcW w:w="661" w:type="dxa"/>
                </w:tcPr>
                <w:p w14:paraId="12F4871F" w14:textId="77777777" w:rsidR="00D34DA4" w:rsidRDefault="00D34DA4" w:rsidP="00D34DA4"/>
              </w:tc>
              <w:tc>
                <w:tcPr>
                  <w:tcW w:w="661" w:type="dxa"/>
                </w:tcPr>
                <w:p w14:paraId="49F06A1B" w14:textId="77777777" w:rsidR="00D34DA4" w:rsidRDefault="00D34DA4" w:rsidP="00D34DA4"/>
              </w:tc>
              <w:tc>
                <w:tcPr>
                  <w:tcW w:w="661" w:type="dxa"/>
                </w:tcPr>
                <w:p w14:paraId="27237057" w14:textId="77777777" w:rsidR="00D34DA4" w:rsidRDefault="00D34DA4" w:rsidP="00D34DA4"/>
              </w:tc>
            </w:tr>
            <w:tr w:rsidR="00D34DA4" w14:paraId="131FED41" w14:textId="77777777" w:rsidTr="00B059E4">
              <w:tc>
                <w:tcPr>
                  <w:tcW w:w="1086" w:type="dxa"/>
                </w:tcPr>
                <w:p w14:paraId="3EE87787" w14:textId="77777777" w:rsidR="00D34DA4" w:rsidRPr="009576AD" w:rsidRDefault="00D34DA4" w:rsidP="00D34DA4">
                  <w:pPr>
                    <w:rPr>
                      <w:rFonts w:ascii="Arial" w:hAnsi="Arial" w:cs="Arial"/>
                      <w:sz w:val="16"/>
                      <w:szCs w:val="16"/>
                    </w:rPr>
                  </w:pPr>
                  <w:r>
                    <w:rPr>
                      <w:rFonts w:ascii="Arial" w:hAnsi="Arial" w:cs="Arial"/>
                      <w:sz w:val="16"/>
                      <w:szCs w:val="16"/>
                    </w:rPr>
                    <w:t>Skill review sessions</w:t>
                  </w:r>
                </w:p>
              </w:tc>
              <w:tc>
                <w:tcPr>
                  <w:tcW w:w="752" w:type="dxa"/>
                </w:tcPr>
                <w:p w14:paraId="773E495C" w14:textId="77777777" w:rsidR="00D34DA4" w:rsidRDefault="00D34DA4" w:rsidP="00D34DA4"/>
              </w:tc>
              <w:tc>
                <w:tcPr>
                  <w:tcW w:w="568" w:type="dxa"/>
                </w:tcPr>
                <w:p w14:paraId="2B914E07" w14:textId="77777777" w:rsidR="00D34DA4" w:rsidRDefault="00D34DA4" w:rsidP="00D34DA4"/>
              </w:tc>
              <w:tc>
                <w:tcPr>
                  <w:tcW w:w="661" w:type="dxa"/>
                </w:tcPr>
                <w:p w14:paraId="006B22E9" w14:textId="77777777" w:rsidR="00D34DA4" w:rsidRDefault="00D34DA4" w:rsidP="00D34DA4"/>
              </w:tc>
              <w:tc>
                <w:tcPr>
                  <w:tcW w:w="1983" w:type="dxa"/>
                  <w:gridSpan w:val="3"/>
                  <w:shd w:val="clear" w:color="auto" w:fill="FFD966" w:themeFill="accent4" w:themeFillTint="99"/>
                </w:tcPr>
                <w:p w14:paraId="2926F93F" w14:textId="77777777" w:rsidR="00D34DA4" w:rsidRDefault="00D34DA4" w:rsidP="00D34DA4"/>
              </w:tc>
              <w:tc>
                <w:tcPr>
                  <w:tcW w:w="661" w:type="dxa"/>
                </w:tcPr>
                <w:p w14:paraId="5734ACFE" w14:textId="77777777" w:rsidR="00D34DA4" w:rsidRDefault="00D34DA4" w:rsidP="00D34DA4"/>
              </w:tc>
              <w:tc>
                <w:tcPr>
                  <w:tcW w:w="661" w:type="dxa"/>
                </w:tcPr>
                <w:p w14:paraId="1ADD8014" w14:textId="77777777" w:rsidR="00D34DA4" w:rsidRDefault="00D34DA4" w:rsidP="00D34DA4"/>
              </w:tc>
              <w:tc>
                <w:tcPr>
                  <w:tcW w:w="661" w:type="dxa"/>
                </w:tcPr>
                <w:p w14:paraId="3E873B5C" w14:textId="77777777" w:rsidR="00D34DA4" w:rsidRDefault="00D34DA4" w:rsidP="00D34DA4"/>
              </w:tc>
              <w:tc>
                <w:tcPr>
                  <w:tcW w:w="661" w:type="dxa"/>
                </w:tcPr>
                <w:p w14:paraId="64FD05D2" w14:textId="77777777" w:rsidR="00D34DA4" w:rsidRDefault="00D34DA4" w:rsidP="00D34DA4"/>
              </w:tc>
              <w:tc>
                <w:tcPr>
                  <w:tcW w:w="661" w:type="dxa"/>
                </w:tcPr>
                <w:p w14:paraId="59D53B7B" w14:textId="77777777" w:rsidR="00D34DA4" w:rsidRDefault="00D34DA4" w:rsidP="00D34DA4"/>
              </w:tc>
              <w:tc>
                <w:tcPr>
                  <w:tcW w:w="661" w:type="dxa"/>
                </w:tcPr>
                <w:p w14:paraId="6457B0A1" w14:textId="77777777" w:rsidR="00D34DA4" w:rsidRDefault="00D34DA4" w:rsidP="00D34DA4"/>
              </w:tc>
            </w:tr>
            <w:tr w:rsidR="00D34DA4" w14:paraId="221436C3" w14:textId="77777777" w:rsidTr="00B059E4">
              <w:tc>
                <w:tcPr>
                  <w:tcW w:w="1086" w:type="dxa"/>
                </w:tcPr>
                <w:p w14:paraId="4ADD8525" w14:textId="77777777" w:rsidR="00D34DA4" w:rsidRPr="009576AD" w:rsidRDefault="00D34DA4" w:rsidP="00D34DA4">
                  <w:pPr>
                    <w:rPr>
                      <w:rFonts w:ascii="Arial" w:hAnsi="Arial" w:cs="Arial"/>
                      <w:sz w:val="16"/>
                      <w:szCs w:val="16"/>
                    </w:rPr>
                  </w:pPr>
                  <w:r>
                    <w:rPr>
                      <w:rFonts w:ascii="Arial" w:hAnsi="Arial" w:cs="Arial"/>
                      <w:sz w:val="16"/>
                      <w:szCs w:val="16"/>
                    </w:rPr>
                    <w:t>Advancing therapy sessions &amp; goal setting</w:t>
                  </w:r>
                </w:p>
              </w:tc>
              <w:tc>
                <w:tcPr>
                  <w:tcW w:w="752" w:type="dxa"/>
                </w:tcPr>
                <w:p w14:paraId="2F49AE90" w14:textId="77777777" w:rsidR="00D34DA4" w:rsidRDefault="00D34DA4" w:rsidP="00D34DA4"/>
              </w:tc>
              <w:tc>
                <w:tcPr>
                  <w:tcW w:w="568" w:type="dxa"/>
                </w:tcPr>
                <w:p w14:paraId="38BAA726" w14:textId="77777777" w:rsidR="00D34DA4" w:rsidRDefault="00D34DA4" w:rsidP="00D34DA4"/>
              </w:tc>
              <w:tc>
                <w:tcPr>
                  <w:tcW w:w="661" w:type="dxa"/>
                </w:tcPr>
                <w:p w14:paraId="6BAB38AA" w14:textId="77777777" w:rsidR="00D34DA4" w:rsidRDefault="00D34DA4" w:rsidP="00D34DA4"/>
              </w:tc>
              <w:tc>
                <w:tcPr>
                  <w:tcW w:w="661" w:type="dxa"/>
                </w:tcPr>
                <w:p w14:paraId="22A9C620" w14:textId="77777777" w:rsidR="00D34DA4" w:rsidRDefault="00D34DA4" w:rsidP="00D34DA4"/>
              </w:tc>
              <w:tc>
                <w:tcPr>
                  <w:tcW w:w="661" w:type="dxa"/>
                </w:tcPr>
                <w:p w14:paraId="6622708C" w14:textId="77777777" w:rsidR="00D34DA4" w:rsidRDefault="00D34DA4" w:rsidP="00D34DA4"/>
              </w:tc>
              <w:tc>
                <w:tcPr>
                  <w:tcW w:w="661" w:type="dxa"/>
                </w:tcPr>
                <w:p w14:paraId="52448A2B" w14:textId="77777777" w:rsidR="00D34DA4" w:rsidRDefault="00D34DA4" w:rsidP="00D34DA4"/>
              </w:tc>
              <w:tc>
                <w:tcPr>
                  <w:tcW w:w="1983" w:type="dxa"/>
                  <w:gridSpan w:val="3"/>
                  <w:shd w:val="clear" w:color="auto" w:fill="2F5496" w:themeFill="accent5" w:themeFillShade="BF"/>
                </w:tcPr>
                <w:p w14:paraId="2A756F43" w14:textId="77777777" w:rsidR="00D34DA4" w:rsidRDefault="00D34DA4" w:rsidP="00D34DA4"/>
              </w:tc>
              <w:tc>
                <w:tcPr>
                  <w:tcW w:w="661" w:type="dxa"/>
                </w:tcPr>
                <w:p w14:paraId="763A166F" w14:textId="77777777" w:rsidR="00D34DA4" w:rsidRDefault="00D34DA4" w:rsidP="00D34DA4"/>
              </w:tc>
              <w:tc>
                <w:tcPr>
                  <w:tcW w:w="661" w:type="dxa"/>
                </w:tcPr>
                <w:p w14:paraId="2D7B89E6" w14:textId="77777777" w:rsidR="00D34DA4" w:rsidRDefault="00D34DA4" w:rsidP="00D34DA4"/>
              </w:tc>
              <w:tc>
                <w:tcPr>
                  <w:tcW w:w="661" w:type="dxa"/>
                </w:tcPr>
                <w:p w14:paraId="776613D8" w14:textId="77777777" w:rsidR="00D34DA4" w:rsidRDefault="00D34DA4" w:rsidP="00D34DA4"/>
              </w:tc>
            </w:tr>
            <w:tr w:rsidR="00D34DA4" w14:paraId="4BF0ED38" w14:textId="77777777" w:rsidTr="00B059E4">
              <w:tc>
                <w:tcPr>
                  <w:tcW w:w="1086" w:type="dxa"/>
                </w:tcPr>
                <w:p w14:paraId="7C85A2E4" w14:textId="77777777" w:rsidR="00D34DA4" w:rsidRPr="009576AD" w:rsidRDefault="00D34DA4" w:rsidP="00D34DA4">
                  <w:pPr>
                    <w:rPr>
                      <w:rFonts w:ascii="Arial" w:hAnsi="Arial" w:cs="Arial"/>
                      <w:sz w:val="16"/>
                      <w:szCs w:val="16"/>
                    </w:rPr>
                  </w:pPr>
                  <w:r>
                    <w:rPr>
                      <w:rFonts w:ascii="Arial" w:hAnsi="Arial" w:cs="Arial"/>
                      <w:sz w:val="16"/>
                      <w:szCs w:val="16"/>
                    </w:rPr>
                    <w:t>Transition planning &amp; future goals</w:t>
                  </w:r>
                </w:p>
              </w:tc>
              <w:tc>
                <w:tcPr>
                  <w:tcW w:w="752" w:type="dxa"/>
                </w:tcPr>
                <w:p w14:paraId="2DC6ECAE" w14:textId="77777777" w:rsidR="00D34DA4" w:rsidRDefault="00D34DA4" w:rsidP="00D34DA4"/>
              </w:tc>
              <w:tc>
                <w:tcPr>
                  <w:tcW w:w="568" w:type="dxa"/>
                </w:tcPr>
                <w:p w14:paraId="43729FC2" w14:textId="77777777" w:rsidR="00D34DA4" w:rsidRDefault="00D34DA4" w:rsidP="00D34DA4"/>
              </w:tc>
              <w:tc>
                <w:tcPr>
                  <w:tcW w:w="661" w:type="dxa"/>
                </w:tcPr>
                <w:p w14:paraId="1F67B96F" w14:textId="77777777" w:rsidR="00D34DA4" w:rsidRDefault="00D34DA4" w:rsidP="00D34DA4"/>
              </w:tc>
              <w:tc>
                <w:tcPr>
                  <w:tcW w:w="661" w:type="dxa"/>
                </w:tcPr>
                <w:p w14:paraId="694196A3" w14:textId="77777777" w:rsidR="00D34DA4" w:rsidRDefault="00D34DA4" w:rsidP="00D34DA4"/>
              </w:tc>
              <w:tc>
                <w:tcPr>
                  <w:tcW w:w="661" w:type="dxa"/>
                </w:tcPr>
                <w:p w14:paraId="143CD7B7" w14:textId="77777777" w:rsidR="00D34DA4" w:rsidRDefault="00D34DA4" w:rsidP="00D34DA4"/>
              </w:tc>
              <w:tc>
                <w:tcPr>
                  <w:tcW w:w="661" w:type="dxa"/>
                </w:tcPr>
                <w:p w14:paraId="7D2C3B8D" w14:textId="77777777" w:rsidR="00D34DA4" w:rsidRDefault="00D34DA4" w:rsidP="00D34DA4"/>
              </w:tc>
              <w:tc>
                <w:tcPr>
                  <w:tcW w:w="661" w:type="dxa"/>
                </w:tcPr>
                <w:p w14:paraId="24F599A5" w14:textId="77777777" w:rsidR="00D34DA4" w:rsidRDefault="00D34DA4" w:rsidP="00D34DA4"/>
              </w:tc>
              <w:tc>
                <w:tcPr>
                  <w:tcW w:w="661" w:type="dxa"/>
                </w:tcPr>
                <w:p w14:paraId="7D140782" w14:textId="77777777" w:rsidR="00D34DA4" w:rsidRDefault="00D34DA4" w:rsidP="00D34DA4"/>
              </w:tc>
              <w:tc>
                <w:tcPr>
                  <w:tcW w:w="661" w:type="dxa"/>
                </w:tcPr>
                <w:p w14:paraId="04710BC1" w14:textId="77777777" w:rsidR="00D34DA4" w:rsidRDefault="00D34DA4" w:rsidP="00D34DA4"/>
              </w:tc>
              <w:tc>
                <w:tcPr>
                  <w:tcW w:w="1983" w:type="dxa"/>
                  <w:gridSpan w:val="3"/>
                  <w:shd w:val="clear" w:color="auto" w:fill="70AD47" w:themeFill="accent6"/>
                </w:tcPr>
                <w:p w14:paraId="7FDC9299" w14:textId="77777777" w:rsidR="00D34DA4" w:rsidRDefault="00D34DA4" w:rsidP="00D34DA4"/>
              </w:tc>
            </w:tr>
          </w:tbl>
          <w:p w14:paraId="7CE3D36B" w14:textId="77777777" w:rsidR="00D34DA4" w:rsidRPr="00D34DA4" w:rsidRDefault="00D34DA4" w:rsidP="00AC16C0">
            <w:pPr>
              <w:pStyle w:val="ListParagraph"/>
              <w:ind w:left="0"/>
              <w:rPr>
                <w:rFonts w:ascii="Arial" w:hAnsi="Arial" w:cs="Arial"/>
                <w:iCs/>
              </w:rPr>
            </w:pPr>
          </w:p>
          <w:p w14:paraId="3B9D85D3" w14:textId="5AB4AB97" w:rsidR="008C1B8E" w:rsidRPr="00210378" w:rsidRDefault="008C1B8E" w:rsidP="00AC16C0">
            <w:pPr>
              <w:pStyle w:val="ListParagraph"/>
              <w:ind w:left="0"/>
              <w:rPr>
                <w:rFonts w:ascii="Arial" w:hAnsi="Arial" w:cs="Arial"/>
                <w:i/>
              </w:rPr>
            </w:pPr>
          </w:p>
        </w:tc>
      </w:tr>
      <w:tr w:rsidR="00AC16C0" w:rsidRPr="00210378" w14:paraId="6B79BC24" w14:textId="77777777" w:rsidTr="00991612">
        <w:trPr>
          <w:trHeight w:val="4650"/>
        </w:trPr>
        <w:tc>
          <w:tcPr>
            <w:tcW w:w="9243" w:type="dxa"/>
            <w:shd w:val="clear" w:color="auto" w:fill="auto"/>
          </w:tcPr>
          <w:p w14:paraId="6A9C456F" w14:textId="38A27BEE" w:rsidR="00AC16C0" w:rsidRDefault="00991612" w:rsidP="00AC16C0">
            <w:pPr>
              <w:pStyle w:val="ListParagraph"/>
              <w:ind w:left="0"/>
              <w:rPr>
                <w:rFonts w:ascii="Arial" w:hAnsi="Arial" w:cs="Arial"/>
                <w:b/>
              </w:rPr>
            </w:pPr>
            <w:r>
              <w:rPr>
                <w:rFonts w:ascii="Arial" w:hAnsi="Arial" w:cs="Arial"/>
                <w:b/>
              </w:rPr>
              <w:lastRenderedPageBreak/>
              <w:t>R</w:t>
            </w:r>
            <w:r w:rsidR="00AC16C0" w:rsidRPr="00210378">
              <w:rPr>
                <w:rFonts w:ascii="Arial" w:hAnsi="Arial" w:cs="Arial"/>
                <w:b/>
              </w:rPr>
              <w:t xml:space="preserve">eferences </w:t>
            </w:r>
          </w:p>
          <w:p w14:paraId="502FA6F1"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Aebi, M., Linhart, S., Thun-Hohenstein, L., Bessler, C., Steinhausen, H. C., &amp; Plattner, B. (2015). Detained male adolescent offender’s emotional, physical, and sexual maltreatment profiles and their associations to psychiatric disorders and criminal behaviours. </w:t>
            </w:r>
            <w:r w:rsidRPr="004B5E7A">
              <w:rPr>
                <w:rFonts w:ascii="Arial" w:eastAsia="Calibri" w:hAnsi="Arial" w:cs="Arial"/>
                <w:bCs/>
                <w:i/>
                <w:iCs/>
                <w:kern w:val="2"/>
                <w:sz w:val="22"/>
                <w:szCs w:val="22"/>
                <w:lang w:eastAsia="en-US"/>
                <w14:ligatures w14:val="standardContextual"/>
              </w:rPr>
              <w:t>Journal of abnormal child psychology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43</w:t>
            </w:r>
            <w:r w:rsidRPr="004B5E7A">
              <w:rPr>
                <w:rFonts w:ascii="Arial" w:eastAsia="Calibri" w:hAnsi="Arial" w:cs="Arial"/>
                <w:bCs/>
                <w:kern w:val="2"/>
                <w:sz w:val="22"/>
                <w:szCs w:val="22"/>
                <w:lang w:eastAsia="en-US"/>
                <w14:ligatures w14:val="standardContextual"/>
              </w:rPr>
              <w:t>, 999-1009.</w:t>
            </w:r>
          </w:p>
          <w:p w14:paraId="4F2445B0" w14:textId="77777777" w:rsidR="004B5E7A" w:rsidRPr="004B5E7A" w:rsidRDefault="004B5E7A" w:rsidP="004B5E7A">
            <w:pPr>
              <w:spacing w:after="160" w:line="360" w:lineRule="auto"/>
              <w:ind w:left="720" w:hanging="720"/>
              <w:rPr>
                <w:rFonts w:ascii="Arial" w:eastAsia="Calibri" w:hAnsi="Arial" w:cs="Arial"/>
                <w:bCs/>
                <w:iCs/>
                <w:kern w:val="2"/>
                <w:sz w:val="22"/>
                <w:szCs w:val="22"/>
                <w:lang w:eastAsia="en-US"/>
                <w14:ligatures w14:val="standardContextual"/>
              </w:rPr>
            </w:pPr>
            <w:r w:rsidRPr="004B5E7A">
              <w:rPr>
                <w:rFonts w:ascii="Arial" w:eastAsia="Calibri" w:hAnsi="Arial" w:cs="Arial"/>
                <w:bCs/>
                <w:iCs/>
                <w:kern w:val="2"/>
                <w:sz w:val="22"/>
                <w:szCs w:val="22"/>
                <w:lang w:eastAsia="en-US"/>
                <w14:ligatures w14:val="standardContextual"/>
              </w:rPr>
              <w:t xml:space="preserve">Andrews, D. A., Bonta, J., &amp; </w:t>
            </w:r>
            <w:proofErr w:type="spellStart"/>
            <w:r w:rsidRPr="004B5E7A">
              <w:rPr>
                <w:rFonts w:ascii="Arial" w:eastAsia="Calibri" w:hAnsi="Arial" w:cs="Arial"/>
                <w:bCs/>
                <w:iCs/>
                <w:kern w:val="2"/>
                <w:sz w:val="22"/>
                <w:szCs w:val="22"/>
                <w:lang w:eastAsia="en-US"/>
                <w14:ligatures w14:val="standardContextual"/>
              </w:rPr>
              <w:t>Wormith</w:t>
            </w:r>
            <w:proofErr w:type="spellEnd"/>
            <w:r w:rsidRPr="004B5E7A">
              <w:rPr>
                <w:rFonts w:ascii="Arial" w:eastAsia="Calibri" w:hAnsi="Arial" w:cs="Arial"/>
                <w:bCs/>
                <w:iCs/>
                <w:kern w:val="2"/>
                <w:sz w:val="22"/>
                <w:szCs w:val="22"/>
                <w:lang w:eastAsia="en-US"/>
                <w14:ligatures w14:val="standardContextual"/>
              </w:rPr>
              <w:t>, J. S. (2011). The risk-need-responsivity (RNR) model: Does adding the good lives model contribute to effective crime prevention? </w:t>
            </w:r>
            <w:r w:rsidRPr="004B5E7A">
              <w:rPr>
                <w:rFonts w:ascii="Arial" w:eastAsia="Calibri" w:hAnsi="Arial" w:cs="Arial"/>
                <w:bCs/>
                <w:i/>
                <w:iCs/>
                <w:kern w:val="2"/>
                <w:sz w:val="22"/>
                <w:szCs w:val="22"/>
                <w:lang w:eastAsia="en-US"/>
                <w14:ligatures w14:val="standardContextual"/>
              </w:rPr>
              <w:t xml:space="preserve">Criminal justice and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i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38</w:t>
            </w:r>
            <w:r w:rsidRPr="004B5E7A">
              <w:rPr>
                <w:rFonts w:ascii="Arial" w:eastAsia="Calibri" w:hAnsi="Arial" w:cs="Arial"/>
                <w:bCs/>
                <w:iCs/>
                <w:kern w:val="2"/>
                <w:sz w:val="22"/>
                <w:szCs w:val="22"/>
                <w:lang w:eastAsia="en-US"/>
                <w14:ligatures w14:val="standardContextual"/>
              </w:rPr>
              <w:t>(7), 735-755.</w:t>
            </w:r>
          </w:p>
          <w:p w14:paraId="3D925E7C"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Barnert, E. S., Perry, R., </w:t>
            </w:r>
            <w:proofErr w:type="spellStart"/>
            <w:r w:rsidRPr="004B5E7A">
              <w:rPr>
                <w:rFonts w:ascii="Arial" w:eastAsia="Calibri" w:hAnsi="Arial" w:cs="Arial"/>
                <w:bCs/>
                <w:kern w:val="2"/>
                <w:sz w:val="22"/>
                <w:szCs w:val="22"/>
                <w:lang w:eastAsia="en-US"/>
                <w14:ligatures w14:val="standardContextual"/>
              </w:rPr>
              <w:t>Shetgiri</w:t>
            </w:r>
            <w:proofErr w:type="spellEnd"/>
            <w:r w:rsidRPr="004B5E7A">
              <w:rPr>
                <w:rFonts w:ascii="Arial" w:eastAsia="Calibri" w:hAnsi="Arial" w:cs="Arial"/>
                <w:bCs/>
                <w:kern w:val="2"/>
                <w:sz w:val="22"/>
                <w:szCs w:val="22"/>
                <w:lang w:eastAsia="en-US"/>
                <w14:ligatures w14:val="standardContextual"/>
              </w:rPr>
              <w:t xml:space="preserve">, R., Steers, N., </w:t>
            </w:r>
            <w:proofErr w:type="spellStart"/>
            <w:r w:rsidRPr="004B5E7A">
              <w:rPr>
                <w:rFonts w:ascii="Arial" w:eastAsia="Calibri" w:hAnsi="Arial" w:cs="Arial"/>
                <w:bCs/>
                <w:kern w:val="2"/>
                <w:sz w:val="22"/>
                <w:szCs w:val="22"/>
                <w:lang w:eastAsia="en-US"/>
                <w14:ligatures w14:val="standardContextual"/>
              </w:rPr>
              <w:t>Dudovitz</w:t>
            </w:r>
            <w:proofErr w:type="spellEnd"/>
            <w:r w:rsidRPr="004B5E7A">
              <w:rPr>
                <w:rFonts w:ascii="Arial" w:eastAsia="Calibri" w:hAnsi="Arial" w:cs="Arial"/>
                <w:bCs/>
                <w:kern w:val="2"/>
                <w:sz w:val="22"/>
                <w:szCs w:val="22"/>
                <w:lang w:eastAsia="en-US"/>
                <w14:ligatures w14:val="standardContextual"/>
              </w:rPr>
              <w:t>, R., Heard-Garris, N. J., &amp; Chung, P. J. (2021). Adolescent protective and risk factors for incarceration through early adulthood. </w:t>
            </w:r>
            <w:r w:rsidRPr="004B5E7A">
              <w:rPr>
                <w:rFonts w:ascii="Arial" w:eastAsia="Calibri" w:hAnsi="Arial" w:cs="Arial"/>
                <w:bCs/>
                <w:i/>
                <w:iCs/>
                <w:kern w:val="2"/>
                <w:sz w:val="22"/>
                <w:szCs w:val="22"/>
                <w:lang w:eastAsia="en-US"/>
                <w14:ligatures w14:val="standardContextual"/>
              </w:rPr>
              <w:t>Journal of Child and Family Studies</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30</w:t>
            </w:r>
            <w:r w:rsidRPr="004B5E7A">
              <w:rPr>
                <w:rFonts w:ascii="Arial" w:eastAsia="Calibri" w:hAnsi="Arial" w:cs="Arial"/>
                <w:bCs/>
                <w:kern w:val="2"/>
                <w:sz w:val="22"/>
                <w:szCs w:val="22"/>
                <w:lang w:eastAsia="en-US"/>
                <w14:ligatures w14:val="standardContextual"/>
              </w:rPr>
              <w:t>, 1428-1440.</w:t>
            </w:r>
          </w:p>
          <w:p w14:paraId="333F83F4"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Beaudry, G., Yu, R., </w:t>
            </w:r>
            <w:proofErr w:type="spellStart"/>
            <w:r w:rsidRPr="004B5E7A">
              <w:rPr>
                <w:rFonts w:ascii="Arial" w:eastAsia="Calibri" w:hAnsi="Arial" w:cs="Arial"/>
                <w:bCs/>
                <w:kern w:val="2"/>
                <w:sz w:val="22"/>
                <w:szCs w:val="22"/>
                <w:lang w:eastAsia="en-US"/>
                <w14:ligatures w14:val="standardContextual"/>
              </w:rPr>
              <w:t>Långström</w:t>
            </w:r>
            <w:proofErr w:type="spellEnd"/>
            <w:r w:rsidRPr="004B5E7A">
              <w:rPr>
                <w:rFonts w:ascii="Arial" w:eastAsia="Calibri" w:hAnsi="Arial" w:cs="Arial"/>
                <w:bCs/>
                <w:kern w:val="2"/>
                <w:sz w:val="22"/>
                <w:szCs w:val="22"/>
                <w:lang w:eastAsia="en-US"/>
                <w14:ligatures w14:val="standardContextual"/>
              </w:rPr>
              <w:t>, N., &amp; Fazel, S. (2021). An updated systematic review and meta-regression analysis: Mental disorders among adolescents in juvenile detention and correctional facilities. </w:t>
            </w:r>
            <w:r w:rsidRPr="004B5E7A">
              <w:rPr>
                <w:rFonts w:ascii="Arial" w:eastAsia="Calibri" w:hAnsi="Arial" w:cs="Arial"/>
                <w:bCs/>
                <w:i/>
                <w:iCs/>
                <w:kern w:val="2"/>
                <w:sz w:val="22"/>
                <w:szCs w:val="22"/>
                <w:lang w:eastAsia="en-US"/>
                <w14:ligatures w14:val="standardContextual"/>
              </w:rPr>
              <w:t>Journal of the American Academy of Child &amp; Adolescent Psychiatry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60</w:t>
            </w:r>
            <w:r w:rsidRPr="004B5E7A">
              <w:rPr>
                <w:rFonts w:ascii="Arial" w:eastAsia="Calibri" w:hAnsi="Arial" w:cs="Arial"/>
                <w:bCs/>
                <w:kern w:val="2"/>
                <w:sz w:val="22"/>
                <w:szCs w:val="22"/>
                <w:lang w:eastAsia="en-US"/>
                <w14:ligatures w14:val="standardContextual"/>
              </w:rPr>
              <w:t>(1), 46-60.</w:t>
            </w:r>
          </w:p>
          <w:p w14:paraId="26B5F75E"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Borum, R., </w:t>
            </w:r>
            <w:proofErr w:type="spellStart"/>
            <w:r w:rsidRPr="004B5E7A">
              <w:rPr>
                <w:rFonts w:ascii="Arial" w:eastAsia="Calibri" w:hAnsi="Arial" w:cs="Arial"/>
                <w:bCs/>
                <w:kern w:val="2"/>
                <w:sz w:val="22"/>
                <w:szCs w:val="22"/>
                <w:lang w:eastAsia="en-US"/>
                <w14:ligatures w14:val="standardContextual"/>
              </w:rPr>
              <w:t>Lodewijks</w:t>
            </w:r>
            <w:proofErr w:type="spellEnd"/>
            <w:r w:rsidRPr="004B5E7A">
              <w:rPr>
                <w:rFonts w:ascii="Arial" w:eastAsia="Calibri" w:hAnsi="Arial" w:cs="Arial"/>
                <w:bCs/>
                <w:kern w:val="2"/>
                <w:sz w:val="22"/>
                <w:szCs w:val="22"/>
                <w:lang w:eastAsia="en-US"/>
                <w14:ligatures w14:val="standardContextual"/>
              </w:rPr>
              <w:t>, H. P., Bartel, P. A., &amp; Forth, A. E. (2020). The structured assessment of violence risk in youth (SAVRY). In </w:t>
            </w:r>
            <w:r w:rsidRPr="004B5E7A">
              <w:rPr>
                <w:rFonts w:ascii="Arial" w:eastAsia="Calibri" w:hAnsi="Arial" w:cs="Arial"/>
                <w:bCs/>
                <w:i/>
                <w:iCs/>
                <w:kern w:val="2"/>
                <w:sz w:val="22"/>
                <w:szCs w:val="22"/>
                <w:lang w:eastAsia="en-US"/>
                <w14:ligatures w14:val="standardContextual"/>
              </w:rPr>
              <w:t>Handbook of violence risk assessment</w:t>
            </w:r>
            <w:r w:rsidRPr="004B5E7A">
              <w:rPr>
                <w:rFonts w:ascii="Arial" w:eastAsia="Calibri" w:hAnsi="Arial" w:cs="Arial"/>
                <w:bCs/>
                <w:kern w:val="2"/>
                <w:sz w:val="22"/>
                <w:szCs w:val="22"/>
                <w:lang w:eastAsia="en-US"/>
                <w14:ligatures w14:val="standardContextual"/>
              </w:rPr>
              <w:t> (pp. 438-461). Routledge.</w:t>
            </w:r>
          </w:p>
          <w:p w14:paraId="2DDF8ED1"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Cauffman, E., &amp; Steinberg, L. (2012). Emerging findings from research on adolescent development and juvenile justice. </w:t>
            </w:r>
            <w:r w:rsidRPr="004B5E7A">
              <w:rPr>
                <w:rFonts w:ascii="Arial" w:eastAsia="Calibri" w:hAnsi="Arial" w:cs="Arial"/>
                <w:bCs/>
                <w:i/>
                <w:iCs/>
                <w:kern w:val="2"/>
                <w:sz w:val="22"/>
                <w:szCs w:val="22"/>
                <w:lang w:eastAsia="en-US"/>
                <w14:ligatures w14:val="standardContextual"/>
              </w:rPr>
              <w:t>Victims &amp; Offenders</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7</w:t>
            </w:r>
            <w:r w:rsidRPr="004B5E7A">
              <w:rPr>
                <w:rFonts w:ascii="Arial" w:eastAsia="Calibri" w:hAnsi="Arial" w:cs="Arial"/>
                <w:bCs/>
                <w:kern w:val="2"/>
                <w:sz w:val="22"/>
                <w:szCs w:val="22"/>
                <w:lang w:eastAsia="en-US"/>
                <w14:ligatures w14:val="standardContextual"/>
              </w:rPr>
              <w:t>(4), 428-449.</w:t>
            </w:r>
          </w:p>
          <w:p w14:paraId="7476AE35"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Dierkhising, C. B., Ko, S. J., Woods-Jaeger, B., Briggs, E. C., Lee, R., &amp; </w:t>
            </w:r>
            <w:proofErr w:type="spellStart"/>
            <w:r w:rsidRPr="004B5E7A">
              <w:rPr>
                <w:rFonts w:ascii="Arial" w:eastAsia="Calibri" w:hAnsi="Arial" w:cs="Arial"/>
                <w:bCs/>
                <w:kern w:val="2"/>
                <w:sz w:val="22"/>
                <w:szCs w:val="22"/>
                <w:lang w:eastAsia="en-US"/>
                <w14:ligatures w14:val="standardContextual"/>
              </w:rPr>
              <w:t>Pynoos</w:t>
            </w:r>
            <w:proofErr w:type="spellEnd"/>
            <w:r w:rsidRPr="004B5E7A">
              <w:rPr>
                <w:rFonts w:ascii="Arial" w:eastAsia="Calibri" w:hAnsi="Arial" w:cs="Arial"/>
                <w:bCs/>
                <w:kern w:val="2"/>
                <w:sz w:val="22"/>
                <w:szCs w:val="22"/>
                <w:lang w:eastAsia="en-US"/>
                <w14:ligatures w14:val="standardContextual"/>
              </w:rPr>
              <w:t>, R. S. (2013). Trauma histories among justice-involved youth: Findings from the National Child Traumatic Stress Network. </w:t>
            </w:r>
            <w:r w:rsidRPr="004B5E7A">
              <w:rPr>
                <w:rFonts w:ascii="Arial" w:eastAsia="Calibri" w:hAnsi="Arial" w:cs="Arial"/>
                <w:bCs/>
                <w:i/>
                <w:iCs/>
                <w:kern w:val="2"/>
                <w:sz w:val="22"/>
                <w:szCs w:val="22"/>
                <w:lang w:eastAsia="en-US"/>
                <w14:ligatures w14:val="standardContextual"/>
              </w:rPr>
              <w:t xml:space="preserve">European journal of </w:t>
            </w:r>
            <w:proofErr w:type="spellStart"/>
            <w:r w:rsidRPr="004B5E7A">
              <w:rPr>
                <w:rFonts w:ascii="Arial" w:eastAsia="Calibri" w:hAnsi="Arial" w:cs="Arial"/>
                <w:bCs/>
                <w:i/>
                <w:iCs/>
                <w:kern w:val="2"/>
                <w:sz w:val="22"/>
                <w:szCs w:val="22"/>
                <w:lang w:eastAsia="en-US"/>
                <w14:ligatures w14:val="standardContextual"/>
              </w:rPr>
              <w:t>psychotraumatology</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4</w:t>
            </w:r>
            <w:r w:rsidRPr="004B5E7A">
              <w:rPr>
                <w:rFonts w:ascii="Arial" w:eastAsia="Calibri" w:hAnsi="Arial" w:cs="Arial"/>
                <w:bCs/>
                <w:kern w:val="2"/>
                <w:sz w:val="22"/>
                <w:szCs w:val="22"/>
                <w:lang w:eastAsia="en-US"/>
                <w14:ligatures w14:val="standardContextual"/>
              </w:rPr>
              <w:t>(1), 20274.</w:t>
            </w:r>
          </w:p>
          <w:p w14:paraId="08060FA2"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Dmitrieva, J., Monahan, K. C., Cauffman, E., &amp; Steinberg, L. (2012). Arrested development: The effects of incarceration on the development of psychosocial maturity. </w:t>
            </w:r>
            <w:r w:rsidRPr="004B5E7A">
              <w:rPr>
                <w:rFonts w:ascii="Arial" w:eastAsia="Calibri" w:hAnsi="Arial" w:cs="Arial"/>
                <w:bCs/>
                <w:i/>
                <w:iCs/>
                <w:kern w:val="2"/>
                <w:sz w:val="22"/>
                <w:szCs w:val="22"/>
                <w:lang w:eastAsia="en-US"/>
                <w14:ligatures w14:val="standardContextual"/>
              </w:rPr>
              <w:t>Development and psychopathology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24</w:t>
            </w:r>
            <w:r w:rsidRPr="004B5E7A">
              <w:rPr>
                <w:rFonts w:ascii="Arial" w:eastAsia="Calibri" w:hAnsi="Arial" w:cs="Arial"/>
                <w:bCs/>
                <w:kern w:val="2"/>
                <w:sz w:val="22"/>
                <w:szCs w:val="22"/>
                <w:lang w:eastAsia="en-US"/>
                <w14:ligatures w14:val="standardContextual"/>
              </w:rPr>
              <w:t>(3), 1073-1090.</w:t>
            </w:r>
          </w:p>
          <w:p w14:paraId="6B926E60"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Duan, W., Wang, Z., Yang, C., &amp; Ke, S. (2023). Are risk-need-responsivity principles golden? A meta-analysis of randomized controlled trials of community correction programs. </w:t>
            </w:r>
            <w:r w:rsidRPr="004B5E7A">
              <w:rPr>
                <w:rFonts w:ascii="Arial" w:eastAsia="Calibri" w:hAnsi="Arial" w:cs="Arial"/>
                <w:bCs/>
                <w:i/>
                <w:iCs/>
                <w:kern w:val="2"/>
                <w:sz w:val="22"/>
                <w:szCs w:val="22"/>
                <w:lang w:eastAsia="en-US"/>
                <w14:ligatures w14:val="standardContextual"/>
              </w:rPr>
              <w:t>Journal of Experimental Criminology</w:t>
            </w:r>
            <w:r w:rsidRPr="004B5E7A">
              <w:rPr>
                <w:rFonts w:ascii="Arial" w:eastAsia="Calibri" w:hAnsi="Arial" w:cs="Arial"/>
                <w:bCs/>
                <w:kern w:val="2"/>
                <w:sz w:val="22"/>
                <w:szCs w:val="22"/>
                <w:lang w:eastAsia="en-US"/>
                <w14:ligatures w14:val="standardContextual"/>
              </w:rPr>
              <w:t>, 1-24.</w:t>
            </w:r>
          </w:p>
          <w:p w14:paraId="6BA13F60"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lastRenderedPageBreak/>
              <w:t xml:space="preserve">Farrington, D. P., Gaffney, H., </w:t>
            </w:r>
            <w:proofErr w:type="spellStart"/>
            <w:r w:rsidRPr="004B5E7A">
              <w:rPr>
                <w:rFonts w:ascii="Arial" w:eastAsia="Calibri" w:hAnsi="Arial" w:cs="Arial"/>
                <w:bCs/>
                <w:kern w:val="2"/>
                <w:sz w:val="22"/>
                <w:szCs w:val="22"/>
                <w:lang w:eastAsia="en-US"/>
                <w14:ligatures w14:val="standardContextual"/>
              </w:rPr>
              <w:t>Lösel</w:t>
            </w:r>
            <w:proofErr w:type="spellEnd"/>
            <w:r w:rsidRPr="004B5E7A">
              <w:rPr>
                <w:rFonts w:ascii="Arial" w:eastAsia="Calibri" w:hAnsi="Arial" w:cs="Arial"/>
                <w:bCs/>
                <w:kern w:val="2"/>
                <w:sz w:val="22"/>
                <w:szCs w:val="22"/>
                <w:lang w:eastAsia="en-US"/>
                <w14:ligatures w14:val="standardContextual"/>
              </w:rPr>
              <w:t xml:space="preserve">, F., &amp; </w:t>
            </w:r>
            <w:proofErr w:type="spellStart"/>
            <w:r w:rsidRPr="004B5E7A">
              <w:rPr>
                <w:rFonts w:ascii="Arial" w:eastAsia="Calibri" w:hAnsi="Arial" w:cs="Arial"/>
                <w:bCs/>
                <w:kern w:val="2"/>
                <w:sz w:val="22"/>
                <w:szCs w:val="22"/>
                <w:lang w:eastAsia="en-US"/>
                <w14:ligatures w14:val="standardContextual"/>
              </w:rPr>
              <w:t>Ttofi</w:t>
            </w:r>
            <w:proofErr w:type="spellEnd"/>
            <w:r w:rsidRPr="004B5E7A">
              <w:rPr>
                <w:rFonts w:ascii="Arial" w:eastAsia="Calibri" w:hAnsi="Arial" w:cs="Arial"/>
                <w:bCs/>
                <w:kern w:val="2"/>
                <w:sz w:val="22"/>
                <w:szCs w:val="22"/>
                <w:lang w:eastAsia="en-US"/>
                <w14:ligatures w14:val="standardContextual"/>
              </w:rPr>
              <w:t>, M. M. (2017). Systematic reviews of the effectiveness of developmental prevention programs in reducing delinquency, aggression, and bullying. </w:t>
            </w:r>
            <w:r w:rsidRPr="004B5E7A">
              <w:rPr>
                <w:rFonts w:ascii="Arial" w:eastAsia="Calibri" w:hAnsi="Arial" w:cs="Arial"/>
                <w:bCs/>
                <w:i/>
                <w:iCs/>
                <w:kern w:val="2"/>
                <w:sz w:val="22"/>
                <w:szCs w:val="22"/>
                <w:lang w:eastAsia="en-US"/>
                <w14:ligatures w14:val="standardContextual"/>
              </w:rPr>
              <w:t xml:space="preserve">Aggression and Violent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33</w:t>
            </w:r>
            <w:r w:rsidRPr="004B5E7A">
              <w:rPr>
                <w:rFonts w:ascii="Arial" w:eastAsia="Calibri" w:hAnsi="Arial" w:cs="Arial"/>
                <w:bCs/>
                <w:kern w:val="2"/>
                <w:sz w:val="22"/>
                <w:szCs w:val="22"/>
                <w:lang w:eastAsia="en-US"/>
                <w14:ligatures w14:val="standardContextual"/>
              </w:rPr>
              <w:t>, 91-106.</w:t>
            </w:r>
          </w:p>
          <w:p w14:paraId="2409324C"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Feder, K. A., McCart, M. R., Kahn, G., Mauro, P. M., </w:t>
            </w:r>
            <w:proofErr w:type="spellStart"/>
            <w:r w:rsidRPr="004B5E7A">
              <w:rPr>
                <w:rFonts w:ascii="Arial" w:eastAsia="Calibri" w:hAnsi="Arial" w:cs="Arial"/>
                <w:bCs/>
                <w:kern w:val="2"/>
                <w:sz w:val="22"/>
                <w:szCs w:val="22"/>
                <w:lang w:eastAsia="en-US"/>
                <w14:ligatures w14:val="standardContextual"/>
              </w:rPr>
              <w:t>Sheidow</w:t>
            </w:r>
            <w:proofErr w:type="spellEnd"/>
            <w:r w:rsidRPr="004B5E7A">
              <w:rPr>
                <w:rFonts w:ascii="Arial" w:eastAsia="Calibri" w:hAnsi="Arial" w:cs="Arial"/>
                <w:bCs/>
                <w:kern w:val="2"/>
                <w:sz w:val="22"/>
                <w:szCs w:val="22"/>
                <w:lang w:eastAsia="en-US"/>
                <w14:ligatures w14:val="standardContextual"/>
              </w:rPr>
              <w:t xml:space="preserve">, A. J., &amp; Letourneau, E. J. (2018). Association of mental health symptoms and peer </w:t>
            </w:r>
            <w:proofErr w:type="spellStart"/>
            <w:r w:rsidRPr="004B5E7A">
              <w:rPr>
                <w:rFonts w:ascii="Arial" w:eastAsia="Calibri" w:hAnsi="Arial" w:cs="Arial"/>
                <w:bCs/>
                <w:kern w:val="2"/>
                <w:sz w:val="22"/>
                <w:szCs w:val="22"/>
                <w:lang w:eastAsia="en-US"/>
                <w14:ligatures w14:val="standardContextual"/>
              </w:rPr>
              <w:t>behaviors</w:t>
            </w:r>
            <w:proofErr w:type="spellEnd"/>
            <w:r w:rsidRPr="004B5E7A">
              <w:rPr>
                <w:rFonts w:ascii="Arial" w:eastAsia="Calibri" w:hAnsi="Arial" w:cs="Arial"/>
                <w:bCs/>
                <w:kern w:val="2"/>
                <w:sz w:val="22"/>
                <w:szCs w:val="22"/>
                <w:lang w:eastAsia="en-US"/>
                <w14:ligatures w14:val="standardContextual"/>
              </w:rPr>
              <w:t xml:space="preserve"> with risk for substance use and condomless sex among youths in juvenile drug court. </w:t>
            </w:r>
            <w:r w:rsidRPr="004B5E7A">
              <w:rPr>
                <w:rFonts w:ascii="Arial" w:eastAsia="Calibri" w:hAnsi="Arial" w:cs="Arial"/>
                <w:bCs/>
                <w:i/>
                <w:iCs/>
                <w:kern w:val="2"/>
                <w:sz w:val="22"/>
                <w:szCs w:val="22"/>
                <w:lang w:eastAsia="en-US"/>
                <w14:ligatures w14:val="standardContextual"/>
              </w:rPr>
              <w:t>Journal of child &amp; adolescent substance abuse</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27</w:t>
            </w:r>
            <w:r w:rsidRPr="004B5E7A">
              <w:rPr>
                <w:rFonts w:ascii="Arial" w:eastAsia="Calibri" w:hAnsi="Arial" w:cs="Arial"/>
                <w:bCs/>
                <w:kern w:val="2"/>
                <w:sz w:val="22"/>
                <w:szCs w:val="22"/>
                <w:lang w:eastAsia="en-US"/>
                <w14:ligatures w14:val="standardContextual"/>
              </w:rPr>
              <w:t>(3), 133-145.</w:t>
            </w:r>
          </w:p>
          <w:p w14:paraId="0FDB6128"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proofErr w:type="spellStart"/>
            <w:r w:rsidRPr="004B5E7A">
              <w:rPr>
                <w:rFonts w:ascii="Arial" w:eastAsia="Calibri" w:hAnsi="Arial" w:cs="Arial"/>
                <w:bCs/>
                <w:kern w:val="2"/>
                <w:sz w:val="22"/>
                <w:szCs w:val="22"/>
                <w:lang w:eastAsia="en-US"/>
                <w14:ligatures w14:val="standardContextual"/>
              </w:rPr>
              <w:t>Finkelhor</w:t>
            </w:r>
            <w:proofErr w:type="spellEnd"/>
            <w:r w:rsidRPr="004B5E7A">
              <w:rPr>
                <w:rFonts w:ascii="Arial" w:eastAsia="Calibri" w:hAnsi="Arial" w:cs="Arial"/>
                <w:bCs/>
                <w:kern w:val="2"/>
                <w:sz w:val="22"/>
                <w:szCs w:val="22"/>
                <w:lang w:eastAsia="en-US"/>
                <w14:ligatures w14:val="standardContextual"/>
              </w:rPr>
              <w:t>, D. (2018). Screening for adverse childhood experiences (ACEs): Cautions and suggestions. </w:t>
            </w:r>
            <w:r w:rsidRPr="004B5E7A">
              <w:rPr>
                <w:rFonts w:ascii="Arial" w:eastAsia="Calibri" w:hAnsi="Arial" w:cs="Arial"/>
                <w:bCs/>
                <w:i/>
                <w:iCs/>
                <w:kern w:val="2"/>
                <w:sz w:val="22"/>
                <w:szCs w:val="22"/>
                <w:lang w:eastAsia="en-US"/>
                <w14:ligatures w14:val="standardContextual"/>
              </w:rPr>
              <w:t>Child abuse &amp; neglect</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85</w:t>
            </w:r>
            <w:r w:rsidRPr="004B5E7A">
              <w:rPr>
                <w:rFonts w:ascii="Arial" w:eastAsia="Calibri" w:hAnsi="Arial" w:cs="Arial"/>
                <w:bCs/>
                <w:kern w:val="2"/>
                <w:sz w:val="22"/>
                <w:szCs w:val="22"/>
                <w:lang w:eastAsia="en-US"/>
                <w14:ligatures w14:val="standardContextual"/>
              </w:rPr>
              <w:t>, 174-179.</w:t>
            </w:r>
          </w:p>
          <w:p w14:paraId="6E2B034F" w14:textId="77777777" w:rsidR="004B5E7A" w:rsidRPr="004B5E7A" w:rsidRDefault="004B5E7A" w:rsidP="004B5E7A">
            <w:pPr>
              <w:spacing w:after="160" w:line="360" w:lineRule="auto"/>
              <w:ind w:left="720" w:hanging="720"/>
              <w:rPr>
                <w:rFonts w:ascii="Arial" w:eastAsia="Calibri" w:hAnsi="Arial" w:cs="Arial"/>
                <w:bCs/>
                <w:iCs/>
                <w:kern w:val="2"/>
                <w:sz w:val="22"/>
                <w:szCs w:val="22"/>
                <w:lang w:eastAsia="en-US"/>
                <w14:ligatures w14:val="standardContextual"/>
              </w:rPr>
            </w:pPr>
            <w:r w:rsidRPr="004B5E7A">
              <w:rPr>
                <w:rFonts w:ascii="Arial" w:eastAsia="Calibri" w:hAnsi="Arial" w:cs="Arial"/>
                <w:bCs/>
                <w:iCs/>
                <w:kern w:val="2"/>
                <w:sz w:val="22"/>
                <w:szCs w:val="22"/>
                <w:lang w:eastAsia="en-US"/>
                <w14:ligatures w14:val="standardContextual"/>
              </w:rPr>
              <w:t>Fortune, C. A. (2018). The Good Lives Model: A strength-based approach for youth offenders. </w:t>
            </w:r>
            <w:r w:rsidRPr="004B5E7A">
              <w:rPr>
                <w:rFonts w:ascii="Arial" w:eastAsia="Calibri" w:hAnsi="Arial" w:cs="Arial"/>
                <w:bCs/>
                <w:i/>
                <w:iCs/>
                <w:kern w:val="2"/>
                <w:sz w:val="22"/>
                <w:szCs w:val="22"/>
                <w:lang w:eastAsia="en-US"/>
                <w14:ligatures w14:val="standardContextual"/>
              </w:rPr>
              <w:t xml:space="preserve">Aggression and violent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i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38</w:t>
            </w:r>
            <w:r w:rsidRPr="004B5E7A">
              <w:rPr>
                <w:rFonts w:ascii="Arial" w:eastAsia="Calibri" w:hAnsi="Arial" w:cs="Arial"/>
                <w:bCs/>
                <w:iCs/>
                <w:kern w:val="2"/>
                <w:sz w:val="22"/>
                <w:szCs w:val="22"/>
                <w:lang w:eastAsia="en-US"/>
                <w14:ligatures w14:val="standardContextual"/>
              </w:rPr>
              <w:t>, 21-30.</w:t>
            </w:r>
          </w:p>
          <w:p w14:paraId="032AEE5B"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Fortune, C. A., Ward, T., &amp; Willis, G. M. (2012). The rehabilitation of offenders: Reducing risk and promoting better lives. </w:t>
            </w:r>
            <w:r w:rsidRPr="004B5E7A">
              <w:rPr>
                <w:rFonts w:ascii="Arial" w:eastAsia="Calibri" w:hAnsi="Arial" w:cs="Arial"/>
                <w:bCs/>
                <w:i/>
                <w:iCs/>
                <w:kern w:val="2"/>
                <w:sz w:val="22"/>
                <w:szCs w:val="22"/>
                <w:lang w:eastAsia="en-US"/>
                <w14:ligatures w14:val="standardContextual"/>
              </w:rPr>
              <w:t>Psychiatry, Psychology and Law</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19</w:t>
            </w:r>
            <w:r w:rsidRPr="004B5E7A">
              <w:rPr>
                <w:rFonts w:ascii="Arial" w:eastAsia="Calibri" w:hAnsi="Arial" w:cs="Arial"/>
                <w:bCs/>
                <w:kern w:val="2"/>
                <w:sz w:val="22"/>
                <w:szCs w:val="22"/>
                <w:lang w:eastAsia="en-US"/>
                <w14:ligatures w14:val="standardContextual"/>
              </w:rPr>
              <w:t>(5), 646-661.</w:t>
            </w:r>
          </w:p>
          <w:p w14:paraId="2106C7E4"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Fox, B. H., Perez, N., Cass, E., </w:t>
            </w:r>
            <w:proofErr w:type="spellStart"/>
            <w:r w:rsidRPr="004B5E7A">
              <w:rPr>
                <w:rFonts w:ascii="Arial" w:eastAsia="Calibri" w:hAnsi="Arial" w:cs="Arial"/>
                <w:bCs/>
                <w:kern w:val="2"/>
                <w:sz w:val="22"/>
                <w:szCs w:val="22"/>
                <w:lang w:eastAsia="en-US"/>
                <w14:ligatures w14:val="standardContextual"/>
              </w:rPr>
              <w:t>Baglivio</w:t>
            </w:r>
            <w:proofErr w:type="spellEnd"/>
            <w:r w:rsidRPr="004B5E7A">
              <w:rPr>
                <w:rFonts w:ascii="Arial" w:eastAsia="Calibri" w:hAnsi="Arial" w:cs="Arial"/>
                <w:bCs/>
                <w:kern w:val="2"/>
                <w:sz w:val="22"/>
                <w:szCs w:val="22"/>
                <w:lang w:eastAsia="en-US"/>
                <w14:ligatures w14:val="standardContextual"/>
              </w:rPr>
              <w:t>, M. T., &amp; Epps, N. (2015). Trauma changes everything: Examining the relationship between adverse childhood experiences and serious, violent, and chronic juvenile offenders. </w:t>
            </w:r>
            <w:r w:rsidRPr="004B5E7A">
              <w:rPr>
                <w:rFonts w:ascii="Arial" w:eastAsia="Calibri" w:hAnsi="Arial" w:cs="Arial"/>
                <w:bCs/>
                <w:i/>
                <w:iCs/>
                <w:kern w:val="2"/>
                <w:sz w:val="22"/>
                <w:szCs w:val="22"/>
                <w:lang w:eastAsia="en-US"/>
                <w14:ligatures w14:val="standardContextual"/>
              </w:rPr>
              <w:t>Child abuse &amp; neglect</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46</w:t>
            </w:r>
            <w:r w:rsidRPr="004B5E7A">
              <w:rPr>
                <w:rFonts w:ascii="Arial" w:eastAsia="Calibri" w:hAnsi="Arial" w:cs="Arial"/>
                <w:bCs/>
                <w:kern w:val="2"/>
                <w:sz w:val="22"/>
                <w:szCs w:val="22"/>
                <w:lang w:eastAsia="en-US"/>
                <w14:ligatures w14:val="standardContextual"/>
              </w:rPr>
              <w:t>, 163-173.</w:t>
            </w:r>
          </w:p>
          <w:p w14:paraId="1C2F3D77"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Goshe, S. (2019). What’s wrong with American criminal justice reform? In </w:t>
            </w:r>
            <w:r w:rsidRPr="004B5E7A">
              <w:rPr>
                <w:rFonts w:ascii="Arial" w:eastAsia="Calibri" w:hAnsi="Arial" w:cs="Arial"/>
                <w:bCs/>
                <w:i/>
                <w:iCs/>
                <w:kern w:val="2"/>
                <w:sz w:val="22"/>
                <w:szCs w:val="22"/>
                <w:lang w:eastAsia="en-US"/>
                <w14:ligatures w14:val="standardContextual"/>
              </w:rPr>
              <w:t>Progressive Justice in an Age of Repression</w:t>
            </w:r>
            <w:r w:rsidRPr="004B5E7A">
              <w:rPr>
                <w:rFonts w:ascii="Arial" w:eastAsia="Calibri" w:hAnsi="Arial" w:cs="Arial"/>
                <w:bCs/>
                <w:kern w:val="2"/>
                <w:sz w:val="22"/>
                <w:szCs w:val="22"/>
                <w:lang w:eastAsia="en-US"/>
                <w14:ligatures w14:val="standardContextual"/>
              </w:rPr>
              <w:t> (pp. 181-192). Routledge.</w:t>
            </w:r>
          </w:p>
          <w:p w14:paraId="5B55BB39" w14:textId="7BBD84D5"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Goshe, S. (2019). How contemporary rehabilitation fails youth and sabotages the American juvenile justice system: A critique and call for change. </w:t>
            </w:r>
            <w:r w:rsidRPr="004B5E7A">
              <w:rPr>
                <w:rFonts w:ascii="Arial" w:eastAsia="Calibri" w:hAnsi="Arial" w:cs="Arial"/>
                <w:bCs/>
                <w:i/>
                <w:iCs/>
                <w:kern w:val="2"/>
                <w:sz w:val="22"/>
                <w:szCs w:val="22"/>
                <w:lang w:eastAsia="en-US"/>
                <w14:ligatures w14:val="standardContextual"/>
              </w:rPr>
              <w:t>Critical criminology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27</w:t>
            </w:r>
            <w:r w:rsidRPr="004B5E7A">
              <w:rPr>
                <w:rFonts w:ascii="Arial" w:eastAsia="Calibri" w:hAnsi="Arial" w:cs="Arial"/>
                <w:bCs/>
                <w:kern w:val="2"/>
                <w:sz w:val="22"/>
                <w:szCs w:val="22"/>
                <w:lang w:eastAsia="en-US"/>
                <w14:ligatures w14:val="standardContextual"/>
              </w:rPr>
              <w:t>, 559-573.</w:t>
            </w:r>
          </w:p>
          <w:p w14:paraId="02FC4E01"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Gov.UK, (2023). </w:t>
            </w:r>
            <w:hyperlink r:id="rId10" w:history="1">
              <w:r w:rsidRPr="004B5E7A">
                <w:rPr>
                  <w:rFonts w:ascii="Arial" w:eastAsia="Calibri" w:hAnsi="Arial" w:cs="Arial"/>
                  <w:bCs/>
                  <w:color w:val="0563C1"/>
                  <w:kern w:val="2"/>
                  <w:sz w:val="22"/>
                  <w:szCs w:val="22"/>
                  <w:u w:val="single"/>
                  <w:lang w:eastAsia="en-US"/>
                  <w14:ligatures w14:val="standardContextual"/>
                </w:rPr>
                <w:t>https://www.gov.uk/age-of-criminal-responsibility</w:t>
              </w:r>
            </w:hyperlink>
          </w:p>
          <w:p w14:paraId="24493D1A"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Graf, G. H. J., Chihuri, S., Blow, M., &amp; Li, G. (2021). Adverse childhood experiences and justice system contact: A systematic review. </w:t>
            </w:r>
            <w:proofErr w:type="spellStart"/>
            <w:r w:rsidRPr="004B5E7A">
              <w:rPr>
                <w:rFonts w:ascii="Arial" w:eastAsia="Calibri" w:hAnsi="Arial" w:cs="Arial"/>
                <w:bCs/>
                <w:i/>
                <w:iCs/>
                <w:kern w:val="2"/>
                <w:sz w:val="22"/>
                <w:szCs w:val="22"/>
                <w:lang w:eastAsia="en-US"/>
                <w14:ligatures w14:val="standardContextual"/>
              </w:rPr>
              <w:t>Pediatrics</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147</w:t>
            </w:r>
            <w:r w:rsidRPr="004B5E7A">
              <w:rPr>
                <w:rFonts w:ascii="Arial" w:eastAsia="Calibri" w:hAnsi="Arial" w:cs="Arial"/>
                <w:bCs/>
                <w:kern w:val="2"/>
                <w:sz w:val="22"/>
                <w:szCs w:val="22"/>
                <w:lang w:eastAsia="en-US"/>
                <w14:ligatures w14:val="standardContextual"/>
              </w:rPr>
              <w:t>(1).</w:t>
            </w:r>
          </w:p>
          <w:p w14:paraId="28B9E5E4"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Grove, L., King, C. M., </w:t>
            </w:r>
            <w:proofErr w:type="spellStart"/>
            <w:r w:rsidRPr="004B5E7A">
              <w:rPr>
                <w:rFonts w:ascii="Arial" w:eastAsia="Calibri" w:hAnsi="Arial" w:cs="Arial"/>
                <w:bCs/>
                <w:kern w:val="2"/>
                <w:sz w:val="22"/>
                <w:szCs w:val="22"/>
                <w:lang w:eastAsia="en-US"/>
                <w14:ligatures w14:val="standardContextual"/>
              </w:rPr>
              <w:t>Bomysoad</w:t>
            </w:r>
            <w:proofErr w:type="spellEnd"/>
            <w:r w:rsidRPr="004B5E7A">
              <w:rPr>
                <w:rFonts w:ascii="Arial" w:eastAsia="Calibri" w:hAnsi="Arial" w:cs="Arial"/>
                <w:bCs/>
                <w:kern w:val="2"/>
                <w:sz w:val="22"/>
                <w:szCs w:val="22"/>
                <w:lang w:eastAsia="en-US"/>
                <w14:ligatures w14:val="standardContextual"/>
              </w:rPr>
              <w:t>, R., Vasquez, L., &amp; Kois, L. E. (2021). Technology for assessment and treatment of justice-involved youth: A systematic literature review. </w:t>
            </w:r>
            <w:r w:rsidRPr="004B5E7A">
              <w:rPr>
                <w:rFonts w:ascii="Arial" w:eastAsia="Calibri" w:hAnsi="Arial" w:cs="Arial"/>
                <w:bCs/>
                <w:i/>
                <w:iCs/>
                <w:kern w:val="2"/>
                <w:sz w:val="22"/>
                <w:szCs w:val="22"/>
                <w:lang w:eastAsia="en-US"/>
                <w14:ligatures w14:val="standardContextual"/>
              </w:rPr>
              <w:t xml:space="preserve">Law and human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45</w:t>
            </w:r>
            <w:r w:rsidRPr="004B5E7A">
              <w:rPr>
                <w:rFonts w:ascii="Arial" w:eastAsia="Calibri" w:hAnsi="Arial" w:cs="Arial"/>
                <w:bCs/>
                <w:kern w:val="2"/>
                <w:sz w:val="22"/>
                <w:szCs w:val="22"/>
                <w:lang w:eastAsia="en-US"/>
                <w14:ligatures w14:val="standardContextual"/>
              </w:rPr>
              <w:t>(5), 413.</w:t>
            </w:r>
          </w:p>
          <w:p w14:paraId="7EB52554"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proofErr w:type="spellStart"/>
            <w:r w:rsidRPr="004B5E7A">
              <w:rPr>
                <w:rFonts w:ascii="Arial" w:eastAsia="Calibri" w:hAnsi="Arial" w:cs="Arial"/>
                <w:bCs/>
                <w:kern w:val="2"/>
                <w:sz w:val="22"/>
                <w:szCs w:val="22"/>
                <w:lang w:eastAsia="en-US"/>
                <w14:ligatures w14:val="standardContextual"/>
              </w:rPr>
              <w:t>Jäggi</w:t>
            </w:r>
            <w:proofErr w:type="spellEnd"/>
            <w:r w:rsidRPr="004B5E7A">
              <w:rPr>
                <w:rFonts w:ascii="Arial" w:eastAsia="Calibri" w:hAnsi="Arial" w:cs="Arial"/>
                <w:bCs/>
                <w:kern w:val="2"/>
                <w:sz w:val="22"/>
                <w:szCs w:val="22"/>
                <w:lang w:eastAsia="en-US"/>
                <w14:ligatures w14:val="standardContextual"/>
              </w:rPr>
              <w:t xml:space="preserve">, L., Kliewer, W., &amp; </w:t>
            </w:r>
            <w:proofErr w:type="spellStart"/>
            <w:r w:rsidRPr="004B5E7A">
              <w:rPr>
                <w:rFonts w:ascii="Arial" w:eastAsia="Calibri" w:hAnsi="Arial" w:cs="Arial"/>
                <w:bCs/>
                <w:kern w:val="2"/>
                <w:sz w:val="22"/>
                <w:szCs w:val="22"/>
                <w:lang w:eastAsia="en-US"/>
                <w14:ligatures w14:val="standardContextual"/>
              </w:rPr>
              <w:t>Serpell</w:t>
            </w:r>
            <w:proofErr w:type="spellEnd"/>
            <w:r w:rsidRPr="004B5E7A">
              <w:rPr>
                <w:rFonts w:ascii="Arial" w:eastAsia="Calibri" w:hAnsi="Arial" w:cs="Arial"/>
                <w:bCs/>
                <w:kern w:val="2"/>
                <w:sz w:val="22"/>
                <w:szCs w:val="22"/>
                <w:lang w:eastAsia="en-US"/>
                <w14:ligatures w14:val="standardContextual"/>
              </w:rPr>
              <w:t>, Z. (2020). Schooling while incarcerated as a turning point for serious juvenile and young adult offenders. </w:t>
            </w:r>
            <w:r w:rsidRPr="004B5E7A">
              <w:rPr>
                <w:rFonts w:ascii="Arial" w:eastAsia="Calibri" w:hAnsi="Arial" w:cs="Arial"/>
                <w:bCs/>
                <w:i/>
                <w:iCs/>
                <w:kern w:val="2"/>
                <w:sz w:val="22"/>
                <w:szCs w:val="22"/>
                <w:lang w:eastAsia="en-US"/>
                <w14:ligatures w14:val="standardContextual"/>
              </w:rPr>
              <w:t>Journal of Adolescence</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78</w:t>
            </w:r>
            <w:r w:rsidRPr="004B5E7A">
              <w:rPr>
                <w:rFonts w:ascii="Arial" w:eastAsia="Calibri" w:hAnsi="Arial" w:cs="Arial"/>
                <w:bCs/>
                <w:kern w:val="2"/>
                <w:sz w:val="22"/>
                <w:szCs w:val="22"/>
                <w:lang w:eastAsia="en-US"/>
                <w14:ligatures w14:val="standardContextual"/>
              </w:rPr>
              <w:t>, 9-23.</w:t>
            </w:r>
          </w:p>
          <w:p w14:paraId="06660EFD"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lastRenderedPageBreak/>
              <w:t xml:space="preserve">James, C., </w:t>
            </w:r>
            <w:proofErr w:type="spellStart"/>
            <w:r w:rsidRPr="004B5E7A">
              <w:rPr>
                <w:rFonts w:ascii="Arial" w:eastAsia="Calibri" w:hAnsi="Arial" w:cs="Arial"/>
                <w:bCs/>
                <w:kern w:val="2"/>
                <w:sz w:val="22"/>
                <w:szCs w:val="22"/>
                <w:lang w:eastAsia="en-US"/>
                <w14:ligatures w14:val="standardContextual"/>
              </w:rPr>
              <w:t>Stams</w:t>
            </w:r>
            <w:proofErr w:type="spellEnd"/>
            <w:r w:rsidRPr="004B5E7A">
              <w:rPr>
                <w:rFonts w:ascii="Arial" w:eastAsia="Calibri" w:hAnsi="Arial" w:cs="Arial"/>
                <w:bCs/>
                <w:kern w:val="2"/>
                <w:sz w:val="22"/>
                <w:szCs w:val="22"/>
                <w:lang w:eastAsia="en-US"/>
                <w14:ligatures w14:val="standardContextual"/>
              </w:rPr>
              <w:t>, G. J. J., Asscher, J. J., De Roo, A. K., &amp; Van der Laan, P. H. (2013). Aftercare programs for reducing recidivism among juvenile and young adult offenders: A meta-analytic review. </w:t>
            </w:r>
            <w:r w:rsidRPr="004B5E7A">
              <w:rPr>
                <w:rFonts w:ascii="Arial" w:eastAsia="Calibri" w:hAnsi="Arial" w:cs="Arial"/>
                <w:bCs/>
                <w:i/>
                <w:iCs/>
                <w:kern w:val="2"/>
                <w:sz w:val="22"/>
                <w:szCs w:val="22"/>
                <w:lang w:eastAsia="en-US"/>
                <w14:ligatures w14:val="standardContextual"/>
              </w:rPr>
              <w:t>Clinical Psychology Review</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33</w:t>
            </w:r>
            <w:r w:rsidRPr="004B5E7A">
              <w:rPr>
                <w:rFonts w:ascii="Arial" w:eastAsia="Calibri" w:hAnsi="Arial" w:cs="Arial"/>
                <w:bCs/>
                <w:kern w:val="2"/>
                <w:sz w:val="22"/>
                <w:szCs w:val="22"/>
                <w:lang w:eastAsia="en-US"/>
                <w14:ligatures w14:val="standardContextual"/>
              </w:rPr>
              <w:t>(2), 263-274.</w:t>
            </w:r>
          </w:p>
          <w:p w14:paraId="1459C2F9"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Jolliffe, D., Farrington, D. P., Piquero, A. R., MacLeod, J. F., &amp; Van de </w:t>
            </w:r>
            <w:proofErr w:type="spellStart"/>
            <w:r w:rsidRPr="004B5E7A">
              <w:rPr>
                <w:rFonts w:ascii="Arial" w:eastAsia="Calibri" w:hAnsi="Arial" w:cs="Arial"/>
                <w:bCs/>
                <w:kern w:val="2"/>
                <w:sz w:val="22"/>
                <w:szCs w:val="22"/>
                <w:lang w:eastAsia="en-US"/>
                <w14:ligatures w14:val="standardContextual"/>
              </w:rPr>
              <w:t>Weijer</w:t>
            </w:r>
            <w:proofErr w:type="spellEnd"/>
            <w:r w:rsidRPr="004B5E7A">
              <w:rPr>
                <w:rFonts w:ascii="Arial" w:eastAsia="Calibri" w:hAnsi="Arial" w:cs="Arial"/>
                <w:bCs/>
                <w:kern w:val="2"/>
                <w:sz w:val="22"/>
                <w:szCs w:val="22"/>
                <w:lang w:eastAsia="en-US"/>
                <w14:ligatures w14:val="standardContextual"/>
              </w:rPr>
              <w:t>, S. (2017). Prevalence of life-course-persistent, adolescence-limited, and late-onset offenders: A systematic review of prospective longitudinal studies. </w:t>
            </w:r>
            <w:r w:rsidRPr="004B5E7A">
              <w:rPr>
                <w:rFonts w:ascii="Arial" w:eastAsia="Calibri" w:hAnsi="Arial" w:cs="Arial"/>
                <w:bCs/>
                <w:i/>
                <w:iCs/>
                <w:kern w:val="2"/>
                <w:sz w:val="22"/>
                <w:szCs w:val="22"/>
                <w:lang w:eastAsia="en-US"/>
                <w14:ligatures w14:val="standardContextual"/>
              </w:rPr>
              <w:t xml:space="preserve">Aggression and violent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33</w:t>
            </w:r>
            <w:r w:rsidRPr="004B5E7A">
              <w:rPr>
                <w:rFonts w:ascii="Arial" w:eastAsia="Calibri" w:hAnsi="Arial" w:cs="Arial"/>
                <w:bCs/>
                <w:kern w:val="2"/>
                <w:sz w:val="22"/>
                <w:szCs w:val="22"/>
                <w:lang w:eastAsia="en-US"/>
                <w14:ligatures w14:val="standardContextual"/>
              </w:rPr>
              <w:t>, 4-14.</w:t>
            </w:r>
          </w:p>
          <w:p w14:paraId="529993BC"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Kaylor, L. E., &amp; </w:t>
            </w:r>
            <w:proofErr w:type="spellStart"/>
            <w:r w:rsidRPr="004B5E7A">
              <w:rPr>
                <w:rFonts w:ascii="Arial" w:eastAsia="Calibri" w:hAnsi="Arial" w:cs="Arial"/>
                <w:bCs/>
                <w:kern w:val="2"/>
                <w:sz w:val="22"/>
                <w:szCs w:val="22"/>
                <w:lang w:eastAsia="en-US"/>
                <w14:ligatures w14:val="standardContextual"/>
              </w:rPr>
              <w:t>Jeglic</w:t>
            </w:r>
            <w:proofErr w:type="spellEnd"/>
            <w:r w:rsidRPr="004B5E7A">
              <w:rPr>
                <w:rFonts w:ascii="Arial" w:eastAsia="Calibri" w:hAnsi="Arial" w:cs="Arial"/>
                <w:bCs/>
                <w:kern w:val="2"/>
                <w:sz w:val="22"/>
                <w:szCs w:val="22"/>
                <w:lang w:eastAsia="en-US"/>
                <w14:ligatures w14:val="standardContextual"/>
              </w:rPr>
              <w:t xml:space="preserve">, E. L. (2022). Integrating strength-based approaches into cognitive </w:t>
            </w:r>
            <w:proofErr w:type="spellStart"/>
            <w:r w:rsidRPr="004B5E7A">
              <w:rPr>
                <w:rFonts w:ascii="Arial" w:eastAsia="Calibri" w:hAnsi="Arial" w:cs="Arial"/>
                <w:bCs/>
                <w:kern w:val="2"/>
                <w:sz w:val="22"/>
                <w:szCs w:val="22"/>
                <w:lang w:eastAsia="en-US"/>
                <w14:ligatures w14:val="standardContextual"/>
              </w:rPr>
              <w:t>behavioral</w:t>
            </w:r>
            <w:proofErr w:type="spellEnd"/>
            <w:r w:rsidRPr="004B5E7A">
              <w:rPr>
                <w:rFonts w:ascii="Arial" w:eastAsia="Calibri" w:hAnsi="Arial" w:cs="Arial"/>
                <w:bCs/>
                <w:kern w:val="2"/>
                <w:sz w:val="22"/>
                <w:szCs w:val="22"/>
                <w:lang w:eastAsia="en-US"/>
                <w14:ligatures w14:val="standardContextual"/>
              </w:rPr>
              <w:t xml:space="preserve"> therapy for those who sexually offend. </w:t>
            </w:r>
            <w:r w:rsidRPr="004B5E7A">
              <w:rPr>
                <w:rFonts w:ascii="Arial" w:eastAsia="Calibri" w:hAnsi="Arial" w:cs="Arial"/>
                <w:bCs/>
                <w:i/>
                <w:iCs/>
                <w:kern w:val="2"/>
                <w:sz w:val="22"/>
                <w:szCs w:val="22"/>
                <w:lang w:eastAsia="en-US"/>
                <w14:ligatures w14:val="standardContextual"/>
              </w:rPr>
              <w:t>Journal of Correctional Health Care</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28</w:t>
            </w:r>
            <w:r w:rsidRPr="004B5E7A">
              <w:rPr>
                <w:rFonts w:ascii="Arial" w:eastAsia="Calibri" w:hAnsi="Arial" w:cs="Arial"/>
                <w:bCs/>
                <w:kern w:val="2"/>
                <w:sz w:val="22"/>
                <w:szCs w:val="22"/>
                <w:lang w:eastAsia="en-US"/>
                <w14:ligatures w14:val="standardContextual"/>
              </w:rPr>
              <w:t>(5), 287-295.</w:t>
            </w:r>
          </w:p>
          <w:p w14:paraId="68C585DC"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Lambie, I., &amp; Randell, I. (2013). The impact of incarceration on juvenile offenders. </w:t>
            </w:r>
            <w:r w:rsidRPr="004B5E7A">
              <w:rPr>
                <w:rFonts w:ascii="Arial" w:eastAsia="Calibri" w:hAnsi="Arial" w:cs="Arial"/>
                <w:bCs/>
                <w:i/>
                <w:iCs/>
                <w:kern w:val="2"/>
                <w:sz w:val="22"/>
                <w:szCs w:val="22"/>
                <w:lang w:eastAsia="en-US"/>
                <w14:ligatures w14:val="standardContextual"/>
              </w:rPr>
              <w:t>Clinical psychology review</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33</w:t>
            </w:r>
            <w:r w:rsidRPr="004B5E7A">
              <w:rPr>
                <w:rFonts w:ascii="Arial" w:eastAsia="Calibri" w:hAnsi="Arial" w:cs="Arial"/>
                <w:bCs/>
                <w:kern w:val="2"/>
                <w:sz w:val="22"/>
                <w:szCs w:val="22"/>
                <w:lang w:eastAsia="en-US"/>
                <w14:ligatures w14:val="standardContextual"/>
              </w:rPr>
              <w:t>(3), 448-459.</w:t>
            </w:r>
          </w:p>
          <w:p w14:paraId="7CAD3EB5"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Lotti, G. (2022). Tough on Young Offenders: Harmful or Helpful? </w:t>
            </w:r>
            <w:r w:rsidRPr="004B5E7A">
              <w:rPr>
                <w:rFonts w:ascii="Arial" w:eastAsia="Calibri" w:hAnsi="Arial" w:cs="Arial"/>
                <w:bCs/>
                <w:i/>
                <w:iCs/>
                <w:kern w:val="2"/>
                <w:sz w:val="22"/>
                <w:szCs w:val="22"/>
                <w:lang w:eastAsia="en-US"/>
                <w14:ligatures w14:val="standardContextual"/>
              </w:rPr>
              <w:t>Journal of Human Resources</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57</w:t>
            </w:r>
            <w:r w:rsidRPr="004B5E7A">
              <w:rPr>
                <w:rFonts w:ascii="Arial" w:eastAsia="Calibri" w:hAnsi="Arial" w:cs="Arial"/>
                <w:bCs/>
                <w:kern w:val="2"/>
                <w:sz w:val="22"/>
                <w:szCs w:val="22"/>
                <w:lang w:eastAsia="en-US"/>
                <w14:ligatures w14:val="standardContextual"/>
              </w:rPr>
              <w:t>(4), 1276-1310.</w:t>
            </w:r>
          </w:p>
          <w:p w14:paraId="1D4B9447"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McLennan, J. D., MacMillan, H. L., &amp; Afifi, T. O. (2020). Questioning the use of adverse childhood experiences (ACEs) questionnaires. </w:t>
            </w:r>
            <w:r w:rsidRPr="004B5E7A">
              <w:rPr>
                <w:rFonts w:ascii="Arial" w:eastAsia="Calibri" w:hAnsi="Arial" w:cs="Arial"/>
                <w:bCs/>
                <w:i/>
                <w:iCs/>
                <w:kern w:val="2"/>
                <w:sz w:val="22"/>
                <w:szCs w:val="22"/>
                <w:lang w:eastAsia="en-US"/>
                <w14:ligatures w14:val="standardContextual"/>
              </w:rPr>
              <w:t>Child Abuse &amp; Neglect</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101</w:t>
            </w:r>
            <w:r w:rsidRPr="004B5E7A">
              <w:rPr>
                <w:rFonts w:ascii="Arial" w:eastAsia="Calibri" w:hAnsi="Arial" w:cs="Arial"/>
                <w:bCs/>
                <w:kern w:val="2"/>
                <w:sz w:val="22"/>
                <w:szCs w:val="22"/>
                <w:lang w:eastAsia="en-US"/>
                <w14:ligatures w14:val="standardContextual"/>
              </w:rPr>
              <w:t>, 104331.</w:t>
            </w:r>
          </w:p>
          <w:p w14:paraId="77841845"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McLennan, J. D., McTavish, J. R., &amp; MacMillan, H. L. (2020). Routine screening of ACEs: Should </w:t>
            </w:r>
            <w:proofErr w:type="gramStart"/>
            <w:r w:rsidRPr="004B5E7A">
              <w:rPr>
                <w:rFonts w:ascii="Arial" w:eastAsia="Calibri" w:hAnsi="Arial" w:cs="Arial"/>
                <w:bCs/>
                <w:kern w:val="2"/>
                <w:sz w:val="22"/>
                <w:szCs w:val="22"/>
                <w:lang w:eastAsia="en-US"/>
                <w14:ligatures w14:val="standardContextual"/>
              </w:rPr>
              <w:t>we</w:t>
            </w:r>
            <w:proofErr w:type="gramEnd"/>
            <w:r w:rsidRPr="004B5E7A">
              <w:rPr>
                <w:rFonts w:ascii="Arial" w:eastAsia="Calibri" w:hAnsi="Arial" w:cs="Arial"/>
                <w:bCs/>
                <w:kern w:val="2"/>
                <w:sz w:val="22"/>
                <w:szCs w:val="22"/>
                <w:lang w:eastAsia="en-US"/>
                <w14:ligatures w14:val="standardContextual"/>
              </w:rPr>
              <w:t xml:space="preserve"> or shouldn’t we? In </w:t>
            </w:r>
            <w:r w:rsidRPr="004B5E7A">
              <w:rPr>
                <w:rFonts w:ascii="Arial" w:eastAsia="Calibri" w:hAnsi="Arial" w:cs="Arial"/>
                <w:bCs/>
                <w:i/>
                <w:iCs/>
                <w:kern w:val="2"/>
                <w:sz w:val="22"/>
                <w:szCs w:val="22"/>
                <w:lang w:eastAsia="en-US"/>
                <w14:ligatures w14:val="standardContextual"/>
              </w:rPr>
              <w:t>Adverse childhood experiences</w:t>
            </w:r>
            <w:r w:rsidRPr="004B5E7A">
              <w:rPr>
                <w:rFonts w:ascii="Arial" w:eastAsia="Calibri" w:hAnsi="Arial" w:cs="Arial"/>
                <w:bCs/>
                <w:kern w:val="2"/>
                <w:sz w:val="22"/>
                <w:szCs w:val="22"/>
                <w:lang w:eastAsia="en-US"/>
                <w14:ligatures w14:val="standardContextual"/>
              </w:rPr>
              <w:t> (pp. 145-159). Academic Press.</w:t>
            </w:r>
          </w:p>
          <w:p w14:paraId="21A3FCEA"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McNeill, F. (2012). Four forms of ‘offender’ rehabilitation: Towards an interdisciplinary perspective. </w:t>
            </w:r>
            <w:r w:rsidRPr="004B5E7A">
              <w:rPr>
                <w:rFonts w:ascii="Arial" w:eastAsia="Calibri" w:hAnsi="Arial" w:cs="Arial"/>
                <w:bCs/>
                <w:i/>
                <w:iCs/>
                <w:kern w:val="2"/>
                <w:sz w:val="22"/>
                <w:szCs w:val="22"/>
                <w:lang w:eastAsia="en-US"/>
                <w14:ligatures w14:val="standardContextual"/>
              </w:rPr>
              <w:t>Legal and Criminological Psychology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17</w:t>
            </w:r>
            <w:r w:rsidRPr="004B5E7A">
              <w:rPr>
                <w:rFonts w:ascii="Arial" w:eastAsia="Calibri" w:hAnsi="Arial" w:cs="Arial"/>
                <w:bCs/>
                <w:kern w:val="2"/>
                <w:sz w:val="22"/>
                <w:szCs w:val="22"/>
                <w:lang w:eastAsia="en-US"/>
                <w14:ligatures w14:val="standardContextual"/>
              </w:rPr>
              <w:t>(1), 18-36.</w:t>
            </w:r>
          </w:p>
          <w:p w14:paraId="2B2A5B93"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Morse, S. J., Wright, K. A., &amp; Klapow, M. (2022). Correctional rehabilitation and positive psychology: Opportunities and challenges. </w:t>
            </w:r>
            <w:r w:rsidRPr="004B5E7A">
              <w:rPr>
                <w:rFonts w:ascii="Arial" w:eastAsia="Calibri" w:hAnsi="Arial" w:cs="Arial"/>
                <w:bCs/>
                <w:i/>
                <w:iCs/>
                <w:kern w:val="2"/>
                <w:sz w:val="22"/>
                <w:szCs w:val="22"/>
                <w:lang w:eastAsia="en-US"/>
                <w14:ligatures w14:val="standardContextual"/>
              </w:rPr>
              <w:t>Sociology Compass</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16</w:t>
            </w:r>
            <w:r w:rsidRPr="004B5E7A">
              <w:rPr>
                <w:rFonts w:ascii="Arial" w:eastAsia="Calibri" w:hAnsi="Arial" w:cs="Arial"/>
                <w:bCs/>
                <w:kern w:val="2"/>
                <w:sz w:val="22"/>
                <w:szCs w:val="22"/>
                <w:lang w:eastAsia="en-US"/>
                <w14:ligatures w14:val="standardContextual"/>
              </w:rPr>
              <w:t>(3), e12960.</w:t>
            </w:r>
          </w:p>
          <w:p w14:paraId="1307E395"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Netto, N. R., Carter, J. M., &amp; Bonell, C. (2014). A systematic review of interventions that adopt the “Good Lives” approach to offender rehabilitation. </w:t>
            </w:r>
            <w:r w:rsidRPr="004B5E7A">
              <w:rPr>
                <w:rFonts w:ascii="Arial" w:eastAsia="Calibri" w:hAnsi="Arial" w:cs="Arial"/>
                <w:bCs/>
                <w:i/>
                <w:iCs/>
                <w:kern w:val="2"/>
                <w:sz w:val="22"/>
                <w:szCs w:val="22"/>
                <w:lang w:eastAsia="en-US"/>
                <w14:ligatures w14:val="standardContextual"/>
              </w:rPr>
              <w:t>Journal of Offender Rehabilitation</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53</w:t>
            </w:r>
            <w:r w:rsidRPr="004B5E7A">
              <w:rPr>
                <w:rFonts w:ascii="Arial" w:eastAsia="Calibri" w:hAnsi="Arial" w:cs="Arial"/>
                <w:bCs/>
                <w:kern w:val="2"/>
                <w:sz w:val="22"/>
                <w:szCs w:val="22"/>
                <w:lang w:eastAsia="en-US"/>
                <w14:ligatures w14:val="standardContextual"/>
              </w:rPr>
              <w:t>(6), 403-432.</w:t>
            </w:r>
          </w:p>
          <w:p w14:paraId="30B2820D"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Paton, J., Crouch, W., &amp; Camic, P. (2009). Young offenders' experiences of traumatic life events: A qualitative investigation. </w:t>
            </w:r>
            <w:r w:rsidRPr="004B5E7A">
              <w:rPr>
                <w:rFonts w:ascii="Arial" w:eastAsia="Calibri" w:hAnsi="Arial" w:cs="Arial"/>
                <w:bCs/>
                <w:i/>
                <w:iCs/>
                <w:kern w:val="2"/>
                <w:sz w:val="22"/>
                <w:szCs w:val="22"/>
                <w:lang w:eastAsia="en-US"/>
                <w14:ligatures w14:val="standardContextual"/>
              </w:rPr>
              <w:t>Clinical child psychology and psychiatry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14</w:t>
            </w:r>
            <w:r w:rsidRPr="004B5E7A">
              <w:rPr>
                <w:rFonts w:ascii="Arial" w:eastAsia="Calibri" w:hAnsi="Arial" w:cs="Arial"/>
                <w:bCs/>
                <w:kern w:val="2"/>
                <w:sz w:val="22"/>
                <w:szCs w:val="22"/>
                <w:lang w:eastAsia="en-US"/>
                <w14:ligatures w14:val="standardContextual"/>
              </w:rPr>
              <w:t>(1), 43-62.</w:t>
            </w:r>
          </w:p>
          <w:p w14:paraId="4B340C08"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Petrosino, A., Turpin-Petrosino, C., &amp; </w:t>
            </w:r>
            <w:proofErr w:type="spellStart"/>
            <w:r w:rsidRPr="004B5E7A">
              <w:rPr>
                <w:rFonts w:ascii="Arial" w:eastAsia="Calibri" w:hAnsi="Arial" w:cs="Arial"/>
                <w:bCs/>
                <w:kern w:val="2"/>
                <w:sz w:val="22"/>
                <w:szCs w:val="22"/>
                <w:lang w:eastAsia="en-US"/>
                <w14:ligatures w14:val="standardContextual"/>
              </w:rPr>
              <w:t>Guckenburg</w:t>
            </w:r>
            <w:proofErr w:type="spellEnd"/>
            <w:r w:rsidRPr="004B5E7A">
              <w:rPr>
                <w:rFonts w:ascii="Arial" w:eastAsia="Calibri" w:hAnsi="Arial" w:cs="Arial"/>
                <w:bCs/>
                <w:kern w:val="2"/>
                <w:sz w:val="22"/>
                <w:szCs w:val="22"/>
                <w:lang w:eastAsia="en-US"/>
                <w14:ligatures w14:val="standardContextual"/>
              </w:rPr>
              <w:t>, S. (2017). The impact of juvenile system processing on delinquency. In </w:t>
            </w:r>
            <w:proofErr w:type="spellStart"/>
            <w:r w:rsidRPr="004B5E7A">
              <w:rPr>
                <w:rFonts w:ascii="Arial" w:eastAsia="Calibri" w:hAnsi="Arial" w:cs="Arial"/>
                <w:bCs/>
                <w:i/>
                <w:iCs/>
                <w:kern w:val="2"/>
                <w:sz w:val="22"/>
                <w:szCs w:val="22"/>
                <w:lang w:eastAsia="en-US"/>
                <w14:ligatures w14:val="standardContextual"/>
              </w:rPr>
              <w:t>Labeling</w:t>
            </w:r>
            <w:proofErr w:type="spellEnd"/>
            <w:r w:rsidRPr="004B5E7A">
              <w:rPr>
                <w:rFonts w:ascii="Arial" w:eastAsia="Calibri" w:hAnsi="Arial" w:cs="Arial"/>
                <w:bCs/>
                <w:i/>
                <w:iCs/>
                <w:kern w:val="2"/>
                <w:sz w:val="22"/>
                <w:szCs w:val="22"/>
                <w:lang w:eastAsia="en-US"/>
                <w14:ligatures w14:val="standardContextual"/>
              </w:rPr>
              <w:t xml:space="preserve"> Theory</w:t>
            </w:r>
            <w:r w:rsidRPr="004B5E7A">
              <w:rPr>
                <w:rFonts w:ascii="Arial" w:eastAsia="Calibri" w:hAnsi="Arial" w:cs="Arial"/>
                <w:bCs/>
                <w:kern w:val="2"/>
                <w:sz w:val="22"/>
                <w:szCs w:val="22"/>
                <w:lang w:eastAsia="en-US"/>
                <w14:ligatures w14:val="standardContextual"/>
              </w:rPr>
              <w:t> (pp. 113-147). Routledge.</w:t>
            </w:r>
          </w:p>
          <w:p w14:paraId="26BE6A8C"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lastRenderedPageBreak/>
              <w:t>Pooley, K. (2020). What are the characteristics of effective youth offender programs? </w:t>
            </w:r>
            <w:r w:rsidRPr="004B5E7A">
              <w:rPr>
                <w:rFonts w:ascii="Arial" w:eastAsia="Calibri" w:hAnsi="Arial" w:cs="Arial"/>
                <w:bCs/>
                <w:i/>
                <w:iCs/>
                <w:kern w:val="2"/>
                <w:sz w:val="22"/>
                <w:szCs w:val="22"/>
                <w:lang w:eastAsia="en-US"/>
                <w14:ligatures w14:val="standardContextual"/>
              </w:rPr>
              <w:t>Trends and Issues in Crime and Criminal Justice [electronic resource]</w:t>
            </w:r>
            <w:r w:rsidRPr="004B5E7A">
              <w:rPr>
                <w:rFonts w:ascii="Arial" w:eastAsia="Calibri" w:hAnsi="Arial" w:cs="Arial"/>
                <w:bCs/>
                <w:kern w:val="2"/>
                <w:sz w:val="22"/>
                <w:szCs w:val="22"/>
                <w:lang w:eastAsia="en-US"/>
                <w14:ligatures w14:val="standardContextual"/>
              </w:rPr>
              <w:t>, (604), 1-22.</w:t>
            </w:r>
          </w:p>
          <w:p w14:paraId="720A35F4"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Prescott, D. S. (2013). Principles and programs for young offenders. </w:t>
            </w:r>
            <w:r w:rsidRPr="004B5E7A">
              <w:rPr>
                <w:rFonts w:ascii="Arial" w:eastAsia="Calibri" w:hAnsi="Arial" w:cs="Arial"/>
                <w:bCs/>
                <w:i/>
                <w:iCs/>
                <w:kern w:val="2"/>
                <w:sz w:val="22"/>
                <w:szCs w:val="22"/>
                <w:lang w:eastAsia="en-US"/>
                <w14:ligatures w14:val="standardContextual"/>
              </w:rPr>
              <w:t>Resource Material Series</w:t>
            </w:r>
            <w:r w:rsidRPr="004B5E7A">
              <w:rPr>
                <w:rFonts w:ascii="Arial" w:eastAsia="Calibri" w:hAnsi="Arial" w:cs="Arial"/>
                <w:bCs/>
                <w:kern w:val="2"/>
                <w:sz w:val="22"/>
                <w:szCs w:val="22"/>
                <w:lang w:eastAsia="en-US"/>
                <w14:ligatures w14:val="standardContextual"/>
              </w:rPr>
              <w:t>, (91), 69-79.</w:t>
            </w:r>
          </w:p>
          <w:p w14:paraId="0CC4BB38"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Sankofa, J., Cox, A., Fader, J. J., Inderbitzin, M., Abrams, L. S., &amp; Nurse, A. M. (2018). Juvenile corrections in the era of reform: A meta-synthesis of qualitative studies. </w:t>
            </w:r>
            <w:r w:rsidRPr="004B5E7A">
              <w:rPr>
                <w:rFonts w:ascii="Arial" w:eastAsia="Calibri" w:hAnsi="Arial" w:cs="Arial"/>
                <w:bCs/>
                <w:i/>
                <w:iCs/>
                <w:kern w:val="2"/>
                <w:sz w:val="22"/>
                <w:szCs w:val="22"/>
                <w:lang w:eastAsia="en-US"/>
                <w14:ligatures w14:val="standardContextual"/>
              </w:rPr>
              <w:t>International Journal of Offender Therapy and Comparative Criminology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62</w:t>
            </w:r>
            <w:r w:rsidRPr="004B5E7A">
              <w:rPr>
                <w:rFonts w:ascii="Arial" w:eastAsia="Calibri" w:hAnsi="Arial" w:cs="Arial"/>
                <w:bCs/>
                <w:kern w:val="2"/>
                <w:sz w:val="22"/>
                <w:szCs w:val="22"/>
                <w:lang w:eastAsia="en-US"/>
                <w14:ligatures w14:val="standardContextual"/>
              </w:rPr>
              <w:t>(7), 1763-1786.</w:t>
            </w:r>
          </w:p>
          <w:p w14:paraId="724F0445"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Serie, C. M., De Ruiter, C., </w:t>
            </w:r>
            <w:proofErr w:type="spellStart"/>
            <w:r w:rsidRPr="004B5E7A">
              <w:rPr>
                <w:rFonts w:ascii="Arial" w:eastAsia="Calibri" w:hAnsi="Arial" w:cs="Arial"/>
                <w:bCs/>
                <w:kern w:val="2"/>
                <w:sz w:val="22"/>
                <w:szCs w:val="22"/>
                <w:lang w:eastAsia="en-US"/>
                <w14:ligatures w14:val="standardContextual"/>
              </w:rPr>
              <w:t>Pleysier</w:t>
            </w:r>
            <w:proofErr w:type="spellEnd"/>
            <w:r w:rsidRPr="004B5E7A">
              <w:rPr>
                <w:rFonts w:ascii="Arial" w:eastAsia="Calibri" w:hAnsi="Arial" w:cs="Arial"/>
                <w:bCs/>
                <w:kern w:val="2"/>
                <w:sz w:val="22"/>
                <w:szCs w:val="22"/>
                <w:lang w:eastAsia="en-US"/>
                <w14:ligatures w14:val="standardContextual"/>
              </w:rPr>
              <w:t>, S., &amp; Put, J. (2023). Self-perceived views on offender rehabilitation in detained adolescent boys: a qualitative analysis in the context of the good lives model. </w:t>
            </w:r>
            <w:r w:rsidRPr="004B5E7A">
              <w:rPr>
                <w:rFonts w:ascii="Arial" w:eastAsia="Calibri" w:hAnsi="Arial" w:cs="Arial"/>
                <w:bCs/>
                <w:i/>
                <w:iCs/>
                <w:kern w:val="2"/>
                <w:sz w:val="22"/>
                <w:szCs w:val="22"/>
                <w:lang w:eastAsia="en-US"/>
                <w14:ligatures w14:val="standardContextual"/>
              </w:rPr>
              <w:t>Frontiers in Psychology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14</w:t>
            </w:r>
            <w:r w:rsidRPr="004B5E7A">
              <w:rPr>
                <w:rFonts w:ascii="Arial" w:eastAsia="Calibri" w:hAnsi="Arial" w:cs="Arial"/>
                <w:bCs/>
                <w:kern w:val="2"/>
                <w:sz w:val="22"/>
                <w:szCs w:val="22"/>
                <w:lang w:eastAsia="en-US"/>
                <w14:ligatures w14:val="standardContextual"/>
              </w:rPr>
              <w:t>, 1153093.</w:t>
            </w:r>
          </w:p>
          <w:p w14:paraId="5C63BC5B"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Straus, M. A., Gelles, R. J., &amp; Asplund, L. M. (1990). Physical violence in American families: Risk factors and adaptations to violence in 8,145 families.</w:t>
            </w:r>
          </w:p>
          <w:p w14:paraId="793DE179"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proofErr w:type="spellStart"/>
            <w:r w:rsidRPr="004B5E7A">
              <w:rPr>
                <w:rFonts w:ascii="Arial" w:eastAsia="Calibri" w:hAnsi="Arial" w:cs="Arial"/>
                <w:bCs/>
                <w:kern w:val="2"/>
                <w:sz w:val="22"/>
                <w:szCs w:val="22"/>
                <w:lang w:eastAsia="en-US"/>
                <w14:ligatures w14:val="standardContextual"/>
              </w:rPr>
              <w:t>Teplin</w:t>
            </w:r>
            <w:proofErr w:type="spellEnd"/>
            <w:r w:rsidRPr="004B5E7A">
              <w:rPr>
                <w:rFonts w:ascii="Arial" w:eastAsia="Calibri" w:hAnsi="Arial" w:cs="Arial"/>
                <w:bCs/>
                <w:kern w:val="2"/>
                <w:sz w:val="22"/>
                <w:szCs w:val="22"/>
                <w:lang w:eastAsia="en-US"/>
                <w14:ligatures w14:val="standardContextual"/>
              </w:rPr>
              <w:t xml:space="preserve">, L. A., Potthoff, L. M., Aaby, D. A., Welty, L. J., </w:t>
            </w:r>
            <w:proofErr w:type="spellStart"/>
            <w:r w:rsidRPr="004B5E7A">
              <w:rPr>
                <w:rFonts w:ascii="Arial" w:eastAsia="Calibri" w:hAnsi="Arial" w:cs="Arial"/>
                <w:bCs/>
                <w:kern w:val="2"/>
                <w:sz w:val="22"/>
                <w:szCs w:val="22"/>
                <w:lang w:eastAsia="en-US"/>
                <w14:ligatures w14:val="standardContextual"/>
              </w:rPr>
              <w:t>Dulcan</w:t>
            </w:r>
            <w:proofErr w:type="spellEnd"/>
            <w:r w:rsidRPr="004B5E7A">
              <w:rPr>
                <w:rFonts w:ascii="Arial" w:eastAsia="Calibri" w:hAnsi="Arial" w:cs="Arial"/>
                <w:bCs/>
                <w:kern w:val="2"/>
                <w:sz w:val="22"/>
                <w:szCs w:val="22"/>
                <w:lang w:eastAsia="en-US"/>
                <w14:ligatures w14:val="standardContextual"/>
              </w:rPr>
              <w:t>, M. K., &amp; Abram, K. M. (2021). Prevalence, comorbidity, and continuity of psychiatric disorders in a 15-year longitudinal study of youths involved in the juvenile justice system. </w:t>
            </w:r>
            <w:r w:rsidRPr="004B5E7A">
              <w:rPr>
                <w:rFonts w:ascii="Arial" w:eastAsia="Calibri" w:hAnsi="Arial" w:cs="Arial"/>
                <w:bCs/>
                <w:i/>
                <w:iCs/>
                <w:kern w:val="2"/>
                <w:sz w:val="22"/>
                <w:szCs w:val="22"/>
                <w:lang w:eastAsia="en-US"/>
                <w14:ligatures w14:val="standardContextual"/>
              </w:rPr>
              <w:t xml:space="preserve">JAMA </w:t>
            </w:r>
            <w:proofErr w:type="spellStart"/>
            <w:r w:rsidRPr="004B5E7A">
              <w:rPr>
                <w:rFonts w:ascii="Arial" w:eastAsia="Calibri" w:hAnsi="Arial" w:cs="Arial"/>
                <w:bCs/>
                <w:i/>
                <w:iCs/>
                <w:kern w:val="2"/>
                <w:sz w:val="22"/>
                <w:szCs w:val="22"/>
                <w:lang w:eastAsia="en-US"/>
                <w14:ligatures w14:val="standardContextual"/>
              </w:rPr>
              <w:t>pediatrics</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175</w:t>
            </w:r>
            <w:r w:rsidRPr="004B5E7A">
              <w:rPr>
                <w:rFonts w:ascii="Arial" w:eastAsia="Calibri" w:hAnsi="Arial" w:cs="Arial"/>
                <w:bCs/>
                <w:kern w:val="2"/>
                <w:sz w:val="22"/>
                <w:szCs w:val="22"/>
                <w:lang w:eastAsia="en-US"/>
                <w14:ligatures w14:val="standardContextual"/>
              </w:rPr>
              <w:t>(7), e205807-e205807.</w:t>
            </w:r>
          </w:p>
          <w:p w14:paraId="55FFC6CF"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Turner, D., Wolf, A. J., Barra, S., Müller, M., Gregório Hertz, P., Huss, M., &amp; Retz, W. (2021). The association between adverse childhood experiences and mental health problems in young offenders. </w:t>
            </w:r>
            <w:r w:rsidRPr="004B5E7A">
              <w:rPr>
                <w:rFonts w:ascii="Arial" w:eastAsia="Calibri" w:hAnsi="Arial" w:cs="Arial"/>
                <w:bCs/>
                <w:i/>
                <w:iCs/>
                <w:kern w:val="2"/>
                <w:sz w:val="22"/>
                <w:szCs w:val="22"/>
                <w:lang w:eastAsia="en-US"/>
                <w14:ligatures w14:val="standardContextual"/>
              </w:rPr>
              <w:t>European child &amp; adolescent psychiatry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30</w:t>
            </w:r>
            <w:r w:rsidRPr="004B5E7A">
              <w:rPr>
                <w:rFonts w:ascii="Arial" w:eastAsia="Calibri" w:hAnsi="Arial" w:cs="Arial"/>
                <w:bCs/>
                <w:kern w:val="2"/>
                <w:sz w:val="22"/>
                <w:szCs w:val="22"/>
                <w:lang w:eastAsia="en-US"/>
                <w14:ligatures w14:val="standardContextual"/>
              </w:rPr>
              <w:t>, 1195-1207.</w:t>
            </w:r>
          </w:p>
          <w:p w14:paraId="507AC3BF"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Van Damme, L., Fortune, C. A., Vandevelde, S., &amp; </w:t>
            </w:r>
            <w:proofErr w:type="spellStart"/>
            <w:r w:rsidRPr="004B5E7A">
              <w:rPr>
                <w:rFonts w:ascii="Arial" w:eastAsia="Calibri" w:hAnsi="Arial" w:cs="Arial"/>
                <w:bCs/>
                <w:kern w:val="2"/>
                <w:sz w:val="22"/>
                <w:szCs w:val="22"/>
                <w:lang w:eastAsia="en-US"/>
                <w14:ligatures w14:val="standardContextual"/>
              </w:rPr>
              <w:t>Vanderplasschen</w:t>
            </w:r>
            <w:proofErr w:type="spellEnd"/>
            <w:r w:rsidRPr="004B5E7A">
              <w:rPr>
                <w:rFonts w:ascii="Arial" w:eastAsia="Calibri" w:hAnsi="Arial" w:cs="Arial"/>
                <w:bCs/>
                <w:kern w:val="2"/>
                <w:sz w:val="22"/>
                <w:szCs w:val="22"/>
                <w:lang w:eastAsia="en-US"/>
                <w14:ligatures w14:val="standardContextual"/>
              </w:rPr>
              <w:t>, W. (2017). The Good Lives Model among detained female adolescents. </w:t>
            </w:r>
            <w:r w:rsidRPr="004B5E7A">
              <w:rPr>
                <w:rFonts w:ascii="Arial" w:eastAsia="Calibri" w:hAnsi="Arial" w:cs="Arial"/>
                <w:bCs/>
                <w:i/>
                <w:iCs/>
                <w:kern w:val="2"/>
                <w:sz w:val="22"/>
                <w:szCs w:val="22"/>
                <w:lang w:eastAsia="en-US"/>
                <w14:ligatures w14:val="standardContextual"/>
              </w:rPr>
              <w:t xml:space="preserve">Aggression and Violent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37</w:t>
            </w:r>
            <w:r w:rsidRPr="004B5E7A">
              <w:rPr>
                <w:rFonts w:ascii="Arial" w:eastAsia="Calibri" w:hAnsi="Arial" w:cs="Arial"/>
                <w:bCs/>
                <w:kern w:val="2"/>
                <w:sz w:val="22"/>
                <w:szCs w:val="22"/>
                <w:lang w:eastAsia="en-US"/>
                <w14:ligatures w14:val="standardContextual"/>
              </w:rPr>
              <w:t>, 179-189.</w:t>
            </w:r>
          </w:p>
          <w:p w14:paraId="10B45A58"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Van der Put, C. E., </w:t>
            </w:r>
            <w:proofErr w:type="spellStart"/>
            <w:r w:rsidRPr="004B5E7A">
              <w:rPr>
                <w:rFonts w:ascii="Arial" w:eastAsia="Calibri" w:hAnsi="Arial" w:cs="Arial"/>
                <w:bCs/>
                <w:kern w:val="2"/>
                <w:sz w:val="22"/>
                <w:szCs w:val="22"/>
                <w:lang w:eastAsia="en-US"/>
                <w14:ligatures w14:val="standardContextual"/>
              </w:rPr>
              <w:t>Stams</w:t>
            </w:r>
            <w:proofErr w:type="spellEnd"/>
            <w:r w:rsidRPr="004B5E7A">
              <w:rPr>
                <w:rFonts w:ascii="Arial" w:eastAsia="Calibri" w:hAnsi="Arial" w:cs="Arial"/>
                <w:bCs/>
                <w:kern w:val="2"/>
                <w:sz w:val="22"/>
                <w:szCs w:val="22"/>
                <w:lang w:eastAsia="en-US"/>
                <w14:ligatures w14:val="standardContextual"/>
              </w:rPr>
              <w:t xml:space="preserve">, G. J. J., Hoeve, M., </w:t>
            </w:r>
            <w:proofErr w:type="spellStart"/>
            <w:r w:rsidRPr="004B5E7A">
              <w:rPr>
                <w:rFonts w:ascii="Arial" w:eastAsia="Calibri" w:hAnsi="Arial" w:cs="Arial"/>
                <w:bCs/>
                <w:kern w:val="2"/>
                <w:sz w:val="22"/>
                <w:szCs w:val="22"/>
                <w:lang w:eastAsia="en-US"/>
                <w14:ligatures w14:val="standardContextual"/>
              </w:rPr>
              <w:t>Deković</w:t>
            </w:r>
            <w:proofErr w:type="spellEnd"/>
            <w:r w:rsidRPr="004B5E7A">
              <w:rPr>
                <w:rFonts w:ascii="Arial" w:eastAsia="Calibri" w:hAnsi="Arial" w:cs="Arial"/>
                <w:bCs/>
                <w:kern w:val="2"/>
                <w:sz w:val="22"/>
                <w:szCs w:val="22"/>
                <w:lang w:eastAsia="en-US"/>
                <w14:ligatures w14:val="standardContextual"/>
              </w:rPr>
              <w:t>, M., Spanjaard, H. J. M., van der Laan, P. H., &amp; Barnoski, R. P. (2012). Changes in the relative importance of dynamic risk factors for recidivism during adolescence. </w:t>
            </w:r>
            <w:r w:rsidRPr="004B5E7A">
              <w:rPr>
                <w:rFonts w:ascii="Arial" w:eastAsia="Calibri" w:hAnsi="Arial" w:cs="Arial"/>
                <w:bCs/>
                <w:i/>
                <w:iCs/>
                <w:kern w:val="2"/>
                <w:sz w:val="22"/>
                <w:szCs w:val="22"/>
                <w:lang w:eastAsia="en-US"/>
                <w14:ligatures w14:val="standardContextual"/>
              </w:rPr>
              <w:t>International Journal of Offender Therapy and Comparative Criminology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56</w:t>
            </w:r>
            <w:r w:rsidRPr="004B5E7A">
              <w:rPr>
                <w:rFonts w:ascii="Arial" w:eastAsia="Calibri" w:hAnsi="Arial" w:cs="Arial"/>
                <w:bCs/>
                <w:kern w:val="2"/>
                <w:sz w:val="22"/>
                <w:szCs w:val="22"/>
                <w:lang w:eastAsia="en-US"/>
                <w14:ligatures w14:val="standardContextual"/>
              </w:rPr>
              <w:t>(2), 296-316.</w:t>
            </w:r>
          </w:p>
          <w:p w14:paraId="71FAA148"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Viljoen, J. L., </w:t>
            </w:r>
            <w:proofErr w:type="spellStart"/>
            <w:r w:rsidRPr="004B5E7A">
              <w:rPr>
                <w:rFonts w:ascii="Arial" w:eastAsia="Calibri" w:hAnsi="Arial" w:cs="Arial"/>
                <w:bCs/>
                <w:kern w:val="2"/>
                <w:sz w:val="22"/>
                <w:szCs w:val="22"/>
                <w:lang w:eastAsia="en-US"/>
                <w14:ligatures w14:val="standardContextual"/>
              </w:rPr>
              <w:t>Bhanwer</w:t>
            </w:r>
            <w:proofErr w:type="spellEnd"/>
            <w:r w:rsidRPr="004B5E7A">
              <w:rPr>
                <w:rFonts w:ascii="Arial" w:eastAsia="Calibri" w:hAnsi="Arial" w:cs="Arial"/>
                <w:bCs/>
                <w:kern w:val="2"/>
                <w:sz w:val="22"/>
                <w:szCs w:val="22"/>
                <w:lang w:eastAsia="en-US"/>
                <w14:ligatures w14:val="standardContextual"/>
              </w:rPr>
              <w:t>, A. K., Shaffer, C. S., &amp; Douglas, K. S. (2020). Assessing protective factors for adolescent offending: A conceptually informed examination of the SAVRY and YLS/CMI. </w:t>
            </w:r>
            <w:r w:rsidRPr="004B5E7A">
              <w:rPr>
                <w:rFonts w:ascii="Arial" w:eastAsia="Calibri" w:hAnsi="Arial" w:cs="Arial"/>
                <w:bCs/>
                <w:i/>
                <w:iCs/>
                <w:kern w:val="2"/>
                <w:sz w:val="22"/>
                <w:szCs w:val="22"/>
                <w:lang w:eastAsia="en-US"/>
                <w14:ligatures w14:val="standardContextual"/>
              </w:rPr>
              <w:t>Assessment</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27</w:t>
            </w:r>
            <w:r w:rsidRPr="004B5E7A">
              <w:rPr>
                <w:rFonts w:ascii="Arial" w:eastAsia="Calibri" w:hAnsi="Arial" w:cs="Arial"/>
                <w:bCs/>
                <w:kern w:val="2"/>
                <w:sz w:val="22"/>
                <w:szCs w:val="22"/>
                <w:lang w:eastAsia="en-US"/>
                <w14:ligatures w14:val="standardContextual"/>
              </w:rPr>
              <w:t>(5), 959-975.</w:t>
            </w:r>
          </w:p>
          <w:p w14:paraId="370A33A7"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lastRenderedPageBreak/>
              <w:t>Vincent, G. M., Guy, L. S., Gershenson, B. G., &amp; McCabe, P. (2012). Does risk assessment make a difference? Results of implementing the SAVRY in juvenile probation. </w:t>
            </w:r>
            <w:proofErr w:type="spellStart"/>
            <w:r w:rsidRPr="004B5E7A">
              <w:rPr>
                <w:rFonts w:ascii="Arial" w:eastAsia="Calibri" w:hAnsi="Arial" w:cs="Arial"/>
                <w:bCs/>
                <w:i/>
                <w:iCs/>
                <w:kern w:val="2"/>
                <w:sz w:val="22"/>
                <w:szCs w:val="22"/>
                <w:lang w:eastAsia="en-US"/>
                <w14:ligatures w14:val="standardContextual"/>
              </w:rPr>
              <w:t>Behavioral</w:t>
            </w:r>
            <w:proofErr w:type="spellEnd"/>
            <w:r w:rsidRPr="004B5E7A">
              <w:rPr>
                <w:rFonts w:ascii="Arial" w:eastAsia="Calibri" w:hAnsi="Arial" w:cs="Arial"/>
                <w:bCs/>
                <w:i/>
                <w:iCs/>
                <w:kern w:val="2"/>
                <w:sz w:val="22"/>
                <w:szCs w:val="22"/>
                <w:lang w:eastAsia="en-US"/>
                <w14:ligatures w14:val="standardContextual"/>
              </w:rPr>
              <w:t xml:space="preserve"> sciences &amp; the law</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30</w:t>
            </w:r>
            <w:r w:rsidRPr="004B5E7A">
              <w:rPr>
                <w:rFonts w:ascii="Arial" w:eastAsia="Calibri" w:hAnsi="Arial" w:cs="Arial"/>
                <w:bCs/>
                <w:kern w:val="2"/>
                <w:sz w:val="22"/>
                <w:szCs w:val="22"/>
                <w:lang w:eastAsia="en-US"/>
                <w14:ligatures w14:val="standardContextual"/>
              </w:rPr>
              <w:t>(4), 384-405.</w:t>
            </w:r>
          </w:p>
          <w:p w14:paraId="1D6C681C"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Ward, T. (2002). Good lives and the rehabilitation of offenders: Promises and problems. </w:t>
            </w:r>
            <w:r w:rsidRPr="004B5E7A">
              <w:rPr>
                <w:rFonts w:ascii="Arial" w:eastAsia="Calibri" w:hAnsi="Arial" w:cs="Arial"/>
                <w:bCs/>
                <w:i/>
                <w:iCs/>
                <w:kern w:val="2"/>
                <w:sz w:val="22"/>
                <w:szCs w:val="22"/>
                <w:lang w:eastAsia="en-US"/>
                <w14:ligatures w14:val="standardContextual"/>
              </w:rPr>
              <w:t xml:space="preserve">Aggression and Violent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7</w:t>
            </w:r>
            <w:r w:rsidRPr="004B5E7A">
              <w:rPr>
                <w:rFonts w:ascii="Arial" w:eastAsia="Calibri" w:hAnsi="Arial" w:cs="Arial"/>
                <w:bCs/>
                <w:kern w:val="2"/>
                <w:sz w:val="22"/>
                <w:szCs w:val="22"/>
                <w:lang w:eastAsia="en-US"/>
                <w14:ligatures w14:val="standardContextual"/>
              </w:rPr>
              <w:t>(5), 513-528.</w:t>
            </w:r>
          </w:p>
          <w:p w14:paraId="62E2B6DD"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Ward, T. (2012). The good lives model of offender rehabilitation: Basic assumptions, aetiological commitments, and practice implications. In </w:t>
            </w:r>
            <w:r w:rsidRPr="004B5E7A">
              <w:rPr>
                <w:rFonts w:ascii="Arial" w:eastAsia="Calibri" w:hAnsi="Arial" w:cs="Arial"/>
                <w:bCs/>
                <w:i/>
                <w:iCs/>
                <w:kern w:val="2"/>
                <w:sz w:val="22"/>
                <w:szCs w:val="22"/>
                <w:lang w:eastAsia="en-US"/>
                <w14:ligatures w14:val="standardContextual"/>
              </w:rPr>
              <w:t>Offender Supervision</w:t>
            </w:r>
            <w:r w:rsidRPr="004B5E7A">
              <w:rPr>
                <w:rFonts w:ascii="Arial" w:eastAsia="Calibri" w:hAnsi="Arial" w:cs="Arial"/>
                <w:bCs/>
                <w:kern w:val="2"/>
                <w:sz w:val="22"/>
                <w:szCs w:val="22"/>
                <w:lang w:eastAsia="en-US"/>
                <w14:ligatures w14:val="standardContextual"/>
              </w:rPr>
              <w:t> (pp. 41-64). Willan.</w:t>
            </w:r>
          </w:p>
          <w:p w14:paraId="2E8E1B12"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Ward, T., Mann, R. E., &amp; Gannon, T. A. (2007). The good lives model of offender rehabilitation: Clinical implications. </w:t>
            </w:r>
            <w:r w:rsidRPr="004B5E7A">
              <w:rPr>
                <w:rFonts w:ascii="Arial" w:eastAsia="Calibri" w:hAnsi="Arial" w:cs="Arial"/>
                <w:bCs/>
                <w:i/>
                <w:iCs/>
                <w:kern w:val="2"/>
                <w:sz w:val="22"/>
                <w:szCs w:val="22"/>
                <w:lang w:eastAsia="en-US"/>
                <w14:ligatures w14:val="standardContextual"/>
              </w:rPr>
              <w:t xml:space="preserve">Aggression and violent </w:t>
            </w:r>
            <w:proofErr w:type="spellStart"/>
            <w:r w:rsidRPr="004B5E7A">
              <w:rPr>
                <w:rFonts w:ascii="Arial" w:eastAsia="Calibri" w:hAnsi="Arial" w:cs="Arial"/>
                <w:bCs/>
                <w:i/>
                <w:iCs/>
                <w:kern w:val="2"/>
                <w:sz w:val="22"/>
                <w:szCs w:val="22"/>
                <w:lang w:eastAsia="en-US"/>
                <w14:ligatures w14:val="standardContextual"/>
              </w:rPr>
              <w:t>behavior</w:t>
            </w:r>
            <w:proofErr w:type="spellEnd"/>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12</w:t>
            </w:r>
            <w:r w:rsidRPr="004B5E7A">
              <w:rPr>
                <w:rFonts w:ascii="Arial" w:eastAsia="Calibri" w:hAnsi="Arial" w:cs="Arial"/>
                <w:bCs/>
                <w:kern w:val="2"/>
                <w:sz w:val="22"/>
                <w:szCs w:val="22"/>
                <w:lang w:eastAsia="en-US"/>
                <w14:ligatures w14:val="standardContextual"/>
              </w:rPr>
              <w:t>(1), 87-107.</w:t>
            </w:r>
          </w:p>
          <w:p w14:paraId="1CB152C4"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Western, B., Braga, A. A., Davis, J., &amp; Sirois, C. (2015). Stress and hardship after prison. </w:t>
            </w:r>
            <w:r w:rsidRPr="004B5E7A">
              <w:rPr>
                <w:rFonts w:ascii="Arial" w:eastAsia="Calibri" w:hAnsi="Arial" w:cs="Arial"/>
                <w:bCs/>
                <w:i/>
                <w:iCs/>
                <w:kern w:val="2"/>
                <w:sz w:val="22"/>
                <w:szCs w:val="22"/>
                <w:lang w:eastAsia="en-US"/>
                <w14:ligatures w14:val="standardContextual"/>
              </w:rPr>
              <w:t>American Journal of Sociology</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120</w:t>
            </w:r>
            <w:r w:rsidRPr="004B5E7A">
              <w:rPr>
                <w:rFonts w:ascii="Arial" w:eastAsia="Calibri" w:hAnsi="Arial" w:cs="Arial"/>
                <w:bCs/>
                <w:kern w:val="2"/>
                <w:sz w:val="22"/>
                <w:szCs w:val="22"/>
                <w:lang w:eastAsia="en-US"/>
                <w14:ligatures w14:val="standardContextual"/>
              </w:rPr>
              <w:t>(5), 1512-1547.</w:t>
            </w:r>
          </w:p>
          <w:p w14:paraId="59C0D8C8" w14:textId="77777777" w:rsidR="004B5E7A" w:rsidRPr="004B5E7A" w:rsidRDefault="004B5E7A" w:rsidP="004B5E7A">
            <w:pPr>
              <w:spacing w:after="160" w:line="360" w:lineRule="auto"/>
              <w:ind w:left="720" w:hanging="720"/>
              <w:rPr>
                <w:rFonts w:ascii="Arial" w:eastAsia="Calibri" w:hAnsi="Arial" w:cs="Arial"/>
                <w:kern w:val="2"/>
                <w:sz w:val="22"/>
                <w:szCs w:val="22"/>
                <w:lang w:eastAsia="en-US"/>
                <w14:ligatures w14:val="standardContextual"/>
              </w:rPr>
            </w:pPr>
            <w:proofErr w:type="spellStart"/>
            <w:r w:rsidRPr="004B5E7A">
              <w:rPr>
                <w:rFonts w:ascii="Arial" w:eastAsia="Calibri" w:hAnsi="Arial" w:cs="Arial"/>
                <w:kern w:val="2"/>
                <w:sz w:val="22"/>
                <w:szCs w:val="22"/>
                <w:lang w:eastAsia="en-US"/>
                <w14:ligatures w14:val="standardContextual"/>
              </w:rPr>
              <w:t>Wibbelink</w:t>
            </w:r>
            <w:proofErr w:type="spellEnd"/>
            <w:r w:rsidRPr="004B5E7A">
              <w:rPr>
                <w:rFonts w:ascii="Arial" w:eastAsia="Calibri" w:hAnsi="Arial" w:cs="Arial"/>
                <w:kern w:val="2"/>
                <w:sz w:val="22"/>
                <w:szCs w:val="22"/>
                <w:lang w:eastAsia="en-US"/>
                <w14:ligatures w14:val="standardContextual"/>
              </w:rPr>
              <w:t xml:space="preserve">, C. J., Hoeve, M., </w:t>
            </w:r>
            <w:proofErr w:type="spellStart"/>
            <w:r w:rsidRPr="004B5E7A">
              <w:rPr>
                <w:rFonts w:ascii="Arial" w:eastAsia="Calibri" w:hAnsi="Arial" w:cs="Arial"/>
                <w:kern w:val="2"/>
                <w:sz w:val="22"/>
                <w:szCs w:val="22"/>
                <w:lang w:eastAsia="en-US"/>
                <w14:ligatures w14:val="standardContextual"/>
              </w:rPr>
              <w:t>Stams</w:t>
            </w:r>
            <w:proofErr w:type="spellEnd"/>
            <w:r w:rsidRPr="004B5E7A">
              <w:rPr>
                <w:rFonts w:ascii="Arial" w:eastAsia="Calibri" w:hAnsi="Arial" w:cs="Arial"/>
                <w:kern w:val="2"/>
                <w:sz w:val="22"/>
                <w:szCs w:val="22"/>
                <w:lang w:eastAsia="en-US"/>
                <w14:ligatures w14:val="standardContextual"/>
              </w:rPr>
              <w:t>, G. J. J., &amp; Oort, F. J. (2017). A meta-analysis of the association between mental disorders and juvenile recidivism. </w:t>
            </w:r>
            <w:r w:rsidRPr="004B5E7A">
              <w:rPr>
                <w:rFonts w:ascii="Arial" w:eastAsia="Calibri" w:hAnsi="Arial" w:cs="Arial"/>
                <w:i/>
                <w:iCs/>
                <w:kern w:val="2"/>
                <w:sz w:val="22"/>
                <w:szCs w:val="22"/>
                <w:lang w:eastAsia="en-US"/>
                <w14:ligatures w14:val="standardContextual"/>
              </w:rPr>
              <w:t>Aggression and violent behaviour</w:t>
            </w:r>
            <w:r w:rsidRPr="004B5E7A">
              <w:rPr>
                <w:rFonts w:ascii="Arial" w:eastAsia="Calibri" w:hAnsi="Arial" w:cs="Arial"/>
                <w:kern w:val="2"/>
                <w:sz w:val="22"/>
                <w:szCs w:val="22"/>
                <w:lang w:eastAsia="en-US"/>
                <w14:ligatures w14:val="standardContextual"/>
              </w:rPr>
              <w:t>, </w:t>
            </w:r>
            <w:r w:rsidRPr="004B5E7A">
              <w:rPr>
                <w:rFonts w:ascii="Arial" w:eastAsia="Calibri" w:hAnsi="Arial" w:cs="Arial"/>
                <w:i/>
                <w:iCs/>
                <w:kern w:val="2"/>
                <w:sz w:val="22"/>
                <w:szCs w:val="22"/>
                <w:lang w:eastAsia="en-US"/>
                <w14:ligatures w14:val="standardContextual"/>
              </w:rPr>
              <w:t>33</w:t>
            </w:r>
            <w:r w:rsidRPr="004B5E7A">
              <w:rPr>
                <w:rFonts w:ascii="Arial" w:eastAsia="Calibri" w:hAnsi="Arial" w:cs="Arial"/>
                <w:kern w:val="2"/>
                <w:sz w:val="22"/>
                <w:szCs w:val="22"/>
                <w:lang w:eastAsia="en-US"/>
                <w14:ligatures w14:val="standardContextual"/>
              </w:rPr>
              <w:t>, 78-90.</w:t>
            </w:r>
          </w:p>
          <w:p w14:paraId="5649579B" w14:textId="77777777" w:rsidR="004B5E7A" w:rsidRPr="004B5E7A" w:rsidRDefault="004B5E7A" w:rsidP="004B5E7A">
            <w:pPr>
              <w:spacing w:after="160" w:line="360" w:lineRule="auto"/>
              <w:ind w:left="720" w:hanging="720"/>
              <w:rPr>
                <w:rFonts w:ascii="Arial" w:eastAsia="Calibri" w:hAnsi="Arial" w:cs="Arial"/>
                <w:kern w:val="2"/>
                <w:sz w:val="22"/>
                <w:szCs w:val="22"/>
                <w:lang w:eastAsia="en-US"/>
                <w14:ligatures w14:val="standardContextual"/>
              </w:rPr>
            </w:pPr>
            <w:r w:rsidRPr="004B5E7A">
              <w:rPr>
                <w:rFonts w:ascii="Arial" w:eastAsia="Calibri" w:hAnsi="Arial" w:cs="Arial"/>
                <w:kern w:val="2"/>
                <w:sz w:val="22"/>
                <w:szCs w:val="22"/>
                <w:lang w:eastAsia="en-US"/>
                <w14:ligatures w14:val="standardContextual"/>
              </w:rPr>
              <w:t xml:space="preserve">Wolff, K. T., </w:t>
            </w:r>
            <w:proofErr w:type="spellStart"/>
            <w:r w:rsidRPr="004B5E7A">
              <w:rPr>
                <w:rFonts w:ascii="Arial" w:eastAsia="Calibri" w:hAnsi="Arial" w:cs="Arial"/>
                <w:kern w:val="2"/>
                <w:sz w:val="22"/>
                <w:szCs w:val="22"/>
                <w:lang w:eastAsia="en-US"/>
                <w14:ligatures w14:val="standardContextual"/>
              </w:rPr>
              <w:t>Baglivio</w:t>
            </w:r>
            <w:proofErr w:type="spellEnd"/>
            <w:r w:rsidRPr="004B5E7A">
              <w:rPr>
                <w:rFonts w:ascii="Arial" w:eastAsia="Calibri" w:hAnsi="Arial" w:cs="Arial"/>
                <w:kern w:val="2"/>
                <w:sz w:val="22"/>
                <w:szCs w:val="22"/>
                <w:lang w:eastAsia="en-US"/>
                <w14:ligatures w14:val="standardContextual"/>
              </w:rPr>
              <w:t>, M. T., &amp; Piquero, A. R. (2017). The relationship between adverse childhood experiences and recidivism in a sample of juvenile offenders in community-based treatment. </w:t>
            </w:r>
            <w:r w:rsidRPr="004B5E7A">
              <w:rPr>
                <w:rFonts w:ascii="Arial" w:eastAsia="Calibri" w:hAnsi="Arial" w:cs="Arial"/>
                <w:i/>
                <w:iCs/>
                <w:kern w:val="2"/>
                <w:sz w:val="22"/>
                <w:szCs w:val="22"/>
                <w:lang w:eastAsia="en-US"/>
                <w14:ligatures w14:val="standardContextual"/>
              </w:rPr>
              <w:t>International Journal of Offender Therapy and Comparative Criminology</w:t>
            </w:r>
            <w:r w:rsidRPr="004B5E7A">
              <w:rPr>
                <w:rFonts w:ascii="Arial" w:eastAsia="Calibri" w:hAnsi="Arial" w:cs="Arial"/>
                <w:kern w:val="2"/>
                <w:sz w:val="22"/>
                <w:szCs w:val="22"/>
                <w:lang w:eastAsia="en-US"/>
                <w14:ligatures w14:val="standardContextual"/>
              </w:rPr>
              <w:t>, </w:t>
            </w:r>
            <w:r w:rsidRPr="004B5E7A">
              <w:rPr>
                <w:rFonts w:ascii="Arial" w:eastAsia="Calibri" w:hAnsi="Arial" w:cs="Arial"/>
                <w:i/>
                <w:iCs/>
                <w:kern w:val="2"/>
                <w:sz w:val="22"/>
                <w:szCs w:val="22"/>
                <w:lang w:eastAsia="en-US"/>
                <w14:ligatures w14:val="standardContextual"/>
              </w:rPr>
              <w:t>61</w:t>
            </w:r>
            <w:r w:rsidRPr="004B5E7A">
              <w:rPr>
                <w:rFonts w:ascii="Arial" w:eastAsia="Calibri" w:hAnsi="Arial" w:cs="Arial"/>
                <w:kern w:val="2"/>
                <w:sz w:val="22"/>
                <w:szCs w:val="22"/>
                <w:lang w:eastAsia="en-US"/>
                <w14:ligatures w14:val="standardContextual"/>
              </w:rPr>
              <w:t>(11), 1210-1242.</w:t>
            </w:r>
          </w:p>
          <w:p w14:paraId="56B2C52D"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Young, S., Greer, B., &amp; Church, R. (2017). Juvenile delinquency, welfare, justice, and therapeutic interventions: a global perspective. </w:t>
            </w:r>
            <w:proofErr w:type="spellStart"/>
            <w:r w:rsidRPr="004B5E7A">
              <w:rPr>
                <w:rFonts w:ascii="Arial" w:eastAsia="Calibri" w:hAnsi="Arial" w:cs="Arial"/>
                <w:bCs/>
                <w:i/>
                <w:iCs/>
                <w:kern w:val="2"/>
                <w:sz w:val="22"/>
                <w:szCs w:val="22"/>
                <w:lang w:eastAsia="en-US"/>
                <w14:ligatures w14:val="standardContextual"/>
              </w:rPr>
              <w:t>BJPsych</w:t>
            </w:r>
            <w:proofErr w:type="spellEnd"/>
            <w:r w:rsidRPr="004B5E7A">
              <w:rPr>
                <w:rFonts w:ascii="Arial" w:eastAsia="Calibri" w:hAnsi="Arial" w:cs="Arial"/>
                <w:bCs/>
                <w:i/>
                <w:iCs/>
                <w:kern w:val="2"/>
                <w:sz w:val="22"/>
                <w:szCs w:val="22"/>
                <w:lang w:eastAsia="en-US"/>
                <w14:ligatures w14:val="standardContextual"/>
              </w:rPr>
              <w:t xml:space="preserve"> bulletin</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41</w:t>
            </w:r>
            <w:r w:rsidRPr="004B5E7A">
              <w:rPr>
                <w:rFonts w:ascii="Arial" w:eastAsia="Calibri" w:hAnsi="Arial" w:cs="Arial"/>
                <w:bCs/>
                <w:kern w:val="2"/>
                <w:sz w:val="22"/>
                <w:szCs w:val="22"/>
                <w:lang w:eastAsia="en-US"/>
                <w14:ligatures w14:val="standardContextual"/>
              </w:rPr>
              <w:t>(1), 21-29.</w:t>
            </w:r>
          </w:p>
          <w:p w14:paraId="23433075"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 xml:space="preserve">Zettler, H. R., Wolff, K., </w:t>
            </w:r>
            <w:proofErr w:type="spellStart"/>
            <w:r w:rsidRPr="004B5E7A">
              <w:rPr>
                <w:rFonts w:ascii="Arial" w:eastAsia="Calibri" w:hAnsi="Arial" w:cs="Arial"/>
                <w:bCs/>
                <w:kern w:val="2"/>
                <w:sz w:val="22"/>
                <w:szCs w:val="22"/>
                <w:lang w:eastAsia="en-US"/>
                <w14:ligatures w14:val="standardContextual"/>
              </w:rPr>
              <w:t>Baglivio</w:t>
            </w:r>
            <w:proofErr w:type="spellEnd"/>
            <w:r w:rsidRPr="004B5E7A">
              <w:rPr>
                <w:rFonts w:ascii="Arial" w:eastAsia="Calibri" w:hAnsi="Arial" w:cs="Arial"/>
                <w:bCs/>
                <w:kern w:val="2"/>
                <w:sz w:val="22"/>
                <w:szCs w:val="22"/>
                <w:lang w:eastAsia="en-US"/>
                <w14:ligatures w14:val="standardContextual"/>
              </w:rPr>
              <w:t>, M., Craig, J. M., &amp; Epps, N. (2018). The racial and gender differences in the impact of adverse childhood experiences on juvenile residential placement. </w:t>
            </w:r>
            <w:r w:rsidRPr="004B5E7A">
              <w:rPr>
                <w:rFonts w:ascii="Arial" w:eastAsia="Calibri" w:hAnsi="Arial" w:cs="Arial"/>
                <w:bCs/>
                <w:i/>
                <w:iCs/>
                <w:kern w:val="2"/>
                <w:sz w:val="22"/>
                <w:szCs w:val="22"/>
                <w:lang w:eastAsia="en-US"/>
                <w14:ligatures w14:val="standardContextual"/>
              </w:rPr>
              <w:t>Youth Violence and Juvenile Justice</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16</w:t>
            </w:r>
            <w:r w:rsidRPr="004B5E7A">
              <w:rPr>
                <w:rFonts w:ascii="Arial" w:eastAsia="Calibri" w:hAnsi="Arial" w:cs="Arial"/>
                <w:bCs/>
                <w:kern w:val="2"/>
                <w:sz w:val="22"/>
                <w:szCs w:val="22"/>
                <w:lang w:eastAsia="en-US"/>
                <w14:ligatures w14:val="standardContextual"/>
              </w:rPr>
              <w:t>(3), 319-337.</w:t>
            </w:r>
          </w:p>
          <w:p w14:paraId="63A6BB90" w14:textId="77777777" w:rsidR="004B5E7A" w:rsidRPr="004B5E7A" w:rsidRDefault="004B5E7A" w:rsidP="004B5E7A">
            <w:pPr>
              <w:spacing w:after="160" w:line="360" w:lineRule="auto"/>
              <w:ind w:left="720" w:hanging="720"/>
              <w:rPr>
                <w:rFonts w:ascii="Arial" w:eastAsia="Calibri" w:hAnsi="Arial" w:cs="Arial"/>
                <w:bCs/>
                <w:kern w:val="2"/>
                <w:sz w:val="22"/>
                <w:szCs w:val="22"/>
                <w:lang w:eastAsia="en-US"/>
                <w14:ligatures w14:val="standardContextual"/>
              </w:rPr>
            </w:pPr>
            <w:r w:rsidRPr="004B5E7A">
              <w:rPr>
                <w:rFonts w:ascii="Arial" w:eastAsia="Calibri" w:hAnsi="Arial" w:cs="Arial"/>
                <w:bCs/>
                <w:kern w:val="2"/>
                <w:sz w:val="22"/>
                <w:szCs w:val="22"/>
                <w:lang w:eastAsia="en-US"/>
                <w14:ligatures w14:val="standardContextual"/>
              </w:rPr>
              <w:t>Zhou, J., Witt, K., Cao, X., Chen, C., &amp; Wang, X. (2017). Predicting reoffending using the Structured Assessment of Violence Risk in Youth (SAVRY): A 5-year follow-up study of male juvenile offenders in Hunan Province, China. </w:t>
            </w:r>
            <w:proofErr w:type="spellStart"/>
            <w:r w:rsidRPr="004B5E7A">
              <w:rPr>
                <w:rFonts w:ascii="Arial" w:eastAsia="Calibri" w:hAnsi="Arial" w:cs="Arial"/>
                <w:bCs/>
                <w:i/>
                <w:iCs/>
                <w:kern w:val="2"/>
                <w:sz w:val="22"/>
                <w:szCs w:val="22"/>
                <w:lang w:eastAsia="en-US"/>
                <w14:ligatures w14:val="standardContextual"/>
              </w:rPr>
              <w:t>PLoS</w:t>
            </w:r>
            <w:proofErr w:type="spellEnd"/>
            <w:r w:rsidRPr="004B5E7A">
              <w:rPr>
                <w:rFonts w:ascii="Arial" w:eastAsia="Calibri" w:hAnsi="Arial" w:cs="Arial"/>
                <w:bCs/>
                <w:i/>
                <w:iCs/>
                <w:kern w:val="2"/>
                <w:sz w:val="22"/>
                <w:szCs w:val="22"/>
                <w:lang w:eastAsia="en-US"/>
                <w14:ligatures w14:val="standardContextual"/>
              </w:rPr>
              <w:t xml:space="preserve"> one</w:t>
            </w:r>
            <w:r w:rsidRPr="004B5E7A">
              <w:rPr>
                <w:rFonts w:ascii="Arial" w:eastAsia="Calibri" w:hAnsi="Arial" w:cs="Arial"/>
                <w:bCs/>
                <w:kern w:val="2"/>
                <w:sz w:val="22"/>
                <w:szCs w:val="22"/>
                <w:lang w:eastAsia="en-US"/>
                <w14:ligatures w14:val="standardContextual"/>
              </w:rPr>
              <w:t>, </w:t>
            </w:r>
            <w:r w:rsidRPr="004B5E7A">
              <w:rPr>
                <w:rFonts w:ascii="Arial" w:eastAsia="Calibri" w:hAnsi="Arial" w:cs="Arial"/>
                <w:bCs/>
                <w:i/>
                <w:iCs/>
                <w:kern w:val="2"/>
                <w:sz w:val="22"/>
                <w:szCs w:val="22"/>
                <w:lang w:eastAsia="en-US"/>
                <w14:ligatures w14:val="standardContextual"/>
              </w:rPr>
              <w:t>12</w:t>
            </w:r>
            <w:r w:rsidRPr="004B5E7A">
              <w:rPr>
                <w:rFonts w:ascii="Arial" w:eastAsia="Calibri" w:hAnsi="Arial" w:cs="Arial"/>
                <w:bCs/>
                <w:kern w:val="2"/>
                <w:sz w:val="22"/>
                <w:szCs w:val="22"/>
                <w:lang w:eastAsia="en-US"/>
                <w14:ligatures w14:val="standardContextual"/>
              </w:rPr>
              <w:t>(1), e0169251.</w:t>
            </w:r>
          </w:p>
          <w:p w14:paraId="1C545CD3" w14:textId="08D11690" w:rsidR="004B5E7A" w:rsidRPr="00FE6063" w:rsidRDefault="004B5E7A" w:rsidP="009A3093">
            <w:pPr>
              <w:pStyle w:val="ListParagraph"/>
              <w:spacing w:line="360" w:lineRule="auto"/>
              <w:ind w:hanging="720"/>
              <w:rPr>
                <w:rFonts w:ascii="Arial" w:hAnsi="Arial" w:cs="Arial"/>
              </w:rPr>
            </w:pPr>
          </w:p>
        </w:tc>
      </w:tr>
    </w:tbl>
    <w:p w14:paraId="38339D17" w14:textId="77777777" w:rsidR="009E10F9" w:rsidRDefault="009E10F9" w:rsidP="009E10F9">
      <w:pPr>
        <w:jc w:val="both"/>
        <w:rPr>
          <w:rFonts w:ascii="Arial" w:hAnsi="Arial" w:cs="Arial"/>
        </w:rPr>
      </w:pPr>
    </w:p>
    <w:p w14:paraId="2F1E3BB8" w14:textId="77777777" w:rsidR="009E10F9" w:rsidRDefault="009E10F9" w:rsidP="009E10F9">
      <w:pPr>
        <w:jc w:val="both"/>
        <w:rPr>
          <w:rFonts w:ascii="Arial" w:hAnsi="Arial" w:cs="Arial"/>
        </w:rPr>
      </w:pPr>
    </w:p>
    <w:p w14:paraId="35E5DCCF" w14:textId="77777777" w:rsidR="009E10F9" w:rsidRDefault="009E10F9" w:rsidP="009E10F9">
      <w:pPr>
        <w:jc w:val="both"/>
        <w:rPr>
          <w:rFonts w:ascii="Arial" w:hAnsi="Arial" w:cs="Arial"/>
        </w:rPr>
      </w:pPr>
    </w:p>
    <w:p w14:paraId="4E54B84E" w14:textId="77777777" w:rsidR="002A36C9" w:rsidRDefault="002A36C9"/>
    <w:sectPr w:rsidR="002A36C9">
      <w:footerReference w:type="even"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A52C" w14:textId="77777777" w:rsidR="00572A1F" w:rsidRDefault="00572A1F">
      <w:r>
        <w:separator/>
      </w:r>
    </w:p>
  </w:endnote>
  <w:endnote w:type="continuationSeparator" w:id="0">
    <w:p w14:paraId="5F6B53C8" w14:textId="77777777" w:rsidR="00572A1F" w:rsidRDefault="0057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CC158E"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CC158E" w:rsidRDefault="00CC158E"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CC158E"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CC158E" w:rsidRDefault="00CC158E"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05945" w14:textId="77777777" w:rsidR="00572A1F" w:rsidRDefault="00572A1F">
      <w:r>
        <w:separator/>
      </w:r>
    </w:p>
  </w:footnote>
  <w:footnote w:type="continuationSeparator" w:id="0">
    <w:p w14:paraId="29BDC6B6" w14:textId="77777777" w:rsidR="00572A1F" w:rsidRDefault="00572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88E"/>
    <w:multiLevelType w:val="multilevel"/>
    <w:tmpl w:val="62DA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33668"/>
    <w:multiLevelType w:val="multilevel"/>
    <w:tmpl w:val="F236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902FB9"/>
    <w:multiLevelType w:val="multilevel"/>
    <w:tmpl w:val="2D5220B0"/>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9410D9"/>
    <w:multiLevelType w:val="multilevel"/>
    <w:tmpl w:val="14B4B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B4A84"/>
    <w:multiLevelType w:val="multilevel"/>
    <w:tmpl w:val="B74C57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5356A9"/>
    <w:multiLevelType w:val="multilevel"/>
    <w:tmpl w:val="CA5493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E33D3C"/>
    <w:multiLevelType w:val="multilevel"/>
    <w:tmpl w:val="CDB0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FE722B"/>
    <w:multiLevelType w:val="multilevel"/>
    <w:tmpl w:val="47F60E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064A27"/>
    <w:multiLevelType w:val="multilevel"/>
    <w:tmpl w:val="DF2080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8A2D14"/>
    <w:multiLevelType w:val="multilevel"/>
    <w:tmpl w:val="05F84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0044DA"/>
    <w:multiLevelType w:val="multilevel"/>
    <w:tmpl w:val="424CAC5A"/>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17CF1"/>
    <w:multiLevelType w:val="multilevel"/>
    <w:tmpl w:val="F6001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BC172F"/>
    <w:multiLevelType w:val="multilevel"/>
    <w:tmpl w:val="1FC6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13"/>
  </w:num>
  <w:num w:numId="2" w16cid:durableId="1905487966">
    <w:abstractNumId w:val="4"/>
  </w:num>
  <w:num w:numId="3" w16cid:durableId="1584677746">
    <w:abstractNumId w:val="11"/>
  </w:num>
  <w:num w:numId="4" w16cid:durableId="1845169655">
    <w:abstractNumId w:val="3"/>
  </w:num>
  <w:num w:numId="5" w16cid:durableId="1249772465">
    <w:abstractNumId w:val="9"/>
  </w:num>
  <w:num w:numId="6" w16cid:durableId="56361730">
    <w:abstractNumId w:val="6"/>
  </w:num>
  <w:num w:numId="7" w16cid:durableId="2143383045">
    <w:abstractNumId w:val="1"/>
  </w:num>
  <w:num w:numId="8" w16cid:durableId="461315263">
    <w:abstractNumId w:val="0"/>
  </w:num>
  <w:num w:numId="9" w16cid:durableId="24794803">
    <w:abstractNumId w:val="7"/>
  </w:num>
  <w:num w:numId="10" w16cid:durableId="1435787150">
    <w:abstractNumId w:val="10"/>
  </w:num>
  <w:num w:numId="11" w16cid:durableId="1125536432">
    <w:abstractNumId w:val="2"/>
  </w:num>
  <w:num w:numId="12" w16cid:durableId="1983191517">
    <w:abstractNumId w:val="12"/>
  </w:num>
  <w:num w:numId="13" w16cid:durableId="1932926531">
    <w:abstractNumId w:val="5"/>
  </w:num>
  <w:num w:numId="14" w16cid:durableId="1184201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31CB9B2-4359-4AD2-9783-202D235E1476}"/>
    <w:docVar w:name="dgnword-eventsink" w:val="2763333792912"/>
  </w:docVars>
  <w:rsids>
    <w:rsidRoot w:val="009E10F9"/>
    <w:rsid w:val="00011C0B"/>
    <w:rsid w:val="00021207"/>
    <w:rsid w:val="00021253"/>
    <w:rsid w:val="000256F2"/>
    <w:rsid w:val="0003399D"/>
    <w:rsid w:val="00042AA0"/>
    <w:rsid w:val="0004502B"/>
    <w:rsid w:val="00045A63"/>
    <w:rsid w:val="00045B17"/>
    <w:rsid w:val="00046926"/>
    <w:rsid w:val="00046C6B"/>
    <w:rsid w:val="00050F9A"/>
    <w:rsid w:val="00052FAF"/>
    <w:rsid w:val="000546E9"/>
    <w:rsid w:val="000558F1"/>
    <w:rsid w:val="000666BA"/>
    <w:rsid w:val="00066FBC"/>
    <w:rsid w:val="00072684"/>
    <w:rsid w:val="0007316D"/>
    <w:rsid w:val="00073B21"/>
    <w:rsid w:val="00074271"/>
    <w:rsid w:val="0007692B"/>
    <w:rsid w:val="000775EF"/>
    <w:rsid w:val="00080F19"/>
    <w:rsid w:val="0008240E"/>
    <w:rsid w:val="000837BB"/>
    <w:rsid w:val="000912B3"/>
    <w:rsid w:val="000928C6"/>
    <w:rsid w:val="0009781F"/>
    <w:rsid w:val="000A0D0F"/>
    <w:rsid w:val="000A4924"/>
    <w:rsid w:val="000A6A3C"/>
    <w:rsid w:val="000B26A4"/>
    <w:rsid w:val="000B27F6"/>
    <w:rsid w:val="000B404A"/>
    <w:rsid w:val="000C0889"/>
    <w:rsid w:val="000C53BE"/>
    <w:rsid w:val="000C549D"/>
    <w:rsid w:val="000D06E3"/>
    <w:rsid w:val="000D16DC"/>
    <w:rsid w:val="000E0125"/>
    <w:rsid w:val="000E0EC8"/>
    <w:rsid w:val="000E23F1"/>
    <w:rsid w:val="000E2B84"/>
    <w:rsid w:val="000E3251"/>
    <w:rsid w:val="000F0960"/>
    <w:rsid w:val="000F1693"/>
    <w:rsid w:val="000F5955"/>
    <w:rsid w:val="000F5C39"/>
    <w:rsid w:val="00100E65"/>
    <w:rsid w:val="0010317E"/>
    <w:rsid w:val="00106FC8"/>
    <w:rsid w:val="001070D2"/>
    <w:rsid w:val="00111701"/>
    <w:rsid w:val="00120FF5"/>
    <w:rsid w:val="0012280A"/>
    <w:rsid w:val="00127CAE"/>
    <w:rsid w:val="00133488"/>
    <w:rsid w:val="00134F14"/>
    <w:rsid w:val="00135138"/>
    <w:rsid w:val="00142285"/>
    <w:rsid w:val="001449E1"/>
    <w:rsid w:val="00150FF0"/>
    <w:rsid w:val="001521B8"/>
    <w:rsid w:val="001538D0"/>
    <w:rsid w:val="001622AF"/>
    <w:rsid w:val="00162603"/>
    <w:rsid w:val="0017034A"/>
    <w:rsid w:val="0017278B"/>
    <w:rsid w:val="00176B72"/>
    <w:rsid w:val="00182D86"/>
    <w:rsid w:val="00183678"/>
    <w:rsid w:val="00183E61"/>
    <w:rsid w:val="00186027"/>
    <w:rsid w:val="00186407"/>
    <w:rsid w:val="00186A84"/>
    <w:rsid w:val="00190919"/>
    <w:rsid w:val="00192E6F"/>
    <w:rsid w:val="00195C7C"/>
    <w:rsid w:val="00196A2C"/>
    <w:rsid w:val="00197360"/>
    <w:rsid w:val="001A0EE9"/>
    <w:rsid w:val="001B093A"/>
    <w:rsid w:val="001B2756"/>
    <w:rsid w:val="001B6B06"/>
    <w:rsid w:val="001C1606"/>
    <w:rsid w:val="001C4BD0"/>
    <w:rsid w:val="001D2066"/>
    <w:rsid w:val="001D5C70"/>
    <w:rsid w:val="001D67ED"/>
    <w:rsid w:val="001E3EDE"/>
    <w:rsid w:val="001E5559"/>
    <w:rsid w:val="001E5C6E"/>
    <w:rsid w:val="001E6313"/>
    <w:rsid w:val="001F2F6A"/>
    <w:rsid w:val="001F4BAA"/>
    <w:rsid w:val="001F5597"/>
    <w:rsid w:val="001F7FF6"/>
    <w:rsid w:val="00201C50"/>
    <w:rsid w:val="0020288E"/>
    <w:rsid w:val="00207B0E"/>
    <w:rsid w:val="00210378"/>
    <w:rsid w:val="00210DD1"/>
    <w:rsid w:val="002121BF"/>
    <w:rsid w:val="00212A97"/>
    <w:rsid w:val="00212E85"/>
    <w:rsid w:val="00215558"/>
    <w:rsid w:val="002158E3"/>
    <w:rsid w:val="00215904"/>
    <w:rsid w:val="0021604B"/>
    <w:rsid w:val="00223612"/>
    <w:rsid w:val="002245EE"/>
    <w:rsid w:val="002318DD"/>
    <w:rsid w:val="00233B98"/>
    <w:rsid w:val="0023528F"/>
    <w:rsid w:val="00236856"/>
    <w:rsid w:val="00241300"/>
    <w:rsid w:val="00242194"/>
    <w:rsid w:val="002449C2"/>
    <w:rsid w:val="00244CED"/>
    <w:rsid w:val="00245C20"/>
    <w:rsid w:val="00246BAE"/>
    <w:rsid w:val="00246F5B"/>
    <w:rsid w:val="00247D9D"/>
    <w:rsid w:val="002515E1"/>
    <w:rsid w:val="002517FE"/>
    <w:rsid w:val="00252676"/>
    <w:rsid w:val="002533E7"/>
    <w:rsid w:val="00253711"/>
    <w:rsid w:val="00256523"/>
    <w:rsid w:val="00256978"/>
    <w:rsid w:val="002576C6"/>
    <w:rsid w:val="002603B1"/>
    <w:rsid w:val="00264398"/>
    <w:rsid w:val="00267D79"/>
    <w:rsid w:val="00270343"/>
    <w:rsid w:val="00272D72"/>
    <w:rsid w:val="0027403C"/>
    <w:rsid w:val="00274578"/>
    <w:rsid w:val="00276558"/>
    <w:rsid w:val="00280275"/>
    <w:rsid w:val="00280CBE"/>
    <w:rsid w:val="00285175"/>
    <w:rsid w:val="002862C8"/>
    <w:rsid w:val="00286668"/>
    <w:rsid w:val="002876DE"/>
    <w:rsid w:val="00290F00"/>
    <w:rsid w:val="002912E5"/>
    <w:rsid w:val="00294A24"/>
    <w:rsid w:val="00294F97"/>
    <w:rsid w:val="002A013F"/>
    <w:rsid w:val="002A0819"/>
    <w:rsid w:val="002A0838"/>
    <w:rsid w:val="002A36C9"/>
    <w:rsid w:val="002B2E6B"/>
    <w:rsid w:val="002B5B4E"/>
    <w:rsid w:val="002B5D15"/>
    <w:rsid w:val="002B6167"/>
    <w:rsid w:val="002B6ED0"/>
    <w:rsid w:val="002C22B3"/>
    <w:rsid w:val="002C2DB8"/>
    <w:rsid w:val="002C56D7"/>
    <w:rsid w:val="002C6BD2"/>
    <w:rsid w:val="002C7394"/>
    <w:rsid w:val="002D07F6"/>
    <w:rsid w:val="002D0BBD"/>
    <w:rsid w:val="002D2079"/>
    <w:rsid w:val="002D3417"/>
    <w:rsid w:val="002D4BB4"/>
    <w:rsid w:val="002D7AF5"/>
    <w:rsid w:val="002E17A7"/>
    <w:rsid w:val="002E3CAE"/>
    <w:rsid w:val="002E474C"/>
    <w:rsid w:val="002E6D12"/>
    <w:rsid w:val="002E726E"/>
    <w:rsid w:val="002E78DA"/>
    <w:rsid w:val="002F192F"/>
    <w:rsid w:val="002F2993"/>
    <w:rsid w:val="002F3B73"/>
    <w:rsid w:val="002F5904"/>
    <w:rsid w:val="002F602B"/>
    <w:rsid w:val="002F6428"/>
    <w:rsid w:val="002F7B50"/>
    <w:rsid w:val="00301F2B"/>
    <w:rsid w:val="0030285E"/>
    <w:rsid w:val="003044D7"/>
    <w:rsid w:val="0030652E"/>
    <w:rsid w:val="003109E6"/>
    <w:rsid w:val="00310D50"/>
    <w:rsid w:val="00311408"/>
    <w:rsid w:val="00313B2E"/>
    <w:rsid w:val="00314A29"/>
    <w:rsid w:val="0031546A"/>
    <w:rsid w:val="00321769"/>
    <w:rsid w:val="003233A1"/>
    <w:rsid w:val="00324E29"/>
    <w:rsid w:val="00327C2A"/>
    <w:rsid w:val="00327FD6"/>
    <w:rsid w:val="003320ED"/>
    <w:rsid w:val="00334078"/>
    <w:rsid w:val="003359D4"/>
    <w:rsid w:val="003370A1"/>
    <w:rsid w:val="0033786C"/>
    <w:rsid w:val="00340F8D"/>
    <w:rsid w:val="00342AB3"/>
    <w:rsid w:val="00344714"/>
    <w:rsid w:val="0034525D"/>
    <w:rsid w:val="003517AB"/>
    <w:rsid w:val="003532B7"/>
    <w:rsid w:val="0035411E"/>
    <w:rsid w:val="003564C5"/>
    <w:rsid w:val="003568BA"/>
    <w:rsid w:val="00360EFC"/>
    <w:rsid w:val="00362621"/>
    <w:rsid w:val="0036307C"/>
    <w:rsid w:val="003643CF"/>
    <w:rsid w:val="00374FCD"/>
    <w:rsid w:val="00375C90"/>
    <w:rsid w:val="0037685D"/>
    <w:rsid w:val="003807DA"/>
    <w:rsid w:val="00382CD2"/>
    <w:rsid w:val="003838F6"/>
    <w:rsid w:val="0038404A"/>
    <w:rsid w:val="00385754"/>
    <w:rsid w:val="00390CE2"/>
    <w:rsid w:val="00391EE9"/>
    <w:rsid w:val="003A4275"/>
    <w:rsid w:val="003A4818"/>
    <w:rsid w:val="003A6E72"/>
    <w:rsid w:val="003A72AB"/>
    <w:rsid w:val="003B3216"/>
    <w:rsid w:val="003B3412"/>
    <w:rsid w:val="003B442B"/>
    <w:rsid w:val="003C454A"/>
    <w:rsid w:val="003D4A5A"/>
    <w:rsid w:val="003D5106"/>
    <w:rsid w:val="003D645B"/>
    <w:rsid w:val="003D7A45"/>
    <w:rsid w:val="003E4E50"/>
    <w:rsid w:val="003F48E7"/>
    <w:rsid w:val="003F5F56"/>
    <w:rsid w:val="003F620D"/>
    <w:rsid w:val="004017A1"/>
    <w:rsid w:val="004019D6"/>
    <w:rsid w:val="004044FB"/>
    <w:rsid w:val="00405ECA"/>
    <w:rsid w:val="00410901"/>
    <w:rsid w:val="0041277C"/>
    <w:rsid w:val="00415064"/>
    <w:rsid w:val="004152AB"/>
    <w:rsid w:val="00415F16"/>
    <w:rsid w:val="004165BF"/>
    <w:rsid w:val="004203DC"/>
    <w:rsid w:val="004242FF"/>
    <w:rsid w:val="00424678"/>
    <w:rsid w:val="00426C70"/>
    <w:rsid w:val="00426F39"/>
    <w:rsid w:val="00427E03"/>
    <w:rsid w:val="004321D1"/>
    <w:rsid w:val="00432518"/>
    <w:rsid w:val="00436E6D"/>
    <w:rsid w:val="0044041D"/>
    <w:rsid w:val="0044194D"/>
    <w:rsid w:val="00443EB5"/>
    <w:rsid w:val="00447680"/>
    <w:rsid w:val="00452A17"/>
    <w:rsid w:val="004534F4"/>
    <w:rsid w:val="00454993"/>
    <w:rsid w:val="00456FAD"/>
    <w:rsid w:val="0046492C"/>
    <w:rsid w:val="004655CA"/>
    <w:rsid w:val="00465787"/>
    <w:rsid w:val="0046582E"/>
    <w:rsid w:val="0046772C"/>
    <w:rsid w:val="00467873"/>
    <w:rsid w:val="00482B9E"/>
    <w:rsid w:val="0049451E"/>
    <w:rsid w:val="004951AF"/>
    <w:rsid w:val="00496351"/>
    <w:rsid w:val="00497AD4"/>
    <w:rsid w:val="004A2D33"/>
    <w:rsid w:val="004A3496"/>
    <w:rsid w:val="004A36E2"/>
    <w:rsid w:val="004A3D2E"/>
    <w:rsid w:val="004A3F76"/>
    <w:rsid w:val="004A451E"/>
    <w:rsid w:val="004A4FCC"/>
    <w:rsid w:val="004A5529"/>
    <w:rsid w:val="004A5E2B"/>
    <w:rsid w:val="004A7596"/>
    <w:rsid w:val="004B1B44"/>
    <w:rsid w:val="004B2EC6"/>
    <w:rsid w:val="004B2F08"/>
    <w:rsid w:val="004B3091"/>
    <w:rsid w:val="004B5E7A"/>
    <w:rsid w:val="004B5EBD"/>
    <w:rsid w:val="004B7F25"/>
    <w:rsid w:val="004C2D0C"/>
    <w:rsid w:val="004C50A4"/>
    <w:rsid w:val="004C723A"/>
    <w:rsid w:val="004C7EF7"/>
    <w:rsid w:val="004D02E9"/>
    <w:rsid w:val="004D1A57"/>
    <w:rsid w:val="004D24F9"/>
    <w:rsid w:val="004D2BAA"/>
    <w:rsid w:val="004D76E9"/>
    <w:rsid w:val="004E0FAD"/>
    <w:rsid w:val="004E5103"/>
    <w:rsid w:val="004E628C"/>
    <w:rsid w:val="004E6AB7"/>
    <w:rsid w:val="004F1B2B"/>
    <w:rsid w:val="004F3881"/>
    <w:rsid w:val="004F4FA8"/>
    <w:rsid w:val="004F75C8"/>
    <w:rsid w:val="00501D76"/>
    <w:rsid w:val="0050428E"/>
    <w:rsid w:val="00504FC2"/>
    <w:rsid w:val="00506734"/>
    <w:rsid w:val="00506F90"/>
    <w:rsid w:val="005103B7"/>
    <w:rsid w:val="0051248F"/>
    <w:rsid w:val="00515A97"/>
    <w:rsid w:val="00517980"/>
    <w:rsid w:val="00520E10"/>
    <w:rsid w:val="00521384"/>
    <w:rsid w:val="00523D88"/>
    <w:rsid w:val="00527C80"/>
    <w:rsid w:val="00530D96"/>
    <w:rsid w:val="00544F5C"/>
    <w:rsid w:val="00545191"/>
    <w:rsid w:val="0054569D"/>
    <w:rsid w:val="0054754B"/>
    <w:rsid w:val="00551CA2"/>
    <w:rsid w:val="00555175"/>
    <w:rsid w:val="005552F5"/>
    <w:rsid w:val="005618B2"/>
    <w:rsid w:val="00570120"/>
    <w:rsid w:val="00572A1F"/>
    <w:rsid w:val="005741DE"/>
    <w:rsid w:val="005749BB"/>
    <w:rsid w:val="00577A70"/>
    <w:rsid w:val="005800E0"/>
    <w:rsid w:val="00580C40"/>
    <w:rsid w:val="00581836"/>
    <w:rsid w:val="005834A9"/>
    <w:rsid w:val="00584B48"/>
    <w:rsid w:val="00590F9A"/>
    <w:rsid w:val="00592010"/>
    <w:rsid w:val="005926CB"/>
    <w:rsid w:val="0059313F"/>
    <w:rsid w:val="00594A9E"/>
    <w:rsid w:val="00594D10"/>
    <w:rsid w:val="0059533A"/>
    <w:rsid w:val="00596169"/>
    <w:rsid w:val="00597866"/>
    <w:rsid w:val="005A09F9"/>
    <w:rsid w:val="005A1365"/>
    <w:rsid w:val="005A1A24"/>
    <w:rsid w:val="005A2475"/>
    <w:rsid w:val="005A327B"/>
    <w:rsid w:val="005A35A3"/>
    <w:rsid w:val="005A3A21"/>
    <w:rsid w:val="005A677E"/>
    <w:rsid w:val="005B7E7F"/>
    <w:rsid w:val="005C06DD"/>
    <w:rsid w:val="005C15F9"/>
    <w:rsid w:val="005C3730"/>
    <w:rsid w:val="005C5A59"/>
    <w:rsid w:val="005C678A"/>
    <w:rsid w:val="005C7FB9"/>
    <w:rsid w:val="005D2281"/>
    <w:rsid w:val="005D2C9C"/>
    <w:rsid w:val="005D3557"/>
    <w:rsid w:val="005D446B"/>
    <w:rsid w:val="005D6524"/>
    <w:rsid w:val="005D6FF6"/>
    <w:rsid w:val="005E14E6"/>
    <w:rsid w:val="005E34DB"/>
    <w:rsid w:val="005F19FC"/>
    <w:rsid w:val="005F4884"/>
    <w:rsid w:val="005F48F4"/>
    <w:rsid w:val="005F6A76"/>
    <w:rsid w:val="00601FB7"/>
    <w:rsid w:val="00604057"/>
    <w:rsid w:val="00610360"/>
    <w:rsid w:val="0061094D"/>
    <w:rsid w:val="006127F0"/>
    <w:rsid w:val="00612A94"/>
    <w:rsid w:val="00613328"/>
    <w:rsid w:val="006162E2"/>
    <w:rsid w:val="00616ABC"/>
    <w:rsid w:val="00620A6E"/>
    <w:rsid w:val="00624ED4"/>
    <w:rsid w:val="00627059"/>
    <w:rsid w:val="00635691"/>
    <w:rsid w:val="006356FB"/>
    <w:rsid w:val="00640415"/>
    <w:rsid w:val="00641D7A"/>
    <w:rsid w:val="00642BAA"/>
    <w:rsid w:val="0064531F"/>
    <w:rsid w:val="00645C9C"/>
    <w:rsid w:val="00647302"/>
    <w:rsid w:val="00652E22"/>
    <w:rsid w:val="0065538D"/>
    <w:rsid w:val="00657787"/>
    <w:rsid w:val="00662FB9"/>
    <w:rsid w:val="006664D4"/>
    <w:rsid w:val="00672B26"/>
    <w:rsid w:val="00673235"/>
    <w:rsid w:val="00673CD6"/>
    <w:rsid w:val="006776E8"/>
    <w:rsid w:val="0068033F"/>
    <w:rsid w:val="00685585"/>
    <w:rsid w:val="006873E7"/>
    <w:rsid w:val="00694269"/>
    <w:rsid w:val="006946E6"/>
    <w:rsid w:val="00694D5F"/>
    <w:rsid w:val="00695BFC"/>
    <w:rsid w:val="006A0ACA"/>
    <w:rsid w:val="006A1911"/>
    <w:rsid w:val="006A1D6E"/>
    <w:rsid w:val="006A3885"/>
    <w:rsid w:val="006A3B93"/>
    <w:rsid w:val="006A4471"/>
    <w:rsid w:val="006A6F6F"/>
    <w:rsid w:val="006B0A39"/>
    <w:rsid w:val="006B3095"/>
    <w:rsid w:val="006C3886"/>
    <w:rsid w:val="006C46F1"/>
    <w:rsid w:val="006C7528"/>
    <w:rsid w:val="006D0BA6"/>
    <w:rsid w:val="006D320E"/>
    <w:rsid w:val="006D3C22"/>
    <w:rsid w:val="006D5DE1"/>
    <w:rsid w:val="006E4458"/>
    <w:rsid w:val="006E5422"/>
    <w:rsid w:val="006E78F0"/>
    <w:rsid w:val="006E7FEF"/>
    <w:rsid w:val="006F0A35"/>
    <w:rsid w:val="006F1A36"/>
    <w:rsid w:val="006F48A5"/>
    <w:rsid w:val="006F4A10"/>
    <w:rsid w:val="006F5D4D"/>
    <w:rsid w:val="00701CF7"/>
    <w:rsid w:val="00703E34"/>
    <w:rsid w:val="007078EF"/>
    <w:rsid w:val="00713F17"/>
    <w:rsid w:val="00715B8B"/>
    <w:rsid w:val="00715C10"/>
    <w:rsid w:val="00722286"/>
    <w:rsid w:val="00722356"/>
    <w:rsid w:val="007227A8"/>
    <w:rsid w:val="00722EC0"/>
    <w:rsid w:val="00723291"/>
    <w:rsid w:val="00724428"/>
    <w:rsid w:val="00726C15"/>
    <w:rsid w:val="00727555"/>
    <w:rsid w:val="00730026"/>
    <w:rsid w:val="00733C3C"/>
    <w:rsid w:val="0073567F"/>
    <w:rsid w:val="007373A7"/>
    <w:rsid w:val="00737C21"/>
    <w:rsid w:val="00740337"/>
    <w:rsid w:val="007423B9"/>
    <w:rsid w:val="00745C29"/>
    <w:rsid w:val="007537FE"/>
    <w:rsid w:val="00756367"/>
    <w:rsid w:val="00756B3D"/>
    <w:rsid w:val="0076109D"/>
    <w:rsid w:val="0076187F"/>
    <w:rsid w:val="007634BA"/>
    <w:rsid w:val="00763DD4"/>
    <w:rsid w:val="007732A2"/>
    <w:rsid w:val="0077359F"/>
    <w:rsid w:val="0077439E"/>
    <w:rsid w:val="0077524F"/>
    <w:rsid w:val="007752AF"/>
    <w:rsid w:val="0078056A"/>
    <w:rsid w:val="0078274F"/>
    <w:rsid w:val="00785A18"/>
    <w:rsid w:val="00790678"/>
    <w:rsid w:val="00792E02"/>
    <w:rsid w:val="00793DF0"/>
    <w:rsid w:val="007A215D"/>
    <w:rsid w:val="007A5068"/>
    <w:rsid w:val="007A7611"/>
    <w:rsid w:val="007A7E58"/>
    <w:rsid w:val="007B0409"/>
    <w:rsid w:val="007B3077"/>
    <w:rsid w:val="007B3291"/>
    <w:rsid w:val="007B340E"/>
    <w:rsid w:val="007B39C3"/>
    <w:rsid w:val="007B4E7B"/>
    <w:rsid w:val="007B5253"/>
    <w:rsid w:val="007B6816"/>
    <w:rsid w:val="007B6EF1"/>
    <w:rsid w:val="007C371A"/>
    <w:rsid w:val="007C7B32"/>
    <w:rsid w:val="007D10F0"/>
    <w:rsid w:val="007D7243"/>
    <w:rsid w:val="007E06E3"/>
    <w:rsid w:val="007E2654"/>
    <w:rsid w:val="007E3290"/>
    <w:rsid w:val="007E3738"/>
    <w:rsid w:val="007E5A21"/>
    <w:rsid w:val="007E6160"/>
    <w:rsid w:val="007E6ECA"/>
    <w:rsid w:val="007E74A2"/>
    <w:rsid w:val="007F0243"/>
    <w:rsid w:val="007F2D69"/>
    <w:rsid w:val="007F4982"/>
    <w:rsid w:val="007F5F7A"/>
    <w:rsid w:val="008045BA"/>
    <w:rsid w:val="00805E6C"/>
    <w:rsid w:val="0080679C"/>
    <w:rsid w:val="00807B39"/>
    <w:rsid w:val="008100FC"/>
    <w:rsid w:val="0081012D"/>
    <w:rsid w:val="008107CE"/>
    <w:rsid w:val="00810D62"/>
    <w:rsid w:val="0081580A"/>
    <w:rsid w:val="00815BDC"/>
    <w:rsid w:val="00815CDC"/>
    <w:rsid w:val="008251E0"/>
    <w:rsid w:val="00826356"/>
    <w:rsid w:val="00826798"/>
    <w:rsid w:val="00826FB6"/>
    <w:rsid w:val="00827EF7"/>
    <w:rsid w:val="00833E0B"/>
    <w:rsid w:val="0083767F"/>
    <w:rsid w:val="00840A19"/>
    <w:rsid w:val="00841CD1"/>
    <w:rsid w:val="008450B0"/>
    <w:rsid w:val="0084651C"/>
    <w:rsid w:val="0085322C"/>
    <w:rsid w:val="00856749"/>
    <w:rsid w:val="00861763"/>
    <w:rsid w:val="0086325D"/>
    <w:rsid w:val="0086344C"/>
    <w:rsid w:val="00863D75"/>
    <w:rsid w:val="00867959"/>
    <w:rsid w:val="00877328"/>
    <w:rsid w:val="00881868"/>
    <w:rsid w:val="00882512"/>
    <w:rsid w:val="008916C3"/>
    <w:rsid w:val="00892151"/>
    <w:rsid w:val="008932EB"/>
    <w:rsid w:val="00894284"/>
    <w:rsid w:val="008962A5"/>
    <w:rsid w:val="008A13A2"/>
    <w:rsid w:val="008A5C66"/>
    <w:rsid w:val="008A7E10"/>
    <w:rsid w:val="008B0A0E"/>
    <w:rsid w:val="008B0EB6"/>
    <w:rsid w:val="008B325B"/>
    <w:rsid w:val="008C1B8E"/>
    <w:rsid w:val="008C3F71"/>
    <w:rsid w:val="008C519C"/>
    <w:rsid w:val="008C59A3"/>
    <w:rsid w:val="008D227E"/>
    <w:rsid w:val="008E04F4"/>
    <w:rsid w:val="008E5003"/>
    <w:rsid w:val="008E5E8B"/>
    <w:rsid w:val="008E6471"/>
    <w:rsid w:val="008F3117"/>
    <w:rsid w:val="008F3655"/>
    <w:rsid w:val="008F3AFA"/>
    <w:rsid w:val="008F4DCB"/>
    <w:rsid w:val="008F5935"/>
    <w:rsid w:val="008F6D78"/>
    <w:rsid w:val="008F71AC"/>
    <w:rsid w:val="008F7D97"/>
    <w:rsid w:val="009000DA"/>
    <w:rsid w:val="00901076"/>
    <w:rsid w:val="00906B12"/>
    <w:rsid w:val="00910C0D"/>
    <w:rsid w:val="00911F3D"/>
    <w:rsid w:val="009127A5"/>
    <w:rsid w:val="00914EA3"/>
    <w:rsid w:val="0091533B"/>
    <w:rsid w:val="0091711A"/>
    <w:rsid w:val="009228FC"/>
    <w:rsid w:val="00925F30"/>
    <w:rsid w:val="009312E4"/>
    <w:rsid w:val="009339EB"/>
    <w:rsid w:val="009346F3"/>
    <w:rsid w:val="00936BF8"/>
    <w:rsid w:val="009422BA"/>
    <w:rsid w:val="0094288F"/>
    <w:rsid w:val="00946757"/>
    <w:rsid w:val="00947F56"/>
    <w:rsid w:val="00950349"/>
    <w:rsid w:val="0095164B"/>
    <w:rsid w:val="009545E9"/>
    <w:rsid w:val="00957A2B"/>
    <w:rsid w:val="00957B85"/>
    <w:rsid w:val="0096582F"/>
    <w:rsid w:val="00971362"/>
    <w:rsid w:val="009811A5"/>
    <w:rsid w:val="00982567"/>
    <w:rsid w:val="00982BEA"/>
    <w:rsid w:val="0098315A"/>
    <w:rsid w:val="00984DEE"/>
    <w:rsid w:val="00985278"/>
    <w:rsid w:val="00985886"/>
    <w:rsid w:val="00985F10"/>
    <w:rsid w:val="00986C4E"/>
    <w:rsid w:val="00991612"/>
    <w:rsid w:val="00997F2A"/>
    <w:rsid w:val="009A0F00"/>
    <w:rsid w:val="009A3093"/>
    <w:rsid w:val="009A37E3"/>
    <w:rsid w:val="009A4658"/>
    <w:rsid w:val="009A50AF"/>
    <w:rsid w:val="009A7347"/>
    <w:rsid w:val="009B2B17"/>
    <w:rsid w:val="009B2E89"/>
    <w:rsid w:val="009B4196"/>
    <w:rsid w:val="009B5674"/>
    <w:rsid w:val="009B63FC"/>
    <w:rsid w:val="009C043B"/>
    <w:rsid w:val="009C58C3"/>
    <w:rsid w:val="009C5A4E"/>
    <w:rsid w:val="009C703E"/>
    <w:rsid w:val="009D0C76"/>
    <w:rsid w:val="009D5329"/>
    <w:rsid w:val="009D59A2"/>
    <w:rsid w:val="009E09A5"/>
    <w:rsid w:val="009E10F9"/>
    <w:rsid w:val="009E39BA"/>
    <w:rsid w:val="009E5045"/>
    <w:rsid w:val="009E7683"/>
    <w:rsid w:val="009E77CA"/>
    <w:rsid w:val="009F05AB"/>
    <w:rsid w:val="009F107D"/>
    <w:rsid w:val="009F515B"/>
    <w:rsid w:val="009F5B6C"/>
    <w:rsid w:val="009F73E4"/>
    <w:rsid w:val="00A007C9"/>
    <w:rsid w:val="00A024DA"/>
    <w:rsid w:val="00A04183"/>
    <w:rsid w:val="00A06861"/>
    <w:rsid w:val="00A218CC"/>
    <w:rsid w:val="00A244C6"/>
    <w:rsid w:val="00A25FEC"/>
    <w:rsid w:val="00A305A0"/>
    <w:rsid w:val="00A32A99"/>
    <w:rsid w:val="00A33F1B"/>
    <w:rsid w:val="00A3437F"/>
    <w:rsid w:val="00A36276"/>
    <w:rsid w:val="00A3756A"/>
    <w:rsid w:val="00A379A4"/>
    <w:rsid w:val="00A47531"/>
    <w:rsid w:val="00A5099B"/>
    <w:rsid w:val="00A54AB9"/>
    <w:rsid w:val="00A55E3E"/>
    <w:rsid w:val="00A57D7F"/>
    <w:rsid w:val="00A60045"/>
    <w:rsid w:val="00A6010A"/>
    <w:rsid w:val="00A61B5E"/>
    <w:rsid w:val="00A66DA3"/>
    <w:rsid w:val="00A6709C"/>
    <w:rsid w:val="00A74757"/>
    <w:rsid w:val="00A74FDB"/>
    <w:rsid w:val="00A767FB"/>
    <w:rsid w:val="00A8074C"/>
    <w:rsid w:val="00A83F80"/>
    <w:rsid w:val="00A85B68"/>
    <w:rsid w:val="00A9121C"/>
    <w:rsid w:val="00A93728"/>
    <w:rsid w:val="00A943BA"/>
    <w:rsid w:val="00A95F4C"/>
    <w:rsid w:val="00AA02DB"/>
    <w:rsid w:val="00AA10AC"/>
    <w:rsid w:val="00AB67D9"/>
    <w:rsid w:val="00AB6D02"/>
    <w:rsid w:val="00AB731D"/>
    <w:rsid w:val="00AB7B22"/>
    <w:rsid w:val="00AC16C0"/>
    <w:rsid w:val="00AC2020"/>
    <w:rsid w:val="00AC50FF"/>
    <w:rsid w:val="00AC586D"/>
    <w:rsid w:val="00AD03B0"/>
    <w:rsid w:val="00AD05E0"/>
    <w:rsid w:val="00AE08FC"/>
    <w:rsid w:val="00AE3039"/>
    <w:rsid w:val="00AE7B50"/>
    <w:rsid w:val="00AF0242"/>
    <w:rsid w:val="00AF1511"/>
    <w:rsid w:val="00AF651E"/>
    <w:rsid w:val="00B0205F"/>
    <w:rsid w:val="00B02168"/>
    <w:rsid w:val="00B030C4"/>
    <w:rsid w:val="00B13E28"/>
    <w:rsid w:val="00B140FA"/>
    <w:rsid w:val="00B15D0E"/>
    <w:rsid w:val="00B23345"/>
    <w:rsid w:val="00B23969"/>
    <w:rsid w:val="00B26DF8"/>
    <w:rsid w:val="00B40814"/>
    <w:rsid w:val="00B41D6C"/>
    <w:rsid w:val="00B44F0A"/>
    <w:rsid w:val="00B45494"/>
    <w:rsid w:val="00B45E94"/>
    <w:rsid w:val="00B50D86"/>
    <w:rsid w:val="00B51388"/>
    <w:rsid w:val="00B5202B"/>
    <w:rsid w:val="00B53BFF"/>
    <w:rsid w:val="00B60943"/>
    <w:rsid w:val="00B630E9"/>
    <w:rsid w:val="00B640FC"/>
    <w:rsid w:val="00B643EE"/>
    <w:rsid w:val="00B671BE"/>
    <w:rsid w:val="00B73F30"/>
    <w:rsid w:val="00B74708"/>
    <w:rsid w:val="00B85774"/>
    <w:rsid w:val="00B8608E"/>
    <w:rsid w:val="00B90F4F"/>
    <w:rsid w:val="00B91015"/>
    <w:rsid w:val="00B9311D"/>
    <w:rsid w:val="00B93649"/>
    <w:rsid w:val="00BA0B04"/>
    <w:rsid w:val="00BA101A"/>
    <w:rsid w:val="00BA4401"/>
    <w:rsid w:val="00BA5525"/>
    <w:rsid w:val="00BB2318"/>
    <w:rsid w:val="00BB79C3"/>
    <w:rsid w:val="00BC51D1"/>
    <w:rsid w:val="00BC5AEF"/>
    <w:rsid w:val="00BD1633"/>
    <w:rsid w:val="00BD18C1"/>
    <w:rsid w:val="00BD5E87"/>
    <w:rsid w:val="00BD76C3"/>
    <w:rsid w:val="00BE46F8"/>
    <w:rsid w:val="00BE58DA"/>
    <w:rsid w:val="00BF045F"/>
    <w:rsid w:val="00BF34B5"/>
    <w:rsid w:val="00BF7865"/>
    <w:rsid w:val="00C03DD7"/>
    <w:rsid w:val="00C03ED2"/>
    <w:rsid w:val="00C0492F"/>
    <w:rsid w:val="00C13A5E"/>
    <w:rsid w:val="00C1718C"/>
    <w:rsid w:val="00C2285A"/>
    <w:rsid w:val="00C25BC3"/>
    <w:rsid w:val="00C277B3"/>
    <w:rsid w:val="00C31DC2"/>
    <w:rsid w:val="00C334BB"/>
    <w:rsid w:val="00C3670F"/>
    <w:rsid w:val="00C40639"/>
    <w:rsid w:val="00C4163B"/>
    <w:rsid w:val="00C41EBC"/>
    <w:rsid w:val="00C44F0A"/>
    <w:rsid w:val="00C5101D"/>
    <w:rsid w:val="00C54056"/>
    <w:rsid w:val="00C64217"/>
    <w:rsid w:val="00C6642F"/>
    <w:rsid w:val="00C664F3"/>
    <w:rsid w:val="00C66CFD"/>
    <w:rsid w:val="00C719F9"/>
    <w:rsid w:val="00C72083"/>
    <w:rsid w:val="00C72344"/>
    <w:rsid w:val="00C73263"/>
    <w:rsid w:val="00C73B98"/>
    <w:rsid w:val="00C74CE1"/>
    <w:rsid w:val="00C80932"/>
    <w:rsid w:val="00C845E2"/>
    <w:rsid w:val="00C90906"/>
    <w:rsid w:val="00C923F5"/>
    <w:rsid w:val="00C97318"/>
    <w:rsid w:val="00CA13B8"/>
    <w:rsid w:val="00CA5606"/>
    <w:rsid w:val="00CA68D5"/>
    <w:rsid w:val="00CC158E"/>
    <w:rsid w:val="00CC1EE9"/>
    <w:rsid w:val="00CC434C"/>
    <w:rsid w:val="00CC4A97"/>
    <w:rsid w:val="00CC4D25"/>
    <w:rsid w:val="00CD05E5"/>
    <w:rsid w:val="00CD0AAC"/>
    <w:rsid w:val="00CD22E7"/>
    <w:rsid w:val="00CE249D"/>
    <w:rsid w:val="00CE287D"/>
    <w:rsid w:val="00CE3203"/>
    <w:rsid w:val="00CE401D"/>
    <w:rsid w:val="00CE41C8"/>
    <w:rsid w:val="00CE6810"/>
    <w:rsid w:val="00CF04C5"/>
    <w:rsid w:val="00CF3FB5"/>
    <w:rsid w:val="00CF4594"/>
    <w:rsid w:val="00CF6AA7"/>
    <w:rsid w:val="00D0092B"/>
    <w:rsid w:val="00D054A7"/>
    <w:rsid w:val="00D100F4"/>
    <w:rsid w:val="00D101B2"/>
    <w:rsid w:val="00D10A61"/>
    <w:rsid w:val="00D10DCB"/>
    <w:rsid w:val="00D11B89"/>
    <w:rsid w:val="00D12F87"/>
    <w:rsid w:val="00D14850"/>
    <w:rsid w:val="00D179A8"/>
    <w:rsid w:val="00D224D1"/>
    <w:rsid w:val="00D25C79"/>
    <w:rsid w:val="00D34DA4"/>
    <w:rsid w:val="00D350D1"/>
    <w:rsid w:val="00D376FA"/>
    <w:rsid w:val="00D37CB1"/>
    <w:rsid w:val="00D37D00"/>
    <w:rsid w:val="00D42DD9"/>
    <w:rsid w:val="00D53A1F"/>
    <w:rsid w:val="00D55A63"/>
    <w:rsid w:val="00D624D9"/>
    <w:rsid w:val="00D645AE"/>
    <w:rsid w:val="00D65A63"/>
    <w:rsid w:val="00D66873"/>
    <w:rsid w:val="00D704B9"/>
    <w:rsid w:val="00D72C1D"/>
    <w:rsid w:val="00D72CE8"/>
    <w:rsid w:val="00D732AD"/>
    <w:rsid w:val="00D75CA1"/>
    <w:rsid w:val="00D76074"/>
    <w:rsid w:val="00D80FE2"/>
    <w:rsid w:val="00D81758"/>
    <w:rsid w:val="00D83ACD"/>
    <w:rsid w:val="00D85BC6"/>
    <w:rsid w:val="00D8621C"/>
    <w:rsid w:val="00D908E1"/>
    <w:rsid w:val="00D95229"/>
    <w:rsid w:val="00DA571E"/>
    <w:rsid w:val="00DA5ED2"/>
    <w:rsid w:val="00DA7025"/>
    <w:rsid w:val="00DB1B44"/>
    <w:rsid w:val="00DB322B"/>
    <w:rsid w:val="00DB34EF"/>
    <w:rsid w:val="00DC502E"/>
    <w:rsid w:val="00DD03CF"/>
    <w:rsid w:val="00DD1F17"/>
    <w:rsid w:val="00DE1AD7"/>
    <w:rsid w:val="00DE203D"/>
    <w:rsid w:val="00DE2873"/>
    <w:rsid w:val="00DF3836"/>
    <w:rsid w:val="00DF4311"/>
    <w:rsid w:val="00DF4A95"/>
    <w:rsid w:val="00DF4F54"/>
    <w:rsid w:val="00DF62FC"/>
    <w:rsid w:val="00DF6F51"/>
    <w:rsid w:val="00DF7251"/>
    <w:rsid w:val="00E048AD"/>
    <w:rsid w:val="00E04BF5"/>
    <w:rsid w:val="00E04D10"/>
    <w:rsid w:val="00E10072"/>
    <w:rsid w:val="00E11C9E"/>
    <w:rsid w:val="00E1606E"/>
    <w:rsid w:val="00E205A9"/>
    <w:rsid w:val="00E22CB2"/>
    <w:rsid w:val="00E25461"/>
    <w:rsid w:val="00E34440"/>
    <w:rsid w:val="00E356EE"/>
    <w:rsid w:val="00E361D6"/>
    <w:rsid w:val="00E37143"/>
    <w:rsid w:val="00E371DF"/>
    <w:rsid w:val="00E41099"/>
    <w:rsid w:val="00E46F8F"/>
    <w:rsid w:val="00E542B5"/>
    <w:rsid w:val="00E5484A"/>
    <w:rsid w:val="00E56594"/>
    <w:rsid w:val="00E60CC6"/>
    <w:rsid w:val="00E624F3"/>
    <w:rsid w:val="00E644D6"/>
    <w:rsid w:val="00E7745E"/>
    <w:rsid w:val="00E77507"/>
    <w:rsid w:val="00E80AB1"/>
    <w:rsid w:val="00E80CF2"/>
    <w:rsid w:val="00E852C0"/>
    <w:rsid w:val="00E8583D"/>
    <w:rsid w:val="00E94D3A"/>
    <w:rsid w:val="00E94F57"/>
    <w:rsid w:val="00E960D0"/>
    <w:rsid w:val="00E97267"/>
    <w:rsid w:val="00E97964"/>
    <w:rsid w:val="00EA1BBB"/>
    <w:rsid w:val="00EA2C00"/>
    <w:rsid w:val="00EA3233"/>
    <w:rsid w:val="00EA3D89"/>
    <w:rsid w:val="00EB11D7"/>
    <w:rsid w:val="00EB177F"/>
    <w:rsid w:val="00EB269D"/>
    <w:rsid w:val="00EB5EAA"/>
    <w:rsid w:val="00EC09A6"/>
    <w:rsid w:val="00EC1929"/>
    <w:rsid w:val="00EC4886"/>
    <w:rsid w:val="00ED2855"/>
    <w:rsid w:val="00ED3773"/>
    <w:rsid w:val="00ED3C30"/>
    <w:rsid w:val="00ED686E"/>
    <w:rsid w:val="00ED6914"/>
    <w:rsid w:val="00ED79C0"/>
    <w:rsid w:val="00ED7D46"/>
    <w:rsid w:val="00EF1589"/>
    <w:rsid w:val="00EF1F2A"/>
    <w:rsid w:val="00EF4448"/>
    <w:rsid w:val="00EF5121"/>
    <w:rsid w:val="00F10E65"/>
    <w:rsid w:val="00F11213"/>
    <w:rsid w:val="00F12E2A"/>
    <w:rsid w:val="00F1349A"/>
    <w:rsid w:val="00F14E52"/>
    <w:rsid w:val="00F21BF3"/>
    <w:rsid w:val="00F306F9"/>
    <w:rsid w:val="00F32EEC"/>
    <w:rsid w:val="00F338FF"/>
    <w:rsid w:val="00F354F7"/>
    <w:rsid w:val="00F4215B"/>
    <w:rsid w:val="00F448C7"/>
    <w:rsid w:val="00F5087D"/>
    <w:rsid w:val="00F509E7"/>
    <w:rsid w:val="00F5606C"/>
    <w:rsid w:val="00F60716"/>
    <w:rsid w:val="00F6753C"/>
    <w:rsid w:val="00F71EEE"/>
    <w:rsid w:val="00F733EC"/>
    <w:rsid w:val="00F74733"/>
    <w:rsid w:val="00F767D1"/>
    <w:rsid w:val="00F82335"/>
    <w:rsid w:val="00F86126"/>
    <w:rsid w:val="00F949FE"/>
    <w:rsid w:val="00F95C2A"/>
    <w:rsid w:val="00FA5BB2"/>
    <w:rsid w:val="00FA7FB6"/>
    <w:rsid w:val="00FB4067"/>
    <w:rsid w:val="00FC2433"/>
    <w:rsid w:val="00FC269B"/>
    <w:rsid w:val="00FC53ED"/>
    <w:rsid w:val="00FD04DE"/>
    <w:rsid w:val="00FD578D"/>
    <w:rsid w:val="00FD5CC2"/>
    <w:rsid w:val="00FD6067"/>
    <w:rsid w:val="00FE13BB"/>
    <w:rsid w:val="00FE2778"/>
    <w:rsid w:val="00FE34C7"/>
    <w:rsid w:val="00FE35EE"/>
    <w:rsid w:val="00FE591C"/>
    <w:rsid w:val="00FE6063"/>
    <w:rsid w:val="00FE6343"/>
    <w:rsid w:val="00FE78E1"/>
    <w:rsid w:val="00FF05D0"/>
    <w:rsid w:val="00FF2026"/>
    <w:rsid w:val="00FF23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uiPriority w:val="39"/>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7685D"/>
    <w:rPr>
      <w:color w:val="605E5C"/>
      <w:shd w:val="clear" w:color="auto" w:fill="E1DFDD"/>
    </w:rPr>
  </w:style>
  <w:style w:type="paragraph" w:styleId="NormalWeb">
    <w:name w:val="Normal (Web)"/>
    <w:basedOn w:val="Normal"/>
    <w:uiPriority w:val="99"/>
    <w:semiHidden/>
    <w:unhideWhenUsed/>
    <w:rsid w:val="0080679C"/>
    <w:pPr>
      <w:spacing w:before="100" w:beforeAutospacing="1" w:after="100" w:afterAutospacing="1"/>
    </w:pPr>
  </w:style>
  <w:style w:type="character" w:styleId="Strong">
    <w:name w:val="Strong"/>
    <w:basedOn w:val="DefaultParagraphFont"/>
    <w:uiPriority w:val="22"/>
    <w:qFormat/>
    <w:rsid w:val="00985F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64155">
      <w:bodyDiv w:val="1"/>
      <w:marLeft w:val="0"/>
      <w:marRight w:val="0"/>
      <w:marTop w:val="0"/>
      <w:marBottom w:val="0"/>
      <w:divBdr>
        <w:top w:val="none" w:sz="0" w:space="0" w:color="auto"/>
        <w:left w:val="none" w:sz="0" w:space="0" w:color="auto"/>
        <w:bottom w:val="none" w:sz="0" w:space="0" w:color="auto"/>
        <w:right w:val="none" w:sz="0" w:space="0" w:color="auto"/>
      </w:divBdr>
    </w:div>
    <w:div w:id="383333697">
      <w:bodyDiv w:val="1"/>
      <w:marLeft w:val="0"/>
      <w:marRight w:val="0"/>
      <w:marTop w:val="0"/>
      <w:marBottom w:val="0"/>
      <w:divBdr>
        <w:top w:val="none" w:sz="0" w:space="0" w:color="auto"/>
        <w:left w:val="none" w:sz="0" w:space="0" w:color="auto"/>
        <w:bottom w:val="none" w:sz="0" w:space="0" w:color="auto"/>
        <w:right w:val="none" w:sz="0" w:space="0" w:color="auto"/>
      </w:divBdr>
    </w:div>
    <w:div w:id="402265226">
      <w:bodyDiv w:val="1"/>
      <w:marLeft w:val="0"/>
      <w:marRight w:val="0"/>
      <w:marTop w:val="0"/>
      <w:marBottom w:val="0"/>
      <w:divBdr>
        <w:top w:val="none" w:sz="0" w:space="0" w:color="auto"/>
        <w:left w:val="none" w:sz="0" w:space="0" w:color="auto"/>
        <w:bottom w:val="none" w:sz="0" w:space="0" w:color="auto"/>
        <w:right w:val="none" w:sz="0" w:space="0" w:color="auto"/>
      </w:divBdr>
    </w:div>
    <w:div w:id="582880663">
      <w:bodyDiv w:val="1"/>
      <w:marLeft w:val="0"/>
      <w:marRight w:val="0"/>
      <w:marTop w:val="0"/>
      <w:marBottom w:val="0"/>
      <w:divBdr>
        <w:top w:val="none" w:sz="0" w:space="0" w:color="auto"/>
        <w:left w:val="none" w:sz="0" w:space="0" w:color="auto"/>
        <w:bottom w:val="none" w:sz="0" w:space="0" w:color="auto"/>
        <w:right w:val="none" w:sz="0" w:space="0" w:color="auto"/>
      </w:divBdr>
    </w:div>
    <w:div w:id="631441893">
      <w:bodyDiv w:val="1"/>
      <w:marLeft w:val="0"/>
      <w:marRight w:val="0"/>
      <w:marTop w:val="0"/>
      <w:marBottom w:val="0"/>
      <w:divBdr>
        <w:top w:val="none" w:sz="0" w:space="0" w:color="auto"/>
        <w:left w:val="none" w:sz="0" w:space="0" w:color="auto"/>
        <w:bottom w:val="none" w:sz="0" w:space="0" w:color="auto"/>
        <w:right w:val="none" w:sz="0" w:space="0" w:color="auto"/>
      </w:divBdr>
    </w:div>
    <w:div w:id="1148588891">
      <w:bodyDiv w:val="1"/>
      <w:marLeft w:val="0"/>
      <w:marRight w:val="0"/>
      <w:marTop w:val="0"/>
      <w:marBottom w:val="0"/>
      <w:divBdr>
        <w:top w:val="none" w:sz="0" w:space="0" w:color="auto"/>
        <w:left w:val="none" w:sz="0" w:space="0" w:color="auto"/>
        <w:bottom w:val="none" w:sz="0" w:space="0" w:color="auto"/>
        <w:right w:val="none" w:sz="0" w:space="0" w:color="auto"/>
      </w:divBdr>
    </w:div>
    <w:div w:id="1466119613">
      <w:bodyDiv w:val="1"/>
      <w:marLeft w:val="0"/>
      <w:marRight w:val="0"/>
      <w:marTop w:val="0"/>
      <w:marBottom w:val="0"/>
      <w:divBdr>
        <w:top w:val="none" w:sz="0" w:space="0" w:color="auto"/>
        <w:left w:val="none" w:sz="0" w:space="0" w:color="auto"/>
        <w:bottom w:val="none" w:sz="0" w:space="0" w:color="auto"/>
        <w:right w:val="none" w:sz="0" w:space="0" w:color="auto"/>
      </w:divBdr>
    </w:div>
    <w:div w:id="1473910410">
      <w:bodyDiv w:val="1"/>
      <w:marLeft w:val="0"/>
      <w:marRight w:val="0"/>
      <w:marTop w:val="0"/>
      <w:marBottom w:val="0"/>
      <w:divBdr>
        <w:top w:val="none" w:sz="0" w:space="0" w:color="auto"/>
        <w:left w:val="none" w:sz="0" w:space="0" w:color="auto"/>
        <w:bottom w:val="none" w:sz="0" w:space="0" w:color="auto"/>
        <w:right w:val="none" w:sz="0" w:space="0" w:color="auto"/>
      </w:divBdr>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 w:id="1639913823">
      <w:bodyDiv w:val="1"/>
      <w:marLeft w:val="0"/>
      <w:marRight w:val="0"/>
      <w:marTop w:val="0"/>
      <w:marBottom w:val="0"/>
      <w:divBdr>
        <w:top w:val="none" w:sz="0" w:space="0" w:color="auto"/>
        <w:left w:val="none" w:sz="0" w:space="0" w:color="auto"/>
        <w:bottom w:val="none" w:sz="0" w:space="0" w:color="auto"/>
        <w:right w:val="none" w:sz="0" w:space="0" w:color="auto"/>
      </w:divBdr>
    </w:div>
    <w:div w:id="1736588471">
      <w:bodyDiv w:val="1"/>
      <w:marLeft w:val="0"/>
      <w:marRight w:val="0"/>
      <w:marTop w:val="0"/>
      <w:marBottom w:val="0"/>
      <w:divBdr>
        <w:top w:val="none" w:sz="0" w:space="0" w:color="auto"/>
        <w:left w:val="none" w:sz="0" w:space="0" w:color="auto"/>
        <w:bottom w:val="none" w:sz="0" w:space="0" w:color="auto"/>
        <w:right w:val="none" w:sz="0" w:space="0" w:color="auto"/>
      </w:divBdr>
    </w:div>
    <w:div w:id="2026708498">
      <w:bodyDiv w:val="1"/>
      <w:marLeft w:val="0"/>
      <w:marRight w:val="0"/>
      <w:marTop w:val="0"/>
      <w:marBottom w:val="0"/>
      <w:divBdr>
        <w:top w:val="none" w:sz="0" w:space="0" w:color="auto"/>
        <w:left w:val="none" w:sz="0" w:space="0" w:color="auto"/>
        <w:bottom w:val="none" w:sz="0" w:space="0" w:color="auto"/>
        <w:right w:val="none" w:sz="0" w:space="0" w:color="auto"/>
      </w:divBdr>
    </w:div>
    <w:div w:id="212318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gov.uk/age-of-criminal-responsibil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636e33f1f31357bfbb2d5c48e04ddef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c4096ce19428ad4222375021d7a230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1F86A884-6D79-4B63-80E6-AF96C3028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D379A0-F6B1-4EEB-BC6A-3DCF74C9DBCC}">
  <ds:schemaRefs>
    <ds:schemaRef ds:uri="http://schemas.microsoft.com/sharepoint/v3/contenttype/forms"/>
  </ds:schemaRefs>
</ds:datastoreItem>
</file>

<file path=customXml/itemProps3.xml><?xml version="1.0" encoding="utf-8"?>
<ds:datastoreItem xmlns:ds="http://schemas.openxmlformats.org/officeDocument/2006/customXml" ds:itemID="{BD801FE8-FE3A-4E50-9542-33837A833FDD}">
  <ds:schemaRefs>
    <ds:schemaRef ds:uri="http://schemas.microsoft.com/office/infopath/2007/PartnerControls"/>
    <ds:schemaRef ds:uri="http://purl.org/dc/elements/1.1/"/>
    <ds:schemaRef ds:uri="http://purl.org/dc/dcmitype/"/>
    <ds:schemaRef ds:uri="http://purl.org/dc/terms/"/>
    <ds:schemaRef ds:uri="be49ff73-cec0-4379-9da8-63ff3cc411bb"/>
    <ds:schemaRef ds:uri="http://schemas.microsoft.com/office/2006/documentManagement/types"/>
    <ds:schemaRef ds:uri="http://schemas.openxmlformats.org/package/2006/metadata/core-properties"/>
    <ds:schemaRef ds:uri="90b58af8-24e5-4252-ab67-b2f2985aee88"/>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12</Pages>
  <Words>4589</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Teresa Evans (2105261)</cp:lastModifiedBy>
  <cp:revision>873</cp:revision>
  <dcterms:created xsi:type="dcterms:W3CDTF">2023-12-29T13:35:00Z</dcterms:created>
  <dcterms:modified xsi:type="dcterms:W3CDTF">2024-01-12T17:26:00Z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