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732DB" w14:textId="246C8AFB" w:rsidR="00A929BF" w:rsidRDefault="00CD2BBC">
      <w:r>
        <w:rPr>
          <w:noProof/>
        </w:rPr>
        <w:drawing>
          <wp:inline distT="0" distB="0" distL="0" distR="0" wp14:anchorId="731C7342" wp14:editId="0E78EA4D">
            <wp:extent cx="3018790" cy="2040175"/>
            <wp:effectExtent l="0" t="0" r="0" b="0"/>
            <wp:docPr id="1000952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952360" name="Picture 1000952360"/>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24225" cy="2043848"/>
                    </a:xfrm>
                    <a:prstGeom prst="rect">
                      <a:avLst/>
                    </a:prstGeom>
                  </pic:spPr>
                </pic:pic>
              </a:graphicData>
            </a:graphic>
          </wp:inline>
        </w:drawing>
      </w:r>
    </w:p>
    <w:p w14:paraId="627FBD2E" w14:textId="77777777" w:rsidR="00CD2BBC" w:rsidRDefault="00CD2BBC"/>
    <w:p w14:paraId="0A951886" w14:textId="20942062" w:rsidR="00CD2BBC" w:rsidRPr="00A85BE7" w:rsidRDefault="00CD2BBC" w:rsidP="00A85BE7">
      <w:pPr>
        <w:jc w:val="center"/>
        <w:rPr>
          <w:rFonts w:ascii="Arial Black" w:hAnsi="Arial Black"/>
          <w:b/>
          <w:bCs/>
        </w:rPr>
      </w:pPr>
      <w:r w:rsidRPr="00A85BE7">
        <w:rPr>
          <w:rFonts w:ascii="Arial Black" w:hAnsi="Arial Black"/>
          <w:b/>
          <w:bCs/>
        </w:rPr>
        <w:t>STUDENT NAME: IONELA SORINA OCNEANU</w:t>
      </w:r>
    </w:p>
    <w:p w14:paraId="13FCC089" w14:textId="6DAB18CE" w:rsidR="00CD2BBC" w:rsidRPr="00A85BE7" w:rsidRDefault="00CD2BBC" w:rsidP="00A85BE7">
      <w:pPr>
        <w:jc w:val="center"/>
        <w:rPr>
          <w:rFonts w:ascii="Arial Black" w:hAnsi="Arial Black"/>
          <w:b/>
          <w:bCs/>
        </w:rPr>
      </w:pPr>
      <w:r w:rsidRPr="00A85BE7">
        <w:rPr>
          <w:rFonts w:ascii="Arial Black" w:hAnsi="Arial Black"/>
          <w:b/>
          <w:bCs/>
        </w:rPr>
        <w:t>STUDENT ID: 2234046</w:t>
      </w:r>
    </w:p>
    <w:p w14:paraId="5A71B237" w14:textId="57E3826F" w:rsidR="00CD2BBC" w:rsidRPr="00A85BE7" w:rsidRDefault="00CD2BBC" w:rsidP="00A85BE7">
      <w:pPr>
        <w:jc w:val="center"/>
        <w:rPr>
          <w:rFonts w:ascii="Arial Black" w:hAnsi="Arial Black"/>
          <w:b/>
          <w:bCs/>
        </w:rPr>
      </w:pPr>
      <w:r w:rsidRPr="00A85BE7">
        <w:rPr>
          <w:rFonts w:ascii="Arial Black" w:hAnsi="Arial Black"/>
          <w:b/>
          <w:bCs/>
        </w:rPr>
        <w:t>MODULE CODE: LCBB6015</w:t>
      </w:r>
    </w:p>
    <w:p w14:paraId="34AA7A8E" w14:textId="4E0FAFDE" w:rsidR="00CD2BBC" w:rsidRPr="00A85BE7" w:rsidRDefault="00CD2BBC" w:rsidP="00A85BE7">
      <w:pPr>
        <w:jc w:val="center"/>
        <w:rPr>
          <w:rFonts w:ascii="Arial Black" w:hAnsi="Arial Black"/>
          <w:b/>
          <w:bCs/>
        </w:rPr>
      </w:pPr>
      <w:r w:rsidRPr="00A85BE7">
        <w:rPr>
          <w:rFonts w:ascii="Arial Black" w:hAnsi="Arial Black"/>
          <w:b/>
          <w:bCs/>
        </w:rPr>
        <w:t>ASSESMENT TYPE: INDIVIDUAL REPORT</w:t>
      </w:r>
    </w:p>
    <w:p w14:paraId="134CD839" w14:textId="4ADAC5CB" w:rsidR="00CD2BBC" w:rsidRPr="00A85BE7" w:rsidRDefault="00CD2BBC" w:rsidP="00A85BE7">
      <w:pPr>
        <w:jc w:val="center"/>
        <w:rPr>
          <w:rFonts w:ascii="Arial Black" w:hAnsi="Arial Black"/>
          <w:b/>
          <w:bCs/>
        </w:rPr>
      </w:pPr>
      <w:r w:rsidRPr="00A85BE7">
        <w:rPr>
          <w:rFonts w:ascii="Arial Black" w:hAnsi="Arial Black"/>
          <w:b/>
          <w:bCs/>
        </w:rPr>
        <w:t>WORDS: 2,000</w:t>
      </w:r>
    </w:p>
    <w:p w14:paraId="18A511CC" w14:textId="77777777" w:rsidR="00CD2BBC" w:rsidRPr="00A85BE7" w:rsidRDefault="00CD2BBC" w:rsidP="00A85BE7">
      <w:pPr>
        <w:jc w:val="center"/>
        <w:rPr>
          <w:rFonts w:ascii="Arial Black" w:hAnsi="Arial Black"/>
          <w:b/>
          <w:bCs/>
        </w:rPr>
      </w:pPr>
    </w:p>
    <w:p w14:paraId="50120A31" w14:textId="77777777" w:rsidR="00CD2BBC" w:rsidRPr="00A85BE7" w:rsidRDefault="00CD2BBC" w:rsidP="00A85BE7">
      <w:pPr>
        <w:jc w:val="center"/>
        <w:rPr>
          <w:rFonts w:ascii="Arial Black" w:hAnsi="Arial Black"/>
          <w:b/>
          <w:bCs/>
        </w:rPr>
      </w:pPr>
    </w:p>
    <w:p w14:paraId="18F92D79" w14:textId="77777777" w:rsidR="00CD2BBC" w:rsidRPr="00A85BE7" w:rsidRDefault="00CD2BBC" w:rsidP="00A85BE7">
      <w:pPr>
        <w:jc w:val="center"/>
        <w:rPr>
          <w:rFonts w:ascii="Arial Black" w:hAnsi="Arial Black"/>
          <w:b/>
          <w:bCs/>
        </w:rPr>
      </w:pPr>
    </w:p>
    <w:p w14:paraId="30390E10" w14:textId="77777777" w:rsidR="00CD2BBC" w:rsidRDefault="00CD2BBC"/>
    <w:p w14:paraId="1FEF8791" w14:textId="77777777" w:rsidR="00CD2BBC" w:rsidRDefault="00CD2BBC"/>
    <w:p w14:paraId="3A44E98F" w14:textId="77777777" w:rsidR="00CD2BBC" w:rsidRDefault="00CD2BBC"/>
    <w:p w14:paraId="02BC24E8" w14:textId="77777777" w:rsidR="00CD2BBC" w:rsidRDefault="00CD2BBC"/>
    <w:p w14:paraId="6E4A7B0F" w14:textId="77777777" w:rsidR="00CD2BBC" w:rsidRDefault="00CD2BBC"/>
    <w:p w14:paraId="0DCDD4E5" w14:textId="77777777" w:rsidR="00CD2BBC" w:rsidRDefault="00CD2BBC"/>
    <w:p w14:paraId="7136D428" w14:textId="77777777" w:rsidR="00CD2BBC" w:rsidRDefault="00CD2BBC"/>
    <w:p w14:paraId="4BC429F2" w14:textId="77777777" w:rsidR="00CD2BBC" w:rsidRDefault="00CD2BBC"/>
    <w:p w14:paraId="2C229D17" w14:textId="77777777" w:rsidR="00CD2BBC" w:rsidRDefault="00CD2BBC"/>
    <w:p w14:paraId="2FE0390F" w14:textId="77777777" w:rsidR="00CD2BBC" w:rsidRDefault="00CD2BBC"/>
    <w:p w14:paraId="51F38684" w14:textId="77777777" w:rsidR="00CD2BBC" w:rsidRDefault="00CD2BBC"/>
    <w:p w14:paraId="6B194463" w14:textId="77777777" w:rsidR="00CD2BBC" w:rsidRDefault="00CD2BBC"/>
    <w:p w14:paraId="0FFB8593" w14:textId="77777777" w:rsidR="00CD2BBC" w:rsidRDefault="00CD2BBC"/>
    <w:sdt>
      <w:sdtPr>
        <w:id w:val="364029345"/>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5948D8CF" w14:textId="56AB75F7" w:rsidR="00A85BE7" w:rsidRDefault="00A85BE7">
          <w:pPr>
            <w:pStyle w:val="TOCHeading"/>
          </w:pPr>
          <w:r>
            <w:t>Table of Contents</w:t>
          </w:r>
        </w:p>
        <w:p w14:paraId="00443563" w14:textId="764CB7E1" w:rsidR="00A85BE7" w:rsidRDefault="00A85BE7">
          <w:pPr>
            <w:pStyle w:val="TOC2"/>
            <w:tabs>
              <w:tab w:val="right" w:leader="dot" w:pos="9016"/>
            </w:tabs>
            <w:rPr>
              <w:noProof/>
            </w:rPr>
          </w:pPr>
          <w:r>
            <w:fldChar w:fldCharType="begin"/>
          </w:r>
          <w:r>
            <w:instrText xml:space="preserve"> TOC \o "1-3" \h \z \u </w:instrText>
          </w:r>
          <w:r>
            <w:fldChar w:fldCharType="separate"/>
          </w:r>
          <w:hyperlink w:anchor="_Toc236135133" w:history="1">
            <w:r w:rsidRPr="004B44CB">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_Toc236135133 \h </w:instrText>
            </w:r>
            <w:r>
              <w:rPr>
                <w:noProof/>
                <w:webHidden/>
              </w:rPr>
            </w:r>
            <w:r>
              <w:rPr>
                <w:noProof/>
                <w:webHidden/>
              </w:rPr>
              <w:fldChar w:fldCharType="separate"/>
            </w:r>
            <w:r>
              <w:rPr>
                <w:noProof/>
                <w:webHidden/>
              </w:rPr>
              <w:t>3</w:t>
            </w:r>
            <w:r>
              <w:rPr>
                <w:noProof/>
                <w:webHidden/>
              </w:rPr>
              <w:fldChar w:fldCharType="end"/>
            </w:r>
          </w:hyperlink>
        </w:p>
        <w:p w14:paraId="53C0D109" w14:textId="7631B5BF" w:rsidR="00A85BE7" w:rsidRDefault="00A85BE7">
          <w:pPr>
            <w:pStyle w:val="TOC2"/>
            <w:tabs>
              <w:tab w:val="right" w:leader="dot" w:pos="9016"/>
            </w:tabs>
            <w:rPr>
              <w:noProof/>
            </w:rPr>
          </w:pPr>
          <w:hyperlink w:anchor="_Toc236135134" w:history="1">
            <w:r w:rsidRPr="004B44CB">
              <w:rPr>
                <w:rStyle w:val="Hyperlink"/>
                <w:noProof/>
              </w:rPr>
              <w:t>Introduction to the Strategy</w:t>
            </w:r>
            <w:r>
              <w:rPr>
                <w:noProof/>
                <w:webHidden/>
              </w:rPr>
              <w:tab/>
            </w:r>
            <w:r>
              <w:rPr>
                <w:noProof/>
                <w:webHidden/>
              </w:rPr>
              <w:fldChar w:fldCharType="begin"/>
            </w:r>
            <w:r>
              <w:rPr>
                <w:noProof/>
                <w:webHidden/>
              </w:rPr>
              <w:instrText xml:space="preserve"> PAGEREF _Toc236135134 \h </w:instrText>
            </w:r>
            <w:r>
              <w:rPr>
                <w:noProof/>
                <w:webHidden/>
              </w:rPr>
            </w:r>
            <w:r>
              <w:rPr>
                <w:noProof/>
                <w:webHidden/>
              </w:rPr>
              <w:fldChar w:fldCharType="separate"/>
            </w:r>
            <w:r>
              <w:rPr>
                <w:noProof/>
                <w:webHidden/>
              </w:rPr>
              <w:t>4</w:t>
            </w:r>
            <w:r>
              <w:rPr>
                <w:noProof/>
                <w:webHidden/>
              </w:rPr>
              <w:fldChar w:fldCharType="end"/>
            </w:r>
          </w:hyperlink>
        </w:p>
        <w:p w14:paraId="27201758" w14:textId="3064DF89" w:rsidR="00A85BE7" w:rsidRDefault="00A85BE7">
          <w:pPr>
            <w:pStyle w:val="TOC2"/>
            <w:tabs>
              <w:tab w:val="right" w:leader="dot" w:pos="9016"/>
            </w:tabs>
            <w:rPr>
              <w:noProof/>
            </w:rPr>
          </w:pPr>
          <w:hyperlink w:anchor="_Toc236135135" w:history="1">
            <w:r w:rsidRPr="004B44CB">
              <w:rPr>
                <w:rStyle w:val="Hyperlink"/>
                <w:noProof/>
              </w:rPr>
              <w:t>Overview and background of Toyota</w:t>
            </w:r>
            <w:r>
              <w:rPr>
                <w:noProof/>
                <w:webHidden/>
              </w:rPr>
              <w:tab/>
            </w:r>
            <w:r>
              <w:rPr>
                <w:noProof/>
                <w:webHidden/>
              </w:rPr>
              <w:fldChar w:fldCharType="begin"/>
            </w:r>
            <w:r>
              <w:rPr>
                <w:noProof/>
                <w:webHidden/>
              </w:rPr>
              <w:instrText xml:space="preserve"> PAGEREF _Toc236135135 \h </w:instrText>
            </w:r>
            <w:r>
              <w:rPr>
                <w:noProof/>
                <w:webHidden/>
              </w:rPr>
            </w:r>
            <w:r>
              <w:rPr>
                <w:noProof/>
                <w:webHidden/>
              </w:rPr>
              <w:fldChar w:fldCharType="separate"/>
            </w:r>
            <w:r>
              <w:rPr>
                <w:noProof/>
                <w:webHidden/>
              </w:rPr>
              <w:t>4</w:t>
            </w:r>
            <w:r>
              <w:rPr>
                <w:noProof/>
                <w:webHidden/>
              </w:rPr>
              <w:fldChar w:fldCharType="end"/>
            </w:r>
          </w:hyperlink>
        </w:p>
        <w:p w14:paraId="152C615D" w14:textId="43020C09" w:rsidR="00A85BE7" w:rsidRDefault="00A85BE7">
          <w:pPr>
            <w:pStyle w:val="TOC2"/>
            <w:tabs>
              <w:tab w:val="right" w:leader="dot" w:pos="9016"/>
            </w:tabs>
            <w:rPr>
              <w:noProof/>
            </w:rPr>
          </w:pPr>
          <w:hyperlink w:anchor="_Toc236135136" w:history="1">
            <w:r w:rsidRPr="004B44CB">
              <w:rPr>
                <w:rStyle w:val="Hyperlink"/>
                <w:noProof/>
              </w:rPr>
              <w:t>Strategic Intent: Vision, Mission and Objectives</w:t>
            </w:r>
            <w:r>
              <w:rPr>
                <w:noProof/>
                <w:webHidden/>
              </w:rPr>
              <w:tab/>
            </w:r>
            <w:r>
              <w:rPr>
                <w:noProof/>
                <w:webHidden/>
              </w:rPr>
              <w:fldChar w:fldCharType="begin"/>
            </w:r>
            <w:r>
              <w:rPr>
                <w:noProof/>
                <w:webHidden/>
              </w:rPr>
              <w:instrText xml:space="preserve"> PAGEREF _Toc236135136 \h </w:instrText>
            </w:r>
            <w:r>
              <w:rPr>
                <w:noProof/>
                <w:webHidden/>
              </w:rPr>
            </w:r>
            <w:r>
              <w:rPr>
                <w:noProof/>
                <w:webHidden/>
              </w:rPr>
              <w:fldChar w:fldCharType="separate"/>
            </w:r>
            <w:r>
              <w:rPr>
                <w:noProof/>
                <w:webHidden/>
              </w:rPr>
              <w:t>5</w:t>
            </w:r>
            <w:r>
              <w:rPr>
                <w:noProof/>
                <w:webHidden/>
              </w:rPr>
              <w:fldChar w:fldCharType="end"/>
            </w:r>
          </w:hyperlink>
        </w:p>
        <w:p w14:paraId="629FF0D1" w14:textId="1C9F49BA" w:rsidR="00A85BE7" w:rsidRDefault="00A85BE7">
          <w:pPr>
            <w:pStyle w:val="TOC2"/>
            <w:tabs>
              <w:tab w:val="right" w:leader="dot" w:pos="9016"/>
            </w:tabs>
            <w:rPr>
              <w:noProof/>
            </w:rPr>
          </w:pPr>
          <w:hyperlink w:anchor="_Toc236135137" w:history="1">
            <w:r w:rsidRPr="004B44CB">
              <w:rPr>
                <w:rStyle w:val="Hyperlink"/>
                <w:noProof/>
              </w:rPr>
              <w:t>Toyota’s Current Performance</w:t>
            </w:r>
            <w:r>
              <w:rPr>
                <w:noProof/>
                <w:webHidden/>
              </w:rPr>
              <w:tab/>
            </w:r>
            <w:r>
              <w:rPr>
                <w:noProof/>
                <w:webHidden/>
              </w:rPr>
              <w:fldChar w:fldCharType="begin"/>
            </w:r>
            <w:r>
              <w:rPr>
                <w:noProof/>
                <w:webHidden/>
              </w:rPr>
              <w:instrText xml:space="preserve"> PAGEREF _Toc236135137 \h </w:instrText>
            </w:r>
            <w:r>
              <w:rPr>
                <w:noProof/>
                <w:webHidden/>
              </w:rPr>
            </w:r>
            <w:r>
              <w:rPr>
                <w:noProof/>
                <w:webHidden/>
              </w:rPr>
              <w:fldChar w:fldCharType="separate"/>
            </w:r>
            <w:r>
              <w:rPr>
                <w:noProof/>
                <w:webHidden/>
              </w:rPr>
              <w:t>5</w:t>
            </w:r>
            <w:r>
              <w:rPr>
                <w:noProof/>
                <w:webHidden/>
              </w:rPr>
              <w:fldChar w:fldCharType="end"/>
            </w:r>
          </w:hyperlink>
        </w:p>
        <w:p w14:paraId="2CE67F6F" w14:textId="0B70298C" w:rsidR="00A85BE7" w:rsidRDefault="00A85BE7">
          <w:pPr>
            <w:pStyle w:val="TOC2"/>
            <w:tabs>
              <w:tab w:val="right" w:leader="dot" w:pos="9016"/>
            </w:tabs>
            <w:rPr>
              <w:noProof/>
            </w:rPr>
          </w:pPr>
          <w:hyperlink w:anchor="_Toc236135138" w:history="1">
            <w:r w:rsidRPr="004B44CB">
              <w:rPr>
                <w:rStyle w:val="Hyperlink"/>
                <w:noProof/>
              </w:rPr>
              <w:t>Strategy Analysis: Toyota’s Competitive Environment</w:t>
            </w:r>
            <w:r>
              <w:rPr>
                <w:noProof/>
                <w:webHidden/>
              </w:rPr>
              <w:tab/>
            </w:r>
            <w:r>
              <w:rPr>
                <w:noProof/>
                <w:webHidden/>
              </w:rPr>
              <w:fldChar w:fldCharType="begin"/>
            </w:r>
            <w:r>
              <w:rPr>
                <w:noProof/>
                <w:webHidden/>
              </w:rPr>
              <w:instrText xml:space="preserve"> PAGEREF _Toc236135138 \h </w:instrText>
            </w:r>
            <w:r>
              <w:rPr>
                <w:noProof/>
                <w:webHidden/>
              </w:rPr>
            </w:r>
            <w:r>
              <w:rPr>
                <w:noProof/>
                <w:webHidden/>
              </w:rPr>
              <w:fldChar w:fldCharType="separate"/>
            </w:r>
            <w:r>
              <w:rPr>
                <w:noProof/>
                <w:webHidden/>
              </w:rPr>
              <w:t>6</w:t>
            </w:r>
            <w:r>
              <w:rPr>
                <w:noProof/>
                <w:webHidden/>
              </w:rPr>
              <w:fldChar w:fldCharType="end"/>
            </w:r>
          </w:hyperlink>
        </w:p>
        <w:p w14:paraId="21B38251" w14:textId="56B2D996" w:rsidR="00A85BE7" w:rsidRDefault="00A85BE7">
          <w:pPr>
            <w:pStyle w:val="TOC2"/>
            <w:tabs>
              <w:tab w:val="right" w:leader="dot" w:pos="9016"/>
            </w:tabs>
            <w:rPr>
              <w:noProof/>
            </w:rPr>
          </w:pPr>
          <w:hyperlink w:anchor="_Toc236135139" w:history="1">
            <w:r w:rsidRPr="004B44CB">
              <w:rPr>
                <w:rStyle w:val="Hyperlink"/>
                <w:noProof/>
              </w:rPr>
              <w:t>Internal Environmental Audit: SWOT, VRIO, BCG and Value Chain</w:t>
            </w:r>
            <w:r>
              <w:rPr>
                <w:noProof/>
                <w:webHidden/>
              </w:rPr>
              <w:tab/>
            </w:r>
            <w:r>
              <w:rPr>
                <w:noProof/>
                <w:webHidden/>
              </w:rPr>
              <w:fldChar w:fldCharType="begin"/>
            </w:r>
            <w:r>
              <w:rPr>
                <w:noProof/>
                <w:webHidden/>
              </w:rPr>
              <w:instrText xml:space="preserve"> PAGEREF _Toc236135139 \h </w:instrText>
            </w:r>
            <w:r>
              <w:rPr>
                <w:noProof/>
                <w:webHidden/>
              </w:rPr>
            </w:r>
            <w:r>
              <w:rPr>
                <w:noProof/>
                <w:webHidden/>
              </w:rPr>
              <w:fldChar w:fldCharType="separate"/>
            </w:r>
            <w:r>
              <w:rPr>
                <w:noProof/>
                <w:webHidden/>
              </w:rPr>
              <w:t>8</w:t>
            </w:r>
            <w:r>
              <w:rPr>
                <w:noProof/>
                <w:webHidden/>
              </w:rPr>
              <w:fldChar w:fldCharType="end"/>
            </w:r>
          </w:hyperlink>
        </w:p>
        <w:p w14:paraId="7E9B31B7" w14:textId="3958EFEE" w:rsidR="00A85BE7" w:rsidRDefault="00A85BE7">
          <w:pPr>
            <w:pStyle w:val="TOC2"/>
            <w:tabs>
              <w:tab w:val="right" w:leader="dot" w:pos="9016"/>
            </w:tabs>
            <w:rPr>
              <w:noProof/>
            </w:rPr>
          </w:pPr>
          <w:hyperlink w:anchor="_Toc236135140" w:history="1">
            <w:r w:rsidRPr="004B44CB">
              <w:rPr>
                <w:rStyle w:val="Hyperlink"/>
                <w:noProof/>
              </w:rPr>
              <w:t>Strategy Formulation: Proposed Strategic Choice</w:t>
            </w:r>
            <w:r>
              <w:rPr>
                <w:noProof/>
                <w:webHidden/>
              </w:rPr>
              <w:tab/>
            </w:r>
            <w:r>
              <w:rPr>
                <w:noProof/>
                <w:webHidden/>
              </w:rPr>
              <w:fldChar w:fldCharType="begin"/>
            </w:r>
            <w:r>
              <w:rPr>
                <w:noProof/>
                <w:webHidden/>
              </w:rPr>
              <w:instrText xml:space="preserve"> PAGEREF _Toc236135140 \h </w:instrText>
            </w:r>
            <w:r>
              <w:rPr>
                <w:noProof/>
                <w:webHidden/>
              </w:rPr>
            </w:r>
            <w:r>
              <w:rPr>
                <w:noProof/>
                <w:webHidden/>
              </w:rPr>
              <w:fldChar w:fldCharType="separate"/>
            </w:r>
            <w:r>
              <w:rPr>
                <w:noProof/>
                <w:webHidden/>
              </w:rPr>
              <w:t>9</w:t>
            </w:r>
            <w:r>
              <w:rPr>
                <w:noProof/>
                <w:webHidden/>
              </w:rPr>
              <w:fldChar w:fldCharType="end"/>
            </w:r>
          </w:hyperlink>
        </w:p>
        <w:p w14:paraId="22CF46F2" w14:textId="2F7A37F0" w:rsidR="00A85BE7" w:rsidRDefault="00A85BE7">
          <w:pPr>
            <w:pStyle w:val="TOC2"/>
            <w:tabs>
              <w:tab w:val="right" w:leader="dot" w:pos="9016"/>
            </w:tabs>
            <w:rPr>
              <w:noProof/>
            </w:rPr>
          </w:pPr>
          <w:hyperlink w:anchor="_Toc236135141" w:history="1">
            <w:r w:rsidRPr="004B44CB">
              <w:rPr>
                <w:rStyle w:val="Hyperlink"/>
                <w:noProof/>
              </w:rPr>
              <w:t>Conclusion and Recommendations</w:t>
            </w:r>
            <w:r>
              <w:rPr>
                <w:noProof/>
                <w:webHidden/>
              </w:rPr>
              <w:tab/>
            </w:r>
            <w:r>
              <w:rPr>
                <w:noProof/>
                <w:webHidden/>
              </w:rPr>
              <w:fldChar w:fldCharType="begin"/>
            </w:r>
            <w:r>
              <w:rPr>
                <w:noProof/>
                <w:webHidden/>
              </w:rPr>
              <w:instrText xml:space="preserve"> PAGEREF _Toc236135141 \h </w:instrText>
            </w:r>
            <w:r>
              <w:rPr>
                <w:noProof/>
                <w:webHidden/>
              </w:rPr>
            </w:r>
            <w:r>
              <w:rPr>
                <w:noProof/>
                <w:webHidden/>
              </w:rPr>
              <w:fldChar w:fldCharType="separate"/>
            </w:r>
            <w:r>
              <w:rPr>
                <w:noProof/>
                <w:webHidden/>
              </w:rPr>
              <w:t>9</w:t>
            </w:r>
            <w:r>
              <w:rPr>
                <w:noProof/>
                <w:webHidden/>
              </w:rPr>
              <w:fldChar w:fldCharType="end"/>
            </w:r>
          </w:hyperlink>
        </w:p>
        <w:p w14:paraId="04E1895C" w14:textId="45BBF614" w:rsidR="00A85BE7" w:rsidRDefault="00A85BE7">
          <w:pPr>
            <w:pStyle w:val="TOC2"/>
            <w:tabs>
              <w:tab w:val="right" w:leader="dot" w:pos="9016"/>
            </w:tabs>
            <w:rPr>
              <w:noProof/>
            </w:rPr>
          </w:pPr>
          <w:hyperlink w:anchor="_Toc236135142" w:history="1">
            <w:r w:rsidRPr="004B44CB">
              <w:rPr>
                <w:rStyle w:val="Hyperlink"/>
                <w:noProof/>
              </w:rPr>
              <w:t>References</w:t>
            </w:r>
            <w:r>
              <w:rPr>
                <w:noProof/>
                <w:webHidden/>
              </w:rPr>
              <w:tab/>
            </w:r>
            <w:r>
              <w:rPr>
                <w:noProof/>
                <w:webHidden/>
              </w:rPr>
              <w:fldChar w:fldCharType="begin"/>
            </w:r>
            <w:r>
              <w:rPr>
                <w:noProof/>
                <w:webHidden/>
              </w:rPr>
              <w:instrText xml:space="preserve"> PAGEREF _Toc236135142 \h </w:instrText>
            </w:r>
            <w:r>
              <w:rPr>
                <w:noProof/>
                <w:webHidden/>
              </w:rPr>
            </w:r>
            <w:r>
              <w:rPr>
                <w:noProof/>
                <w:webHidden/>
              </w:rPr>
              <w:fldChar w:fldCharType="separate"/>
            </w:r>
            <w:r>
              <w:rPr>
                <w:noProof/>
                <w:webHidden/>
              </w:rPr>
              <w:t>11</w:t>
            </w:r>
            <w:r>
              <w:rPr>
                <w:noProof/>
                <w:webHidden/>
              </w:rPr>
              <w:fldChar w:fldCharType="end"/>
            </w:r>
          </w:hyperlink>
        </w:p>
        <w:p w14:paraId="5AB25E88" w14:textId="56DC2605" w:rsidR="00A85BE7" w:rsidRDefault="00A85BE7">
          <w:r>
            <w:rPr>
              <w:b/>
              <w:bCs/>
            </w:rPr>
            <w:fldChar w:fldCharType="end"/>
          </w:r>
        </w:p>
      </w:sdtContent>
    </w:sdt>
    <w:p w14:paraId="19B80A05" w14:textId="77777777" w:rsidR="00CD2BBC" w:rsidRDefault="00CD2BBC"/>
    <w:p w14:paraId="7935DEA4" w14:textId="77777777" w:rsidR="00CD2BBC" w:rsidRDefault="00CD2BBC"/>
    <w:p w14:paraId="1E2D9B79" w14:textId="77777777" w:rsidR="00CD2BBC" w:rsidRDefault="00CD2BBC"/>
    <w:p w14:paraId="0B4C2694" w14:textId="77777777" w:rsidR="00CD2BBC" w:rsidRDefault="00CD2BBC"/>
    <w:p w14:paraId="13E31C00" w14:textId="77777777" w:rsidR="00CD2BBC" w:rsidRDefault="00CD2BBC"/>
    <w:p w14:paraId="01E013BE" w14:textId="77777777" w:rsidR="00CD2BBC" w:rsidRDefault="00CD2BBC"/>
    <w:p w14:paraId="27F7D9AB" w14:textId="77777777" w:rsidR="00CD2BBC" w:rsidRDefault="00CD2BBC"/>
    <w:p w14:paraId="71A4EC6D" w14:textId="77777777" w:rsidR="00CD2BBC" w:rsidRDefault="00CD2BBC"/>
    <w:p w14:paraId="5C3F846D" w14:textId="77777777" w:rsidR="00CD2BBC" w:rsidRDefault="00CD2BBC"/>
    <w:p w14:paraId="230A6180" w14:textId="77777777" w:rsidR="00CD2BBC" w:rsidRDefault="00CD2BBC"/>
    <w:p w14:paraId="3D6EA8CD" w14:textId="77777777" w:rsidR="00CD2BBC" w:rsidRDefault="00CD2BBC"/>
    <w:p w14:paraId="3903EF68" w14:textId="77777777" w:rsidR="00CD2BBC" w:rsidRDefault="00CD2BBC"/>
    <w:p w14:paraId="2726BA56" w14:textId="77777777" w:rsidR="00CD2BBC" w:rsidRDefault="00CD2BBC"/>
    <w:p w14:paraId="0A269841" w14:textId="2DC240CA" w:rsidR="00CD2BBC" w:rsidRDefault="00A85BE7" w:rsidP="00CD2BBC">
      <w:pPr>
        <w:jc w:val="center"/>
        <w:rPr>
          <w:rFonts w:ascii="Arial Black" w:hAnsi="Arial Black"/>
          <w:b/>
          <w:bCs/>
          <w:sz w:val="32"/>
          <w:szCs w:val="32"/>
        </w:rPr>
      </w:pPr>
      <w:r>
        <w:rPr>
          <w:rFonts w:ascii="Arial Black" w:hAnsi="Arial Black"/>
          <w:b/>
          <w:bCs/>
          <w:noProof/>
          <w:sz w:val="32"/>
          <w:szCs w:val="32"/>
        </w:rPr>
        <w:lastRenderedPageBreak/>
        <w:drawing>
          <wp:anchor distT="0" distB="0" distL="114300" distR="114300" simplePos="0" relativeHeight="251658240" behindDoc="0" locked="0" layoutInCell="1" allowOverlap="1" wp14:anchorId="2D9DC364" wp14:editId="3EFC9403">
            <wp:simplePos x="0" y="0"/>
            <wp:positionH relativeFrom="margin">
              <wp:posOffset>3136900</wp:posOffset>
            </wp:positionH>
            <wp:positionV relativeFrom="margin">
              <wp:posOffset>472440</wp:posOffset>
            </wp:positionV>
            <wp:extent cx="2381250" cy="1457325"/>
            <wp:effectExtent l="0" t="0" r="0" b="9525"/>
            <wp:wrapSquare wrapText="bothSides"/>
            <wp:docPr id="8374387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438722" name="Picture 2"/>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2381250" cy="1457325"/>
                    </a:xfrm>
                    <a:prstGeom prst="rect">
                      <a:avLst/>
                    </a:prstGeom>
                  </pic:spPr>
                </pic:pic>
              </a:graphicData>
            </a:graphic>
          </wp:anchor>
        </w:drawing>
      </w:r>
      <w:r w:rsidR="00CD2BBC" w:rsidRPr="00A85BE7">
        <w:rPr>
          <w:rFonts w:ascii="Arial Black" w:hAnsi="Arial Black"/>
          <w:b/>
          <w:bCs/>
          <w:sz w:val="32"/>
          <w:szCs w:val="32"/>
        </w:rPr>
        <w:t>Strategy Formulation Plan for Toyota Motor Corporation</w:t>
      </w:r>
    </w:p>
    <w:p w14:paraId="22E99DCE" w14:textId="4920DB01" w:rsidR="00A85BE7" w:rsidRDefault="00A85BE7" w:rsidP="00CD2BBC">
      <w:pPr>
        <w:jc w:val="center"/>
        <w:rPr>
          <w:rFonts w:ascii="Arial Black" w:hAnsi="Arial Black"/>
          <w:b/>
          <w:bCs/>
          <w:sz w:val="32"/>
          <w:szCs w:val="32"/>
        </w:rPr>
      </w:pPr>
    </w:p>
    <w:p w14:paraId="78698CA9" w14:textId="77777777" w:rsidR="00A85BE7" w:rsidRDefault="00A85BE7" w:rsidP="00CD2BBC">
      <w:pPr>
        <w:jc w:val="center"/>
        <w:rPr>
          <w:rFonts w:ascii="Arial Black" w:hAnsi="Arial Black"/>
          <w:b/>
          <w:bCs/>
          <w:sz w:val="32"/>
          <w:szCs w:val="32"/>
        </w:rPr>
      </w:pPr>
    </w:p>
    <w:p w14:paraId="4BC7A43A" w14:textId="77777777" w:rsidR="00CD2BBC" w:rsidRPr="00CD2BBC" w:rsidRDefault="00CD2BBC" w:rsidP="00A85BE7">
      <w:pPr>
        <w:pStyle w:val="Heading2"/>
      </w:pPr>
    </w:p>
    <w:p w14:paraId="05ABAC3D" w14:textId="3783FD0E" w:rsidR="00CD2BBC" w:rsidRPr="00A85BE7" w:rsidRDefault="00CD2BBC" w:rsidP="00A85BE7">
      <w:pPr>
        <w:pStyle w:val="Heading2"/>
        <w:rPr>
          <w:rFonts w:ascii="Arial" w:hAnsi="Arial" w:cs="Arial"/>
          <w:sz w:val="24"/>
          <w:szCs w:val="24"/>
        </w:rPr>
      </w:pPr>
      <w:r w:rsidRPr="00A85BE7">
        <w:rPr>
          <w:rFonts w:ascii="Arial" w:hAnsi="Arial" w:cs="Arial"/>
          <w:sz w:val="24"/>
          <w:szCs w:val="24"/>
        </w:rPr>
        <w:t xml:space="preserve"> </w:t>
      </w:r>
      <w:bookmarkStart w:id="0" w:name="_Toc236135133"/>
      <w:r w:rsidRPr="00A85BE7">
        <w:rPr>
          <w:rFonts w:ascii="Arial" w:hAnsi="Arial" w:cs="Arial"/>
          <w:sz w:val="24"/>
          <w:szCs w:val="24"/>
        </w:rPr>
        <w:t>Executive Summary</w:t>
      </w:r>
      <w:bookmarkEnd w:id="0"/>
    </w:p>
    <w:p w14:paraId="6158D5BC" w14:textId="61704B3F" w:rsidR="00A058C4" w:rsidRPr="00A85BE7" w:rsidRDefault="00A058C4" w:rsidP="00A85BE7">
      <w:pPr>
        <w:spacing w:line="360" w:lineRule="auto"/>
        <w:jc w:val="both"/>
        <w:rPr>
          <w:rFonts w:ascii="Arial" w:hAnsi="Arial" w:cs="Arial"/>
        </w:rPr>
      </w:pPr>
      <w:r w:rsidRPr="00A85BE7">
        <w:rPr>
          <w:rFonts w:ascii="Arial" w:hAnsi="Arial" w:cs="Arial"/>
        </w:rPr>
        <w:t xml:space="preserve">Toyota Motor Corporation team oversees ten of the leading car makers in the world. The report develops a strategy formulation plan for Toyota Motor Corporation as the global automotive industry continues to undergo rapid transformation.  Toyota is one of the biggest car manufacturers in the world. The company possesses </w:t>
      </w:r>
      <w:r w:rsidR="00A85BE7" w:rsidRPr="00A85BE7">
        <w:rPr>
          <w:rFonts w:ascii="Arial" w:hAnsi="Arial" w:cs="Arial"/>
        </w:rPr>
        <w:t>several</w:t>
      </w:r>
      <w:r w:rsidRPr="00A85BE7">
        <w:rPr>
          <w:rFonts w:ascii="Arial" w:hAnsi="Arial" w:cs="Arial"/>
        </w:rPr>
        <w:t xml:space="preserve"> competitive assets that include brand, manufacturing, global distribution, hybrid technology and Toyota Production System. The conditions of competition are changing due to electrification, software defined vehicles, artificial intelligence, environmental regulation, supply-chain disruption and ever more capable Chinese electric-vehicle manufacturers.</w:t>
      </w:r>
    </w:p>
    <w:p w14:paraId="280C87E2" w14:textId="21FD9142" w:rsidR="00A058C4" w:rsidRPr="00A85BE7" w:rsidRDefault="00A058C4" w:rsidP="00A85BE7">
      <w:pPr>
        <w:spacing w:line="360" w:lineRule="auto"/>
        <w:jc w:val="both"/>
        <w:rPr>
          <w:rFonts w:ascii="Arial" w:hAnsi="Arial" w:cs="Arial"/>
        </w:rPr>
      </w:pPr>
      <w:r w:rsidRPr="00A85BE7">
        <w:rPr>
          <w:rFonts w:ascii="Arial" w:hAnsi="Arial" w:cs="Arial"/>
        </w:rPr>
        <w:t xml:space="preserve">A strategic management report on Toyota is in the following words.  According to PESTEL and Porter’s Five Forces, regulatory, technological and competitive threats and opportunities are significant, primarily due to the fast transition to BEVs. The internal analysis conducted using SWOT, VRIO, the value chain and BCG principles, concludes </w:t>
      </w:r>
      <w:r w:rsidR="00A85BE7" w:rsidRPr="00A85BE7">
        <w:rPr>
          <w:rFonts w:ascii="Arial" w:hAnsi="Arial" w:cs="Arial"/>
        </w:rPr>
        <w:t>that Toyota</w:t>
      </w:r>
      <w:r w:rsidRPr="00A85BE7">
        <w:rPr>
          <w:rFonts w:ascii="Arial" w:hAnsi="Arial" w:cs="Arial"/>
        </w:rPr>
        <w:t xml:space="preserve"> does have valuable resources but has serious weaknesses in its relative position in pure BEVs and automotive software.</w:t>
      </w:r>
    </w:p>
    <w:p w14:paraId="07A251D5" w14:textId="67923114" w:rsidR="00A058C4" w:rsidRPr="00A85BE7" w:rsidRDefault="00A058C4" w:rsidP="00A85BE7">
      <w:pPr>
        <w:spacing w:line="360" w:lineRule="auto"/>
        <w:jc w:val="both"/>
        <w:rPr>
          <w:rFonts w:ascii="Arial" w:hAnsi="Arial" w:cs="Arial"/>
        </w:rPr>
      </w:pPr>
      <w:r w:rsidRPr="00A85BE7">
        <w:rPr>
          <w:rFonts w:ascii="Arial" w:hAnsi="Arial" w:cs="Arial"/>
        </w:rPr>
        <w:t xml:space="preserve">The report advised for an Integrated Electric Mobility and Digital Ecosystem Strategy. The leading company’s EV Strategy mentions that a multi-pathway approach should be </w:t>
      </w:r>
      <w:r w:rsidR="00A85BE7" w:rsidRPr="00A85BE7">
        <w:rPr>
          <w:rFonts w:ascii="Arial" w:hAnsi="Arial" w:cs="Arial"/>
        </w:rPr>
        <w:t>maintained,</w:t>
      </w:r>
      <w:r w:rsidRPr="00A85BE7">
        <w:rPr>
          <w:rFonts w:ascii="Arial" w:hAnsi="Arial" w:cs="Arial"/>
        </w:rPr>
        <w:t xml:space="preserve"> and further acceleration should take place on scalable BEV platforms and software-defined vehicles, localisation of batteries and A.I, circular battery system and partnerships in the industry and on the ground.  This will allow Toyota to leverage its existing competencies while enhancing its competitive position in the increasingly electric and digitally connected automotive marketplace.</w:t>
      </w:r>
    </w:p>
    <w:p w14:paraId="62AA2978" w14:textId="77777777" w:rsidR="00A058C4" w:rsidRPr="00A85BE7" w:rsidRDefault="00A058C4" w:rsidP="00A85BE7">
      <w:pPr>
        <w:spacing w:line="360" w:lineRule="auto"/>
        <w:jc w:val="both"/>
        <w:rPr>
          <w:rFonts w:ascii="Arial" w:hAnsi="Arial" w:cs="Arial"/>
        </w:rPr>
      </w:pPr>
    </w:p>
    <w:p w14:paraId="3F44F0F9" w14:textId="2B31C9C6" w:rsidR="00CD2BBC" w:rsidRPr="00A85BE7" w:rsidRDefault="00CD2BBC" w:rsidP="00A85BE7">
      <w:pPr>
        <w:pStyle w:val="Heading2"/>
      </w:pPr>
      <w:bookmarkStart w:id="1" w:name="_Toc236135134"/>
      <w:r w:rsidRPr="00A85BE7">
        <w:lastRenderedPageBreak/>
        <w:t>Introduction to the Strategy</w:t>
      </w:r>
      <w:bookmarkEnd w:id="1"/>
    </w:p>
    <w:p w14:paraId="01F6A4D1" w14:textId="77777777" w:rsidR="00A058C4" w:rsidRPr="00A85BE7" w:rsidRDefault="00A058C4" w:rsidP="00A85BE7">
      <w:pPr>
        <w:spacing w:line="360" w:lineRule="auto"/>
        <w:jc w:val="both"/>
        <w:rPr>
          <w:rFonts w:ascii="Arial" w:hAnsi="Arial" w:cs="Arial"/>
        </w:rPr>
      </w:pPr>
      <w:r w:rsidRPr="00A85BE7">
        <w:rPr>
          <w:rFonts w:ascii="Arial" w:hAnsi="Arial" w:cs="Arial"/>
        </w:rPr>
        <w:t>Strategic management is the way by which organisations examine their environments, set long-term objectives, make strategic choices and allocate resources to achieve a sustainable competitive advantage. Strategic management is especially relevant when industries undergo technological disruption, regulatory change, and shifts in customer expectations since past sources of competitive advantage may not ensure success in the future (Johnson et al., 2023). The efficient strategy aligns an organization’s assets and proficiencies with chances and risks arising in its peripheral setting.</w:t>
      </w:r>
    </w:p>
    <w:p w14:paraId="6E1D9F52" w14:textId="77777777" w:rsidR="00A058C4" w:rsidRPr="00A85BE7" w:rsidRDefault="00A058C4" w:rsidP="00A85BE7">
      <w:pPr>
        <w:spacing w:line="360" w:lineRule="auto"/>
        <w:jc w:val="both"/>
        <w:rPr>
          <w:rFonts w:ascii="Arial" w:hAnsi="Arial" w:cs="Arial"/>
        </w:rPr>
      </w:pPr>
      <w:r w:rsidRPr="00A85BE7">
        <w:rPr>
          <w:rFonts w:ascii="Arial" w:hAnsi="Arial" w:cs="Arial"/>
        </w:rPr>
        <w:t>The automotive industry shows the necessity of this process. Electricity, AI, self-driving technology, connected cars and ever-growing environmental demands are changing the competition. Sales of electric cars reached 20 million globally in 2025 when approximately one-quarter of new cars sold were electric. As such, electrification has become structural rather than marginal for the industry (IEA, 2026).</w:t>
      </w:r>
    </w:p>
    <w:p w14:paraId="740616D1" w14:textId="0175EBE1" w:rsidR="00A058C4" w:rsidRPr="00A85BE7" w:rsidRDefault="00A058C4" w:rsidP="00A85BE7">
      <w:pPr>
        <w:spacing w:line="360" w:lineRule="auto"/>
        <w:jc w:val="both"/>
        <w:rPr>
          <w:rFonts w:ascii="Arial" w:hAnsi="Arial" w:cs="Arial"/>
        </w:rPr>
      </w:pPr>
      <w:r w:rsidRPr="00A85BE7">
        <w:rPr>
          <w:rFonts w:ascii="Arial" w:hAnsi="Arial" w:cs="Arial"/>
        </w:rPr>
        <w:t>The objective of this report is to form an appropriate future strategy for Toyota. It first assesses the background, strategic intent and present performance of Toyota. This is followed by a PESTEL and Porter’s Five Forces analysis to assess external conditions, and a SWOT, VRIO, BCG and value-chain analysis to assess internal conditions. Finally, strategic options are evaluated and integrated strategy is proposed</w:t>
      </w:r>
    </w:p>
    <w:p w14:paraId="66E83765" w14:textId="7342B2E8" w:rsidR="00CD2BBC" w:rsidRPr="00A85BE7" w:rsidRDefault="00CD2BBC" w:rsidP="00A85BE7">
      <w:pPr>
        <w:pStyle w:val="Heading2"/>
      </w:pPr>
      <w:r w:rsidRPr="00A85BE7">
        <w:t xml:space="preserve"> </w:t>
      </w:r>
      <w:bookmarkStart w:id="2" w:name="_Toc236135135"/>
      <w:r w:rsidRPr="00A85BE7">
        <w:t xml:space="preserve">Overview and </w:t>
      </w:r>
      <w:r w:rsidR="00A85BE7" w:rsidRPr="00A85BE7">
        <w:t>background</w:t>
      </w:r>
      <w:r w:rsidRPr="00A85BE7">
        <w:t xml:space="preserve"> of Toyota</w:t>
      </w:r>
      <w:bookmarkEnd w:id="2"/>
    </w:p>
    <w:p w14:paraId="25127121" w14:textId="77777777" w:rsidR="00A058C4" w:rsidRPr="00A85BE7" w:rsidRDefault="00A058C4" w:rsidP="00A85BE7">
      <w:pPr>
        <w:spacing w:line="360" w:lineRule="auto"/>
        <w:jc w:val="both"/>
        <w:rPr>
          <w:rFonts w:ascii="Arial" w:hAnsi="Arial" w:cs="Arial"/>
          <w:b/>
          <w:bCs/>
        </w:rPr>
      </w:pPr>
    </w:p>
    <w:p w14:paraId="363F4C0A" w14:textId="469E56D6" w:rsidR="00A058C4" w:rsidRPr="00A85BE7" w:rsidRDefault="00A058C4" w:rsidP="00A85BE7">
      <w:pPr>
        <w:spacing w:line="360" w:lineRule="auto"/>
        <w:jc w:val="both"/>
        <w:rPr>
          <w:rFonts w:ascii="Arial" w:hAnsi="Arial" w:cs="Arial"/>
        </w:rPr>
      </w:pPr>
      <w:r w:rsidRPr="00A85BE7">
        <w:rPr>
          <w:rFonts w:ascii="Arial" w:hAnsi="Arial" w:cs="Arial"/>
        </w:rPr>
        <w:t>Toyota Motor Corporation, a Japanese carmaker, has its headquarters in Toyota City, Aichi Prefecture, Japan. The company designs, manufactures, assembles, and sells a wide range of automobiles, including passenger cars, trucks, and buses. As per their overview, 2023, Toyota Motor Corporation also offers financial services.</w:t>
      </w:r>
    </w:p>
    <w:p w14:paraId="146BB663" w14:textId="4376228A" w:rsidR="00A058C4" w:rsidRPr="00A85BE7" w:rsidRDefault="00A058C4" w:rsidP="00A85BE7">
      <w:pPr>
        <w:spacing w:line="360" w:lineRule="auto"/>
        <w:jc w:val="both"/>
        <w:rPr>
          <w:rFonts w:ascii="Arial" w:hAnsi="Arial" w:cs="Arial"/>
        </w:rPr>
      </w:pPr>
      <w:r w:rsidRPr="00A85BE7">
        <w:rPr>
          <w:rFonts w:ascii="Arial" w:hAnsi="Arial" w:cs="Arial"/>
        </w:rPr>
        <w:t>Founded in 1937, Toyota has grown to a serious global automotive and mobility organization manufacturer, researcher, distributor, and financial-service provider, covering all major automotive markets of the world. The company manufactures passenger cars, SUV, commercial vehicles and premium vehicles which are sold globally under the Lexus nameplate. Other service rendered include financial services and technology for mobile devices.</w:t>
      </w:r>
    </w:p>
    <w:p w14:paraId="6289CA0A" w14:textId="63B8E10B" w:rsidR="00A058C4" w:rsidRPr="00A85BE7" w:rsidRDefault="00A058C4" w:rsidP="00A85BE7">
      <w:pPr>
        <w:spacing w:line="360" w:lineRule="auto"/>
        <w:jc w:val="both"/>
        <w:rPr>
          <w:rFonts w:ascii="Arial" w:hAnsi="Arial" w:cs="Arial"/>
        </w:rPr>
      </w:pPr>
      <w:r w:rsidRPr="00A85BE7">
        <w:rPr>
          <w:rFonts w:ascii="Arial" w:hAnsi="Arial" w:cs="Arial"/>
        </w:rPr>
        <w:lastRenderedPageBreak/>
        <w:t>With the establishment of TPS (Toyota Production System), the company has enhanced the simplicity of just-in-time manufacturing and automation principles to world-class levels. Several automobile and financial brands are housed under the Toyota umbrella including Hino, Lexus, Daihatsu and Scion.</w:t>
      </w:r>
    </w:p>
    <w:p w14:paraId="1A9666BF" w14:textId="6243F272" w:rsidR="00A058C4" w:rsidRPr="00A85BE7" w:rsidRDefault="00A058C4" w:rsidP="00A85BE7">
      <w:pPr>
        <w:spacing w:line="360" w:lineRule="auto"/>
        <w:jc w:val="both"/>
        <w:rPr>
          <w:rFonts w:ascii="Arial" w:hAnsi="Arial" w:cs="Arial"/>
        </w:rPr>
      </w:pPr>
      <w:r w:rsidRPr="00A85BE7">
        <w:rPr>
          <w:rFonts w:ascii="Arial" w:hAnsi="Arial" w:cs="Arial"/>
        </w:rPr>
        <w:t>The firm runs many powertrain technologies such as Internal Combustion Engines, Hybrid Electric Vehicles, Plug-in Hybrids, Battery Electric Vehicles and Fuel-Cell Electric Vehicles. The company's assertion is based on a “multi-pathway” approach.</w:t>
      </w:r>
    </w:p>
    <w:p w14:paraId="6B58E9C2" w14:textId="77777777" w:rsidR="00A058C4" w:rsidRPr="00A85BE7" w:rsidRDefault="00A058C4" w:rsidP="00A85BE7">
      <w:pPr>
        <w:spacing w:line="360" w:lineRule="auto"/>
        <w:jc w:val="both"/>
        <w:rPr>
          <w:rFonts w:ascii="Arial" w:hAnsi="Arial" w:cs="Arial"/>
          <w:b/>
          <w:bCs/>
        </w:rPr>
      </w:pPr>
    </w:p>
    <w:p w14:paraId="4C7B9B5C" w14:textId="1E02F53E" w:rsidR="00CD2BBC" w:rsidRPr="00A85BE7" w:rsidRDefault="00CD2BBC" w:rsidP="00A85BE7">
      <w:pPr>
        <w:pStyle w:val="Heading2"/>
      </w:pPr>
      <w:r w:rsidRPr="00A85BE7">
        <w:t xml:space="preserve"> </w:t>
      </w:r>
      <w:bookmarkStart w:id="3" w:name="_Toc236135136"/>
      <w:r w:rsidRPr="00A85BE7">
        <w:t>Strategic Intent: Vision, Mission and Objectives</w:t>
      </w:r>
      <w:bookmarkEnd w:id="3"/>
    </w:p>
    <w:p w14:paraId="3E00D38A" w14:textId="74BBFAA3" w:rsidR="00A058C4" w:rsidRPr="00A85BE7" w:rsidRDefault="00A058C4" w:rsidP="00A85BE7">
      <w:pPr>
        <w:spacing w:line="360" w:lineRule="auto"/>
        <w:jc w:val="both"/>
        <w:rPr>
          <w:rFonts w:ascii="Arial" w:hAnsi="Arial" w:cs="Arial"/>
        </w:rPr>
      </w:pPr>
      <w:r w:rsidRPr="00A85BE7">
        <w:rPr>
          <w:rFonts w:ascii="Arial" w:hAnsi="Arial" w:cs="Arial"/>
        </w:rPr>
        <w:t>The purpose of Toyota is no longer to just sell cars. We want to offer mobility solutions that benefit society. According to the Toyota Motor Corporation (2026), it has defined its mission to manufacture safe-quality products and services that bring happiness by way of “mobility for all” and at the same time help make the world a safer, greener and more inclusive place. In our opinion, these statements signify Toyota’s intention to be a mobility company rather than merely an automobile company.</w:t>
      </w:r>
    </w:p>
    <w:p w14:paraId="40C01D70" w14:textId="400593C4" w:rsidR="00A058C4" w:rsidRPr="00A85BE7" w:rsidRDefault="00A058C4" w:rsidP="00A85BE7">
      <w:pPr>
        <w:spacing w:line="360" w:lineRule="auto"/>
        <w:jc w:val="both"/>
        <w:rPr>
          <w:rFonts w:ascii="Arial" w:hAnsi="Arial" w:cs="Arial"/>
        </w:rPr>
      </w:pPr>
      <w:r w:rsidRPr="00A85BE7">
        <w:rPr>
          <w:rFonts w:ascii="Arial" w:hAnsi="Arial" w:cs="Arial"/>
        </w:rPr>
        <w:t xml:space="preserve">The present-day targets of Toyota are closely linked to electrification, carbon neutrality, technological innovation and manufacturing transformation. The firm adopts a multi-pathway strategy to reduce carbon emissions by applying different technologies and not just BEVs. Even so, Toyota is doubling-down on BEV </w:t>
      </w:r>
      <w:r w:rsidR="00A85BE7" w:rsidRPr="00A85BE7">
        <w:rPr>
          <w:rFonts w:ascii="Arial" w:hAnsi="Arial" w:cs="Arial"/>
        </w:rPr>
        <w:t>plans and</w:t>
      </w:r>
      <w:r w:rsidRPr="00A85BE7">
        <w:rPr>
          <w:rFonts w:ascii="Arial" w:hAnsi="Arial" w:cs="Arial"/>
        </w:rPr>
        <w:t xml:space="preserve"> has already announced plans for next-gen electric vehicles that will offer much greater efficiency and driving range (Toyota Motor Corporation, 2023).</w:t>
      </w:r>
    </w:p>
    <w:p w14:paraId="4C3AEF7E" w14:textId="3D8DD584" w:rsidR="00A058C4" w:rsidRPr="00A85BE7" w:rsidRDefault="00A058C4" w:rsidP="00A85BE7">
      <w:pPr>
        <w:spacing w:line="360" w:lineRule="auto"/>
        <w:jc w:val="both"/>
        <w:rPr>
          <w:rFonts w:ascii="Arial" w:hAnsi="Arial" w:cs="Arial"/>
        </w:rPr>
      </w:pPr>
      <w:r w:rsidRPr="00A85BE7">
        <w:rPr>
          <w:rFonts w:ascii="Arial" w:hAnsi="Arial" w:cs="Arial"/>
        </w:rPr>
        <w:t xml:space="preserve">Efforts are being made on next-gen battery. Toyota and Idemitsu have partnered to commercialise all-solid-state batteries (ASSBs). The commercialisation is scheduled between 2027 and 2028 (Toyota Motor Corporation, 3012-2023). These objectives suggest that Toyota wants to bring together </w:t>
      </w:r>
      <w:r w:rsidR="00A85BE7" w:rsidRPr="00A85BE7">
        <w:rPr>
          <w:rFonts w:ascii="Arial" w:hAnsi="Arial" w:cs="Arial"/>
        </w:rPr>
        <w:t>it</w:t>
      </w:r>
      <w:r w:rsidRPr="00A85BE7">
        <w:rPr>
          <w:rFonts w:ascii="Arial" w:hAnsi="Arial" w:cs="Arial"/>
        </w:rPr>
        <w:t xml:space="preserve"> </w:t>
      </w:r>
      <w:r w:rsidR="00A85BE7" w:rsidRPr="00A85BE7">
        <w:rPr>
          <w:rFonts w:ascii="Arial" w:hAnsi="Arial" w:cs="Arial"/>
        </w:rPr>
        <w:t>tried-and-true</w:t>
      </w:r>
      <w:r w:rsidRPr="00A85BE7">
        <w:rPr>
          <w:rFonts w:ascii="Arial" w:hAnsi="Arial" w:cs="Arial"/>
        </w:rPr>
        <w:t xml:space="preserve"> manufacturing prowess with the electrification, digitalisation and environmental sustainability.</w:t>
      </w:r>
    </w:p>
    <w:p w14:paraId="4A424D40" w14:textId="57B22C8D" w:rsidR="00CD2BBC" w:rsidRPr="00A85BE7" w:rsidRDefault="00CD2BBC" w:rsidP="00A85BE7">
      <w:pPr>
        <w:pStyle w:val="Heading2"/>
      </w:pPr>
      <w:r w:rsidRPr="00A85BE7">
        <w:t xml:space="preserve"> </w:t>
      </w:r>
      <w:bookmarkStart w:id="4" w:name="_Toc236135137"/>
      <w:r w:rsidRPr="00A85BE7">
        <w:t>Toyota’s Current Performance</w:t>
      </w:r>
      <w:bookmarkEnd w:id="4"/>
    </w:p>
    <w:p w14:paraId="1F025482" w14:textId="77777777" w:rsidR="00A058C4" w:rsidRPr="00A85BE7" w:rsidRDefault="00A058C4" w:rsidP="00A85BE7">
      <w:pPr>
        <w:spacing w:line="360" w:lineRule="auto"/>
        <w:jc w:val="both"/>
        <w:rPr>
          <w:rFonts w:ascii="Arial" w:hAnsi="Arial" w:cs="Arial"/>
        </w:rPr>
      </w:pPr>
    </w:p>
    <w:p w14:paraId="5BF8837D" w14:textId="431BBC55" w:rsidR="00A058C4" w:rsidRPr="00A85BE7" w:rsidRDefault="00A058C4" w:rsidP="00A85BE7">
      <w:pPr>
        <w:spacing w:line="360" w:lineRule="auto"/>
        <w:jc w:val="both"/>
        <w:rPr>
          <w:rFonts w:ascii="Arial" w:hAnsi="Arial" w:cs="Arial"/>
        </w:rPr>
      </w:pPr>
      <w:r w:rsidRPr="00A85BE7">
        <w:rPr>
          <w:rFonts w:ascii="Arial" w:hAnsi="Arial" w:cs="Arial"/>
        </w:rPr>
        <w:t xml:space="preserve">Toyota possesses sound finances and competitive advantages. Toyota's recent performance appears strong but showing some early cracks. The operating margin of </w:t>
      </w:r>
      <w:r w:rsidRPr="00A85BE7">
        <w:rPr>
          <w:rFonts w:ascii="Arial" w:hAnsi="Arial" w:cs="Arial"/>
        </w:rPr>
        <w:lastRenderedPageBreak/>
        <w:t xml:space="preserve">Toyota was 11.9% in FY2024 and 10.0% in FY2025.  It was 7.4% in FY2026. According to Toyota Motor Corporation, </w:t>
      </w:r>
      <w:r w:rsidRPr="00A85BE7">
        <w:rPr>
          <w:rFonts w:ascii="Arial" w:hAnsi="Arial" w:cs="Arial"/>
        </w:rPr>
        <w:t>return</w:t>
      </w:r>
      <w:r w:rsidRPr="00A85BE7">
        <w:rPr>
          <w:rFonts w:ascii="Arial" w:hAnsi="Arial" w:cs="Arial"/>
        </w:rPr>
        <w:t xml:space="preserve"> on equity was 15.8% in FY2024 followed by 13.6% in FY2025 and 10.1% in FY2026. The finding </w:t>
      </w:r>
      <w:r w:rsidRPr="00A85BE7">
        <w:rPr>
          <w:rFonts w:ascii="Arial" w:hAnsi="Arial" w:cs="Arial"/>
        </w:rPr>
        <w:t>indicates</w:t>
      </w:r>
      <w:r w:rsidRPr="00A85BE7">
        <w:rPr>
          <w:rFonts w:ascii="Arial" w:hAnsi="Arial" w:cs="Arial"/>
        </w:rPr>
        <w:t xml:space="preserve"> a company that has been profiting but also underline that changing market fundamentals and large-scale investments related to technology transition can also generate performance pressure. Toyota's global span and product diversity continue to benefit the company immensely. Having a strong position in hybrid vehicles designs is very valuable as consumer take-up of BEVs varies widely across geographies. The rival conditions, however, are changing rapidly. According to IEA (2026), electric cars sales lifted by over 20% in 2025 to some 21 million units, while in China, EVs represented over half of new-car sales. This presents a dilemma for Toyota because its earlier advantage in electrification is concentrated not in BEVs but hybrid technology. Hence the need to assess performance beyond short-term profitability. Toyota </w:t>
      </w:r>
      <w:r w:rsidR="00A85BE7" w:rsidRPr="00A85BE7">
        <w:rPr>
          <w:rFonts w:ascii="Arial" w:hAnsi="Arial" w:cs="Arial"/>
        </w:rPr>
        <w:t>must</w:t>
      </w:r>
      <w:r w:rsidRPr="00A85BE7">
        <w:rPr>
          <w:rFonts w:ascii="Arial" w:hAnsi="Arial" w:cs="Arial"/>
        </w:rPr>
        <w:t xml:space="preserve"> protect its cashflow from internal combustion as well as hybrid vehicles even as it simultaneously invests in batteries, BEVs software and new production capabilities.</w:t>
      </w:r>
    </w:p>
    <w:p w14:paraId="7933F8AE" w14:textId="253B2B62" w:rsidR="00A058C4" w:rsidRPr="00A85BE7" w:rsidRDefault="00A058C4" w:rsidP="00A85BE7">
      <w:pPr>
        <w:spacing w:line="360" w:lineRule="auto"/>
        <w:jc w:val="both"/>
        <w:rPr>
          <w:rFonts w:ascii="Arial" w:hAnsi="Arial" w:cs="Arial"/>
        </w:rPr>
      </w:pPr>
    </w:p>
    <w:p w14:paraId="56B1766A" w14:textId="77777777" w:rsidR="00A058C4" w:rsidRPr="00A85BE7" w:rsidRDefault="00A058C4" w:rsidP="00A85BE7">
      <w:pPr>
        <w:spacing w:line="360" w:lineRule="auto"/>
        <w:jc w:val="both"/>
        <w:rPr>
          <w:rFonts w:ascii="Arial" w:hAnsi="Arial" w:cs="Arial"/>
        </w:rPr>
      </w:pPr>
    </w:p>
    <w:p w14:paraId="435B98BE" w14:textId="2EB1F9DC" w:rsidR="00CD2BBC" w:rsidRPr="00A85BE7" w:rsidRDefault="00CD2BBC" w:rsidP="00A85BE7">
      <w:pPr>
        <w:pStyle w:val="Heading2"/>
      </w:pPr>
      <w:r w:rsidRPr="00A85BE7">
        <w:t xml:space="preserve"> </w:t>
      </w:r>
      <w:bookmarkStart w:id="5" w:name="_Toc236135138"/>
      <w:r w:rsidRPr="00A85BE7">
        <w:t>Strategy Analysis: Toyota’s Competitive Environment</w:t>
      </w:r>
      <w:bookmarkEnd w:id="5"/>
    </w:p>
    <w:p w14:paraId="2BFF85FE" w14:textId="3437B834" w:rsidR="00CD2BBC" w:rsidRPr="00A85BE7" w:rsidRDefault="00CD2BBC" w:rsidP="00A85BE7">
      <w:pPr>
        <w:spacing w:line="360" w:lineRule="auto"/>
        <w:jc w:val="both"/>
        <w:rPr>
          <w:rFonts w:ascii="Arial" w:hAnsi="Arial" w:cs="Arial"/>
          <w:b/>
          <w:bCs/>
        </w:rPr>
      </w:pPr>
      <w:r w:rsidRPr="00A85BE7">
        <w:rPr>
          <w:rFonts w:ascii="Arial" w:hAnsi="Arial" w:cs="Arial"/>
          <w:b/>
          <w:bCs/>
        </w:rPr>
        <w:t xml:space="preserve"> External Environmental Audit: PESTEL and Porter’s Five Forces</w:t>
      </w:r>
    </w:p>
    <w:p w14:paraId="328DFB42" w14:textId="77777777" w:rsidR="00A058C4" w:rsidRPr="00A85BE7" w:rsidRDefault="00A058C4" w:rsidP="00A85BE7">
      <w:pPr>
        <w:spacing w:line="360" w:lineRule="auto"/>
        <w:jc w:val="both"/>
        <w:rPr>
          <w:rFonts w:ascii="Arial" w:hAnsi="Arial" w:cs="Arial"/>
        </w:rPr>
      </w:pPr>
      <w:r w:rsidRPr="00A85BE7">
        <w:rPr>
          <w:rFonts w:ascii="Arial" w:hAnsi="Arial" w:cs="Arial"/>
        </w:rPr>
        <w:t xml:space="preserve">According to a PESTEL analysis, political and legal factors have become key driving forces in automotive strategy. Governments are adopting tougher emissions standards and encouraging the use of low-carbon transportation methods. Obey the health and safety regulations dictated by law. Most manufacturers have been subject to increasingly stringent fleet-emission requirements through regulations. (European Commission, 2025) Therefore, there are strong incentives to increase the sale of zero-emission and low-emission vehicles. Toyota needs flexibility for rapid zero-emissions product development in regulated markets. </w:t>
      </w:r>
    </w:p>
    <w:p w14:paraId="796489F0" w14:textId="77777777" w:rsidR="00A058C4" w:rsidRPr="00A85BE7" w:rsidRDefault="00A058C4" w:rsidP="00A85BE7">
      <w:pPr>
        <w:spacing w:line="360" w:lineRule="auto"/>
        <w:jc w:val="both"/>
        <w:rPr>
          <w:rFonts w:ascii="Arial" w:hAnsi="Arial" w:cs="Arial"/>
        </w:rPr>
      </w:pPr>
      <w:r w:rsidRPr="00A85BE7">
        <w:rPr>
          <w:rFonts w:ascii="Arial" w:hAnsi="Arial" w:cs="Arial"/>
        </w:rPr>
        <w:t xml:space="preserve">The fluctuating inflation, energy prices, interest rates, battery-material prices, foreign exchange shifts and uncertain consumer purchasing power factors make any economic assessment difficult. The affordability of electric vehicles is crucial as high costs can hinder adoption. In addition, automotive production and sourcing decisions </w:t>
      </w:r>
      <w:r w:rsidRPr="00A85BE7">
        <w:rPr>
          <w:rFonts w:ascii="Arial" w:hAnsi="Arial" w:cs="Arial"/>
        </w:rPr>
        <w:lastRenderedPageBreak/>
        <w:t>are being reshaped by international trade policy and tariffs, which is increasing the regional production and supply-chain localisation (IEA, 2025).</w:t>
      </w:r>
    </w:p>
    <w:p w14:paraId="19D302D5" w14:textId="2B6D0826" w:rsidR="00C93176" w:rsidRPr="00A85BE7" w:rsidRDefault="00C93176" w:rsidP="00A85BE7">
      <w:pPr>
        <w:spacing w:line="360" w:lineRule="auto"/>
        <w:jc w:val="both"/>
        <w:rPr>
          <w:rFonts w:ascii="Arial" w:hAnsi="Arial" w:cs="Arial"/>
        </w:rPr>
      </w:pPr>
      <w:r w:rsidRPr="00A85BE7">
        <w:rPr>
          <w:rFonts w:ascii="Arial" w:hAnsi="Arial" w:cs="Arial"/>
        </w:rPr>
        <w:t xml:space="preserve">A growing environmental consciousness is a social factor with which businesses </w:t>
      </w:r>
      <w:proofErr w:type="gramStart"/>
      <w:r w:rsidRPr="00A85BE7">
        <w:rPr>
          <w:rFonts w:ascii="Arial" w:hAnsi="Arial" w:cs="Arial"/>
        </w:rPr>
        <w:t>have to</w:t>
      </w:r>
      <w:proofErr w:type="gramEnd"/>
      <w:r w:rsidRPr="00A85BE7">
        <w:rPr>
          <w:rFonts w:ascii="Arial" w:hAnsi="Arial" w:cs="Arial"/>
        </w:rPr>
        <w:t xml:space="preserve"> contend along with customers’ expectations of convenience, safety, connectivity and personalisation. Vehicles today compete with one another not as mechanical products, but as digital experiences</w:t>
      </w:r>
      <w:r w:rsidRPr="00A85BE7">
        <w:rPr>
          <w:rFonts w:ascii="Arial" w:hAnsi="Arial" w:cs="Arial"/>
        </w:rPr>
        <w:t>.</w:t>
      </w:r>
    </w:p>
    <w:p w14:paraId="07050500" w14:textId="77777777" w:rsidR="00C93176" w:rsidRPr="00A85BE7" w:rsidRDefault="00C93176" w:rsidP="00A85BE7">
      <w:pPr>
        <w:spacing w:line="360" w:lineRule="auto"/>
        <w:jc w:val="both"/>
        <w:rPr>
          <w:rFonts w:ascii="Arial" w:hAnsi="Arial" w:cs="Arial"/>
        </w:rPr>
      </w:pPr>
      <w:r w:rsidRPr="00A85BE7">
        <w:rPr>
          <w:rFonts w:ascii="Arial" w:hAnsi="Arial" w:cs="Arial"/>
        </w:rPr>
        <w:t>Technological components may be the most disruptive changes. The automotive functionalities are being improved by BEVs, solid-state batteries, autonomous driving systems, AI and others. Toyota is now competing not just with traditional automakers but also tech firms.</w:t>
      </w:r>
    </w:p>
    <w:p w14:paraId="560C7EA3" w14:textId="228E3C8C" w:rsidR="00C93176" w:rsidRPr="00A85BE7" w:rsidRDefault="00C93176" w:rsidP="00A85BE7">
      <w:pPr>
        <w:spacing w:line="360" w:lineRule="auto"/>
        <w:jc w:val="both"/>
        <w:rPr>
          <w:rFonts w:ascii="Arial" w:hAnsi="Arial" w:cs="Arial"/>
        </w:rPr>
      </w:pPr>
      <w:r w:rsidRPr="00A85BE7">
        <w:rPr>
          <w:rFonts w:ascii="Arial" w:hAnsi="Arial" w:cs="Arial"/>
        </w:rPr>
        <w:t xml:space="preserve">Due to environmental pressures, vehicle emissions and the environmental impact of battery manufacture must both be reduced. One important challenge identified by </w:t>
      </w:r>
      <w:r w:rsidR="00A85BE7">
        <w:rPr>
          <w:rFonts w:ascii="Arial" w:hAnsi="Arial" w:cs="Arial"/>
        </w:rPr>
        <w:t>(</w:t>
      </w:r>
      <w:r w:rsidRPr="00A85BE7">
        <w:rPr>
          <w:rFonts w:ascii="Arial" w:hAnsi="Arial" w:cs="Arial"/>
        </w:rPr>
        <w:t>Gebhardt et al</w:t>
      </w:r>
      <w:r w:rsidR="00A85BE7">
        <w:rPr>
          <w:rFonts w:ascii="Arial" w:hAnsi="Arial" w:cs="Arial"/>
        </w:rPr>
        <w:t>.,</w:t>
      </w:r>
      <w:r w:rsidRPr="00A85BE7">
        <w:rPr>
          <w:rFonts w:ascii="Arial" w:hAnsi="Arial" w:cs="Arial"/>
        </w:rPr>
        <w:t xml:space="preserve">2022) is sustainability and transparency along lithium-ion battery supply chains.  Reusing, repurposing and recycling batteries can mitigate environmental impacts and reliance on virgin critical materials, according to Rönkkö et al. (2024) and </w:t>
      </w:r>
      <w:r w:rsidRPr="00A85BE7">
        <w:rPr>
          <w:rFonts w:ascii="Arial" w:hAnsi="Arial" w:cs="Arial"/>
        </w:rPr>
        <w:t>(</w:t>
      </w:r>
      <w:r w:rsidRPr="00A85BE7">
        <w:rPr>
          <w:rFonts w:ascii="Arial" w:hAnsi="Arial" w:cs="Arial"/>
        </w:rPr>
        <w:t xml:space="preserve">Kumar, Huyn and </w:t>
      </w:r>
      <w:proofErr w:type="spellStart"/>
      <w:r w:rsidR="00A85BE7" w:rsidRPr="00A85BE7">
        <w:rPr>
          <w:rFonts w:ascii="Arial" w:hAnsi="Arial" w:cs="Arial"/>
        </w:rPr>
        <w:t>VennelaKanti</w:t>
      </w:r>
      <w:proofErr w:type="spellEnd"/>
      <w:r w:rsidR="00A85BE7" w:rsidRPr="00A85BE7">
        <w:rPr>
          <w:rFonts w:ascii="Arial" w:hAnsi="Arial" w:cs="Arial"/>
        </w:rPr>
        <w:t>,</w:t>
      </w:r>
      <w:r w:rsidRPr="00A85BE7">
        <w:rPr>
          <w:rFonts w:ascii="Arial" w:hAnsi="Arial" w:cs="Arial"/>
        </w:rPr>
        <w:t xml:space="preserve"> </w:t>
      </w:r>
      <w:r w:rsidRPr="00A85BE7">
        <w:rPr>
          <w:rFonts w:ascii="Arial" w:hAnsi="Arial" w:cs="Arial"/>
        </w:rPr>
        <w:t>2023)</w:t>
      </w:r>
      <w:r w:rsidRPr="00A85BE7">
        <w:rPr>
          <w:rFonts w:ascii="Arial" w:hAnsi="Arial" w:cs="Arial"/>
        </w:rPr>
        <w:t>.</w:t>
      </w:r>
    </w:p>
    <w:p w14:paraId="17CCFE38" w14:textId="77777777" w:rsidR="00C93176" w:rsidRPr="00A85BE7" w:rsidRDefault="00C93176" w:rsidP="00A85BE7">
      <w:pPr>
        <w:spacing w:line="360" w:lineRule="auto"/>
        <w:jc w:val="both"/>
        <w:rPr>
          <w:rFonts w:ascii="Arial" w:hAnsi="Arial" w:cs="Arial"/>
        </w:rPr>
      </w:pPr>
      <w:r w:rsidRPr="00A85BE7">
        <w:rPr>
          <w:rFonts w:ascii="Arial" w:hAnsi="Arial" w:cs="Arial"/>
        </w:rPr>
        <w:t>Porter’s Five Forces show a fierce rivalry. Establish producers along with highly active, and growing EV-dedicated competitors show strong competitive rivalry. Thanks to competitive pricing and robust domestic demand for EVs, Chinese makers are making it. Tesla is altering consumer expectations for BEVs and software.</w:t>
      </w:r>
    </w:p>
    <w:p w14:paraId="6FE52DCD" w14:textId="7E6B2062" w:rsidR="00C93176" w:rsidRPr="00A85BE7" w:rsidRDefault="00C93176" w:rsidP="00A85BE7">
      <w:pPr>
        <w:spacing w:line="360" w:lineRule="auto"/>
        <w:jc w:val="both"/>
        <w:rPr>
          <w:rFonts w:ascii="Arial" w:hAnsi="Arial" w:cs="Arial"/>
        </w:rPr>
      </w:pPr>
      <w:r w:rsidRPr="00A85BE7">
        <w:rPr>
          <w:rFonts w:ascii="Arial" w:hAnsi="Arial" w:cs="Arial"/>
        </w:rPr>
        <w:t xml:space="preserve">Moderate threat is posed by new entrants. The manufacture of automotive require huge capital, safety regulation, supply-chain capacity, brand trust, etc; going with EV architectures and technology collaborations have eased challenge by new companies to incumbents. The bargaining power of supplier is medium to high with respect to semiconductor and battery cell. In addition, they include mineral resources that are scarce on earth. Research indicates that proactively pursuing automotive supply-chain resilience could significantly lessen operational and performance risks. Purchasers can assess products and pricing that are progressively similar and showcase comparable digital capabilities. The threat of substitutes for taxi services is moderate. Public transport, </w:t>
      </w:r>
      <w:r w:rsidR="00A85BE7" w:rsidRPr="00A85BE7">
        <w:rPr>
          <w:rFonts w:ascii="Arial" w:hAnsi="Arial" w:cs="Arial"/>
        </w:rPr>
        <w:t>ridesharing</w:t>
      </w:r>
      <w:r w:rsidRPr="00A85BE7">
        <w:rPr>
          <w:rFonts w:ascii="Arial" w:hAnsi="Arial" w:cs="Arial"/>
        </w:rPr>
        <w:t xml:space="preserve"> and </w:t>
      </w:r>
      <w:r w:rsidR="00A85BE7" w:rsidRPr="00A85BE7">
        <w:rPr>
          <w:rFonts w:ascii="Arial" w:hAnsi="Arial" w:cs="Arial"/>
        </w:rPr>
        <w:t>carsharing</w:t>
      </w:r>
      <w:r w:rsidRPr="00A85BE7">
        <w:rPr>
          <w:rFonts w:ascii="Arial" w:hAnsi="Arial" w:cs="Arial"/>
        </w:rPr>
        <w:t xml:space="preserve"> are quite popular. Recently, all-inclusive schemes of mobility-as-a-service are also gaining a following.</w:t>
      </w:r>
    </w:p>
    <w:p w14:paraId="17CB0FED" w14:textId="550EF85F" w:rsidR="00CD2BBC" w:rsidRPr="00A85BE7" w:rsidRDefault="00CD2BBC" w:rsidP="00A85BE7">
      <w:pPr>
        <w:pStyle w:val="Heading2"/>
      </w:pPr>
      <w:r w:rsidRPr="00A85BE7">
        <w:lastRenderedPageBreak/>
        <w:t xml:space="preserve"> </w:t>
      </w:r>
      <w:bookmarkStart w:id="6" w:name="_Toc236135139"/>
      <w:r w:rsidRPr="00A85BE7">
        <w:t>Internal Environmental Audit: SWOT, VRIO, BCG and Value Chain</w:t>
      </w:r>
      <w:bookmarkEnd w:id="6"/>
    </w:p>
    <w:p w14:paraId="4F549A10" w14:textId="7BA73A91" w:rsidR="00C93176" w:rsidRPr="00A85BE7" w:rsidRDefault="00C93176" w:rsidP="00A85BE7">
      <w:pPr>
        <w:spacing w:line="360" w:lineRule="auto"/>
        <w:jc w:val="both"/>
        <w:rPr>
          <w:rFonts w:ascii="Arial" w:hAnsi="Arial" w:cs="Arial"/>
        </w:rPr>
      </w:pPr>
      <w:r w:rsidRPr="00A85BE7">
        <w:rPr>
          <w:rFonts w:ascii="Arial" w:hAnsi="Arial" w:cs="Arial"/>
        </w:rPr>
        <w:t>Toyota is characterized by worldwide fame, manufacturing expertise, economies of scale, strong distributions, hybrid strengths, financial capabilities, and the Toyota production system (TPS). Some of its key weaknesses are its relatively conservative historical BEV expansion and transition from hardware-focused vehicle development to software-centric platforms. Opportunities comprise global EV growth, solid-state batteries, AI, connected services, circular battery systems and emerging-market mobility. Threats include competition from Chinese electric vehicles, regulation, geopolitical disruption, security threats, and obsolescence</w:t>
      </w:r>
    </w:p>
    <w:p w14:paraId="76531885" w14:textId="77777777" w:rsidR="00C93176" w:rsidRPr="00A85BE7" w:rsidRDefault="00C93176" w:rsidP="00A85BE7">
      <w:pPr>
        <w:spacing w:line="360" w:lineRule="auto"/>
        <w:jc w:val="both"/>
        <w:rPr>
          <w:rFonts w:ascii="Arial" w:hAnsi="Arial" w:cs="Arial"/>
        </w:rPr>
      </w:pPr>
      <w:r w:rsidRPr="00A85BE7">
        <w:rPr>
          <w:rFonts w:ascii="Arial" w:hAnsi="Arial" w:cs="Arial"/>
        </w:rPr>
        <w:t>Toyota’s production expertise, continuous improvement ethos and globally embedded manufacturing capabilities are valuable and organisation can exploit them. Moreover, imitation is made improbable through the internalized routines and organizational memory they have built up. But if they do not adapt these for software and electric architectures, the competitive advantage will begin to erode. Thus, dynamic capabilities are needed because the valuable resources need to change with the competitive environment changes (Johnson et al 2023).</w:t>
      </w:r>
    </w:p>
    <w:p w14:paraId="37EBE496" w14:textId="77777777" w:rsidR="00C93176" w:rsidRPr="00A85BE7" w:rsidRDefault="00C93176" w:rsidP="00A85BE7">
      <w:pPr>
        <w:spacing w:line="360" w:lineRule="auto"/>
        <w:jc w:val="both"/>
        <w:rPr>
          <w:rFonts w:ascii="Arial" w:hAnsi="Arial" w:cs="Arial"/>
        </w:rPr>
      </w:pPr>
      <w:r w:rsidRPr="00A85BE7">
        <w:rPr>
          <w:rFonts w:ascii="Arial" w:hAnsi="Arial" w:cs="Arial"/>
        </w:rPr>
        <w:t>According to BCG, Toyota’s established hybrid portfolio is a cash machine in developed markets, while BEVs and software-defined mobility are high-growth businesses requiring high investments to scale up production.  In the long term, conventional ICE products may not see robust growth on account of their heavily regulated marketplaces. Stakeholders ought to gradually shift to investing in BEVs, batteries and software without prematurely shutting down the profitable hybrid business.</w:t>
      </w:r>
    </w:p>
    <w:p w14:paraId="6FAD172C" w14:textId="77777777" w:rsidR="00C93176" w:rsidRPr="00A85BE7" w:rsidRDefault="00C93176" w:rsidP="00A85BE7">
      <w:pPr>
        <w:spacing w:line="360" w:lineRule="auto"/>
        <w:jc w:val="both"/>
        <w:rPr>
          <w:rFonts w:ascii="Arial" w:hAnsi="Arial" w:cs="Arial"/>
        </w:rPr>
      </w:pPr>
    </w:p>
    <w:p w14:paraId="649E95BF" w14:textId="2D6FF655" w:rsidR="00A85BE7" w:rsidRDefault="00C93176" w:rsidP="00A85BE7">
      <w:pPr>
        <w:spacing w:line="360" w:lineRule="auto"/>
        <w:jc w:val="both"/>
        <w:rPr>
          <w:rFonts w:ascii="Arial" w:hAnsi="Arial" w:cs="Arial"/>
        </w:rPr>
      </w:pPr>
      <w:r w:rsidRPr="00A85BE7">
        <w:rPr>
          <w:rFonts w:ascii="Arial" w:hAnsi="Arial" w:cs="Arial"/>
        </w:rPr>
        <w:t xml:space="preserve">Toyota's value chain provides an important insulating advantage. The relationships it has with </w:t>
      </w:r>
      <w:proofErr w:type="gramStart"/>
      <w:r w:rsidRPr="00A85BE7">
        <w:rPr>
          <w:rFonts w:ascii="Arial" w:hAnsi="Arial" w:cs="Arial"/>
        </w:rPr>
        <w:t>it</w:t>
      </w:r>
      <w:proofErr w:type="gramEnd"/>
      <w:r w:rsidRPr="00A85BE7">
        <w:rPr>
          <w:rFonts w:ascii="Arial" w:hAnsi="Arial" w:cs="Arial"/>
        </w:rPr>
        <w:t xml:space="preserve"> suppliers, lean production and quality management, logistics and global distribution all provide effective value creation throughout the activities of inbound logistics, operations and outbound distribution.  Nevertheless, the supplier power and value creation in the EV supply chain needs to be changed (Knez et al., 2024). This means that Toyota needs to apply TPS principles to new activities such as batteries, semiconductors, software, and data. According to the analysis, Toyota possesses </w:t>
      </w:r>
      <w:r w:rsidRPr="00A85BE7">
        <w:rPr>
          <w:rFonts w:ascii="Arial" w:hAnsi="Arial" w:cs="Arial"/>
        </w:rPr>
        <w:lastRenderedPageBreak/>
        <w:t xml:space="preserve">great existing capabilities but how valuable they will be </w:t>
      </w:r>
      <w:r w:rsidR="00A85BE7" w:rsidRPr="00A85BE7">
        <w:rPr>
          <w:rFonts w:ascii="Arial" w:hAnsi="Arial" w:cs="Arial"/>
        </w:rPr>
        <w:t>depended</w:t>
      </w:r>
      <w:r w:rsidRPr="00A85BE7">
        <w:rPr>
          <w:rFonts w:ascii="Arial" w:hAnsi="Arial" w:cs="Arial"/>
        </w:rPr>
        <w:t xml:space="preserve"> on technological reconfiguration.</w:t>
      </w:r>
    </w:p>
    <w:p w14:paraId="5A28BA31" w14:textId="638446D7" w:rsidR="00CD2BBC" w:rsidRPr="00A85BE7" w:rsidRDefault="00CD2BBC" w:rsidP="00A85BE7">
      <w:pPr>
        <w:pStyle w:val="Heading2"/>
      </w:pPr>
      <w:r w:rsidRPr="00A85BE7">
        <w:t xml:space="preserve"> </w:t>
      </w:r>
      <w:bookmarkStart w:id="7" w:name="_Toc236135140"/>
      <w:r w:rsidRPr="00A85BE7">
        <w:t>Strategy Formulation: Proposed Strategic Choice</w:t>
      </w:r>
      <w:bookmarkEnd w:id="7"/>
    </w:p>
    <w:p w14:paraId="5554FE85" w14:textId="1EC82DD2" w:rsidR="00A85BE7" w:rsidRPr="00A85BE7" w:rsidRDefault="00A85BE7" w:rsidP="00A85BE7">
      <w:pPr>
        <w:spacing w:line="360" w:lineRule="auto"/>
        <w:jc w:val="both"/>
        <w:rPr>
          <w:rFonts w:ascii="Arial" w:hAnsi="Arial" w:cs="Arial"/>
        </w:rPr>
      </w:pPr>
      <w:r w:rsidRPr="00A85BE7">
        <w:rPr>
          <w:rFonts w:ascii="Arial" w:hAnsi="Arial" w:cs="Arial"/>
        </w:rPr>
        <w:t xml:space="preserve">Toyota must formulate an Integrated Electric Mobility and Digital Ecosystem Strategy. Toyota should not abandon its multi-pathway </w:t>
      </w:r>
      <w:r w:rsidRPr="00A85BE7">
        <w:rPr>
          <w:rFonts w:ascii="Arial" w:hAnsi="Arial" w:cs="Arial"/>
        </w:rPr>
        <w:t>philosophy but</w:t>
      </w:r>
      <w:r w:rsidRPr="00A85BE7">
        <w:rPr>
          <w:rFonts w:ascii="Arial" w:hAnsi="Arial" w:cs="Arial"/>
        </w:rPr>
        <w:t xml:space="preserve"> rather use hybrids as transitional cash-generators while substantially accelerating its BEV, battery and software capabilities.</w:t>
      </w:r>
    </w:p>
    <w:p w14:paraId="38B51C05" w14:textId="02DE9ACB" w:rsidR="00A85BE7" w:rsidRPr="00A85BE7" w:rsidRDefault="00A85BE7" w:rsidP="00A85BE7">
      <w:pPr>
        <w:spacing w:line="360" w:lineRule="auto"/>
        <w:jc w:val="both"/>
        <w:rPr>
          <w:rFonts w:ascii="Arial" w:hAnsi="Arial" w:cs="Arial"/>
        </w:rPr>
      </w:pPr>
      <w:r w:rsidRPr="00A85BE7">
        <w:rPr>
          <w:rFonts w:ascii="Arial" w:hAnsi="Arial" w:cs="Arial"/>
        </w:rPr>
        <w:t xml:space="preserve">To begin with, the main aim of Toyota should be to develop a highly modular global BEV architecture capable of supporting multiple vehicle segments with the option of regional adaptation. The manufacturing process must be flexible enough to respond to disparate BEV adoption without creating too great a risk of excessive fixed capacity. In the second place, battery resilience ought to become a strategic priority with diversified sourcing regional production recycling and partnerships. The existing solid-state collaboration with Idemitsu shows how partnerships lower technology risk and speed up commercialisation </w:t>
      </w:r>
      <w:r w:rsidRPr="00A85BE7">
        <w:rPr>
          <w:rFonts w:ascii="Arial" w:hAnsi="Arial" w:cs="Arial"/>
        </w:rPr>
        <w:t>(Toyota</w:t>
      </w:r>
      <w:r w:rsidRPr="00A85BE7">
        <w:rPr>
          <w:rFonts w:ascii="Arial" w:hAnsi="Arial" w:cs="Arial"/>
        </w:rPr>
        <w:t xml:space="preserve"> Motor Corporation, 2023).</w:t>
      </w:r>
    </w:p>
    <w:p w14:paraId="1700AE48" w14:textId="3AEA3BFF" w:rsidR="00A85BE7" w:rsidRPr="00A85BE7" w:rsidRDefault="00A85BE7" w:rsidP="00A85BE7">
      <w:pPr>
        <w:spacing w:line="360" w:lineRule="auto"/>
        <w:jc w:val="both"/>
        <w:rPr>
          <w:rFonts w:ascii="Arial" w:hAnsi="Arial" w:cs="Arial"/>
        </w:rPr>
      </w:pPr>
      <w:r w:rsidRPr="00A85BE7">
        <w:rPr>
          <w:rFonts w:ascii="Arial" w:hAnsi="Arial" w:cs="Arial"/>
        </w:rPr>
        <w:t>Third, software and AI should be the primary source of customer value creation. Connected vehicles need to facilitate OTA upgrades, predictive maintenance, personalized services, and fleet optimization, thereby creating recurring revenue after the car sale. Consequently, they propose for the establishment of closed-loop battery ecosystems for battery tracking, second-</w:t>
      </w:r>
      <w:r w:rsidRPr="00A85BE7">
        <w:rPr>
          <w:rFonts w:ascii="Arial" w:hAnsi="Arial" w:cs="Arial"/>
        </w:rPr>
        <w:t>lifting</w:t>
      </w:r>
      <w:r w:rsidRPr="00A85BE7">
        <w:rPr>
          <w:rFonts w:ascii="Arial" w:hAnsi="Arial" w:cs="Arial"/>
        </w:rPr>
        <w:t xml:space="preserve"> and recycling. Research has indicated that circular battery systems can improve sustainability and enable recovery of strategically important materials (Kumar, Huyn and </w:t>
      </w:r>
      <w:proofErr w:type="spellStart"/>
      <w:r w:rsidRPr="00A85BE7">
        <w:rPr>
          <w:rFonts w:ascii="Arial" w:hAnsi="Arial" w:cs="Arial"/>
        </w:rPr>
        <w:t>Vennelakanti</w:t>
      </w:r>
      <w:proofErr w:type="spellEnd"/>
      <w:r w:rsidRPr="00A85BE7">
        <w:rPr>
          <w:rFonts w:ascii="Arial" w:hAnsi="Arial" w:cs="Arial"/>
        </w:rPr>
        <w:t>, 2023; Rönkkö et al., 2024).</w:t>
      </w:r>
    </w:p>
    <w:p w14:paraId="2812989F" w14:textId="77777777" w:rsidR="00A85BE7" w:rsidRPr="00A85BE7" w:rsidRDefault="00A85BE7" w:rsidP="00A85BE7">
      <w:pPr>
        <w:spacing w:line="360" w:lineRule="auto"/>
        <w:jc w:val="both"/>
        <w:rPr>
          <w:rFonts w:ascii="Arial" w:hAnsi="Arial" w:cs="Arial"/>
        </w:rPr>
      </w:pPr>
      <w:r w:rsidRPr="00A85BE7">
        <w:rPr>
          <w:rFonts w:ascii="Arial" w:hAnsi="Arial" w:cs="Arial"/>
        </w:rPr>
        <w:t xml:space="preserve">This is an integrated strategy would combine Toyota’s manufacturing expertise with advanced technologies needed to compete in future mobility. </w:t>
      </w:r>
    </w:p>
    <w:p w14:paraId="489E5D52" w14:textId="6C68A2C9" w:rsidR="00CD2BBC" w:rsidRPr="00A85BE7" w:rsidRDefault="00CD2BBC" w:rsidP="00A85BE7">
      <w:pPr>
        <w:pStyle w:val="Heading2"/>
      </w:pPr>
      <w:bookmarkStart w:id="8" w:name="_Toc236135141"/>
      <w:r w:rsidRPr="00A85BE7">
        <w:t>Conclusion and Recommendations</w:t>
      </w:r>
      <w:bookmarkEnd w:id="8"/>
    </w:p>
    <w:p w14:paraId="60A8DE7C" w14:textId="0749C642" w:rsidR="00CD2BBC" w:rsidRPr="00A85BE7" w:rsidRDefault="00A85BE7" w:rsidP="00A85BE7">
      <w:pPr>
        <w:spacing w:line="360" w:lineRule="auto"/>
        <w:jc w:val="both"/>
        <w:rPr>
          <w:rFonts w:ascii="Arial" w:hAnsi="Arial" w:cs="Arial"/>
        </w:rPr>
      </w:pPr>
      <w:r w:rsidRPr="00A85BE7">
        <w:rPr>
          <w:rFonts w:ascii="Arial" w:hAnsi="Arial" w:cs="Arial"/>
        </w:rPr>
        <w:t xml:space="preserve">Toyota's Brand, Global Scale, Hybrid Leadership, Manufacturing Capability, Supply Base, and Financial Resources make it a company with huge competitive strengths. Yet, the automotive industry is undergoing a change towards electrical systems, and in particular systems in cars, digitalisation, AI connectivity and eco-friendly production. The rapid speed of worldwide electric vehicle development makes it impossible for </w:t>
      </w:r>
      <w:r w:rsidRPr="00A85BE7">
        <w:rPr>
          <w:rFonts w:ascii="Arial" w:hAnsi="Arial" w:cs="Arial"/>
        </w:rPr>
        <w:lastRenderedPageBreak/>
        <w:t xml:space="preserve">Toyota to rely on competitive advantages that placed it in the past industrial system. It is suggested for Toyota to pursue the use of Integrated Electric Mobility and Digital Ecosystem Strategy with enough powertrain flexibility to accommodate differing adoption rates across markets. Investment strategies should target scalable BEV platforms and solid-state and lower-cost batteries, as well as software-defined vehicle architectures. Toyota needs to strengthen its strategic partnership to share the costs of technology development as well as gain specialist expertise. Toyota’s competitive strategy must embed circular battery management rather than treat it as a corporate sustainability activity. According to me, Recycling, second-life applications and material recovery could contribute to sustainability and supply-chain resilience. Ultimately, Toyota must apply the philosophy behind the </w:t>
      </w:r>
      <w:r w:rsidRPr="00A85BE7">
        <w:rPr>
          <w:rFonts w:ascii="Arial" w:hAnsi="Arial" w:cs="Arial"/>
        </w:rPr>
        <w:t>Toyota</w:t>
      </w:r>
      <w:r w:rsidRPr="00A85BE7">
        <w:rPr>
          <w:rFonts w:ascii="Arial" w:hAnsi="Arial" w:cs="Arial"/>
        </w:rPr>
        <w:t xml:space="preserve"> Production System to the new competitive environment: continuous improvement must go beyond manufacturing efficiency into batteries, software, data and digital customer relationships.</w:t>
      </w:r>
      <w:r w:rsidRPr="00A85BE7">
        <w:rPr>
          <w:rFonts w:ascii="Arial" w:hAnsi="Arial" w:cs="Arial"/>
        </w:rPr>
        <w:t xml:space="preserve"> </w:t>
      </w:r>
      <w:r w:rsidRPr="00A85BE7">
        <w:rPr>
          <w:rFonts w:ascii="Arial" w:hAnsi="Arial" w:cs="Arial"/>
        </w:rPr>
        <w:t>The foundation for sustaining sustainable competitive advantage is stronger with Toyota as the combination exists of established organisational capabilities and accelerated technological transformation though.</w:t>
      </w:r>
    </w:p>
    <w:p w14:paraId="2B75E688" w14:textId="77777777" w:rsidR="00A85BE7" w:rsidRPr="00A85BE7" w:rsidRDefault="00A85BE7" w:rsidP="00A85BE7">
      <w:pPr>
        <w:spacing w:line="360" w:lineRule="auto"/>
        <w:jc w:val="both"/>
        <w:rPr>
          <w:rFonts w:ascii="Arial" w:hAnsi="Arial" w:cs="Arial"/>
        </w:rPr>
      </w:pPr>
    </w:p>
    <w:p w14:paraId="553E798C" w14:textId="77777777" w:rsidR="00CD2BBC" w:rsidRPr="00A85BE7" w:rsidRDefault="00CD2BBC" w:rsidP="00A85BE7">
      <w:pPr>
        <w:spacing w:line="360" w:lineRule="auto"/>
        <w:jc w:val="both"/>
        <w:rPr>
          <w:rFonts w:ascii="Arial" w:hAnsi="Arial" w:cs="Arial"/>
        </w:rPr>
      </w:pPr>
    </w:p>
    <w:p w14:paraId="4FD2EF21" w14:textId="77777777" w:rsidR="00CD2BBC" w:rsidRPr="00A85BE7" w:rsidRDefault="00CD2BBC" w:rsidP="00A85BE7">
      <w:pPr>
        <w:spacing w:line="360" w:lineRule="auto"/>
        <w:jc w:val="both"/>
        <w:rPr>
          <w:rFonts w:ascii="Arial" w:hAnsi="Arial" w:cs="Arial"/>
        </w:rPr>
      </w:pPr>
    </w:p>
    <w:p w14:paraId="4FB5DB94" w14:textId="77777777" w:rsidR="00CD2BBC" w:rsidRPr="00A85BE7" w:rsidRDefault="00CD2BBC" w:rsidP="00A85BE7">
      <w:pPr>
        <w:spacing w:line="360" w:lineRule="auto"/>
        <w:jc w:val="both"/>
        <w:rPr>
          <w:rFonts w:ascii="Arial" w:hAnsi="Arial" w:cs="Arial"/>
        </w:rPr>
      </w:pPr>
    </w:p>
    <w:p w14:paraId="6A2E29A6" w14:textId="77777777" w:rsidR="00CD2BBC" w:rsidRPr="00A85BE7" w:rsidRDefault="00CD2BBC" w:rsidP="00A85BE7">
      <w:pPr>
        <w:spacing w:line="360" w:lineRule="auto"/>
        <w:jc w:val="both"/>
        <w:rPr>
          <w:rFonts w:ascii="Arial" w:hAnsi="Arial" w:cs="Arial"/>
        </w:rPr>
      </w:pPr>
    </w:p>
    <w:p w14:paraId="1BA99752" w14:textId="77777777" w:rsidR="00CD2BBC" w:rsidRPr="00A85BE7" w:rsidRDefault="00CD2BBC" w:rsidP="00A85BE7">
      <w:pPr>
        <w:spacing w:line="360" w:lineRule="auto"/>
        <w:jc w:val="both"/>
        <w:rPr>
          <w:rFonts w:ascii="Arial" w:hAnsi="Arial" w:cs="Arial"/>
        </w:rPr>
      </w:pPr>
    </w:p>
    <w:p w14:paraId="42498D1C" w14:textId="77777777" w:rsidR="00CD2BBC" w:rsidRPr="00A85BE7" w:rsidRDefault="00CD2BBC" w:rsidP="00A85BE7">
      <w:pPr>
        <w:spacing w:line="360" w:lineRule="auto"/>
        <w:jc w:val="both"/>
        <w:rPr>
          <w:rFonts w:ascii="Arial" w:hAnsi="Arial" w:cs="Arial"/>
        </w:rPr>
      </w:pPr>
    </w:p>
    <w:p w14:paraId="061E3BE6" w14:textId="77777777" w:rsidR="00CD2BBC" w:rsidRPr="00A85BE7" w:rsidRDefault="00CD2BBC" w:rsidP="00A85BE7">
      <w:pPr>
        <w:spacing w:line="360" w:lineRule="auto"/>
        <w:jc w:val="both"/>
        <w:rPr>
          <w:rFonts w:ascii="Arial" w:hAnsi="Arial" w:cs="Arial"/>
        </w:rPr>
      </w:pPr>
    </w:p>
    <w:p w14:paraId="22C39537" w14:textId="77777777" w:rsidR="00CD2BBC" w:rsidRPr="00A85BE7" w:rsidRDefault="00CD2BBC" w:rsidP="00A85BE7">
      <w:pPr>
        <w:spacing w:line="360" w:lineRule="auto"/>
        <w:jc w:val="both"/>
        <w:rPr>
          <w:rFonts w:ascii="Arial" w:hAnsi="Arial" w:cs="Arial"/>
        </w:rPr>
      </w:pPr>
    </w:p>
    <w:p w14:paraId="6AA35211" w14:textId="77777777" w:rsidR="00CD2BBC" w:rsidRPr="00A85BE7" w:rsidRDefault="00CD2BBC" w:rsidP="00A85BE7">
      <w:pPr>
        <w:spacing w:line="360" w:lineRule="auto"/>
        <w:jc w:val="both"/>
        <w:rPr>
          <w:rFonts w:ascii="Arial" w:hAnsi="Arial" w:cs="Arial"/>
        </w:rPr>
      </w:pPr>
    </w:p>
    <w:p w14:paraId="3A03DC46" w14:textId="77777777" w:rsidR="00CD2BBC" w:rsidRPr="00A85BE7" w:rsidRDefault="00CD2BBC" w:rsidP="00A85BE7">
      <w:pPr>
        <w:spacing w:line="360" w:lineRule="auto"/>
        <w:jc w:val="both"/>
        <w:rPr>
          <w:rFonts w:ascii="Arial" w:hAnsi="Arial" w:cs="Arial"/>
        </w:rPr>
      </w:pPr>
    </w:p>
    <w:p w14:paraId="72AD8E38" w14:textId="77777777" w:rsidR="00CD2BBC" w:rsidRPr="00A85BE7" w:rsidRDefault="00CD2BBC" w:rsidP="00A85BE7">
      <w:pPr>
        <w:spacing w:line="360" w:lineRule="auto"/>
        <w:jc w:val="both"/>
        <w:rPr>
          <w:rFonts w:ascii="Arial" w:hAnsi="Arial" w:cs="Arial"/>
        </w:rPr>
      </w:pPr>
    </w:p>
    <w:p w14:paraId="2374285A" w14:textId="77777777" w:rsidR="00CD2BBC" w:rsidRPr="00A85BE7" w:rsidRDefault="00CD2BBC" w:rsidP="00A85BE7">
      <w:pPr>
        <w:spacing w:line="360" w:lineRule="auto"/>
        <w:jc w:val="both"/>
        <w:rPr>
          <w:rFonts w:ascii="Arial" w:hAnsi="Arial" w:cs="Arial"/>
        </w:rPr>
      </w:pPr>
    </w:p>
    <w:p w14:paraId="52DF6D88" w14:textId="77777777" w:rsidR="00CD2BBC" w:rsidRPr="00A85BE7" w:rsidRDefault="00CD2BBC" w:rsidP="00A85BE7">
      <w:pPr>
        <w:pStyle w:val="Heading2"/>
      </w:pPr>
      <w:bookmarkStart w:id="9" w:name="_Toc236135142"/>
      <w:r w:rsidRPr="00A85BE7">
        <w:lastRenderedPageBreak/>
        <w:t>References</w:t>
      </w:r>
      <w:bookmarkEnd w:id="9"/>
    </w:p>
    <w:p w14:paraId="6079E421" w14:textId="77777777" w:rsidR="00CD2BBC" w:rsidRPr="00A85BE7" w:rsidRDefault="00CD2BBC" w:rsidP="00A85BE7">
      <w:pPr>
        <w:spacing w:line="360" w:lineRule="auto"/>
        <w:jc w:val="both"/>
        <w:rPr>
          <w:rFonts w:ascii="Arial" w:hAnsi="Arial" w:cs="Arial"/>
        </w:rPr>
      </w:pPr>
      <w:r w:rsidRPr="00A85BE7">
        <w:rPr>
          <w:rFonts w:ascii="Arial" w:hAnsi="Arial" w:cs="Arial"/>
        </w:rPr>
        <w:t xml:space="preserve">European Commission (2025) </w:t>
      </w:r>
      <w:r w:rsidRPr="00A85BE7">
        <w:rPr>
          <w:rFonts w:ascii="Arial" w:hAnsi="Arial" w:cs="Arial"/>
          <w:i/>
          <w:iCs/>
        </w:rPr>
        <w:t>CO</w:t>
      </w:r>
      <w:r w:rsidRPr="00A85BE7">
        <w:rPr>
          <w:rFonts w:ascii="Cambria Math" w:hAnsi="Cambria Math" w:cs="Cambria Math"/>
          <w:i/>
          <w:iCs/>
        </w:rPr>
        <w:t>₂</w:t>
      </w:r>
      <w:r w:rsidRPr="00A85BE7">
        <w:rPr>
          <w:rFonts w:ascii="Arial" w:hAnsi="Arial" w:cs="Arial"/>
          <w:i/>
          <w:iCs/>
        </w:rPr>
        <w:t xml:space="preserve"> emission performance standards for cars and vans</w:t>
      </w:r>
      <w:r w:rsidRPr="00A85BE7">
        <w:rPr>
          <w:rFonts w:ascii="Arial" w:hAnsi="Arial" w:cs="Arial"/>
        </w:rPr>
        <w:t>. European Commission, Brussels.</w:t>
      </w:r>
    </w:p>
    <w:p w14:paraId="3F31AB24" w14:textId="77777777" w:rsidR="00CD2BBC" w:rsidRPr="00A85BE7" w:rsidRDefault="00CD2BBC" w:rsidP="00A85BE7">
      <w:pPr>
        <w:spacing w:line="360" w:lineRule="auto"/>
        <w:jc w:val="both"/>
        <w:rPr>
          <w:rFonts w:ascii="Arial" w:hAnsi="Arial" w:cs="Arial"/>
        </w:rPr>
      </w:pPr>
      <w:r w:rsidRPr="00A85BE7">
        <w:rPr>
          <w:rFonts w:ascii="Arial" w:hAnsi="Arial" w:cs="Arial"/>
        </w:rPr>
        <w:t xml:space="preserve">Gebhardt, M., Beck, J., Kopyto, M. and </w:t>
      </w:r>
      <w:proofErr w:type="spellStart"/>
      <w:r w:rsidRPr="00A85BE7">
        <w:rPr>
          <w:rFonts w:ascii="Arial" w:hAnsi="Arial" w:cs="Arial"/>
        </w:rPr>
        <w:t>Spieske</w:t>
      </w:r>
      <w:proofErr w:type="spellEnd"/>
      <w:r w:rsidRPr="00A85BE7">
        <w:rPr>
          <w:rFonts w:ascii="Arial" w:hAnsi="Arial" w:cs="Arial"/>
        </w:rPr>
        <w:t xml:space="preserve">, A. (2022) ‘Determining requirements and challenges for a sustainable and circular electric vehicle battery supply chain: A mixed-methods approach’, </w:t>
      </w:r>
      <w:r w:rsidRPr="00A85BE7">
        <w:rPr>
          <w:rFonts w:ascii="Arial" w:hAnsi="Arial" w:cs="Arial"/>
          <w:i/>
          <w:iCs/>
        </w:rPr>
        <w:t>Sustainable Production and Consumption</w:t>
      </w:r>
      <w:r w:rsidRPr="00A85BE7">
        <w:rPr>
          <w:rFonts w:ascii="Arial" w:hAnsi="Arial" w:cs="Arial"/>
        </w:rPr>
        <w:t>, 33, pp. 203–217. DOI: 10.1016/j.spc.2022.06.024.</w:t>
      </w:r>
    </w:p>
    <w:p w14:paraId="6F7F6628" w14:textId="77777777" w:rsidR="00CD2BBC" w:rsidRPr="00A85BE7" w:rsidRDefault="00CD2BBC" w:rsidP="00A85BE7">
      <w:pPr>
        <w:spacing w:line="360" w:lineRule="auto"/>
        <w:jc w:val="both"/>
        <w:rPr>
          <w:rFonts w:ascii="Arial" w:hAnsi="Arial" w:cs="Arial"/>
        </w:rPr>
      </w:pPr>
      <w:r w:rsidRPr="00A85BE7">
        <w:rPr>
          <w:rFonts w:ascii="Arial" w:hAnsi="Arial" w:cs="Arial"/>
        </w:rPr>
        <w:t xml:space="preserve">International Energy Agency (IEA) (2024) </w:t>
      </w:r>
      <w:r w:rsidRPr="00A85BE7">
        <w:rPr>
          <w:rFonts w:ascii="Arial" w:hAnsi="Arial" w:cs="Arial"/>
          <w:i/>
          <w:iCs/>
        </w:rPr>
        <w:t>Global EV Outlook 2024: Moving towards increased affordability</w:t>
      </w:r>
      <w:r w:rsidRPr="00A85BE7">
        <w:rPr>
          <w:rFonts w:ascii="Arial" w:hAnsi="Arial" w:cs="Arial"/>
        </w:rPr>
        <w:t>. Paris: International Energy Agency.</w:t>
      </w:r>
    </w:p>
    <w:p w14:paraId="057F03D2" w14:textId="77777777" w:rsidR="00CD2BBC" w:rsidRPr="00A85BE7" w:rsidRDefault="00CD2BBC" w:rsidP="00A85BE7">
      <w:pPr>
        <w:spacing w:line="360" w:lineRule="auto"/>
        <w:jc w:val="both"/>
        <w:rPr>
          <w:rFonts w:ascii="Arial" w:hAnsi="Arial" w:cs="Arial"/>
        </w:rPr>
      </w:pPr>
      <w:r w:rsidRPr="00A85BE7">
        <w:rPr>
          <w:rFonts w:ascii="Arial" w:hAnsi="Arial" w:cs="Arial"/>
        </w:rPr>
        <w:t xml:space="preserve">International Energy Agency (IEA) (2025) </w:t>
      </w:r>
      <w:r w:rsidRPr="00A85BE7">
        <w:rPr>
          <w:rFonts w:ascii="Arial" w:hAnsi="Arial" w:cs="Arial"/>
          <w:i/>
          <w:iCs/>
        </w:rPr>
        <w:t>Global EV Outlook 2025: Expanding sales in diverse markets</w:t>
      </w:r>
      <w:r w:rsidRPr="00A85BE7">
        <w:rPr>
          <w:rFonts w:ascii="Arial" w:hAnsi="Arial" w:cs="Arial"/>
        </w:rPr>
        <w:t>. Paris: International Energy Agency.</w:t>
      </w:r>
    </w:p>
    <w:p w14:paraId="74C2495B" w14:textId="77777777" w:rsidR="00CD2BBC" w:rsidRPr="00A85BE7" w:rsidRDefault="00CD2BBC" w:rsidP="00A85BE7">
      <w:pPr>
        <w:spacing w:line="360" w:lineRule="auto"/>
        <w:jc w:val="both"/>
        <w:rPr>
          <w:rFonts w:ascii="Arial" w:hAnsi="Arial" w:cs="Arial"/>
        </w:rPr>
      </w:pPr>
      <w:r w:rsidRPr="00A85BE7">
        <w:rPr>
          <w:rFonts w:ascii="Arial" w:hAnsi="Arial" w:cs="Arial"/>
        </w:rPr>
        <w:t xml:space="preserve">International Energy Agency (IEA) (2026) </w:t>
      </w:r>
      <w:r w:rsidRPr="00A85BE7">
        <w:rPr>
          <w:rFonts w:ascii="Arial" w:hAnsi="Arial" w:cs="Arial"/>
          <w:i/>
          <w:iCs/>
        </w:rPr>
        <w:t>Global EV Outlook 2026</w:t>
      </w:r>
      <w:r w:rsidRPr="00A85BE7">
        <w:rPr>
          <w:rFonts w:ascii="Arial" w:hAnsi="Arial" w:cs="Arial"/>
        </w:rPr>
        <w:t>. Paris: International Energy Agency.</w:t>
      </w:r>
    </w:p>
    <w:p w14:paraId="5C851F7E" w14:textId="77777777" w:rsidR="00CD2BBC" w:rsidRPr="00A85BE7" w:rsidRDefault="00CD2BBC" w:rsidP="00A85BE7">
      <w:pPr>
        <w:spacing w:line="360" w:lineRule="auto"/>
        <w:jc w:val="both"/>
        <w:rPr>
          <w:rFonts w:ascii="Arial" w:hAnsi="Arial" w:cs="Arial"/>
        </w:rPr>
      </w:pPr>
      <w:r w:rsidRPr="00A85BE7">
        <w:rPr>
          <w:rFonts w:ascii="Arial" w:hAnsi="Arial" w:cs="Arial"/>
        </w:rPr>
        <w:t xml:space="preserve">Johnson, G., Whittington, R., </w:t>
      </w:r>
      <w:proofErr w:type="spellStart"/>
      <w:r w:rsidRPr="00A85BE7">
        <w:rPr>
          <w:rFonts w:ascii="Arial" w:hAnsi="Arial" w:cs="Arial"/>
        </w:rPr>
        <w:t>Regnér</w:t>
      </w:r>
      <w:proofErr w:type="spellEnd"/>
      <w:r w:rsidRPr="00A85BE7">
        <w:rPr>
          <w:rFonts w:ascii="Arial" w:hAnsi="Arial" w:cs="Arial"/>
        </w:rPr>
        <w:t xml:space="preserve">, P., Angwin, D. and Scholes, K. (2023) </w:t>
      </w:r>
      <w:r w:rsidRPr="00A85BE7">
        <w:rPr>
          <w:rFonts w:ascii="Arial" w:hAnsi="Arial" w:cs="Arial"/>
          <w:i/>
          <w:iCs/>
        </w:rPr>
        <w:t>Exploring Strategy</w:t>
      </w:r>
      <w:r w:rsidRPr="00A85BE7">
        <w:rPr>
          <w:rFonts w:ascii="Arial" w:hAnsi="Arial" w:cs="Arial"/>
        </w:rPr>
        <w:t xml:space="preserve">. 13th </w:t>
      </w:r>
      <w:proofErr w:type="spellStart"/>
      <w:r w:rsidRPr="00A85BE7">
        <w:rPr>
          <w:rFonts w:ascii="Arial" w:hAnsi="Arial" w:cs="Arial"/>
        </w:rPr>
        <w:t>edn</w:t>
      </w:r>
      <w:proofErr w:type="spellEnd"/>
      <w:r w:rsidRPr="00A85BE7">
        <w:rPr>
          <w:rFonts w:ascii="Arial" w:hAnsi="Arial" w:cs="Arial"/>
        </w:rPr>
        <w:t>. Harlow: Pearson.</w:t>
      </w:r>
    </w:p>
    <w:p w14:paraId="7A16134A" w14:textId="774024AC" w:rsidR="00CD2BBC" w:rsidRPr="00A85BE7" w:rsidRDefault="00CD2BBC" w:rsidP="00A85BE7">
      <w:pPr>
        <w:spacing w:line="360" w:lineRule="auto"/>
        <w:jc w:val="both"/>
        <w:rPr>
          <w:rFonts w:ascii="Arial" w:hAnsi="Arial" w:cs="Arial"/>
        </w:rPr>
      </w:pPr>
      <w:proofErr w:type="spellStart"/>
      <w:r w:rsidRPr="00A85BE7">
        <w:rPr>
          <w:rFonts w:ascii="Arial" w:hAnsi="Arial" w:cs="Arial"/>
        </w:rPr>
        <w:t>Jum’a</w:t>
      </w:r>
      <w:proofErr w:type="spellEnd"/>
      <w:r w:rsidRPr="00A85BE7">
        <w:rPr>
          <w:rFonts w:ascii="Arial" w:hAnsi="Arial" w:cs="Arial"/>
        </w:rPr>
        <w:t xml:space="preserve">, L., </w:t>
      </w:r>
      <w:proofErr w:type="spellStart"/>
      <w:r w:rsidRPr="00A85BE7">
        <w:rPr>
          <w:rFonts w:ascii="Arial" w:hAnsi="Arial" w:cs="Arial"/>
        </w:rPr>
        <w:t>Qamardin</w:t>
      </w:r>
      <w:proofErr w:type="spellEnd"/>
      <w:r w:rsidRPr="00A85BE7">
        <w:rPr>
          <w:rFonts w:ascii="Arial" w:hAnsi="Arial" w:cs="Arial"/>
        </w:rPr>
        <w:t xml:space="preserve">, S. and Ikram, M. (2024) ‘Developing resilience strategies amid supply chain risks in the automotive industry: A stakeholder theory perspective’, </w:t>
      </w:r>
      <w:r w:rsidRPr="00A85BE7">
        <w:rPr>
          <w:rFonts w:ascii="Arial" w:hAnsi="Arial" w:cs="Arial"/>
          <w:i/>
          <w:iCs/>
        </w:rPr>
        <w:t>Business Strategy and the Environment</w:t>
      </w:r>
      <w:r w:rsidRPr="00A85BE7">
        <w:rPr>
          <w:rFonts w:ascii="Arial" w:hAnsi="Arial" w:cs="Arial"/>
        </w:rPr>
        <w:t xml:space="preserve">, 33(8), pp. 9197–9213. </w:t>
      </w:r>
    </w:p>
    <w:p w14:paraId="3BEEFB03" w14:textId="1BDFE425" w:rsidR="00CD2BBC" w:rsidRPr="00A85BE7" w:rsidRDefault="00CD2BBC" w:rsidP="00A85BE7">
      <w:pPr>
        <w:spacing w:line="360" w:lineRule="auto"/>
        <w:jc w:val="both"/>
        <w:rPr>
          <w:rFonts w:ascii="Arial" w:hAnsi="Arial" w:cs="Arial"/>
        </w:rPr>
      </w:pPr>
      <w:r w:rsidRPr="00A85BE7">
        <w:rPr>
          <w:rFonts w:ascii="Arial" w:hAnsi="Arial" w:cs="Arial"/>
        </w:rPr>
        <w:t xml:space="preserve">Knez, M. et al. (2024) ‘The electric vehicle supply chain ecosystem: Changing roles of automotive suppliers’, </w:t>
      </w:r>
      <w:r w:rsidRPr="00A85BE7">
        <w:rPr>
          <w:rFonts w:ascii="Arial" w:hAnsi="Arial" w:cs="Arial"/>
          <w:i/>
          <w:iCs/>
        </w:rPr>
        <w:t>Sustainability</w:t>
      </w:r>
      <w:r w:rsidRPr="00A85BE7">
        <w:rPr>
          <w:rFonts w:ascii="Arial" w:hAnsi="Arial" w:cs="Arial"/>
        </w:rPr>
        <w:t xml:space="preserve">, 16(4), 1570. </w:t>
      </w:r>
    </w:p>
    <w:p w14:paraId="5A20891D" w14:textId="77777777" w:rsidR="00CD2BBC" w:rsidRPr="00A85BE7" w:rsidRDefault="00CD2BBC" w:rsidP="00A85BE7">
      <w:pPr>
        <w:spacing w:line="360" w:lineRule="auto"/>
        <w:jc w:val="both"/>
        <w:rPr>
          <w:rFonts w:ascii="Arial" w:hAnsi="Arial" w:cs="Arial"/>
        </w:rPr>
      </w:pPr>
      <w:r w:rsidRPr="00A85BE7">
        <w:rPr>
          <w:rFonts w:ascii="Arial" w:hAnsi="Arial" w:cs="Arial"/>
        </w:rPr>
        <w:t xml:space="preserve">Kumar, A., Huyn, P. and </w:t>
      </w:r>
      <w:proofErr w:type="spellStart"/>
      <w:r w:rsidRPr="00A85BE7">
        <w:rPr>
          <w:rFonts w:ascii="Arial" w:hAnsi="Arial" w:cs="Arial"/>
        </w:rPr>
        <w:t>Vennelakanti</w:t>
      </w:r>
      <w:proofErr w:type="spellEnd"/>
      <w:r w:rsidRPr="00A85BE7">
        <w:rPr>
          <w:rFonts w:ascii="Arial" w:hAnsi="Arial" w:cs="Arial"/>
        </w:rPr>
        <w:t xml:space="preserve">, R. (2023) ‘A digital solution framework for enabling electric vehicle battery circularity based on an ecosystem value optimization approach’, </w:t>
      </w:r>
      <w:proofErr w:type="spellStart"/>
      <w:r w:rsidRPr="00A85BE7">
        <w:rPr>
          <w:rFonts w:ascii="Arial" w:hAnsi="Arial" w:cs="Arial"/>
          <w:i/>
          <w:iCs/>
        </w:rPr>
        <w:t>npj</w:t>
      </w:r>
      <w:proofErr w:type="spellEnd"/>
      <w:r w:rsidRPr="00A85BE7">
        <w:rPr>
          <w:rFonts w:ascii="Arial" w:hAnsi="Arial" w:cs="Arial"/>
          <w:i/>
          <w:iCs/>
        </w:rPr>
        <w:t xml:space="preserve"> Materials Sustainability</w:t>
      </w:r>
      <w:r w:rsidRPr="00A85BE7">
        <w:rPr>
          <w:rFonts w:ascii="Arial" w:hAnsi="Arial" w:cs="Arial"/>
        </w:rPr>
        <w:t>, 1, Article 1.</w:t>
      </w:r>
    </w:p>
    <w:p w14:paraId="2D39145F" w14:textId="0539F7B1" w:rsidR="00CD2BBC" w:rsidRPr="00A85BE7" w:rsidRDefault="00CD2BBC" w:rsidP="00A85BE7">
      <w:pPr>
        <w:spacing w:line="360" w:lineRule="auto"/>
        <w:jc w:val="both"/>
        <w:rPr>
          <w:rFonts w:ascii="Arial" w:hAnsi="Arial" w:cs="Arial"/>
        </w:rPr>
      </w:pPr>
      <w:r w:rsidRPr="00A85BE7">
        <w:rPr>
          <w:rFonts w:ascii="Arial" w:hAnsi="Arial" w:cs="Arial"/>
        </w:rPr>
        <w:t xml:space="preserve">Rönkkö, P., </w:t>
      </w:r>
      <w:proofErr w:type="spellStart"/>
      <w:r w:rsidRPr="00A85BE7">
        <w:rPr>
          <w:rFonts w:ascii="Arial" w:hAnsi="Arial" w:cs="Arial"/>
        </w:rPr>
        <w:t>Majava</w:t>
      </w:r>
      <w:proofErr w:type="spellEnd"/>
      <w:r w:rsidRPr="00A85BE7">
        <w:rPr>
          <w:rFonts w:ascii="Arial" w:hAnsi="Arial" w:cs="Arial"/>
        </w:rPr>
        <w:t xml:space="preserve">, J., Hyvärinen, T., Oksanen, I., Tervonen, P. and Lassi, U. (2024) ‘The circular economy of electric vehicle batteries: A Finnish case study’, </w:t>
      </w:r>
      <w:r w:rsidRPr="00A85BE7">
        <w:rPr>
          <w:rFonts w:ascii="Arial" w:hAnsi="Arial" w:cs="Arial"/>
          <w:i/>
          <w:iCs/>
        </w:rPr>
        <w:t>Environment Systems and Decisions</w:t>
      </w:r>
      <w:r w:rsidRPr="00A85BE7">
        <w:rPr>
          <w:rFonts w:ascii="Arial" w:hAnsi="Arial" w:cs="Arial"/>
        </w:rPr>
        <w:t xml:space="preserve">, 44, pp. 100–113. </w:t>
      </w:r>
    </w:p>
    <w:p w14:paraId="01CF5D80" w14:textId="77777777" w:rsidR="00CD2BBC" w:rsidRPr="00A85BE7" w:rsidRDefault="00CD2BBC" w:rsidP="00A85BE7">
      <w:pPr>
        <w:spacing w:line="360" w:lineRule="auto"/>
        <w:jc w:val="both"/>
        <w:rPr>
          <w:rFonts w:ascii="Arial" w:hAnsi="Arial" w:cs="Arial"/>
        </w:rPr>
      </w:pPr>
      <w:r w:rsidRPr="00A85BE7">
        <w:rPr>
          <w:rFonts w:ascii="Arial" w:hAnsi="Arial" w:cs="Arial"/>
        </w:rPr>
        <w:t xml:space="preserve">Toyota Motor Corporation (2023a) </w:t>
      </w:r>
      <w:r w:rsidRPr="00A85BE7">
        <w:rPr>
          <w:rFonts w:ascii="Arial" w:hAnsi="Arial" w:cs="Arial"/>
          <w:i/>
          <w:iCs/>
        </w:rPr>
        <w:t>New Management Policy &amp; Direction Announcement</w:t>
      </w:r>
      <w:r w:rsidRPr="00A85BE7">
        <w:rPr>
          <w:rFonts w:ascii="Arial" w:hAnsi="Arial" w:cs="Arial"/>
        </w:rPr>
        <w:t>. Toyota City: Toyota Motor Corporation.</w:t>
      </w:r>
    </w:p>
    <w:p w14:paraId="0B42BAF0" w14:textId="77777777" w:rsidR="00CD2BBC" w:rsidRPr="00A85BE7" w:rsidRDefault="00CD2BBC" w:rsidP="00A85BE7">
      <w:pPr>
        <w:spacing w:line="360" w:lineRule="auto"/>
        <w:jc w:val="both"/>
        <w:rPr>
          <w:rFonts w:ascii="Arial" w:hAnsi="Arial" w:cs="Arial"/>
        </w:rPr>
      </w:pPr>
      <w:r w:rsidRPr="00A85BE7">
        <w:rPr>
          <w:rFonts w:ascii="Arial" w:hAnsi="Arial" w:cs="Arial"/>
        </w:rPr>
        <w:lastRenderedPageBreak/>
        <w:t xml:space="preserve">Toyota Motor Corporation (2023b) </w:t>
      </w:r>
      <w:r w:rsidRPr="00A85BE7">
        <w:rPr>
          <w:rFonts w:ascii="Arial" w:hAnsi="Arial" w:cs="Arial"/>
          <w:i/>
          <w:iCs/>
        </w:rPr>
        <w:t>Idemitsu and Toyota Announce Beginning of Cooperation toward Mass Production of All-Solid-State Batteries for BEVs</w:t>
      </w:r>
      <w:r w:rsidRPr="00A85BE7">
        <w:rPr>
          <w:rFonts w:ascii="Arial" w:hAnsi="Arial" w:cs="Arial"/>
        </w:rPr>
        <w:t>. Toyota City: Toyota Motor Corporation.</w:t>
      </w:r>
    </w:p>
    <w:p w14:paraId="1A0A4EF3" w14:textId="77777777" w:rsidR="00CD2BBC" w:rsidRPr="00A85BE7" w:rsidRDefault="00CD2BBC" w:rsidP="00A85BE7">
      <w:pPr>
        <w:spacing w:line="360" w:lineRule="auto"/>
        <w:jc w:val="both"/>
        <w:rPr>
          <w:rFonts w:ascii="Arial" w:hAnsi="Arial" w:cs="Arial"/>
        </w:rPr>
      </w:pPr>
      <w:r w:rsidRPr="00A85BE7">
        <w:rPr>
          <w:rFonts w:ascii="Arial" w:hAnsi="Arial" w:cs="Arial"/>
        </w:rPr>
        <w:t xml:space="preserve">Toyota Motor Corporation (2026a) </w:t>
      </w:r>
      <w:r w:rsidRPr="00A85BE7">
        <w:rPr>
          <w:rFonts w:ascii="Arial" w:hAnsi="Arial" w:cs="Arial"/>
          <w:i/>
          <w:iCs/>
        </w:rPr>
        <w:t>Sales, Production, and Export Results for 2025</w:t>
      </w:r>
      <w:r w:rsidRPr="00A85BE7">
        <w:rPr>
          <w:rFonts w:ascii="Arial" w:hAnsi="Arial" w:cs="Arial"/>
        </w:rPr>
        <w:t>. Toyota City: Toyota Motor Corporation.</w:t>
      </w:r>
    </w:p>
    <w:p w14:paraId="18838EDF" w14:textId="77777777" w:rsidR="00CD2BBC" w:rsidRPr="00A85BE7" w:rsidRDefault="00CD2BBC" w:rsidP="00A85BE7">
      <w:pPr>
        <w:spacing w:line="360" w:lineRule="auto"/>
        <w:jc w:val="both"/>
        <w:rPr>
          <w:rFonts w:ascii="Arial" w:hAnsi="Arial" w:cs="Arial"/>
        </w:rPr>
      </w:pPr>
      <w:r w:rsidRPr="00A85BE7">
        <w:rPr>
          <w:rFonts w:ascii="Arial" w:hAnsi="Arial" w:cs="Arial"/>
        </w:rPr>
        <w:t xml:space="preserve">Toyota Motor Corporation (2026b) </w:t>
      </w:r>
      <w:r w:rsidRPr="00A85BE7">
        <w:rPr>
          <w:rFonts w:ascii="Arial" w:hAnsi="Arial" w:cs="Arial"/>
          <w:i/>
          <w:iCs/>
        </w:rPr>
        <w:t>Financial Highlights &amp; Financial Performance</w:t>
      </w:r>
      <w:r w:rsidRPr="00A85BE7">
        <w:rPr>
          <w:rFonts w:ascii="Arial" w:hAnsi="Arial" w:cs="Arial"/>
        </w:rPr>
        <w:t>. Toyota City: Toyota Motor Corporation.</w:t>
      </w:r>
    </w:p>
    <w:p w14:paraId="5C5A9687" w14:textId="77777777" w:rsidR="00CD2BBC" w:rsidRPr="00A85BE7" w:rsidRDefault="00CD2BBC" w:rsidP="00A85BE7">
      <w:pPr>
        <w:spacing w:line="360" w:lineRule="auto"/>
        <w:jc w:val="both"/>
        <w:rPr>
          <w:rFonts w:ascii="Arial" w:hAnsi="Arial" w:cs="Arial"/>
        </w:rPr>
      </w:pPr>
    </w:p>
    <w:sectPr w:rsidR="00CD2BBC" w:rsidRPr="00A85BE7">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956B3B" w14:textId="77777777" w:rsidR="00F93CCF" w:rsidRDefault="00F93CCF" w:rsidP="00CD2BBC">
      <w:pPr>
        <w:spacing w:after="0" w:line="240" w:lineRule="auto"/>
      </w:pPr>
      <w:r>
        <w:separator/>
      </w:r>
    </w:p>
  </w:endnote>
  <w:endnote w:type="continuationSeparator" w:id="0">
    <w:p w14:paraId="748BEABD" w14:textId="77777777" w:rsidR="00F93CCF" w:rsidRDefault="00F93CCF" w:rsidP="00CD2B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4892610"/>
      <w:docPartObj>
        <w:docPartGallery w:val="Page Numbers (Bottom of Page)"/>
        <w:docPartUnique/>
      </w:docPartObj>
    </w:sdtPr>
    <w:sdtEndPr>
      <w:rPr>
        <w:color w:val="7F7F7F" w:themeColor="background1" w:themeShade="7F"/>
        <w:spacing w:val="60"/>
      </w:rPr>
    </w:sdtEndPr>
    <w:sdtContent>
      <w:p w14:paraId="75DD780E" w14:textId="3F3E72CE" w:rsidR="00CD2BBC" w:rsidRDefault="00CD2BBC">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06D4C3CF" w14:textId="77777777" w:rsidR="00CD2BBC" w:rsidRDefault="00CD2B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4519F1" w14:textId="77777777" w:rsidR="00F93CCF" w:rsidRDefault="00F93CCF" w:rsidP="00CD2BBC">
      <w:pPr>
        <w:spacing w:after="0" w:line="240" w:lineRule="auto"/>
      </w:pPr>
      <w:r>
        <w:separator/>
      </w:r>
    </w:p>
  </w:footnote>
  <w:footnote w:type="continuationSeparator" w:id="0">
    <w:p w14:paraId="4E465A92" w14:textId="77777777" w:rsidR="00F93CCF" w:rsidRDefault="00F93CCF" w:rsidP="00CD2BB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BBC"/>
    <w:rsid w:val="00951857"/>
    <w:rsid w:val="00A058C4"/>
    <w:rsid w:val="00A85BE7"/>
    <w:rsid w:val="00A929BF"/>
    <w:rsid w:val="00C93176"/>
    <w:rsid w:val="00CD1DA7"/>
    <w:rsid w:val="00CD2BBC"/>
    <w:rsid w:val="00F93C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5F873"/>
  <w15:chartTrackingRefBased/>
  <w15:docId w15:val="{9021DD58-1512-4AA6-A2C8-CE0A75102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9BF"/>
  </w:style>
  <w:style w:type="paragraph" w:styleId="Heading1">
    <w:name w:val="heading 1"/>
    <w:basedOn w:val="Normal"/>
    <w:next w:val="Normal"/>
    <w:link w:val="Heading1Char"/>
    <w:uiPriority w:val="9"/>
    <w:qFormat/>
    <w:rsid w:val="00A92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2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29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29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29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29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29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29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29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9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29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29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29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29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29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9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9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9BF"/>
    <w:rPr>
      <w:rFonts w:eastAsiaTheme="majorEastAsia" w:cstheme="majorBidi"/>
      <w:color w:val="272727" w:themeColor="text1" w:themeTint="D8"/>
    </w:rPr>
  </w:style>
  <w:style w:type="paragraph" w:styleId="Title">
    <w:name w:val="Title"/>
    <w:basedOn w:val="Normal"/>
    <w:next w:val="Normal"/>
    <w:link w:val="TitleChar"/>
    <w:uiPriority w:val="10"/>
    <w:qFormat/>
    <w:rsid w:val="00A92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9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9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29BF"/>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A929BF"/>
    <w:pPr>
      <w:ind w:left="720"/>
      <w:contextualSpacing/>
    </w:pPr>
  </w:style>
  <w:style w:type="paragraph" w:styleId="Quote">
    <w:name w:val="Quote"/>
    <w:basedOn w:val="Normal"/>
    <w:next w:val="Normal"/>
    <w:link w:val="QuoteChar"/>
    <w:uiPriority w:val="29"/>
    <w:qFormat/>
    <w:rsid w:val="00A929BF"/>
    <w:pPr>
      <w:spacing w:before="160"/>
      <w:jc w:val="center"/>
    </w:pPr>
    <w:rPr>
      <w:i/>
      <w:iCs/>
      <w:color w:val="404040" w:themeColor="text1" w:themeTint="BF"/>
    </w:rPr>
  </w:style>
  <w:style w:type="character" w:customStyle="1" w:styleId="QuoteChar">
    <w:name w:val="Quote Char"/>
    <w:basedOn w:val="DefaultParagraphFont"/>
    <w:link w:val="Quote"/>
    <w:uiPriority w:val="29"/>
    <w:rsid w:val="00A929BF"/>
    <w:rPr>
      <w:i/>
      <w:iCs/>
      <w:color w:val="404040" w:themeColor="text1" w:themeTint="BF"/>
    </w:rPr>
  </w:style>
  <w:style w:type="paragraph" w:styleId="IntenseQuote">
    <w:name w:val="Intense Quote"/>
    <w:basedOn w:val="Normal"/>
    <w:next w:val="Normal"/>
    <w:link w:val="IntenseQuoteChar"/>
    <w:uiPriority w:val="30"/>
    <w:qFormat/>
    <w:rsid w:val="00A92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29BF"/>
    <w:rPr>
      <w:i/>
      <w:iCs/>
      <w:color w:val="0F4761" w:themeColor="accent1" w:themeShade="BF"/>
    </w:rPr>
  </w:style>
  <w:style w:type="character" w:styleId="IntenseEmphasis">
    <w:name w:val="Intense Emphasis"/>
    <w:basedOn w:val="DefaultParagraphFont"/>
    <w:uiPriority w:val="21"/>
    <w:qFormat/>
    <w:rsid w:val="00A929BF"/>
    <w:rPr>
      <w:i/>
      <w:iCs/>
      <w:color w:val="0F4761" w:themeColor="accent1" w:themeShade="BF"/>
    </w:rPr>
  </w:style>
  <w:style w:type="character" w:styleId="IntenseReference">
    <w:name w:val="Intense Reference"/>
    <w:basedOn w:val="DefaultParagraphFont"/>
    <w:uiPriority w:val="32"/>
    <w:qFormat/>
    <w:rsid w:val="00A929BF"/>
    <w:rPr>
      <w:b/>
      <w:bCs/>
      <w:smallCaps/>
      <w:color w:val="0F4761" w:themeColor="accent1" w:themeShade="BF"/>
      <w:spacing w:val="5"/>
    </w:rPr>
  </w:style>
  <w:style w:type="paragraph" w:styleId="Header">
    <w:name w:val="header"/>
    <w:basedOn w:val="Normal"/>
    <w:link w:val="HeaderChar"/>
    <w:uiPriority w:val="99"/>
    <w:unhideWhenUsed/>
    <w:rsid w:val="00CD2B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2BBC"/>
  </w:style>
  <w:style w:type="paragraph" w:styleId="Footer">
    <w:name w:val="footer"/>
    <w:basedOn w:val="Normal"/>
    <w:link w:val="FooterChar"/>
    <w:uiPriority w:val="99"/>
    <w:unhideWhenUsed/>
    <w:rsid w:val="00CD2B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2BBC"/>
  </w:style>
  <w:style w:type="character" w:styleId="Hyperlink">
    <w:name w:val="Hyperlink"/>
    <w:basedOn w:val="DefaultParagraphFont"/>
    <w:uiPriority w:val="99"/>
    <w:unhideWhenUsed/>
    <w:rsid w:val="00A85BE7"/>
    <w:rPr>
      <w:color w:val="467886" w:themeColor="hyperlink"/>
      <w:u w:val="single"/>
    </w:rPr>
  </w:style>
  <w:style w:type="character" w:styleId="UnresolvedMention">
    <w:name w:val="Unresolved Mention"/>
    <w:basedOn w:val="DefaultParagraphFont"/>
    <w:uiPriority w:val="99"/>
    <w:semiHidden/>
    <w:unhideWhenUsed/>
    <w:rsid w:val="00A85BE7"/>
    <w:rPr>
      <w:color w:val="605E5C"/>
      <w:shd w:val="clear" w:color="auto" w:fill="E1DFDD"/>
    </w:rPr>
  </w:style>
  <w:style w:type="paragraph" w:styleId="TOCHeading">
    <w:name w:val="TOC Heading"/>
    <w:basedOn w:val="Heading1"/>
    <w:next w:val="Normal"/>
    <w:uiPriority w:val="39"/>
    <w:unhideWhenUsed/>
    <w:qFormat/>
    <w:rsid w:val="00A85BE7"/>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A85BE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id.wikipedia.org/wiki/Toyota_FT-H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CA36A7-A9A1-4B30-B330-F97B6894E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3027</Words>
  <Characters>17254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ionela ocneanu</dc:creator>
  <cp:keywords/>
  <dc:description/>
  <cp:lastModifiedBy>ionela ocneanu</cp:lastModifiedBy>
  <cp:revision>1</cp:revision>
  <dcterms:created xsi:type="dcterms:W3CDTF">2026-07-28T09:04:00Z</dcterms:created>
  <dcterms:modified xsi:type="dcterms:W3CDTF">2026-07-28T09:46:00Z</dcterms:modified>
</cp:coreProperties>
</file>