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78"/>
        <w:ind w:right="0" w:left="0" w:firstLine="0"/>
        <w:jc w:val="left"/>
        <w:rPr>
          <w:rFonts w:ascii="Aptos" w:hAnsi="Aptos" w:cs="Aptos" w:eastAsia="Aptos"/>
          <w:b/>
          <w:color w:val="auto"/>
          <w:spacing w:val="0"/>
          <w:position w:val="0"/>
          <w:sz w:val="28"/>
          <w:shd w:fill="auto" w:val="clear"/>
        </w:rPr>
      </w:pPr>
      <w:r>
        <w:object w:dxaOrig="2937" w:dyaOrig="835">
          <v:rect xmlns:o="urn:schemas-microsoft-com:office:office" xmlns:v="urn:schemas-microsoft-com:vml" id="rectole0000000000" style="width:146.850000pt;height:41.7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278"/>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Student Assessment Submission and Declaration</w:t>
      </w:r>
    </w:p>
    <w:p>
      <w:pPr>
        <w:spacing w:before="0" w:after="160" w:line="278"/>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When submitting evidence for assessment, you must sign a declaration confirming that the work is your own.</w:t>
      </w:r>
    </w:p>
    <w:tbl>
      <w:tblPr/>
      <w:tblGrid>
        <w:gridCol w:w="2730"/>
        <w:gridCol w:w="6405"/>
      </w:tblGrid>
      <w:tr>
        <w:trPr>
          <w:trHeight w:val="761" w:hRule="auto"/>
          <w:jc w:val="left"/>
        </w:trPr>
        <w:tc>
          <w:tcPr>
            <w:tcW w:w="2730" w:type="dxa"/>
            <w:tcBorders>
              <w:top w:val="single" w:color="000000" w:sz="4"/>
              <w:left w:val="single" w:color="000000" w:sz="4"/>
              <w:bottom w:val="single" w:color="000000" w:sz="4"/>
              <w:right w:val="single" w:color="000000" w:sz="4"/>
            </w:tcBorders>
            <w:shd w:color="auto" w:fill="a5c9eb" w:val="clear"/>
            <w:tcMar>
              <w:left w:w="108" w:type="dxa"/>
              <w:right w:w="108" w:type="dxa"/>
            </w:tcMar>
            <w:vAlign w:val="top"/>
          </w:tcPr>
          <w:p>
            <w:pPr>
              <w:spacing w:before="0" w:after="160" w:line="278"/>
              <w:ind w:right="0" w:left="0" w:firstLine="0"/>
              <w:jc w:val="left"/>
              <w:rPr>
                <w:color w:val="auto"/>
                <w:spacing w:val="0"/>
                <w:position w:val="0"/>
                <w:shd w:fill="auto" w:val="clear"/>
              </w:rPr>
            </w:pPr>
            <w:r>
              <w:rPr>
                <w:rFonts w:ascii="Arial" w:hAnsi="Arial" w:cs="Arial" w:eastAsia="Arial"/>
                <w:b/>
                <w:color w:val="auto"/>
                <w:spacing w:val="0"/>
                <w:position w:val="0"/>
                <w:sz w:val="24"/>
                <w:shd w:fill="auto" w:val="clear"/>
              </w:rPr>
              <w:t xml:space="preserve">Student name:</w:t>
            </w:r>
          </w:p>
        </w:tc>
        <w:tc>
          <w:tcPr>
            <w:tcW w:w="64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78"/>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Raza khan Ahmadzai </w:t>
            </w:r>
          </w:p>
        </w:tc>
      </w:tr>
      <w:tr>
        <w:trPr>
          <w:trHeight w:val="405" w:hRule="auto"/>
          <w:jc w:val="left"/>
        </w:trPr>
        <w:tc>
          <w:tcPr>
            <w:tcW w:w="2730" w:type="dxa"/>
            <w:tcBorders>
              <w:top w:val="single" w:color="000000" w:sz="4"/>
              <w:left w:val="single" w:color="000000" w:sz="4"/>
              <w:bottom w:val="single" w:color="000000" w:sz="4"/>
              <w:right w:val="single" w:color="000000" w:sz="4"/>
            </w:tcBorders>
            <w:shd w:color="auto" w:fill="a5c9eb" w:val="clear"/>
            <w:tcMar>
              <w:left w:w="108" w:type="dxa"/>
              <w:right w:w="108" w:type="dxa"/>
            </w:tcMar>
            <w:vAlign w:val="top"/>
          </w:tcPr>
          <w:p>
            <w:pPr>
              <w:spacing w:before="0" w:after="160" w:line="278"/>
              <w:ind w:right="0" w:left="0" w:firstLine="0"/>
              <w:jc w:val="left"/>
              <w:rPr>
                <w:color w:val="auto"/>
                <w:spacing w:val="0"/>
                <w:position w:val="0"/>
                <w:shd w:fill="auto" w:val="clear"/>
              </w:rPr>
            </w:pPr>
            <w:r>
              <w:rPr>
                <w:rFonts w:ascii="Arial" w:hAnsi="Arial" w:cs="Arial" w:eastAsia="Arial"/>
                <w:b/>
                <w:color w:val="auto"/>
                <w:spacing w:val="0"/>
                <w:position w:val="0"/>
                <w:sz w:val="24"/>
                <w:shd w:fill="auto" w:val="clear"/>
              </w:rPr>
              <w:t xml:space="preserve">Student ID: </w:t>
            </w:r>
          </w:p>
        </w:tc>
        <w:tc>
          <w:tcPr>
            <w:tcW w:w="64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78"/>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2423995</w:t>
            </w:r>
          </w:p>
        </w:tc>
      </w:tr>
      <w:tr>
        <w:trPr>
          <w:trHeight w:val="300" w:hRule="auto"/>
          <w:jc w:val="left"/>
        </w:trPr>
        <w:tc>
          <w:tcPr>
            <w:tcW w:w="2730" w:type="dxa"/>
            <w:tcBorders>
              <w:top w:val="single" w:color="000000" w:sz="4"/>
              <w:left w:val="single" w:color="000000" w:sz="4"/>
              <w:bottom w:val="single" w:color="000000" w:sz="4"/>
              <w:right w:val="single" w:color="000000" w:sz="4"/>
            </w:tcBorders>
            <w:shd w:color="auto" w:fill="a5c9eb" w:val="clear"/>
            <w:tcMar>
              <w:left w:w="108" w:type="dxa"/>
              <w:right w:w="108" w:type="dxa"/>
            </w:tcMar>
            <w:vAlign w:val="top"/>
          </w:tcPr>
          <w:p>
            <w:pPr>
              <w:spacing w:before="0" w:after="160" w:line="278"/>
              <w:ind w:right="0" w:left="0" w:firstLine="0"/>
              <w:jc w:val="left"/>
              <w:rPr>
                <w:color w:val="auto"/>
                <w:spacing w:val="0"/>
                <w:position w:val="0"/>
                <w:shd w:fill="auto" w:val="clear"/>
              </w:rPr>
            </w:pPr>
            <w:r>
              <w:rPr>
                <w:rFonts w:ascii="Arial" w:hAnsi="Arial" w:cs="Arial" w:eastAsia="Arial"/>
                <w:b/>
                <w:color w:val="auto"/>
                <w:spacing w:val="0"/>
                <w:position w:val="0"/>
                <w:sz w:val="24"/>
                <w:shd w:fill="auto" w:val="clear"/>
              </w:rPr>
              <w:t xml:space="preserve">Programme:</w:t>
            </w:r>
          </w:p>
        </w:tc>
        <w:tc>
          <w:tcPr>
            <w:tcW w:w="64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78"/>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health and social care </w:t>
            </w:r>
          </w:p>
        </w:tc>
      </w:tr>
      <w:tr>
        <w:trPr>
          <w:trHeight w:val="330" w:hRule="auto"/>
          <w:jc w:val="left"/>
        </w:trPr>
        <w:tc>
          <w:tcPr>
            <w:tcW w:w="2730" w:type="dxa"/>
            <w:tcBorders>
              <w:top w:val="single" w:color="000000" w:sz="4"/>
              <w:left w:val="single" w:color="000000" w:sz="4"/>
              <w:bottom w:val="single" w:color="000000" w:sz="4"/>
              <w:right w:val="single" w:color="000000" w:sz="4"/>
            </w:tcBorders>
            <w:shd w:color="auto" w:fill="a5c9eb" w:val="clear"/>
            <w:tcMar>
              <w:left w:w="108" w:type="dxa"/>
              <w:right w:w="108" w:type="dxa"/>
            </w:tcMar>
            <w:vAlign w:val="top"/>
          </w:tcPr>
          <w:p>
            <w:pPr>
              <w:spacing w:before="0" w:after="160" w:line="278"/>
              <w:ind w:right="0" w:left="0" w:firstLine="0"/>
              <w:jc w:val="left"/>
              <w:rPr>
                <w:color w:val="auto"/>
                <w:spacing w:val="0"/>
                <w:position w:val="0"/>
                <w:shd w:fill="auto" w:val="clear"/>
              </w:rPr>
            </w:pPr>
            <w:r>
              <w:rPr>
                <w:rFonts w:ascii="Arial" w:hAnsi="Arial" w:cs="Arial" w:eastAsia="Arial"/>
                <w:b/>
                <w:color w:val="auto"/>
                <w:spacing w:val="0"/>
                <w:position w:val="0"/>
                <w:sz w:val="24"/>
                <w:shd w:fill="auto" w:val="clear"/>
              </w:rPr>
              <w:t xml:space="preserve">Module name and code:</w:t>
            </w:r>
          </w:p>
        </w:tc>
        <w:tc>
          <w:tcPr>
            <w:tcW w:w="64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78"/>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bsc  in health and social care </w:t>
            </w:r>
          </w:p>
        </w:tc>
      </w:tr>
      <w:tr>
        <w:trPr>
          <w:trHeight w:val="330" w:hRule="auto"/>
          <w:jc w:val="left"/>
        </w:trPr>
        <w:tc>
          <w:tcPr>
            <w:tcW w:w="2730" w:type="dxa"/>
            <w:tcBorders>
              <w:top w:val="single" w:color="000000" w:sz="4"/>
              <w:left w:val="single" w:color="000000" w:sz="4"/>
              <w:bottom w:val="single" w:color="000000" w:sz="4"/>
              <w:right w:val="single" w:color="000000" w:sz="4"/>
            </w:tcBorders>
            <w:shd w:color="auto" w:fill="a5c9eb" w:val="clear"/>
            <w:tcMar>
              <w:left w:w="108" w:type="dxa"/>
              <w:right w:w="108" w:type="dxa"/>
            </w:tcMar>
            <w:vAlign w:val="top"/>
          </w:tcPr>
          <w:p>
            <w:pPr>
              <w:spacing w:before="0" w:after="160" w:line="278"/>
              <w:ind w:right="0" w:left="0" w:firstLine="0"/>
              <w:jc w:val="left"/>
              <w:rPr>
                <w:color w:val="auto"/>
                <w:spacing w:val="0"/>
                <w:position w:val="0"/>
                <w:shd w:fill="auto" w:val="clear"/>
              </w:rPr>
            </w:pPr>
            <w:r>
              <w:rPr>
                <w:rFonts w:ascii="Arial" w:hAnsi="Arial" w:cs="Arial" w:eastAsia="Arial"/>
                <w:b/>
                <w:color w:val="auto"/>
                <w:spacing w:val="0"/>
                <w:position w:val="0"/>
                <w:sz w:val="24"/>
                <w:shd w:fill="auto" w:val="clear"/>
              </w:rPr>
              <w:t xml:space="preserve">Lecture's name: </w:t>
            </w:r>
          </w:p>
        </w:tc>
        <w:tc>
          <w:tcPr>
            <w:tcW w:w="64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78"/>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 farah wiita </w:t>
            </w:r>
          </w:p>
        </w:tc>
      </w:tr>
    </w:tbl>
    <w:p>
      <w:pPr>
        <w:spacing w:before="0" w:after="160" w:line="278"/>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Plagiarism</w:t>
      </w:r>
    </w:p>
    <w:p>
      <w:pPr>
        <w:spacing w:before="0" w:after="160" w:line="278"/>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Plagiarism is a form of cheating. Plagiarism must be avoided at all costs and students who break the rules, however innocently, may be penalised.  It is your responsibility to ensure that you understand correct referencing practices.  As a university level student, you are expected to use appropriate references throughout and keep carefully detailed notes of all your sources of materials for material you have used in your work, including any material downloaded from the Internet. Please consult the relevant unit lecturer or your course tutor if you need any further advice.</w:t>
      </w:r>
    </w:p>
    <w:tbl>
      <w:tblPr/>
      <w:tblGrid>
        <w:gridCol w:w="4158"/>
        <w:gridCol w:w="5280"/>
      </w:tblGrid>
      <w:tr>
        <w:trPr>
          <w:trHeight w:val="1412" w:hRule="auto"/>
          <w:jc w:val="left"/>
        </w:trPr>
        <w:tc>
          <w:tcPr>
            <w:tcW w:w="9438" w:type="dxa"/>
            <w:gridSpan w:val="2"/>
            <w:tcBorders>
              <w:top w:val="single" w:color="000000" w:sz="4"/>
              <w:left w:val="single" w:color="000000" w:sz="4"/>
              <w:bottom w:val="single" w:color="000000" w:sz="4"/>
              <w:right w:val="single" w:color="000000" w:sz="4"/>
            </w:tcBorders>
            <w:shd w:color="auto" w:fill="a5c9eb" w:val="clear"/>
            <w:tcMar>
              <w:left w:w="108" w:type="dxa"/>
              <w:right w:w="108" w:type="dxa"/>
            </w:tcMar>
            <w:vAlign w:val="top"/>
          </w:tcPr>
          <w:p>
            <w:pPr>
              <w:spacing w:before="0" w:after="160" w:line="278"/>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Student declaration</w:t>
            </w:r>
          </w:p>
          <w:p>
            <w:pPr>
              <w:spacing w:before="0" w:after="160" w:line="278"/>
              <w:ind w:right="0" w:left="0" w:firstLine="0"/>
              <w:jc w:val="left"/>
              <w:rPr>
                <w:color w:val="auto"/>
                <w:spacing w:val="0"/>
                <w:position w:val="0"/>
                <w:shd w:fill="auto" w:val="clear"/>
              </w:rPr>
            </w:pPr>
            <w:r>
              <w:rPr>
                <w:rFonts w:ascii="Arial" w:hAnsi="Arial" w:cs="Arial" w:eastAsia="Arial"/>
                <w:b/>
                <w:color w:val="auto"/>
                <w:spacing w:val="0"/>
                <w:position w:val="0"/>
                <w:sz w:val="24"/>
                <w:shd w:fill="auto" w:val="clear"/>
              </w:rPr>
              <w:t xml:space="preserve">I certify that the assignment submission is entirely my own work. I fully understand the consequences of plagiarism. I understand that making a false declaration is a form of malpractice.</w:t>
            </w:r>
          </w:p>
        </w:tc>
      </w:tr>
      <w:tr>
        <w:trPr>
          <w:trHeight w:val="480" w:hRule="auto"/>
          <w:jc w:val="left"/>
        </w:trPr>
        <w:tc>
          <w:tcPr>
            <w:tcW w:w="4158" w:type="dxa"/>
            <w:tcBorders>
              <w:top w:val="single" w:color="000000" w:sz="4"/>
              <w:left w:val="single" w:color="000000" w:sz="4"/>
              <w:bottom w:val="single" w:color="000000" w:sz="4"/>
              <w:right w:val="single" w:color="000000" w:sz="4"/>
            </w:tcBorders>
            <w:shd w:color="auto" w:fill="a5c9eb" w:val="clear"/>
            <w:tcMar>
              <w:left w:w="108" w:type="dxa"/>
              <w:right w:w="108" w:type="dxa"/>
            </w:tcMar>
            <w:vAlign w:val="top"/>
          </w:tcPr>
          <w:p>
            <w:pPr>
              <w:spacing w:before="0" w:after="160" w:line="278"/>
              <w:ind w:right="0" w:left="0" w:firstLine="0"/>
              <w:jc w:val="left"/>
              <w:rPr>
                <w:color w:val="auto"/>
                <w:spacing w:val="0"/>
                <w:position w:val="0"/>
                <w:shd w:fill="auto" w:val="clear"/>
              </w:rPr>
            </w:pPr>
            <w:r>
              <w:rPr>
                <w:rFonts w:ascii="Arial" w:hAnsi="Arial" w:cs="Arial" w:eastAsia="Arial"/>
                <w:b/>
                <w:color w:val="auto"/>
                <w:spacing w:val="0"/>
                <w:position w:val="0"/>
                <w:sz w:val="24"/>
                <w:shd w:fill="auto" w:val="clear"/>
              </w:rPr>
              <w:t xml:space="preserve">Student signature:</w:t>
            </w:r>
          </w:p>
        </w:tc>
        <w:tc>
          <w:tcPr>
            <w:tcW w:w="52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78"/>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raza </w:t>
            </w:r>
          </w:p>
        </w:tc>
      </w:tr>
      <w:tr>
        <w:trPr>
          <w:trHeight w:val="480" w:hRule="auto"/>
          <w:jc w:val="left"/>
        </w:trPr>
        <w:tc>
          <w:tcPr>
            <w:tcW w:w="4158" w:type="dxa"/>
            <w:tcBorders>
              <w:top w:val="single" w:color="000000" w:sz="4"/>
              <w:left w:val="single" w:color="000000" w:sz="4"/>
              <w:bottom w:val="single" w:color="000000" w:sz="4"/>
              <w:right w:val="single" w:color="000000" w:sz="4"/>
            </w:tcBorders>
            <w:shd w:color="auto" w:fill="a5c9eb" w:val="clear"/>
            <w:tcMar>
              <w:left w:w="108" w:type="dxa"/>
              <w:right w:w="108" w:type="dxa"/>
            </w:tcMar>
            <w:vAlign w:val="top"/>
          </w:tcPr>
          <w:p>
            <w:pPr>
              <w:spacing w:before="0" w:after="160" w:line="278"/>
              <w:ind w:right="0" w:left="0" w:firstLine="0"/>
              <w:jc w:val="left"/>
              <w:rPr>
                <w:color w:val="auto"/>
                <w:spacing w:val="0"/>
                <w:position w:val="0"/>
                <w:shd w:fill="auto" w:val="clear"/>
              </w:rPr>
            </w:pPr>
            <w:r>
              <w:rPr>
                <w:rFonts w:ascii="Arial" w:hAnsi="Arial" w:cs="Arial" w:eastAsia="Arial"/>
                <w:b/>
                <w:color w:val="auto"/>
                <w:spacing w:val="0"/>
                <w:position w:val="0"/>
                <w:sz w:val="24"/>
                <w:shd w:fill="auto" w:val="clear"/>
              </w:rPr>
              <w:t xml:space="preserve">Date : </w:t>
            </w:r>
          </w:p>
        </w:tc>
        <w:tc>
          <w:tcPr>
            <w:tcW w:w="52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78"/>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28/04/2026</w:t>
            </w:r>
          </w:p>
        </w:tc>
      </w:tr>
    </w:tbl>
    <w:p>
      <w:pPr>
        <w:spacing w:before="0" w:after="160" w:line="278"/>
        <w:ind w:right="0" w:left="0" w:firstLine="0"/>
        <w:jc w:val="left"/>
        <w:rPr>
          <w:rFonts w:ascii="Aptos" w:hAnsi="Aptos" w:cs="Aptos" w:eastAsia="Aptos"/>
          <w:b/>
          <w:color w:val="auto"/>
          <w:spacing w:val="0"/>
          <w:position w:val="0"/>
          <w:sz w:val="28"/>
          <w:u w:val="single"/>
          <w:shd w:fill="auto" w:val="clear"/>
        </w:rPr>
      </w:pPr>
    </w:p>
    <w:p>
      <w:pPr>
        <w:spacing w:before="0" w:after="160" w:line="278"/>
        <w:ind w:right="0" w:left="0" w:firstLine="0"/>
        <w:jc w:val="left"/>
        <w:rPr>
          <w:rFonts w:ascii="Aptos" w:hAnsi="Aptos" w:cs="Aptos" w:eastAsia="Aptos"/>
          <w:b/>
          <w:color w:val="auto"/>
          <w:spacing w:val="0"/>
          <w:position w:val="0"/>
          <w:sz w:val="28"/>
          <w:u w:val="single"/>
          <w:shd w:fill="auto" w:val="clear"/>
        </w:rPr>
      </w:pPr>
    </w:p>
    <w:p>
      <w:pPr>
        <w:spacing w:before="0" w:after="160" w:line="278"/>
        <w:ind w:right="0" w:left="0" w:firstLine="0"/>
        <w:jc w:val="left"/>
        <w:rPr>
          <w:rFonts w:ascii="Aptos" w:hAnsi="Aptos" w:cs="Aptos" w:eastAsia="Aptos"/>
          <w:b/>
          <w:color w:val="auto"/>
          <w:spacing w:val="0"/>
          <w:position w:val="0"/>
          <w:sz w:val="28"/>
          <w:u w:val="single"/>
          <w:shd w:fill="auto" w:val="clear"/>
        </w:rPr>
      </w:pPr>
    </w:p>
    <w:p>
      <w:pPr>
        <w:spacing w:before="0" w:after="160" w:line="278"/>
        <w:ind w:right="0" w:left="0" w:firstLine="0"/>
        <w:jc w:val="left"/>
        <w:rPr>
          <w:rFonts w:ascii="Aptos" w:hAnsi="Aptos" w:cs="Aptos" w:eastAsia="Aptos"/>
          <w:b/>
          <w:color w:val="auto"/>
          <w:spacing w:val="0"/>
          <w:position w:val="0"/>
          <w:sz w:val="28"/>
          <w:u w:val="single"/>
          <w:shd w:fill="auto" w:val="clear"/>
        </w:rPr>
      </w:pPr>
    </w:p>
    <w:p>
      <w:pPr>
        <w:spacing w:before="0" w:after="160" w:line="278"/>
        <w:ind w:right="0" w:left="0" w:firstLine="0"/>
        <w:jc w:val="center"/>
        <w:rPr>
          <w:rFonts w:ascii="Aptos" w:hAnsi="Aptos" w:cs="Aptos" w:eastAsia="Aptos"/>
          <w:b/>
          <w:color w:val="auto"/>
          <w:spacing w:val="0"/>
          <w:position w:val="0"/>
          <w:sz w:val="28"/>
          <w:u w:val="single"/>
          <w:shd w:fill="auto" w:val="clear"/>
        </w:rPr>
      </w:pPr>
      <w:r>
        <w:rPr>
          <w:rFonts w:ascii="Aptos" w:hAnsi="Aptos" w:cs="Aptos" w:eastAsia="Aptos"/>
          <w:b/>
          <w:color w:val="auto"/>
          <w:spacing w:val="0"/>
          <w:position w:val="0"/>
          <w:sz w:val="28"/>
          <w:u w:val="single"/>
          <w:shd w:fill="auto" w:val="clear"/>
        </w:rPr>
        <w:t xml:space="preserve">Table of content </w:t>
      </w:r>
    </w:p>
    <w:p>
      <w:pPr>
        <w:spacing w:before="0" w:after="160" w:line="278"/>
        <w:ind w:right="0" w:left="0" w:firstLine="0"/>
        <w:jc w:val="center"/>
        <w:rPr>
          <w:rFonts w:ascii="Aptos" w:hAnsi="Aptos" w:cs="Aptos" w:eastAsia="Aptos"/>
          <w:b/>
          <w:color w:val="auto"/>
          <w:spacing w:val="0"/>
          <w:position w:val="0"/>
          <w:sz w:val="28"/>
          <w:u w:val="single"/>
          <w:shd w:fill="auto" w:val="clear"/>
        </w:rPr>
      </w:pPr>
    </w:p>
    <w:p>
      <w:pPr>
        <w:spacing w:before="0" w:after="160" w:line="278"/>
        <w:ind w:right="0" w:left="0" w:firstLine="0"/>
        <w:jc w:val="center"/>
        <w:rPr>
          <w:rFonts w:ascii="Aptos" w:hAnsi="Aptos" w:cs="Aptos" w:eastAsia="Aptos"/>
          <w:b/>
          <w:color w:val="auto"/>
          <w:spacing w:val="0"/>
          <w:position w:val="0"/>
          <w:sz w:val="28"/>
          <w:u w:val="single"/>
          <w:shd w:fill="auto" w:val="clear"/>
        </w:rPr>
      </w:pPr>
    </w:p>
    <w:p>
      <w:pPr>
        <w:spacing w:before="0" w:after="160" w:line="278"/>
        <w:ind w:right="0" w:left="0" w:firstLine="0"/>
        <w:jc w:val="center"/>
        <w:rPr>
          <w:rFonts w:ascii="Aptos" w:hAnsi="Aptos" w:cs="Aptos" w:eastAsia="Aptos"/>
          <w:b/>
          <w:color w:val="auto"/>
          <w:spacing w:val="0"/>
          <w:position w:val="0"/>
          <w:sz w:val="28"/>
          <w:u w:val="single"/>
          <w:shd w:fill="auto" w:val="clear"/>
        </w:rPr>
      </w:pPr>
    </w:p>
    <w:p>
      <w:pPr>
        <w:spacing w:before="0" w:after="160" w:line="278"/>
        <w:ind w:right="0" w:left="0" w:firstLine="0"/>
        <w:jc w:val="center"/>
        <w:rPr>
          <w:rFonts w:ascii="Aptos" w:hAnsi="Aptos" w:cs="Aptos" w:eastAsia="Aptos"/>
          <w:b/>
          <w:color w:val="auto"/>
          <w:spacing w:val="0"/>
          <w:position w:val="0"/>
          <w:sz w:val="28"/>
          <w:u w:val="single"/>
          <w:shd w:fill="auto" w:val="clear"/>
        </w:rPr>
      </w:pPr>
    </w:p>
    <w:p>
      <w:pPr>
        <w:spacing w:before="0" w:after="160" w:line="278"/>
        <w:ind w:right="0" w:left="0" w:firstLine="0"/>
        <w:jc w:val="center"/>
        <w:rPr>
          <w:rFonts w:ascii="Aptos" w:hAnsi="Aptos" w:cs="Aptos" w:eastAsia="Aptos"/>
          <w:b/>
          <w:color w:val="auto"/>
          <w:spacing w:val="0"/>
          <w:position w:val="0"/>
          <w:sz w:val="28"/>
          <w:u w:val="single"/>
          <w:shd w:fill="auto" w:val="clear"/>
        </w:rPr>
      </w:pPr>
    </w:p>
    <w:p>
      <w:pPr>
        <w:spacing w:before="0" w:after="160" w:line="278"/>
        <w:ind w:right="0" w:left="0" w:firstLine="0"/>
        <w:jc w:val="center"/>
        <w:rPr>
          <w:rFonts w:ascii="Aptos" w:hAnsi="Aptos" w:cs="Aptos" w:eastAsia="Aptos"/>
          <w:b/>
          <w:color w:val="auto"/>
          <w:spacing w:val="0"/>
          <w:position w:val="0"/>
          <w:sz w:val="28"/>
          <w:u w:val="single"/>
          <w:shd w:fill="auto" w:val="clear"/>
        </w:rPr>
      </w:pPr>
    </w:p>
    <w:p>
      <w:pPr>
        <w:spacing w:before="0" w:after="160" w:line="278"/>
        <w:ind w:right="0" w:left="0" w:firstLine="0"/>
        <w:jc w:val="center"/>
        <w:rPr>
          <w:rFonts w:ascii="Aptos" w:hAnsi="Aptos" w:cs="Aptos" w:eastAsia="Aptos"/>
          <w:b/>
          <w:color w:val="auto"/>
          <w:spacing w:val="0"/>
          <w:position w:val="0"/>
          <w:sz w:val="28"/>
          <w:u w:val="single"/>
          <w:shd w:fill="auto" w:val="clear"/>
        </w:rPr>
      </w:pPr>
    </w:p>
    <w:p>
      <w:pPr>
        <w:spacing w:before="0" w:after="160" w:line="278"/>
        <w:ind w:right="0" w:left="0" w:firstLine="0"/>
        <w:jc w:val="center"/>
        <w:rPr>
          <w:rFonts w:ascii="Aptos" w:hAnsi="Aptos" w:cs="Aptos" w:eastAsia="Aptos"/>
          <w:b/>
          <w:color w:val="auto"/>
          <w:spacing w:val="0"/>
          <w:position w:val="0"/>
          <w:sz w:val="28"/>
          <w:u w:val="single"/>
          <w:shd w:fill="auto" w:val="clear"/>
        </w:rPr>
      </w:pPr>
    </w:p>
    <w:p>
      <w:pPr>
        <w:spacing w:before="0" w:after="160" w:line="278"/>
        <w:ind w:right="0" w:left="0" w:firstLine="0"/>
        <w:jc w:val="center"/>
        <w:rPr>
          <w:rFonts w:ascii="Aptos" w:hAnsi="Aptos" w:cs="Aptos" w:eastAsia="Aptos"/>
          <w:b/>
          <w:color w:val="auto"/>
          <w:spacing w:val="0"/>
          <w:position w:val="0"/>
          <w:sz w:val="28"/>
          <w:u w:val="single"/>
          <w:shd w:fill="auto" w:val="clear"/>
        </w:rPr>
      </w:pPr>
    </w:p>
    <w:p>
      <w:pPr>
        <w:spacing w:before="0" w:after="160" w:line="278"/>
        <w:ind w:right="0" w:left="0" w:firstLine="0"/>
        <w:jc w:val="center"/>
        <w:rPr>
          <w:rFonts w:ascii="Aptos" w:hAnsi="Aptos" w:cs="Aptos" w:eastAsia="Aptos"/>
          <w:b/>
          <w:color w:val="auto"/>
          <w:spacing w:val="0"/>
          <w:position w:val="0"/>
          <w:sz w:val="28"/>
          <w:u w:val="single"/>
          <w:shd w:fill="auto" w:val="clear"/>
        </w:rPr>
      </w:pPr>
    </w:p>
    <w:p>
      <w:pPr>
        <w:spacing w:before="0" w:after="160" w:line="278"/>
        <w:ind w:right="0" w:left="0" w:firstLine="0"/>
        <w:jc w:val="center"/>
        <w:rPr>
          <w:rFonts w:ascii="Aptos" w:hAnsi="Aptos" w:cs="Aptos" w:eastAsia="Aptos"/>
          <w:b/>
          <w:color w:val="auto"/>
          <w:spacing w:val="0"/>
          <w:position w:val="0"/>
          <w:sz w:val="28"/>
          <w:u w:val="single"/>
          <w:shd w:fill="auto" w:val="clear"/>
        </w:rPr>
      </w:pPr>
    </w:p>
    <w:p>
      <w:pPr>
        <w:spacing w:before="0" w:after="160" w:line="278"/>
        <w:ind w:right="0" w:left="0" w:firstLine="0"/>
        <w:jc w:val="center"/>
        <w:rPr>
          <w:rFonts w:ascii="Aptos" w:hAnsi="Aptos" w:cs="Aptos" w:eastAsia="Aptos"/>
          <w:b/>
          <w:color w:val="auto"/>
          <w:spacing w:val="0"/>
          <w:position w:val="0"/>
          <w:sz w:val="28"/>
          <w:u w:val="single"/>
          <w:shd w:fill="auto" w:val="clear"/>
        </w:rPr>
      </w:pPr>
    </w:p>
    <w:p>
      <w:pPr>
        <w:spacing w:before="0" w:after="160" w:line="278"/>
        <w:ind w:right="0" w:left="0" w:firstLine="0"/>
        <w:jc w:val="center"/>
        <w:rPr>
          <w:rFonts w:ascii="Aptos" w:hAnsi="Aptos" w:cs="Aptos" w:eastAsia="Aptos"/>
          <w:b/>
          <w:color w:val="auto"/>
          <w:spacing w:val="0"/>
          <w:position w:val="0"/>
          <w:sz w:val="28"/>
          <w:u w:val="single"/>
          <w:shd w:fill="auto" w:val="clear"/>
        </w:rPr>
      </w:pPr>
    </w:p>
    <w:p>
      <w:pPr>
        <w:spacing w:before="0" w:after="160" w:line="278"/>
        <w:ind w:right="0" w:left="0" w:firstLine="0"/>
        <w:jc w:val="center"/>
        <w:rPr>
          <w:rFonts w:ascii="Aptos" w:hAnsi="Aptos" w:cs="Aptos" w:eastAsia="Aptos"/>
          <w:b/>
          <w:color w:val="auto"/>
          <w:spacing w:val="0"/>
          <w:position w:val="0"/>
          <w:sz w:val="28"/>
          <w:u w:val="single"/>
          <w:shd w:fill="auto" w:val="clear"/>
        </w:rPr>
      </w:pPr>
    </w:p>
    <w:p>
      <w:pPr>
        <w:spacing w:before="0" w:after="16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Introduction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Person-centred care is a core tenet of health and social care, recognising the need to consider individual needs, wishes and choices when providing services (NHS England, 2017).  This approach seeks to engage service users in their care and to empower them to make decisions. The Social Model of Disability is one of the theoretical constructs that underpins this model by moving away from the impairment of the individual and onto the barriers that limit their participation in society (Oliver, 1990). This model has had a profound impact on health and social care policy through advocating for inclusion, access to the built environment and civil rights for the disabled. However, despite its impact at a policy level, its implementation within practice remains inconsistent. Institutional, structural and resource constraints can hinder its implementation. This essay will critically explore the origins of the Social Model of Disability, its impact on policy and practice, as well as the barriers that prevent its implementation in person-centred care.</w:t>
      </w:r>
    </w:p>
    <w:p>
      <w:pPr>
        <w:spacing w:before="0" w:after="16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Emergence and Key Principles of the Social Model</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Social Model of Disability has its roots in the disability rights movement of the United Kingdom in the 1970s as a response to the medical model (UPIAS, 1976). Its pioneers, such as disabled activists and the Union of the Physically Impaired Against Segregation (UPIAS), postulated that disability cannot be reduced to a medical diagnosis or impairment, but must be viewed as socially created (Barnes and Mercer, 2010). It is not the impairment of an individual that disables them, but rather the physical, social and attitudinal barriers in society. The model emerged in line with other civil rights and social justice movements, with a focus on equality, inclusion and the elimination of discrimination. A key element of the Social Model is the separation of "impairment" (the individual's physical or mental impairment) from "disability" (the disadvantage created by social barriers). This redefinition helped to shift the discussion about disability from a medical to a political and social perspective and has shaped both scholarship and policy. The model emphasises accessibility, addressing negative attitudes, and equal opportunity for full participation for people with disabilities. Such principles echo the principles of person-centred care - autonomy, empowerment and choice. But although the model offers a robust framework for inclusive care, implementation in complex health and social care settings can be problematic.</w:t>
      </w:r>
    </w:p>
    <w:p>
      <w:pPr>
        <w:spacing w:before="0" w:after="16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Critiques and Theoretical Limitations</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Social Model of Disability, while making important advances for disability rights and person-centred care, has nevertheless attracted many criticisms for theoretical reasons. A major criticism is that the model overemphasises the social aspect of disability while underemphasising the role of impairment. Many argue that pain, illness and impairment are integral parts of many people's lives and cannot be resolved solely through social change (Thomas, 2007). The fact that the model largely excludes impairment as part of disability may underestimate the complexity of the lives of people with impairment. Moreover, the Social Model has been criticised for its incompatibility with medical approaches, which are often required in health care. Social and health care practitioners need to consider both social and medical issues, and the model's lack of attention to medical concerns may pose practical challenges. Some have suggested that the model does not adequately support holistic approaches to care, particularly for those with chronic conditions. Alternatives, such as the Biopsychosocial Model, have been developed in response to such critiques, to include biological, psychological and social factors in health.  Alternatives, such as the Biopsychosocial Model, have been developed in response to such critiques to provide a more integrated understanding of health by combining biological, psychological, and social factors. This approach improves upon the Social Model by acknowledging that while social barriers are significant, individual health conditions and psychological wellbeing also play a crucial role in shaping disability experiences Shakespeare, 2014). As a result, it offers a more holistic framework for health and social care practice, particularly in complex or long-term conditions where medical intervention is necessary alongside social support.</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However, despite its strengths, the Biopsychosocial Model is also subject to criticism. It has been argued that its broad and inclusive nature can make it difficult to apply consistently in practice, as it lacks the clear political focus of the Social Model. In addition, some critics suggest that in attempting to integrate multiple perspectives, it risks diluting the emphasis on structural inequality and disability rights that the Social Model strongly foregrounds. Therefore, while the Biopsychosocial Model addresses some of the limitations of the Social Model, it does not fully resolve the tension between medical, social, and practical realities in health and social care.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This approach seeks to bridge the gap of the Social Model by recognising individual and environmental factors impacting health and wellbeing. Furthermore, some have called for a more sophisticated or "updated" Social Model that acknowledges the reality of impairment, while still emphasising social justice and inclusion.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Overall, this debate highlights a fundamental tension between social justice-based frameworks and the practical demands of healthcare delivery, suggesting that no single model can fully capture the complexity of disability experiences in practice.</w:t>
      </w:r>
    </w:p>
    <w:p>
      <w:pPr>
        <w:spacing w:before="0" w:after="16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Influence on Health and Social Care Policy</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Social Model of Disability has significantly influenced health and social care policy in terms of inclusion, accessibility and a rights-based approach to care (United Nations, 2006). The model's emphasis on the social determinants of disability rather than individual impairment has led to a shift in policy to focus on equality and inclusion for people with disability. This is reflected in laws and policies that focus on anti-discrimination, equal opportunity, and creating accessibility in the physical and attitudinal environment. In many countries, health and social care policies that draw on the Social Model seek to promote person-centred care by giving people more autonomy over their care and support. For instance, approaches like individualised care planning and direct payments embody the model’s focus on empowerment. These policies empower people to take a more active role in their care, aligning with person-centred care. Moreover, policies around accessibility in health care settings, physical access to facilities, communication aids, and the design of services reflect the impact of the model on policy. Policies are increasingly sensitive to the need for services to adapt to individual needs rather than individuals having to adapt to services. Nonetheless, despite these developments, policy implementation is not always consistent. Although the Social Model has informed policy development, there are sometimes disconnects between policy and practice. This underscores an inherent problem in health and social care systems: while inclusive and rights-focused policies exist, their success relies on the availability of resources, organisational support and professional training. Thus, the impact of the model on policy does not necessarily translate to practice. This demonstrates a recurring policy-practice gap within health and social care, where progressive legislative frameworks are often undermined by organisational constraints and uneven implementation across services.</w:t>
      </w:r>
    </w:p>
    <w:p>
      <w:pPr>
        <w:spacing w:before="0" w:after="16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Application in Practice (Person-Centred Care)</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Social Model of Disability is evident in different aspects of health and social care, particularly in the provision of person-centred care. In practice, this model focuses on giving people choice and control over their care, and views them as consumers rather than recipients. Approaches like individualised care planning, co-design and direct payments support service users in tailoring support to their needs and preferences. Within social care, the Social Model supports practitioners to identify and address barriers to independence. This includes the modification of living environments, the use of assistive technologies and improving communication methods which help to increase participation and independence (WHO, 2001). Likewise, in health care, professionals may become more inclusive by incorporating patients' views into treatment plans and considering the social determinants of health. But there are inconsistencies in putting theory into practice. Although guidelines encourage person-centred approaches, time, workload and lack of resources can limit the time available for service users. Furthermore, some practitioners may still lean towards a biomedical model, focusing on medical rather than personal goals. This may create a disconnect between the principles of the Social Model and practice. So, while the Social Model offers a useful approach to deliver person-centred care, its impact is dependent on the capacity for services and practitioners to operationalise its principles. </w:t>
      </w:r>
    </w:p>
    <w:p>
      <w:pPr>
        <w:spacing w:before="0" w:after="16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Barriers to Implementation</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Although the Social Model of Disability has had a profound impact on health and social care policy and practice, it remains difficult to put into practice in health and social care. A key factor is inequality within service systems, predicated on organisational structures and cultures that still favour a medicalised approach. Many health care services operate on medical decision-making, meaning that service users may not be given the level of support needed to be actively involved in their health care in accordance with person-centred models. Another barrier is organisational culture. While policies emphasise inclusion and equality, clinical attitudes and practices might not always align with Social Model principles. Not all staff understand disability from a Social Model perspective, instead opting for a medical model that emphasises diagnosis and treatment. This policy-practice gap leads to implementation gaps within services. The model is also constrained by resource issues (Department of Health and Social Care, 2014). Health and social care services can face financial resource constraints, which can result in inadequate staffing to meet needs, less time to engage and support people, and reduced funding for making services accessible or providing individualised supports. This can mean that even when health and social care professionals are keen to adopt person-centred approaches, they may be limited in their ability to implement Social Model principles. Furthermore, lack of integration between health and social care services may prevent holistic support. Lack of communication between service providers could lead to fragmented care planning, compromising the model's focus on removing barriers and promoting independence. In summary, these structural, institutional and material issues reveal the tension between the strong influence of the Social Model in policy ideals of inclusion and empowerment, and the realities of service provision. This theory/practice disconnect is key to understanding its limitations in modern health and social care settings. This disconnect highlights that the effectiveness of the Social Model is not only dependent on policy design, but also on deeply embedded institutional cultures and resource allocation priorities, which often operate beyond the influence of individual practitioners.</w:t>
      </w:r>
    </w:p>
    <w:p>
      <w:pPr>
        <w:spacing w:before="0" w:after="16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Recommendations for Policy and Practice</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There are several specific recommendations that can be made to better implement the Social Model of Disability in health and social care, which address the barriers outlined. Firstly, greater emphasis on staff training is needed to ensure understanding and implementation of the principles of the Social Model. Staff training should aim to change attitudes from a purely medical model to awareness of environmental and social obstacles to participation. Secondly, mechanisms to enforce policy should be improved to bridge the gap between policy and practice. Inclusive policies are in place but they cannot be implemented without mechanisms to ensure organisations are actively demonstrating compliance with accessibility and person-centred care. Audits and service reviews may help to achieve this. Thirdly, more resources are needed to implement the changes. This includes staffing ratios, increased time for staff to engage in person-centred discussions and provide material resources for accessibility or assistive devices. Lacking adequate resources, even the best policies won't be effective. Finally, better co-ordination between health and social care services are recommended to assist with whole-person care planning. Better inter-agency communication can minimise gaps and ensure more continuity of service for service users. In summary, these recommendations seek to translate policy aspirations into practice, to ensure that the Social Model's tenets of inclusion, empowerment and equality are better implemented in health and social care practice.</w:t>
      </w:r>
    </w:p>
    <w:p>
      <w:pPr>
        <w:spacing w:before="0" w:after="16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Conclusion</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 summary, the Social Model of Disability has made a valuable contribution to contemporary health and social care policy, emphasising inclusion, equality and person-centred approaches. Its focus on moving away from individualised medical perspectives to recognising social and environmental barriers has shaped rights-based approaches and raised awareness and understanding of accessibility and empowerment in health and social care. Yet, as this essay has demonstrated, although there are many theoretical and policy influences, its practical implementation is mixed. The major constraints are structural, institutional and resource constraints that limit the extent to which its principles can be realised in health and social care. Further, the ongoing debate between the medical and social model approaches also presents barriers to offering holistic care. Although the model continues to be useful to promote social justice and challenge discrimination, it cannot alone explain the complexities of disability. In conclusion, while the Social Model offers a valuable basis for person-centred care, it relies on overcoming practical challenges and incorporating more practical, realistic approaches within policy and practice.</w:t>
      </w:r>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References</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Oliver, M. (1990) </w:t>
      </w:r>
      <w:r>
        <w:rPr>
          <w:rFonts w:ascii="Arial" w:hAnsi="Arial" w:cs="Arial" w:eastAsia="Arial"/>
          <w:i/>
          <w:color w:val="auto"/>
          <w:spacing w:val="0"/>
          <w:position w:val="0"/>
          <w:sz w:val="22"/>
          <w:shd w:fill="auto" w:val="clear"/>
        </w:rPr>
        <w:t xml:space="preserve">The Politics of Disablement</w:t>
      </w:r>
      <w:r>
        <w:rPr>
          <w:rFonts w:ascii="Arial" w:hAnsi="Arial" w:cs="Arial" w:eastAsia="Arial"/>
          <w:color w:val="auto"/>
          <w:spacing w:val="0"/>
          <w:position w:val="0"/>
          <w:sz w:val="22"/>
          <w:shd w:fill="auto" w:val="clear"/>
        </w:rPr>
        <w:t xml:space="preserve">. London: Macmillan.</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UPIAS (1976) </w:t>
      </w:r>
      <w:r>
        <w:rPr>
          <w:rFonts w:ascii="Arial" w:hAnsi="Arial" w:cs="Arial" w:eastAsia="Arial"/>
          <w:i/>
          <w:color w:val="auto"/>
          <w:spacing w:val="0"/>
          <w:position w:val="0"/>
          <w:sz w:val="22"/>
          <w:shd w:fill="auto" w:val="clear"/>
        </w:rPr>
        <w:t xml:space="preserve">Fundamental Principles of Disability</w:t>
      </w:r>
      <w:r>
        <w:rPr>
          <w:rFonts w:ascii="Arial" w:hAnsi="Arial" w:cs="Arial" w:eastAsia="Arial"/>
          <w:color w:val="auto"/>
          <w:spacing w:val="0"/>
          <w:position w:val="0"/>
          <w:sz w:val="22"/>
          <w:shd w:fill="auto" w:val="clear"/>
        </w:rPr>
        <w:t xml:space="preserve">. London: Union of the Physically Impaired Against Segregation.</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Barnes, C. and Mercer, G. (2010) </w:t>
      </w:r>
      <w:r>
        <w:rPr>
          <w:rFonts w:ascii="Arial" w:hAnsi="Arial" w:cs="Arial" w:eastAsia="Arial"/>
          <w:i/>
          <w:color w:val="auto"/>
          <w:spacing w:val="0"/>
          <w:position w:val="0"/>
          <w:sz w:val="22"/>
          <w:shd w:fill="auto" w:val="clear"/>
        </w:rPr>
        <w:t xml:space="preserve">Exploring Disability</w:t>
      </w:r>
      <w:r>
        <w:rPr>
          <w:rFonts w:ascii="Arial" w:hAnsi="Arial" w:cs="Arial" w:eastAsia="Arial"/>
          <w:color w:val="auto"/>
          <w:spacing w:val="0"/>
          <w:position w:val="0"/>
          <w:sz w:val="22"/>
          <w:shd w:fill="auto" w:val="clear"/>
        </w:rPr>
        <w:t xml:space="preserve">. 2nd edn. Cambridge: Polity Press.</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Shakespeare, T. (2014) </w:t>
      </w:r>
      <w:r>
        <w:rPr>
          <w:rFonts w:ascii="Arial" w:hAnsi="Arial" w:cs="Arial" w:eastAsia="Arial"/>
          <w:i/>
          <w:color w:val="auto"/>
          <w:spacing w:val="0"/>
          <w:position w:val="0"/>
          <w:sz w:val="22"/>
          <w:shd w:fill="auto" w:val="clear"/>
        </w:rPr>
        <w:t xml:space="preserve">Disability Rights and Wrongs Revisited</w:t>
      </w:r>
      <w:r>
        <w:rPr>
          <w:rFonts w:ascii="Arial" w:hAnsi="Arial" w:cs="Arial" w:eastAsia="Arial"/>
          <w:color w:val="auto"/>
          <w:spacing w:val="0"/>
          <w:position w:val="0"/>
          <w:sz w:val="22"/>
          <w:shd w:fill="auto" w:val="clear"/>
        </w:rPr>
        <w:t xml:space="preserve">. 2nd edn. London: Routledge.</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Engel, G.L. (1977) ‘The need for a new medical model: a challenge for biomedicine’, </w:t>
      </w:r>
      <w:r>
        <w:rPr>
          <w:rFonts w:ascii="Arial" w:hAnsi="Arial" w:cs="Arial" w:eastAsia="Arial"/>
          <w:i/>
          <w:color w:val="auto"/>
          <w:spacing w:val="0"/>
          <w:position w:val="0"/>
          <w:sz w:val="22"/>
          <w:shd w:fill="auto" w:val="clear"/>
        </w:rPr>
        <w:t xml:space="preserve">Science</w:t>
      </w:r>
      <w:r>
        <w:rPr>
          <w:rFonts w:ascii="Arial" w:hAnsi="Arial" w:cs="Arial" w:eastAsia="Arial"/>
          <w:color w:val="auto"/>
          <w:spacing w:val="0"/>
          <w:position w:val="0"/>
          <w:sz w:val="22"/>
          <w:shd w:fill="auto" w:val="clear"/>
        </w:rPr>
        <w:t xml:space="preserve">, 196(4286), pp. 129</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136.</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World Health Organization (2001) </w:t>
      </w:r>
      <w:r>
        <w:rPr>
          <w:rFonts w:ascii="Arial" w:hAnsi="Arial" w:cs="Arial" w:eastAsia="Arial"/>
          <w:i/>
          <w:color w:val="auto"/>
          <w:spacing w:val="0"/>
          <w:position w:val="0"/>
          <w:sz w:val="22"/>
          <w:shd w:fill="auto" w:val="clear"/>
        </w:rPr>
        <w:t xml:space="preserve">International Classification of Functioning, Disability and Health (ICF)</w:t>
      </w:r>
      <w:r>
        <w:rPr>
          <w:rFonts w:ascii="Arial" w:hAnsi="Arial" w:cs="Arial" w:eastAsia="Arial"/>
          <w:color w:val="auto"/>
          <w:spacing w:val="0"/>
          <w:position w:val="0"/>
          <w:sz w:val="22"/>
          <w:shd w:fill="auto" w:val="clear"/>
        </w:rPr>
        <w:t xml:space="preserve">. Geneva: WHO.</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NHS England (2017) </w:t>
      </w:r>
      <w:r>
        <w:rPr>
          <w:rFonts w:ascii="Arial" w:hAnsi="Arial" w:cs="Arial" w:eastAsia="Arial"/>
          <w:i/>
          <w:color w:val="auto"/>
          <w:spacing w:val="0"/>
          <w:position w:val="0"/>
          <w:sz w:val="22"/>
          <w:shd w:fill="auto" w:val="clear"/>
        </w:rPr>
        <w:t xml:space="preserve">Person-Centred Care Guidance</w:t>
      </w:r>
      <w:r>
        <w:rPr>
          <w:rFonts w:ascii="Arial" w:hAnsi="Arial" w:cs="Arial" w:eastAsia="Arial"/>
          <w:color w:val="auto"/>
          <w:spacing w:val="0"/>
          <w:position w:val="0"/>
          <w:sz w:val="22"/>
          <w:shd w:fill="auto" w:val="clear"/>
        </w:rPr>
        <w:t xml:space="preserve">. London: NHS England. Available at: </w:t>
      </w:r>
      <w:hyperlink xmlns:r="http://schemas.openxmlformats.org/officeDocument/2006/relationships" r:id="docRId2">
        <w:r>
          <w:rPr>
            <w:rFonts w:ascii="Arial" w:hAnsi="Arial" w:cs="Arial" w:eastAsia="Arial"/>
            <w:color w:val="0000FF"/>
            <w:spacing w:val="0"/>
            <w:position w:val="0"/>
            <w:sz w:val="22"/>
            <w:u w:val="single"/>
            <w:shd w:fill="auto" w:val="clear"/>
          </w:rPr>
          <w:t xml:space="preserve">https://www.hee.nhs.uk/our-work/person-centred-care</w:t>
        </w:r>
      </w:hyperlink>
      <w:r>
        <w:rPr>
          <w:rFonts w:ascii="Arial" w:hAnsi="Arial" w:cs="Arial" w:eastAsia="Arial"/>
          <w:color w:val="auto"/>
          <w:spacing w:val="0"/>
          <w:position w:val="0"/>
          <w:sz w:val="22"/>
          <w:shd w:fill="auto" w:val="clear"/>
        </w:rPr>
        <w:t xml:space="preserve">  (Accessed: 27 April 2026).</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United Nations (2006) </w:t>
      </w:r>
      <w:r>
        <w:rPr>
          <w:rFonts w:ascii="Arial" w:hAnsi="Arial" w:cs="Arial" w:eastAsia="Arial"/>
          <w:i/>
          <w:color w:val="auto"/>
          <w:spacing w:val="0"/>
          <w:position w:val="0"/>
          <w:sz w:val="22"/>
          <w:shd w:fill="auto" w:val="clear"/>
        </w:rPr>
        <w:t xml:space="preserve">Convention on the Rights of Persons with Disabilities (CRPD)</w:t>
      </w:r>
      <w:r>
        <w:rPr>
          <w:rFonts w:ascii="Arial" w:hAnsi="Arial" w:cs="Arial" w:eastAsia="Arial"/>
          <w:color w:val="auto"/>
          <w:spacing w:val="0"/>
          <w:position w:val="0"/>
          <w:sz w:val="22"/>
          <w:shd w:fill="auto" w:val="clear"/>
        </w:rPr>
        <w:t xml:space="preserve">. New York: United Nations. Available at: </w:t>
      </w:r>
      <w:hyperlink xmlns:r="http://schemas.openxmlformats.org/officeDocument/2006/relationships" r:id="docRId3">
        <w:r>
          <w:rPr>
            <w:rFonts w:ascii="Arial" w:hAnsi="Arial" w:cs="Arial" w:eastAsia="Arial"/>
            <w:color w:val="0000FF"/>
            <w:spacing w:val="0"/>
            <w:position w:val="0"/>
            <w:sz w:val="22"/>
            <w:u w:val="single"/>
            <w:shd w:fill="auto" w:val="clear"/>
          </w:rPr>
          <w:t xml:space="preserve">https://www.un.org/disabilities/documents/convention/convoptprot-e.pdf</w:t>
        </w:r>
      </w:hyperlink>
      <w:r>
        <w:rPr>
          <w:rFonts w:ascii="Arial" w:hAnsi="Arial" w:cs="Arial" w:eastAsia="Arial"/>
          <w:color w:val="auto"/>
          <w:spacing w:val="0"/>
          <w:position w:val="0"/>
          <w:sz w:val="22"/>
          <w:shd w:fill="auto" w:val="clear"/>
        </w:rPr>
        <w:t xml:space="preserve">  (Accessed: 27 April 2026).</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Department of Health and Social Care (2014) </w:t>
      </w:r>
      <w:r>
        <w:rPr>
          <w:rFonts w:ascii="Arial" w:hAnsi="Arial" w:cs="Arial" w:eastAsia="Arial"/>
          <w:i/>
          <w:color w:val="auto"/>
          <w:spacing w:val="0"/>
          <w:position w:val="0"/>
          <w:sz w:val="22"/>
          <w:shd w:fill="auto" w:val="clear"/>
        </w:rPr>
        <w:t xml:space="preserve">Care and Support Statutory Guidance</w:t>
      </w:r>
      <w:r>
        <w:rPr>
          <w:rFonts w:ascii="Arial" w:hAnsi="Arial" w:cs="Arial" w:eastAsia="Arial"/>
          <w:color w:val="auto"/>
          <w:spacing w:val="0"/>
          <w:position w:val="0"/>
          <w:sz w:val="22"/>
          <w:shd w:fill="auto" w:val="clear"/>
        </w:rPr>
        <w:t xml:space="preserve">. London: DHSC. Available at: </w:t>
      </w:r>
      <w:hyperlink xmlns:r="http://schemas.openxmlformats.org/officeDocument/2006/relationships" r:id="docRId4">
        <w:r>
          <w:rPr>
            <w:rFonts w:ascii="Arial" w:hAnsi="Arial" w:cs="Arial" w:eastAsia="Arial"/>
            <w:color w:val="467886"/>
            <w:spacing w:val="0"/>
            <w:position w:val="0"/>
            <w:sz w:val="22"/>
            <w:u w:val="single"/>
            <w:shd w:fill="auto" w:val="clear"/>
          </w:rPr>
          <w:t xml:space="preserve">https://www.gov.uk</w:t>
        </w:r>
      </w:hyperlink>
      <w:r>
        <w:rPr>
          <w:rFonts w:ascii="Arial" w:hAnsi="Arial" w:cs="Arial" w:eastAsia="Arial"/>
          <w:color w:val="auto"/>
          <w:spacing w:val="0"/>
          <w:position w:val="0"/>
          <w:sz w:val="22"/>
          <w:shd w:fill="auto" w:val="clear"/>
        </w:rPr>
        <w:t xml:space="preserve"> (Accessed: 27 April 2026).</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Thomas, C. (2007) </w:t>
      </w:r>
      <w:r>
        <w:rPr>
          <w:rFonts w:ascii="Arial" w:hAnsi="Arial" w:cs="Arial" w:eastAsia="Arial"/>
          <w:i/>
          <w:color w:val="auto"/>
          <w:spacing w:val="0"/>
          <w:position w:val="0"/>
          <w:sz w:val="22"/>
          <w:shd w:fill="auto" w:val="clear"/>
        </w:rPr>
        <w:t xml:space="preserve">Sociologies of Disability and Illness</w:t>
      </w:r>
      <w:r>
        <w:rPr>
          <w:rFonts w:ascii="Arial" w:hAnsi="Arial" w:cs="Arial" w:eastAsia="Arial"/>
          <w:color w:val="auto"/>
          <w:spacing w:val="0"/>
          <w:position w:val="0"/>
          <w:sz w:val="22"/>
          <w:shd w:fill="auto" w:val="clear"/>
        </w:rPr>
        <w:t xml:space="preserve">. London: Palgrave Macmillan.</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ode="External" Target="https://www.un.org/disabilities/documents/convention/convoptprot-e.pdf" Id="docRId3" Type="http://schemas.openxmlformats.org/officeDocument/2006/relationships/hyperlink" /><Relationship Target="numbering.xml" Id="docRId5" Type="http://schemas.openxmlformats.org/officeDocument/2006/relationships/numbering" /><Relationship Target="embeddings/oleObject0.bin" Id="docRId0" Type="http://schemas.openxmlformats.org/officeDocument/2006/relationships/oleObject" /><Relationship TargetMode="External" Target="https://www.hee.nhs.uk/our-work/person-centred-care" Id="docRId2" Type="http://schemas.openxmlformats.org/officeDocument/2006/relationships/hyperlink" /><Relationship TargetMode="External" Target="https://www.gov.uk/" Id="docRId4" Type="http://schemas.openxmlformats.org/officeDocument/2006/relationships/hyperlink" /><Relationship Target="styles.xml" Id="docRId6" Type="http://schemas.openxmlformats.org/officeDocument/2006/relationships/styles" /></Relationships>
</file>