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ADC6E" w14:textId="2F8A5030" w:rsidR="001808E0" w:rsidRDefault="001808E0" w:rsidP="001808E0">
      <w:pPr>
        <w:rPr>
          <w:rFonts w:ascii="Times New Roman" w:hAnsi="Times New Roman" w:cs="Times New Roman"/>
          <w:b/>
          <w:bCs/>
          <w:sz w:val="44"/>
          <w:szCs w:val="44"/>
        </w:rPr>
      </w:pPr>
      <w:r>
        <w:rPr>
          <w:noProof/>
        </w:rPr>
        <w:drawing>
          <wp:inline distT="0" distB="0" distL="0" distR="0" wp14:anchorId="683302B3" wp14:editId="07FB6EE3">
            <wp:extent cx="4791710" cy="2476500"/>
            <wp:effectExtent l="0" t="0" r="8890" b="0"/>
            <wp:docPr id="184385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5832" name="Picture 1"/>
                    <pic:cNvPicPr>
                      <a:picLocks noChangeAspect="1"/>
                    </pic:cNvPicPr>
                  </pic:nvPicPr>
                  <pic:blipFill>
                    <a:blip r:embed="rId8"/>
                    <a:stretch>
                      <a:fillRect/>
                    </a:stretch>
                  </pic:blipFill>
                  <pic:spPr>
                    <a:xfrm>
                      <a:off x="0" y="0"/>
                      <a:ext cx="4791710" cy="2476500"/>
                    </a:xfrm>
                    <a:prstGeom prst="rect">
                      <a:avLst/>
                    </a:prstGeom>
                  </pic:spPr>
                </pic:pic>
              </a:graphicData>
            </a:graphic>
          </wp:inline>
        </w:drawing>
      </w:r>
    </w:p>
    <w:p w14:paraId="3A66E1A8" w14:textId="6428737C" w:rsidR="001808E0" w:rsidRDefault="00583110" w:rsidP="001808E0">
      <w:pPr>
        <w:rPr>
          <w:rFonts w:ascii="Times New Roman" w:hAnsi="Times New Roman" w:cs="Times New Roman"/>
          <w:b/>
          <w:bCs/>
          <w:sz w:val="44"/>
          <w:szCs w:val="44"/>
        </w:rPr>
      </w:pPr>
      <w:proofErr w:type="spellStart"/>
      <w:proofErr w:type="gramStart"/>
      <w:r>
        <w:rPr>
          <w:rFonts w:ascii="Times New Roman" w:hAnsi="Times New Roman" w:cs="Times New Roman"/>
          <w:b/>
          <w:bCs/>
          <w:sz w:val="44"/>
          <w:szCs w:val="44"/>
        </w:rPr>
        <w:t>Name:Bushra</w:t>
      </w:r>
      <w:proofErr w:type="spellEnd"/>
      <w:proofErr w:type="gramEnd"/>
      <w:r>
        <w:rPr>
          <w:rFonts w:ascii="Times New Roman" w:hAnsi="Times New Roman" w:cs="Times New Roman"/>
          <w:b/>
          <w:bCs/>
          <w:sz w:val="44"/>
          <w:szCs w:val="44"/>
        </w:rPr>
        <w:t xml:space="preserve"> Naila</w:t>
      </w:r>
    </w:p>
    <w:p w14:paraId="705197B5" w14:textId="492190D2" w:rsidR="00583110" w:rsidRDefault="00583110" w:rsidP="001808E0">
      <w:pPr>
        <w:rPr>
          <w:rFonts w:ascii="Times New Roman" w:hAnsi="Times New Roman" w:cs="Times New Roman"/>
          <w:b/>
          <w:bCs/>
          <w:sz w:val="44"/>
          <w:szCs w:val="44"/>
        </w:rPr>
      </w:pPr>
      <w:r>
        <w:rPr>
          <w:rFonts w:ascii="Times New Roman" w:hAnsi="Times New Roman" w:cs="Times New Roman"/>
          <w:b/>
          <w:bCs/>
          <w:sz w:val="44"/>
          <w:szCs w:val="44"/>
        </w:rPr>
        <w:t>Student ID:2337327</w:t>
      </w:r>
    </w:p>
    <w:p w14:paraId="02374E71" w14:textId="04473272" w:rsidR="001808E0" w:rsidRPr="00DC62E8" w:rsidRDefault="001808E0" w:rsidP="001808E0">
      <w:pPr>
        <w:rPr>
          <w:rFonts w:ascii="Times New Roman" w:hAnsi="Times New Roman" w:cs="Times New Roman"/>
          <w:b/>
          <w:bCs/>
          <w:sz w:val="44"/>
          <w:szCs w:val="44"/>
        </w:rPr>
      </w:pPr>
      <w:proofErr w:type="spellStart"/>
      <w:r w:rsidRPr="00DC62E8">
        <w:rPr>
          <w:rFonts w:ascii="Times New Roman" w:hAnsi="Times New Roman" w:cs="Times New Roman"/>
          <w:b/>
          <w:bCs/>
          <w:sz w:val="44"/>
          <w:szCs w:val="44"/>
        </w:rPr>
        <w:t>Programme</w:t>
      </w:r>
      <w:proofErr w:type="spellEnd"/>
      <w:r w:rsidRPr="00DC62E8">
        <w:rPr>
          <w:rFonts w:ascii="Times New Roman" w:hAnsi="Times New Roman" w:cs="Times New Roman"/>
          <w:b/>
          <w:bCs/>
          <w:sz w:val="44"/>
          <w:szCs w:val="44"/>
        </w:rPr>
        <w:t>: BA Honours Business Management</w:t>
      </w:r>
    </w:p>
    <w:p w14:paraId="1EC904E4" w14:textId="77777777" w:rsidR="001808E0" w:rsidRPr="00DC62E8" w:rsidRDefault="001808E0" w:rsidP="001808E0">
      <w:pPr>
        <w:rPr>
          <w:rFonts w:ascii="Times New Roman" w:hAnsi="Times New Roman" w:cs="Times New Roman"/>
          <w:b/>
          <w:bCs/>
          <w:sz w:val="44"/>
          <w:szCs w:val="44"/>
        </w:rPr>
      </w:pPr>
      <w:r w:rsidRPr="00DC62E8">
        <w:rPr>
          <w:rFonts w:ascii="Times New Roman" w:hAnsi="Times New Roman" w:cs="Times New Roman"/>
          <w:b/>
          <w:bCs/>
          <w:sz w:val="44"/>
          <w:szCs w:val="44"/>
        </w:rPr>
        <w:t xml:space="preserve">Module: </w:t>
      </w:r>
      <w:r>
        <w:rPr>
          <w:rFonts w:ascii="Times New Roman" w:hAnsi="Times New Roman" w:cs="Times New Roman"/>
          <w:b/>
          <w:bCs/>
          <w:sz w:val="44"/>
          <w:szCs w:val="44"/>
        </w:rPr>
        <w:t>International business communication</w:t>
      </w:r>
    </w:p>
    <w:p w14:paraId="20CD6F61" w14:textId="77777777" w:rsidR="001808E0" w:rsidRPr="00DC62E8" w:rsidRDefault="001808E0" w:rsidP="001808E0">
      <w:pPr>
        <w:rPr>
          <w:rFonts w:ascii="Times New Roman" w:hAnsi="Times New Roman" w:cs="Times New Roman"/>
          <w:b/>
          <w:bCs/>
          <w:sz w:val="44"/>
          <w:szCs w:val="44"/>
        </w:rPr>
      </w:pPr>
      <w:r w:rsidRPr="00DC62E8">
        <w:rPr>
          <w:rFonts w:ascii="Times New Roman" w:hAnsi="Times New Roman" w:cs="Times New Roman"/>
          <w:b/>
          <w:bCs/>
          <w:sz w:val="44"/>
          <w:szCs w:val="44"/>
        </w:rPr>
        <w:t>Module code: LCBB60</w:t>
      </w:r>
      <w:r>
        <w:rPr>
          <w:rFonts w:ascii="Times New Roman" w:hAnsi="Times New Roman" w:cs="Times New Roman"/>
          <w:b/>
          <w:bCs/>
          <w:sz w:val="44"/>
          <w:szCs w:val="44"/>
        </w:rPr>
        <w:t>23</w:t>
      </w:r>
    </w:p>
    <w:p w14:paraId="0436B0D6" w14:textId="77777777" w:rsidR="001808E0" w:rsidRPr="00DC62E8" w:rsidRDefault="001808E0" w:rsidP="001808E0">
      <w:pPr>
        <w:rPr>
          <w:rFonts w:ascii="Times New Roman" w:hAnsi="Times New Roman" w:cs="Times New Roman"/>
          <w:b/>
          <w:bCs/>
          <w:sz w:val="44"/>
          <w:szCs w:val="44"/>
        </w:rPr>
      </w:pPr>
      <w:r>
        <w:rPr>
          <w:rFonts w:ascii="Times New Roman" w:hAnsi="Times New Roman" w:cs="Times New Roman"/>
          <w:b/>
          <w:bCs/>
          <w:sz w:val="44"/>
          <w:szCs w:val="44"/>
        </w:rPr>
        <w:t xml:space="preserve">Assignment title: </w:t>
      </w:r>
      <w:r w:rsidRPr="00DC62E8">
        <w:rPr>
          <w:rFonts w:ascii="Times New Roman" w:hAnsi="Times New Roman" w:cs="Times New Roman"/>
          <w:b/>
          <w:bCs/>
          <w:sz w:val="44"/>
          <w:szCs w:val="44"/>
        </w:rPr>
        <w:t>Component 2 coursework essay</w:t>
      </w:r>
    </w:p>
    <w:p w14:paraId="1B5C2880" w14:textId="77777777" w:rsidR="001808E0" w:rsidRDefault="001808E0" w:rsidP="001808E0">
      <w:pPr>
        <w:rPr>
          <w:rFonts w:ascii="Arial" w:hAnsi="Arial" w:cs="Arial"/>
          <w:b/>
          <w:bCs/>
          <w:sz w:val="22"/>
          <w:szCs w:val="22"/>
        </w:rPr>
      </w:pPr>
    </w:p>
    <w:p w14:paraId="0EEDC38A" w14:textId="77777777" w:rsidR="001808E0" w:rsidRDefault="001808E0" w:rsidP="001808E0">
      <w:pPr>
        <w:rPr>
          <w:rFonts w:ascii="Arial" w:hAnsi="Arial" w:cs="Arial"/>
          <w:b/>
          <w:bCs/>
          <w:sz w:val="22"/>
          <w:szCs w:val="22"/>
        </w:rPr>
      </w:pPr>
    </w:p>
    <w:p w14:paraId="27AEBD19" w14:textId="77777777" w:rsidR="001808E0" w:rsidRDefault="001808E0" w:rsidP="001808E0">
      <w:pPr>
        <w:rPr>
          <w:rFonts w:ascii="Arial" w:hAnsi="Arial" w:cs="Arial"/>
          <w:b/>
          <w:bCs/>
          <w:sz w:val="22"/>
          <w:szCs w:val="22"/>
        </w:rPr>
      </w:pPr>
    </w:p>
    <w:p w14:paraId="1101C940" w14:textId="77777777" w:rsidR="001808E0" w:rsidRDefault="001808E0" w:rsidP="001808E0">
      <w:pPr>
        <w:rPr>
          <w:rFonts w:ascii="Arial" w:hAnsi="Arial" w:cs="Arial"/>
          <w:b/>
          <w:bCs/>
          <w:sz w:val="22"/>
          <w:szCs w:val="22"/>
        </w:rPr>
      </w:pPr>
    </w:p>
    <w:p w14:paraId="63B8E7DD" w14:textId="77777777" w:rsidR="001808E0" w:rsidRDefault="001808E0" w:rsidP="001808E0">
      <w:pPr>
        <w:rPr>
          <w:rFonts w:ascii="Arial" w:hAnsi="Arial" w:cs="Arial"/>
          <w:b/>
          <w:bCs/>
          <w:sz w:val="22"/>
          <w:szCs w:val="22"/>
        </w:rPr>
      </w:pPr>
    </w:p>
    <w:p w14:paraId="7547548D" w14:textId="77777777" w:rsidR="001808E0" w:rsidRDefault="001808E0" w:rsidP="001808E0">
      <w:pPr>
        <w:rPr>
          <w:rFonts w:ascii="Arial" w:hAnsi="Arial" w:cs="Arial"/>
          <w:b/>
          <w:bCs/>
          <w:sz w:val="22"/>
          <w:szCs w:val="22"/>
        </w:rPr>
      </w:pPr>
    </w:p>
    <w:p w14:paraId="72990AE4" w14:textId="77777777" w:rsidR="001808E0" w:rsidRDefault="001808E0" w:rsidP="001808E0">
      <w:pPr>
        <w:rPr>
          <w:rFonts w:ascii="Arial" w:hAnsi="Arial" w:cs="Arial"/>
          <w:b/>
          <w:bCs/>
          <w:sz w:val="22"/>
          <w:szCs w:val="22"/>
        </w:rPr>
      </w:pPr>
    </w:p>
    <w:p w14:paraId="681A9DDB" w14:textId="77777777" w:rsidR="001808E0" w:rsidRDefault="001808E0" w:rsidP="001808E0">
      <w:pPr>
        <w:rPr>
          <w:rFonts w:ascii="Arial" w:hAnsi="Arial" w:cs="Arial"/>
          <w:b/>
          <w:bCs/>
          <w:sz w:val="22"/>
          <w:szCs w:val="22"/>
        </w:rPr>
      </w:pPr>
    </w:p>
    <w:p w14:paraId="4A89E035" w14:textId="77777777" w:rsidR="001808E0" w:rsidRDefault="001808E0" w:rsidP="001808E0">
      <w:pPr>
        <w:rPr>
          <w:rFonts w:ascii="Arial" w:hAnsi="Arial" w:cs="Arial"/>
          <w:b/>
          <w:bCs/>
          <w:sz w:val="22"/>
          <w:szCs w:val="22"/>
        </w:rPr>
      </w:pPr>
    </w:p>
    <w:p w14:paraId="764A6171" w14:textId="77777777" w:rsidR="001808E0" w:rsidRDefault="001808E0" w:rsidP="001808E0">
      <w:pPr>
        <w:rPr>
          <w:rFonts w:ascii="Arial" w:hAnsi="Arial" w:cs="Arial"/>
          <w:b/>
          <w:bCs/>
          <w:sz w:val="22"/>
          <w:szCs w:val="22"/>
        </w:rPr>
      </w:pPr>
    </w:p>
    <w:p w14:paraId="0F458D6F" w14:textId="77777777" w:rsidR="001808E0" w:rsidRDefault="001808E0" w:rsidP="001808E0">
      <w:pPr>
        <w:rPr>
          <w:rFonts w:ascii="Arial" w:hAnsi="Arial" w:cs="Arial"/>
          <w:b/>
          <w:bCs/>
          <w:sz w:val="22"/>
          <w:szCs w:val="22"/>
        </w:rPr>
      </w:pPr>
    </w:p>
    <w:p w14:paraId="58824784" w14:textId="77777777" w:rsidR="001808E0" w:rsidRDefault="001808E0" w:rsidP="001808E0">
      <w:pPr>
        <w:rPr>
          <w:rFonts w:ascii="Arial" w:hAnsi="Arial" w:cs="Arial"/>
          <w:b/>
          <w:bCs/>
          <w:sz w:val="22"/>
          <w:szCs w:val="22"/>
        </w:rPr>
      </w:pPr>
    </w:p>
    <w:p w14:paraId="744731EA" w14:textId="77777777" w:rsidR="001808E0" w:rsidRDefault="001808E0" w:rsidP="001808E0">
      <w:pPr>
        <w:rPr>
          <w:rFonts w:ascii="Arial" w:hAnsi="Arial" w:cs="Arial"/>
          <w:b/>
          <w:bCs/>
          <w:sz w:val="22"/>
          <w:szCs w:val="22"/>
        </w:rPr>
      </w:pPr>
    </w:p>
    <w:p w14:paraId="06BF1F67" w14:textId="77777777" w:rsidR="001808E0" w:rsidRDefault="001808E0" w:rsidP="001808E0">
      <w:pPr>
        <w:rPr>
          <w:rFonts w:ascii="Arial" w:hAnsi="Arial" w:cs="Arial"/>
          <w:b/>
          <w:bCs/>
          <w:sz w:val="22"/>
          <w:szCs w:val="22"/>
        </w:rPr>
      </w:pPr>
    </w:p>
    <w:p w14:paraId="2B375367" w14:textId="77777777" w:rsidR="001808E0" w:rsidRDefault="001808E0" w:rsidP="001808E0">
      <w:pPr>
        <w:rPr>
          <w:rFonts w:ascii="Arial" w:hAnsi="Arial" w:cs="Arial"/>
          <w:b/>
          <w:bCs/>
          <w:sz w:val="22"/>
          <w:szCs w:val="22"/>
        </w:rPr>
      </w:pPr>
    </w:p>
    <w:p w14:paraId="5B12A3D6" w14:textId="77777777" w:rsidR="001808E0" w:rsidRDefault="001808E0" w:rsidP="001808E0">
      <w:pPr>
        <w:rPr>
          <w:rFonts w:ascii="Arial" w:hAnsi="Arial" w:cs="Arial"/>
          <w:b/>
          <w:bCs/>
          <w:sz w:val="22"/>
          <w:szCs w:val="22"/>
        </w:rPr>
      </w:pPr>
    </w:p>
    <w:p w14:paraId="09185FBB" w14:textId="77777777" w:rsidR="001808E0" w:rsidRDefault="001808E0" w:rsidP="001808E0">
      <w:pPr>
        <w:rPr>
          <w:rFonts w:ascii="Arial" w:hAnsi="Arial" w:cs="Arial"/>
          <w:b/>
          <w:bCs/>
          <w:sz w:val="22"/>
          <w:szCs w:val="22"/>
        </w:rPr>
      </w:pPr>
    </w:p>
    <w:p w14:paraId="09A8C28B" w14:textId="77777777" w:rsidR="001808E0" w:rsidRDefault="001808E0" w:rsidP="001808E0">
      <w:pPr>
        <w:rPr>
          <w:rFonts w:ascii="Arial" w:hAnsi="Arial" w:cs="Arial"/>
          <w:b/>
          <w:bCs/>
          <w:sz w:val="22"/>
          <w:szCs w:val="22"/>
        </w:rPr>
      </w:pPr>
    </w:p>
    <w:p w14:paraId="5924D626" w14:textId="77777777" w:rsidR="001808E0" w:rsidRDefault="001808E0" w:rsidP="001808E0">
      <w:pPr>
        <w:rPr>
          <w:rFonts w:ascii="Arial" w:hAnsi="Arial" w:cs="Arial"/>
          <w:b/>
          <w:bCs/>
          <w:sz w:val="22"/>
          <w:szCs w:val="22"/>
        </w:rPr>
      </w:pPr>
    </w:p>
    <w:p w14:paraId="0C0F0960" w14:textId="77777777" w:rsidR="001808E0" w:rsidRDefault="001808E0" w:rsidP="001808E0">
      <w:pPr>
        <w:rPr>
          <w:rFonts w:ascii="Arial" w:hAnsi="Arial" w:cs="Arial"/>
          <w:b/>
          <w:bCs/>
          <w:sz w:val="22"/>
          <w:szCs w:val="22"/>
        </w:rPr>
      </w:pPr>
    </w:p>
    <w:p w14:paraId="4185DEEB" w14:textId="77777777" w:rsidR="001808E0" w:rsidRDefault="001808E0" w:rsidP="001808E0">
      <w:pPr>
        <w:rPr>
          <w:rFonts w:ascii="Arial" w:hAnsi="Arial" w:cs="Arial"/>
          <w:b/>
          <w:bCs/>
          <w:sz w:val="22"/>
          <w:szCs w:val="22"/>
        </w:rPr>
      </w:pPr>
    </w:p>
    <w:p w14:paraId="08AA91EE" w14:textId="77777777" w:rsidR="001808E0" w:rsidRDefault="001808E0" w:rsidP="001808E0">
      <w:pPr>
        <w:rPr>
          <w:rFonts w:ascii="Arial" w:hAnsi="Arial" w:cs="Arial"/>
          <w:b/>
          <w:bCs/>
          <w:sz w:val="22"/>
          <w:szCs w:val="22"/>
        </w:rPr>
      </w:pPr>
    </w:p>
    <w:p w14:paraId="12027C73" w14:textId="77777777" w:rsidR="001808E0" w:rsidRDefault="001808E0" w:rsidP="001808E0">
      <w:pPr>
        <w:rPr>
          <w:rFonts w:ascii="Arial" w:hAnsi="Arial" w:cs="Arial"/>
          <w:b/>
          <w:bCs/>
          <w:sz w:val="22"/>
          <w:szCs w:val="22"/>
        </w:rPr>
      </w:pPr>
    </w:p>
    <w:p w14:paraId="2463C9EB" w14:textId="77777777" w:rsidR="001808E0" w:rsidRPr="001808E0" w:rsidRDefault="001808E0" w:rsidP="001808E0">
      <w:pPr>
        <w:rPr>
          <w:rFonts w:ascii="Arial" w:hAnsi="Arial" w:cs="Arial"/>
          <w:b/>
          <w:bCs/>
          <w:sz w:val="22"/>
          <w:szCs w:val="22"/>
        </w:rPr>
      </w:pPr>
    </w:p>
    <w:p w14:paraId="16CF4510" w14:textId="4CF97C9D" w:rsidR="00886166" w:rsidRDefault="00886166">
      <w:pPr>
        <w:rPr>
          <w:rFonts w:ascii="Arial" w:hAnsi="Arial" w:cs="Arial"/>
          <w:b/>
          <w:bCs/>
          <w:sz w:val="22"/>
          <w:szCs w:val="22"/>
        </w:rPr>
      </w:pPr>
    </w:p>
    <w:sdt>
      <w:sdtPr>
        <w:rPr>
          <w:rFonts w:ascii="Arial" w:eastAsiaTheme="minorHAnsi" w:hAnsi="Arial" w:cs="Arial"/>
          <w:color w:val="000000" w:themeColor="text1"/>
          <w:kern w:val="2"/>
          <w:sz w:val="22"/>
          <w:szCs w:val="22"/>
          <w14:ligatures w14:val="standardContextual"/>
        </w:rPr>
        <w:id w:val="-1969811673"/>
        <w:docPartObj>
          <w:docPartGallery w:val="Table of Contents"/>
          <w:docPartUnique/>
        </w:docPartObj>
      </w:sdtPr>
      <w:sdtEndPr>
        <w:rPr>
          <w:noProof/>
        </w:rPr>
      </w:sdtEndPr>
      <w:sdtContent>
        <w:p w14:paraId="75DCB0E2" w14:textId="41D9D034" w:rsidR="00886166" w:rsidRDefault="00886166" w:rsidP="00886166">
          <w:pPr>
            <w:pStyle w:val="TOCHeading"/>
            <w:spacing w:line="360" w:lineRule="auto"/>
            <w:jc w:val="center"/>
            <w:rPr>
              <w:rFonts w:ascii="Arial" w:hAnsi="Arial" w:cs="Arial"/>
              <w:b/>
              <w:bCs/>
              <w:color w:val="000000" w:themeColor="text1"/>
              <w:sz w:val="28"/>
              <w:szCs w:val="28"/>
            </w:rPr>
          </w:pPr>
          <w:r w:rsidRPr="00886166">
            <w:rPr>
              <w:rFonts w:ascii="Arial" w:hAnsi="Arial" w:cs="Arial"/>
              <w:b/>
              <w:bCs/>
              <w:color w:val="000000" w:themeColor="text1"/>
              <w:sz w:val="28"/>
              <w:szCs w:val="28"/>
            </w:rPr>
            <w:t>TABLE OF CONTENTS</w:t>
          </w:r>
        </w:p>
        <w:p w14:paraId="467AE11D" w14:textId="77777777" w:rsidR="00886166" w:rsidRPr="00886166" w:rsidRDefault="00886166" w:rsidP="00886166"/>
        <w:p w14:paraId="1731FE38" w14:textId="32A6E5DF" w:rsidR="00886166" w:rsidRPr="00886166" w:rsidRDefault="00886166">
          <w:pPr>
            <w:pStyle w:val="TOC1"/>
            <w:tabs>
              <w:tab w:val="right" w:leader="dot" w:pos="9350"/>
            </w:tabs>
            <w:rPr>
              <w:rFonts w:ascii="Arial" w:hAnsi="Arial" w:cs="Arial"/>
              <w:noProof/>
              <w:color w:val="000000" w:themeColor="text1"/>
              <w:sz w:val="22"/>
              <w:szCs w:val="22"/>
            </w:rPr>
          </w:pPr>
          <w:r w:rsidRPr="00886166">
            <w:rPr>
              <w:rFonts w:ascii="Arial" w:hAnsi="Arial" w:cs="Arial"/>
              <w:color w:val="000000" w:themeColor="text1"/>
              <w:sz w:val="22"/>
              <w:szCs w:val="22"/>
            </w:rPr>
            <w:fldChar w:fldCharType="begin"/>
          </w:r>
          <w:r w:rsidRPr="00886166">
            <w:rPr>
              <w:rFonts w:ascii="Arial" w:hAnsi="Arial" w:cs="Arial"/>
              <w:color w:val="000000" w:themeColor="text1"/>
              <w:sz w:val="22"/>
              <w:szCs w:val="22"/>
            </w:rPr>
            <w:instrText xml:space="preserve"> TOC \o "1-3" \h \z \u </w:instrText>
          </w:r>
          <w:r w:rsidRPr="00886166">
            <w:rPr>
              <w:rFonts w:ascii="Arial" w:hAnsi="Arial" w:cs="Arial"/>
              <w:color w:val="000000" w:themeColor="text1"/>
              <w:sz w:val="22"/>
              <w:szCs w:val="22"/>
            </w:rPr>
            <w:fldChar w:fldCharType="separate"/>
          </w:r>
          <w:hyperlink w:anchor="_Toc236456923" w:history="1">
            <w:r w:rsidRPr="00886166">
              <w:rPr>
                <w:rStyle w:val="Hyperlink"/>
                <w:rFonts w:ascii="Arial" w:hAnsi="Arial" w:cs="Arial"/>
                <w:noProof/>
                <w:color w:val="000000" w:themeColor="text1"/>
                <w:sz w:val="22"/>
                <w:szCs w:val="22"/>
              </w:rPr>
              <w:t>Introduction</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_Toc236456923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3</w:t>
            </w:r>
            <w:r w:rsidRPr="00886166">
              <w:rPr>
                <w:rFonts w:ascii="Arial" w:hAnsi="Arial" w:cs="Arial"/>
                <w:noProof/>
                <w:webHidden/>
                <w:color w:val="000000" w:themeColor="text1"/>
                <w:sz w:val="22"/>
                <w:szCs w:val="22"/>
              </w:rPr>
              <w:fldChar w:fldCharType="end"/>
            </w:r>
          </w:hyperlink>
        </w:p>
        <w:p w14:paraId="73F2580C" w14:textId="2DE1B861" w:rsidR="00886166" w:rsidRPr="00886166" w:rsidRDefault="00886166">
          <w:pPr>
            <w:pStyle w:val="TOC1"/>
            <w:tabs>
              <w:tab w:val="right" w:leader="dot" w:pos="9350"/>
            </w:tabs>
            <w:rPr>
              <w:rFonts w:ascii="Arial" w:hAnsi="Arial" w:cs="Arial"/>
              <w:noProof/>
              <w:color w:val="000000" w:themeColor="text1"/>
              <w:sz w:val="22"/>
              <w:szCs w:val="22"/>
            </w:rPr>
          </w:pPr>
          <w:hyperlink w:anchor="_Toc236456924" w:history="1">
            <w:r w:rsidRPr="00886166">
              <w:rPr>
                <w:rStyle w:val="Hyperlink"/>
                <w:rFonts w:ascii="Arial" w:hAnsi="Arial" w:cs="Arial"/>
                <w:noProof/>
                <w:color w:val="000000" w:themeColor="text1"/>
                <w:sz w:val="22"/>
                <w:szCs w:val="22"/>
              </w:rPr>
              <w:t>Organisational and Regional Context</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_Toc236456924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3</w:t>
            </w:r>
            <w:r w:rsidRPr="00886166">
              <w:rPr>
                <w:rFonts w:ascii="Arial" w:hAnsi="Arial" w:cs="Arial"/>
                <w:noProof/>
                <w:webHidden/>
                <w:color w:val="000000" w:themeColor="text1"/>
                <w:sz w:val="22"/>
                <w:szCs w:val="22"/>
              </w:rPr>
              <w:fldChar w:fldCharType="end"/>
            </w:r>
          </w:hyperlink>
        </w:p>
        <w:p w14:paraId="3328BCEC" w14:textId="77D49F4A" w:rsidR="00886166" w:rsidRPr="00886166" w:rsidRDefault="00886166">
          <w:pPr>
            <w:pStyle w:val="TOC1"/>
            <w:tabs>
              <w:tab w:val="right" w:leader="dot" w:pos="9350"/>
            </w:tabs>
            <w:rPr>
              <w:rFonts w:ascii="Arial" w:hAnsi="Arial" w:cs="Arial"/>
              <w:noProof/>
              <w:color w:val="000000" w:themeColor="text1"/>
              <w:sz w:val="22"/>
              <w:szCs w:val="22"/>
            </w:rPr>
          </w:pPr>
          <w:hyperlink w:anchor="_Toc236456925" w:history="1">
            <w:r w:rsidRPr="00886166">
              <w:rPr>
                <w:rStyle w:val="Hyperlink"/>
                <w:rFonts w:ascii="Arial" w:hAnsi="Arial" w:cs="Arial"/>
                <w:noProof/>
                <w:color w:val="000000" w:themeColor="text1"/>
                <w:sz w:val="22"/>
                <w:szCs w:val="22"/>
              </w:rPr>
              <w:t>Theoretical Framework</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_Toc236456925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4</w:t>
            </w:r>
            <w:r w:rsidRPr="00886166">
              <w:rPr>
                <w:rFonts w:ascii="Arial" w:hAnsi="Arial" w:cs="Arial"/>
                <w:noProof/>
                <w:webHidden/>
                <w:color w:val="000000" w:themeColor="text1"/>
                <w:sz w:val="22"/>
                <w:szCs w:val="22"/>
              </w:rPr>
              <w:fldChar w:fldCharType="end"/>
            </w:r>
          </w:hyperlink>
        </w:p>
        <w:p w14:paraId="3CE46740" w14:textId="33669428" w:rsidR="00886166" w:rsidRPr="00886166" w:rsidRDefault="00886166">
          <w:pPr>
            <w:pStyle w:val="TOC2"/>
            <w:tabs>
              <w:tab w:val="right" w:leader="dot" w:pos="9350"/>
            </w:tabs>
            <w:rPr>
              <w:rFonts w:ascii="Arial" w:hAnsi="Arial" w:cs="Arial"/>
              <w:noProof/>
              <w:color w:val="000000" w:themeColor="text1"/>
              <w:sz w:val="22"/>
              <w:szCs w:val="22"/>
            </w:rPr>
          </w:pPr>
          <w:hyperlink w:anchor="_Toc236456926" w:history="1">
            <w:r w:rsidRPr="00886166">
              <w:rPr>
                <w:rStyle w:val="Hyperlink"/>
                <w:rFonts w:ascii="Arial" w:hAnsi="Arial" w:cs="Arial"/>
                <w:i/>
                <w:iCs/>
                <w:noProof/>
                <w:color w:val="000000" w:themeColor="text1"/>
                <w:sz w:val="22"/>
                <w:szCs w:val="22"/>
              </w:rPr>
              <w:t>Hofstede's Cultural Dimensions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_Toc236456926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4</w:t>
            </w:r>
            <w:r w:rsidRPr="00886166">
              <w:rPr>
                <w:rFonts w:ascii="Arial" w:hAnsi="Arial" w:cs="Arial"/>
                <w:noProof/>
                <w:webHidden/>
                <w:color w:val="000000" w:themeColor="text1"/>
                <w:sz w:val="22"/>
                <w:szCs w:val="22"/>
              </w:rPr>
              <w:fldChar w:fldCharType="end"/>
            </w:r>
          </w:hyperlink>
        </w:p>
        <w:p w14:paraId="2159E0F6" w14:textId="3D2878D6" w:rsidR="00886166" w:rsidRPr="00886166" w:rsidRDefault="00886166">
          <w:pPr>
            <w:pStyle w:val="TOC2"/>
            <w:tabs>
              <w:tab w:val="right" w:leader="dot" w:pos="9350"/>
            </w:tabs>
            <w:rPr>
              <w:rFonts w:ascii="Arial" w:hAnsi="Arial" w:cs="Arial"/>
              <w:noProof/>
              <w:color w:val="000000" w:themeColor="text1"/>
              <w:sz w:val="22"/>
              <w:szCs w:val="22"/>
            </w:rPr>
          </w:pPr>
          <w:hyperlink w:anchor="_Toc236456927" w:history="1">
            <w:r w:rsidRPr="00886166">
              <w:rPr>
                <w:rStyle w:val="Hyperlink"/>
                <w:rFonts w:ascii="Arial" w:hAnsi="Arial" w:cs="Arial"/>
                <w:i/>
                <w:iCs/>
                <w:noProof/>
                <w:color w:val="000000" w:themeColor="text1"/>
                <w:sz w:val="22"/>
                <w:szCs w:val="22"/>
              </w:rPr>
              <w:t>Hall's High-Context and Low-Context Communication</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_Toc236456927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4</w:t>
            </w:r>
            <w:r w:rsidRPr="00886166">
              <w:rPr>
                <w:rFonts w:ascii="Arial" w:hAnsi="Arial" w:cs="Arial"/>
                <w:noProof/>
                <w:webHidden/>
                <w:color w:val="000000" w:themeColor="text1"/>
                <w:sz w:val="22"/>
                <w:szCs w:val="22"/>
              </w:rPr>
              <w:fldChar w:fldCharType="end"/>
            </w:r>
          </w:hyperlink>
        </w:p>
        <w:p w14:paraId="101807A0" w14:textId="0F874CDE" w:rsidR="00886166" w:rsidRPr="00886166" w:rsidRDefault="00886166">
          <w:pPr>
            <w:pStyle w:val="TOC1"/>
            <w:tabs>
              <w:tab w:val="right" w:leader="dot" w:pos="9350"/>
            </w:tabs>
            <w:rPr>
              <w:rFonts w:ascii="Arial" w:hAnsi="Arial" w:cs="Arial"/>
              <w:noProof/>
              <w:color w:val="000000" w:themeColor="text1"/>
              <w:sz w:val="22"/>
              <w:szCs w:val="22"/>
            </w:rPr>
          </w:pPr>
          <w:hyperlink w:anchor="_Toc236456928" w:history="1">
            <w:r w:rsidRPr="00886166">
              <w:rPr>
                <w:rStyle w:val="Hyperlink"/>
                <w:rFonts w:ascii="Arial" w:hAnsi="Arial" w:cs="Arial"/>
                <w:noProof/>
                <w:color w:val="000000" w:themeColor="text1"/>
                <w:sz w:val="22"/>
                <w:szCs w:val="22"/>
              </w:rPr>
              <w:t>Comparative Analysis of UK–Japan Communication Styles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_Toc236456928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4</w:t>
            </w:r>
            <w:r w:rsidRPr="00886166">
              <w:rPr>
                <w:rFonts w:ascii="Arial" w:hAnsi="Arial" w:cs="Arial"/>
                <w:noProof/>
                <w:webHidden/>
                <w:color w:val="000000" w:themeColor="text1"/>
                <w:sz w:val="22"/>
                <w:szCs w:val="22"/>
              </w:rPr>
              <w:fldChar w:fldCharType="end"/>
            </w:r>
          </w:hyperlink>
        </w:p>
        <w:p w14:paraId="04E938D4" w14:textId="16F3D567" w:rsidR="00886166" w:rsidRPr="00886166" w:rsidRDefault="00886166">
          <w:pPr>
            <w:pStyle w:val="TOC2"/>
            <w:tabs>
              <w:tab w:val="right" w:leader="dot" w:pos="9350"/>
            </w:tabs>
            <w:rPr>
              <w:rFonts w:ascii="Arial" w:hAnsi="Arial" w:cs="Arial"/>
              <w:noProof/>
              <w:color w:val="000000" w:themeColor="text1"/>
              <w:sz w:val="22"/>
              <w:szCs w:val="22"/>
            </w:rPr>
          </w:pPr>
          <w:hyperlink w:anchor="_Toc236456929" w:history="1">
            <w:r w:rsidRPr="00886166">
              <w:rPr>
                <w:rStyle w:val="Hyperlink"/>
                <w:rFonts w:ascii="Arial" w:hAnsi="Arial" w:cs="Arial"/>
                <w:i/>
                <w:iCs/>
                <w:noProof/>
                <w:color w:val="000000" w:themeColor="text1"/>
                <w:sz w:val="22"/>
                <w:szCs w:val="22"/>
              </w:rPr>
              <w:t>Directness versus Indirectness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_Toc236456929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4</w:t>
            </w:r>
            <w:r w:rsidRPr="00886166">
              <w:rPr>
                <w:rFonts w:ascii="Arial" w:hAnsi="Arial" w:cs="Arial"/>
                <w:noProof/>
                <w:webHidden/>
                <w:color w:val="000000" w:themeColor="text1"/>
                <w:sz w:val="22"/>
                <w:szCs w:val="22"/>
              </w:rPr>
              <w:fldChar w:fldCharType="end"/>
            </w:r>
          </w:hyperlink>
        </w:p>
        <w:p w14:paraId="0235DD3C" w14:textId="16C1F2E2" w:rsidR="00886166" w:rsidRPr="00886166" w:rsidRDefault="00886166">
          <w:pPr>
            <w:pStyle w:val="TOC2"/>
            <w:tabs>
              <w:tab w:val="right" w:leader="dot" w:pos="9350"/>
            </w:tabs>
            <w:rPr>
              <w:rFonts w:ascii="Arial" w:hAnsi="Arial" w:cs="Arial"/>
              <w:noProof/>
              <w:color w:val="000000" w:themeColor="text1"/>
              <w:sz w:val="22"/>
              <w:szCs w:val="22"/>
            </w:rPr>
          </w:pPr>
          <w:hyperlink w:anchor="_Toc236456930" w:history="1">
            <w:r w:rsidRPr="00886166">
              <w:rPr>
                <w:rStyle w:val="Hyperlink"/>
                <w:rFonts w:ascii="Arial" w:hAnsi="Arial" w:cs="Arial"/>
                <w:i/>
                <w:iCs/>
                <w:noProof/>
                <w:color w:val="000000" w:themeColor="text1"/>
                <w:sz w:val="22"/>
                <w:szCs w:val="22"/>
              </w:rPr>
              <w:t>Power Distance and Hierarchy</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_Toc236456930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5</w:t>
            </w:r>
            <w:r w:rsidRPr="00886166">
              <w:rPr>
                <w:rFonts w:ascii="Arial" w:hAnsi="Arial" w:cs="Arial"/>
                <w:noProof/>
                <w:webHidden/>
                <w:color w:val="000000" w:themeColor="text1"/>
                <w:sz w:val="22"/>
                <w:szCs w:val="22"/>
              </w:rPr>
              <w:fldChar w:fldCharType="end"/>
            </w:r>
          </w:hyperlink>
        </w:p>
        <w:p w14:paraId="6774ED75" w14:textId="0198A207" w:rsidR="00886166" w:rsidRPr="00886166" w:rsidRDefault="00886166">
          <w:pPr>
            <w:pStyle w:val="TOC2"/>
            <w:tabs>
              <w:tab w:val="right" w:leader="dot" w:pos="9350"/>
            </w:tabs>
            <w:rPr>
              <w:rFonts w:ascii="Arial" w:hAnsi="Arial" w:cs="Arial"/>
              <w:noProof/>
              <w:color w:val="000000" w:themeColor="text1"/>
              <w:sz w:val="22"/>
              <w:szCs w:val="22"/>
            </w:rPr>
          </w:pPr>
          <w:hyperlink w:anchor="_Toc236456931" w:history="1">
            <w:r w:rsidRPr="00886166">
              <w:rPr>
                <w:rStyle w:val="Hyperlink"/>
                <w:rFonts w:ascii="Arial" w:hAnsi="Arial" w:cs="Arial"/>
                <w:i/>
                <w:iCs/>
                <w:noProof/>
                <w:color w:val="000000" w:themeColor="text1"/>
                <w:sz w:val="22"/>
                <w:szCs w:val="22"/>
              </w:rPr>
              <w:t>Silence, Ambiguity and Non-verbal Communication</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_Toc236456931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5</w:t>
            </w:r>
            <w:r w:rsidRPr="00886166">
              <w:rPr>
                <w:rFonts w:ascii="Arial" w:hAnsi="Arial" w:cs="Arial"/>
                <w:noProof/>
                <w:webHidden/>
                <w:color w:val="000000" w:themeColor="text1"/>
                <w:sz w:val="22"/>
                <w:szCs w:val="22"/>
              </w:rPr>
              <w:fldChar w:fldCharType="end"/>
            </w:r>
          </w:hyperlink>
        </w:p>
        <w:p w14:paraId="0BC69739" w14:textId="462058F5" w:rsidR="00886166" w:rsidRPr="00886166" w:rsidRDefault="00886166">
          <w:pPr>
            <w:pStyle w:val="TOC2"/>
            <w:tabs>
              <w:tab w:val="right" w:leader="dot" w:pos="9350"/>
            </w:tabs>
            <w:rPr>
              <w:rFonts w:ascii="Arial" w:hAnsi="Arial" w:cs="Arial"/>
              <w:noProof/>
              <w:color w:val="000000" w:themeColor="text1"/>
              <w:sz w:val="22"/>
              <w:szCs w:val="22"/>
            </w:rPr>
          </w:pPr>
          <w:hyperlink w:anchor="_Toc236456932" w:history="1">
            <w:r w:rsidRPr="00886166">
              <w:rPr>
                <w:rStyle w:val="Hyperlink"/>
                <w:rFonts w:ascii="Arial" w:hAnsi="Arial" w:cs="Arial"/>
                <w:i/>
                <w:iCs/>
                <w:noProof/>
                <w:color w:val="000000" w:themeColor="text1"/>
                <w:sz w:val="22"/>
                <w:szCs w:val="22"/>
              </w:rPr>
              <w:t>Consensus-Based Decision-Making</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_Toc236456932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5</w:t>
            </w:r>
            <w:r w:rsidRPr="00886166">
              <w:rPr>
                <w:rFonts w:ascii="Arial" w:hAnsi="Arial" w:cs="Arial"/>
                <w:noProof/>
                <w:webHidden/>
                <w:color w:val="000000" w:themeColor="text1"/>
                <w:sz w:val="22"/>
                <w:szCs w:val="22"/>
              </w:rPr>
              <w:fldChar w:fldCharType="end"/>
            </w:r>
          </w:hyperlink>
        </w:p>
        <w:p w14:paraId="5CA41788" w14:textId="709AF040" w:rsidR="00886166" w:rsidRPr="00886166" w:rsidRDefault="00886166">
          <w:pPr>
            <w:pStyle w:val="TOC2"/>
            <w:tabs>
              <w:tab w:val="right" w:leader="dot" w:pos="9350"/>
            </w:tabs>
            <w:rPr>
              <w:rFonts w:ascii="Arial" w:hAnsi="Arial" w:cs="Arial"/>
              <w:noProof/>
              <w:color w:val="000000" w:themeColor="text1"/>
              <w:sz w:val="22"/>
              <w:szCs w:val="22"/>
            </w:rPr>
          </w:pPr>
          <w:hyperlink w:anchor="_Toc236456933" w:history="1">
            <w:r w:rsidRPr="00886166">
              <w:rPr>
                <w:rStyle w:val="Hyperlink"/>
                <w:rFonts w:ascii="Arial" w:hAnsi="Arial" w:cs="Arial"/>
                <w:i/>
                <w:iCs/>
                <w:noProof/>
                <w:color w:val="000000" w:themeColor="text1"/>
                <w:sz w:val="22"/>
                <w:szCs w:val="22"/>
              </w:rPr>
              <w:t>Written and Relational Communication Norms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_Toc236456933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6</w:t>
            </w:r>
            <w:r w:rsidRPr="00886166">
              <w:rPr>
                <w:rFonts w:ascii="Arial" w:hAnsi="Arial" w:cs="Arial"/>
                <w:noProof/>
                <w:webHidden/>
                <w:color w:val="000000" w:themeColor="text1"/>
                <w:sz w:val="22"/>
                <w:szCs w:val="22"/>
              </w:rPr>
              <w:fldChar w:fldCharType="end"/>
            </w:r>
          </w:hyperlink>
        </w:p>
        <w:p w14:paraId="1E27B498" w14:textId="2654C457" w:rsidR="00886166" w:rsidRPr="00886166" w:rsidRDefault="00886166">
          <w:pPr>
            <w:pStyle w:val="TOC1"/>
            <w:tabs>
              <w:tab w:val="right" w:leader="dot" w:pos="9350"/>
            </w:tabs>
            <w:rPr>
              <w:rFonts w:ascii="Arial" w:hAnsi="Arial" w:cs="Arial"/>
              <w:noProof/>
              <w:color w:val="000000" w:themeColor="text1"/>
              <w:sz w:val="22"/>
              <w:szCs w:val="22"/>
            </w:rPr>
          </w:pPr>
          <w:hyperlink w:anchor="_Toc236456934" w:history="1">
            <w:r w:rsidRPr="00886166">
              <w:rPr>
                <w:rStyle w:val="Hyperlink"/>
                <w:rFonts w:ascii="Arial" w:hAnsi="Arial" w:cs="Arial"/>
                <w:noProof/>
                <w:color w:val="000000" w:themeColor="text1"/>
                <w:sz w:val="22"/>
                <w:szCs w:val="22"/>
              </w:rPr>
              <w:t>Implications for Cross-Cultural Project Management</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_Toc236456934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6</w:t>
            </w:r>
            <w:r w:rsidRPr="00886166">
              <w:rPr>
                <w:rFonts w:ascii="Arial" w:hAnsi="Arial" w:cs="Arial"/>
                <w:noProof/>
                <w:webHidden/>
                <w:color w:val="000000" w:themeColor="text1"/>
                <w:sz w:val="22"/>
                <w:szCs w:val="22"/>
              </w:rPr>
              <w:fldChar w:fldCharType="end"/>
            </w:r>
          </w:hyperlink>
        </w:p>
        <w:p w14:paraId="7447EC2E" w14:textId="3101210D" w:rsidR="00886166" w:rsidRPr="00886166" w:rsidRDefault="00886166">
          <w:pPr>
            <w:pStyle w:val="TOC1"/>
            <w:tabs>
              <w:tab w:val="right" w:leader="dot" w:pos="9350"/>
            </w:tabs>
            <w:rPr>
              <w:rFonts w:ascii="Arial" w:hAnsi="Arial" w:cs="Arial"/>
              <w:noProof/>
              <w:color w:val="000000" w:themeColor="text1"/>
              <w:sz w:val="22"/>
              <w:szCs w:val="22"/>
            </w:rPr>
          </w:pPr>
          <w:hyperlink w:anchor="_Toc236456935" w:history="1">
            <w:r w:rsidRPr="00886166">
              <w:rPr>
                <w:rStyle w:val="Hyperlink"/>
                <w:rFonts w:ascii="Arial" w:hAnsi="Arial" w:cs="Arial"/>
                <w:noProof/>
                <w:color w:val="000000" w:themeColor="text1"/>
                <w:sz w:val="22"/>
                <w:szCs w:val="22"/>
              </w:rPr>
              <w:t>Recommendations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_Toc236456935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7</w:t>
            </w:r>
            <w:r w:rsidRPr="00886166">
              <w:rPr>
                <w:rFonts w:ascii="Arial" w:hAnsi="Arial" w:cs="Arial"/>
                <w:noProof/>
                <w:webHidden/>
                <w:color w:val="000000" w:themeColor="text1"/>
                <w:sz w:val="22"/>
                <w:szCs w:val="22"/>
              </w:rPr>
              <w:fldChar w:fldCharType="end"/>
            </w:r>
          </w:hyperlink>
        </w:p>
        <w:p w14:paraId="063C8D10" w14:textId="0FB9EE9C" w:rsidR="00886166" w:rsidRPr="00886166" w:rsidRDefault="00886166">
          <w:pPr>
            <w:pStyle w:val="TOC1"/>
            <w:tabs>
              <w:tab w:val="right" w:leader="dot" w:pos="9350"/>
            </w:tabs>
            <w:rPr>
              <w:rFonts w:ascii="Arial" w:hAnsi="Arial" w:cs="Arial"/>
              <w:noProof/>
              <w:color w:val="000000" w:themeColor="text1"/>
              <w:sz w:val="22"/>
              <w:szCs w:val="22"/>
            </w:rPr>
          </w:pPr>
          <w:hyperlink w:anchor="_Toc236456936" w:history="1">
            <w:r w:rsidRPr="00886166">
              <w:rPr>
                <w:rStyle w:val="Hyperlink"/>
                <w:rFonts w:ascii="Arial" w:hAnsi="Arial" w:cs="Arial"/>
                <w:noProof/>
                <w:color w:val="000000" w:themeColor="text1"/>
                <w:sz w:val="22"/>
                <w:szCs w:val="22"/>
              </w:rPr>
              <w:t>Conclusion</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_Toc236456936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8</w:t>
            </w:r>
            <w:r w:rsidRPr="00886166">
              <w:rPr>
                <w:rFonts w:ascii="Arial" w:hAnsi="Arial" w:cs="Arial"/>
                <w:noProof/>
                <w:webHidden/>
                <w:color w:val="000000" w:themeColor="text1"/>
                <w:sz w:val="22"/>
                <w:szCs w:val="22"/>
              </w:rPr>
              <w:fldChar w:fldCharType="end"/>
            </w:r>
          </w:hyperlink>
        </w:p>
        <w:p w14:paraId="5BFC4519" w14:textId="01D1E5BD" w:rsidR="00886166" w:rsidRPr="00886166" w:rsidRDefault="00886166">
          <w:pPr>
            <w:pStyle w:val="TOC1"/>
            <w:tabs>
              <w:tab w:val="right" w:leader="dot" w:pos="9350"/>
            </w:tabs>
            <w:rPr>
              <w:rFonts w:ascii="Arial" w:hAnsi="Arial" w:cs="Arial"/>
              <w:noProof/>
              <w:color w:val="000000" w:themeColor="text1"/>
              <w:sz w:val="22"/>
              <w:szCs w:val="22"/>
            </w:rPr>
          </w:pPr>
          <w:hyperlink w:anchor="_Toc236456937" w:history="1">
            <w:r w:rsidRPr="00886166">
              <w:rPr>
                <w:rStyle w:val="Hyperlink"/>
                <w:rFonts w:ascii="Arial" w:hAnsi="Arial" w:cs="Arial"/>
                <w:noProof/>
                <w:color w:val="000000" w:themeColor="text1"/>
                <w:sz w:val="22"/>
                <w:szCs w:val="22"/>
              </w:rPr>
              <w:t>REFERENCES</w:t>
            </w:r>
            <w:r w:rsidRPr="00886166">
              <w:rPr>
                <w:rFonts w:ascii="Arial" w:hAnsi="Arial" w:cs="Arial"/>
                <w:noProof/>
                <w:webHidden/>
                <w:color w:val="000000" w:themeColor="text1"/>
                <w:sz w:val="22"/>
                <w:szCs w:val="22"/>
              </w:rPr>
              <w:tab/>
            </w:r>
            <w:r w:rsidRPr="00886166">
              <w:rPr>
                <w:rFonts w:ascii="Arial" w:hAnsi="Arial" w:cs="Arial"/>
                <w:noProof/>
                <w:webHidden/>
                <w:color w:val="000000" w:themeColor="text1"/>
                <w:sz w:val="22"/>
                <w:szCs w:val="22"/>
              </w:rPr>
              <w:fldChar w:fldCharType="begin"/>
            </w:r>
            <w:r w:rsidRPr="00886166">
              <w:rPr>
                <w:rFonts w:ascii="Arial" w:hAnsi="Arial" w:cs="Arial"/>
                <w:noProof/>
                <w:webHidden/>
                <w:color w:val="000000" w:themeColor="text1"/>
                <w:sz w:val="22"/>
                <w:szCs w:val="22"/>
              </w:rPr>
              <w:instrText xml:space="preserve"> PAGEREF _Toc236456937 \h </w:instrText>
            </w:r>
            <w:r w:rsidRPr="00886166">
              <w:rPr>
                <w:rFonts w:ascii="Arial" w:hAnsi="Arial" w:cs="Arial"/>
                <w:noProof/>
                <w:webHidden/>
                <w:color w:val="000000" w:themeColor="text1"/>
                <w:sz w:val="22"/>
                <w:szCs w:val="22"/>
              </w:rPr>
            </w:r>
            <w:r w:rsidRPr="00886166">
              <w:rPr>
                <w:rFonts w:ascii="Arial" w:hAnsi="Arial" w:cs="Arial"/>
                <w:noProof/>
                <w:webHidden/>
                <w:color w:val="000000" w:themeColor="text1"/>
                <w:sz w:val="22"/>
                <w:szCs w:val="22"/>
              </w:rPr>
              <w:fldChar w:fldCharType="separate"/>
            </w:r>
            <w:r w:rsidRPr="00886166">
              <w:rPr>
                <w:rFonts w:ascii="Arial" w:hAnsi="Arial" w:cs="Arial"/>
                <w:noProof/>
                <w:webHidden/>
                <w:color w:val="000000" w:themeColor="text1"/>
                <w:sz w:val="22"/>
                <w:szCs w:val="22"/>
              </w:rPr>
              <w:t>9</w:t>
            </w:r>
            <w:r w:rsidRPr="00886166">
              <w:rPr>
                <w:rFonts w:ascii="Arial" w:hAnsi="Arial" w:cs="Arial"/>
                <w:noProof/>
                <w:webHidden/>
                <w:color w:val="000000" w:themeColor="text1"/>
                <w:sz w:val="22"/>
                <w:szCs w:val="22"/>
              </w:rPr>
              <w:fldChar w:fldCharType="end"/>
            </w:r>
          </w:hyperlink>
        </w:p>
        <w:p w14:paraId="2E7AB654" w14:textId="6C673EED" w:rsidR="00886166" w:rsidRDefault="00886166">
          <w:r w:rsidRPr="00886166">
            <w:rPr>
              <w:rFonts w:ascii="Arial" w:hAnsi="Arial" w:cs="Arial"/>
              <w:noProof/>
              <w:color w:val="000000" w:themeColor="text1"/>
              <w:sz w:val="22"/>
              <w:szCs w:val="22"/>
            </w:rPr>
            <w:fldChar w:fldCharType="end"/>
          </w:r>
        </w:p>
      </w:sdtContent>
    </w:sdt>
    <w:p w14:paraId="1A340550" w14:textId="77777777" w:rsidR="00886166" w:rsidRDefault="00886166">
      <w:pPr>
        <w:rPr>
          <w:rFonts w:ascii="Arial" w:hAnsi="Arial" w:cs="Arial"/>
          <w:b/>
          <w:bCs/>
          <w:sz w:val="22"/>
          <w:szCs w:val="22"/>
        </w:rPr>
      </w:pPr>
      <w:r>
        <w:rPr>
          <w:rFonts w:ascii="Arial" w:hAnsi="Arial" w:cs="Arial"/>
          <w:b/>
          <w:bCs/>
          <w:sz w:val="22"/>
          <w:szCs w:val="22"/>
        </w:rPr>
        <w:br w:type="page"/>
      </w:r>
    </w:p>
    <w:p w14:paraId="69D81FBC" w14:textId="28993FDF" w:rsidR="00441337" w:rsidRPr="00441337" w:rsidRDefault="00441337" w:rsidP="00441337">
      <w:pPr>
        <w:spacing w:line="360" w:lineRule="auto"/>
        <w:jc w:val="center"/>
        <w:rPr>
          <w:rFonts w:ascii="Arial" w:hAnsi="Arial" w:cs="Arial"/>
          <w:b/>
          <w:bCs/>
          <w:sz w:val="22"/>
          <w:szCs w:val="22"/>
        </w:rPr>
      </w:pPr>
      <w:r w:rsidRPr="00441337">
        <w:rPr>
          <w:rFonts w:ascii="Arial" w:hAnsi="Arial" w:cs="Arial"/>
          <w:b/>
          <w:bCs/>
          <w:sz w:val="22"/>
          <w:szCs w:val="22"/>
        </w:rPr>
        <w:lastRenderedPageBreak/>
        <w:t>THE CULTURAL COMMUNICATION GAP: UK–JAPAN BUSINESS COLLABORATION IN PRACTICE</w:t>
      </w:r>
    </w:p>
    <w:p w14:paraId="23465713" w14:textId="153B386A" w:rsidR="00441337" w:rsidRPr="00441337" w:rsidRDefault="00441337" w:rsidP="00441337">
      <w:pPr>
        <w:spacing w:line="360" w:lineRule="auto"/>
        <w:jc w:val="center"/>
        <w:rPr>
          <w:rFonts w:ascii="Arial" w:hAnsi="Arial" w:cs="Arial"/>
          <w:sz w:val="22"/>
          <w:szCs w:val="22"/>
        </w:rPr>
      </w:pPr>
      <w:r w:rsidRPr="00441337">
        <w:rPr>
          <w:rFonts w:ascii="Arial" w:hAnsi="Arial" w:cs="Arial"/>
          <w:b/>
          <w:bCs/>
          <w:sz w:val="22"/>
          <w:szCs w:val="22"/>
        </w:rPr>
        <w:t>A CASE ANALYSIS OF ROLLS-ROYCE PLC AND JAPANESE AERO-ENGINE PARTNERS</w:t>
      </w:r>
    </w:p>
    <w:p w14:paraId="6D7E5C95" w14:textId="080D65C3" w:rsidR="00441337" w:rsidRPr="00441337" w:rsidRDefault="00441337" w:rsidP="00441337">
      <w:pPr>
        <w:spacing w:line="360" w:lineRule="auto"/>
        <w:jc w:val="both"/>
        <w:rPr>
          <w:rFonts w:ascii="Arial" w:hAnsi="Arial" w:cs="Arial"/>
          <w:sz w:val="22"/>
          <w:szCs w:val="22"/>
        </w:rPr>
      </w:pPr>
    </w:p>
    <w:p w14:paraId="23B2A9B4" w14:textId="7CE4D4AE" w:rsidR="00441337" w:rsidRPr="00B1662B" w:rsidRDefault="00441337" w:rsidP="00B1662B">
      <w:pPr>
        <w:pStyle w:val="Heading1"/>
        <w:spacing w:line="360" w:lineRule="auto"/>
        <w:rPr>
          <w:rFonts w:ascii="Arial" w:hAnsi="Arial" w:cs="Arial"/>
          <w:b/>
          <w:bCs/>
          <w:color w:val="000000" w:themeColor="text1"/>
          <w:sz w:val="24"/>
          <w:szCs w:val="24"/>
        </w:rPr>
      </w:pPr>
      <w:bookmarkStart w:id="0" w:name="_Toc236456923"/>
      <w:r w:rsidRPr="00B1662B">
        <w:rPr>
          <w:rFonts w:ascii="Arial" w:hAnsi="Arial" w:cs="Arial"/>
          <w:b/>
          <w:bCs/>
          <w:color w:val="000000" w:themeColor="text1"/>
          <w:sz w:val="24"/>
          <w:szCs w:val="24"/>
        </w:rPr>
        <w:t>Introduction</w:t>
      </w:r>
      <w:bookmarkEnd w:id="0"/>
    </w:p>
    <w:p w14:paraId="26761111" w14:textId="21205EBC"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The need for managers to reconcile the different communication logics, and not just the language, is growing with international collaborations. This essay examines the communication style differences between a multinational company, Rolls-Royce plc, based in the UK and its Japanese aerospace partners, mainly the Japanese Aero Engines Corporation consortium and Mitsubishi Heavy Industries, with whom Rolls-Royce has been working for decades on civil aviation engine projects like the V2500 (Rolls-Royce, 2023). The essay critically examines the divergent assumptions about directness, hierarchy, silence and consensus, that can lead to misunderstandings between joint engineering and marketing teams, drawing on Hofstede's cultural dimensions theory (</w:t>
      </w:r>
      <w:r w:rsidR="00421E89" w:rsidRPr="00CF19DA">
        <w:rPr>
          <w:rFonts w:ascii="Arial" w:hAnsi="Arial" w:cs="Arial"/>
          <w:sz w:val="22"/>
          <w:szCs w:val="22"/>
        </w:rPr>
        <w:t>Hoftede</w:t>
      </w:r>
      <w:r w:rsidR="00421E89">
        <w:rPr>
          <w:rFonts w:ascii="Arial" w:hAnsi="Arial" w:cs="Arial"/>
          <w:sz w:val="22"/>
          <w:szCs w:val="22"/>
        </w:rPr>
        <w:t xml:space="preserve"> et al.</w:t>
      </w:r>
      <w:r w:rsidRPr="00441337">
        <w:rPr>
          <w:rFonts w:ascii="Arial" w:hAnsi="Arial" w:cs="Arial"/>
          <w:sz w:val="22"/>
          <w:szCs w:val="22"/>
        </w:rPr>
        <w:t>, 2010) and Hall's high-context/low-context communication framework (Hall, 1976). It ends with practical suggestions for a country director who is asked to take charge of a blended UK–Japan project team.</w:t>
      </w:r>
    </w:p>
    <w:p w14:paraId="4752E55C" w14:textId="71C00773" w:rsidR="00441337" w:rsidRPr="00B1662B" w:rsidRDefault="00441337" w:rsidP="00B1662B">
      <w:pPr>
        <w:pStyle w:val="Heading1"/>
        <w:spacing w:line="360" w:lineRule="auto"/>
        <w:rPr>
          <w:rFonts w:ascii="Arial" w:hAnsi="Arial" w:cs="Arial"/>
          <w:b/>
          <w:bCs/>
          <w:color w:val="000000" w:themeColor="text1"/>
          <w:sz w:val="24"/>
          <w:szCs w:val="24"/>
        </w:rPr>
      </w:pPr>
      <w:bookmarkStart w:id="1" w:name="_Toc236456924"/>
      <w:r w:rsidRPr="00B1662B">
        <w:rPr>
          <w:rFonts w:ascii="Arial" w:hAnsi="Arial" w:cs="Arial"/>
          <w:b/>
          <w:bCs/>
          <w:color w:val="000000" w:themeColor="text1"/>
          <w:sz w:val="24"/>
          <w:szCs w:val="24"/>
        </w:rPr>
        <w:t>Organisational and Regional Context</w:t>
      </w:r>
      <w:bookmarkEnd w:id="1"/>
    </w:p>
    <w:p w14:paraId="42385296" w14:textId="2A01A346"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Rolls-Royce plc is one of the leading engineering multinational companies in the United Kingdom, having been in the civil and defence aerospace industry for a long time (Rolls-Royce, 2023). It has been seeking strategic risk- and revenue-sharing ties with Japanese manufacturers, where Japan has long been a hub of precision engineering and where industrial policy has been to develop its own aerospace industry via international partnerships (</w:t>
      </w:r>
      <w:r w:rsidR="00894AE1">
        <w:rPr>
          <w:rFonts w:ascii="Arial" w:hAnsi="Arial" w:cs="Arial"/>
          <w:sz w:val="22"/>
          <w:szCs w:val="22"/>
        </w:rPr>
        <w:t>SJAC</w:t>
      </w:r>
      <w:r w:rsidRPr="00441337">
        <w:rPr>
          <w:rFonts w:ascii="Arial" w:hAnsi="Arial" w:cs="Arial"/>
          <w:sz w:val="22"/>
          <w:szCs w:val="22"/>
        </w:rPr>
        <w:t xml:space="preserve">, </w:t>
      </w:r>
      <w:r w:rsidR="00894AE1">
        <w:rPr>
          <w:rFonts w:ascii="Arial" w:hAnsi="Arial" w:cs="Arial"/>
          <w:sz w:val="22"/>
          <w:szCs w:val="22"/>
        </w:rPr>
        <w:t>2026</w:t>
      </w:r>
      <w:r w:rsidRPr="00441337">
        <w:rPr>
          <w:rFonts w:ascii="Arial" w:hAnsi="Arial" w:cs="Arial"/>
          <w:sz w:val="22"/>
          <w:szCs w:val="22"/>
        </w:rPr>
        <w:t>). These partnerships are appealing from a commercial perspective but challenging from a cultural perspective: decisions made by the engineering teams in aerospace programmes need to be closely coordinated and sustained, if there is a breakdown in communication then the consequences are not just safety, but cost and reputational as well (Ferraro and Briody, 2017). The United Kingdom and Japan are at opposite ends of most of the well-known scales of cultural dimensions, and thus the relationship between the two countries can be used as a prism to view the communication risk in Anglo-Japanese business relationship in general (Usunier and Lee, 2013).</w:t>
      </w:r>
    </w:p>
    <w:p w14:paraId="124B2CF8" w14:textId="77777777" w:rsidR="00441337" w:rsidRPr="00B1662B" w:rsidRDefault="00441337" w:rsidP="00B1662B">
      <w:pPr>
        <w:pStyle w:val="Heading1"/>
        <w:spacing w:line="360" w:lineRule="auto"/>
        <w:rPr>
          <w:rFonts w:ascii="Arial" w:hAnsi="Arial" w:cs="Arial"/>
          <w:b/>
          <w:bCs/>
          <w:color w:val="000000" w:themeColor="text1"/>
          <w:sz w:val="24"/>
          <w:szCs w:val="24"/>
        </w:rPr>
      </w:pPr>
      <w:bookmarkStart w:id="2" w:name="_Toc236456925"/>
      <w:r w:rsidRPr="00B1662B">
        <w:rPr>
          <w:rFonts w:ascii="Arial" w:hAnsi="Arial" w:cs="Arial"/>
          <w:b/>
          <w:bCs/>
          <w:color w:val="000000" w:themeColor="text1"/>
          <w:sz w:val="24"/>
          <w:szCs w:val="24"/>
        </w:rPr>
        <w:lastRenderedPageBreak/>
        <w:t>Theoretical Framework</w:t>
      </w:r>
      <w:bookmarkEnd w:id="2"/>
    </w:p>
    <w:p w14:paraId="75E197C8" w14:textId="6908F0B8" w:rsidR="00441337" w:rsidRPr="00B1662B" w:rsidRDefault="00441337" w:rsidP="00B1662B">
      <w:pPr>
        <w:pStyle w:val="Heading2"/>
        <w:spacing w:line="360" w:lineRule="auto"/>
        <w:rPr>
          <w:rFonts w:ascii="Arial" w:hAnsi="Arial" w:cs="Arial"/>
          <w:b/>
          <w:bCs/>
          <w:i/>
          <w:iCs/>
          <w:color w:val="000000" w:themeColor="text1"/>
          <w:sz w:val="22"/>
          <w:szCs w:val="22"/>
        </w:rPr>
      </w:pPr>
      <w:bookmarkStart w:id="3" w:name="_Toc236456926"/>
      <w:r w:rsidRPr="00B1662B">
        <w:rPr>
          <w:rFonts w:ascii="Arial" w:hAnsi="Arial" w:cs="Arial"/>
          <w:b/>
          <w:bCs/>
          <w:i/>
          <w:iCs/>
          <w:color w:val="000000" w:themeColor="text1"/>
          <w:sz w:val="22"/>
          <w:szCs w:val="22"/>
        </w:rPr>
        <w:t>Hofstede's Cultural Dimensions</w:t>
      </w:r>
      <w:bookmarkEnd w:id="3"/>
    </w:p>
    <w:p w14:paraId="6A88C758" w14:textId="29AAE45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According to Hofstede's model, there are six dimensions that characterize the differences between national cultures, such as power distance, individualism-collectivism and uncertainty avoidance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The United Kingdom has a low score on power distance and a high score on individualism, which indicates that the business culture is likely to be egalitarian with interaction, personal initiative and open disagreement (Hofstede Insights, 2023). By contrast, Japan has significantly higher scores for power distance and significantly higher scores for uncertainty avoidance, and it is also collectivist, meaning that it is more oriented towards group harmony (</w:t>
      </w:r>
      <w:proofErr w:type="spellStart"/>
      <w:r w:rsidRPr="00441337">
        <w:rPr>
          <w:rFonts w:ascii="Arial" w:hAnsi="Arial" w:cs="Arial"/>
          <w:sz w:val="22"/>
          <w:szCs w:val="22"/>
        </w:rPr>
        <w:t>wa</w:t>
      </w:r>
      <w:proofErr w:type="spellEnd"/>
      <w:r w:rsidRPr="00441337">
        <w:rPr>
          <w:rFonts w:ascii="Arial" w:hAnsi="Arial" w:cs="Arial"/>
          <w:sz w:val="22"/>
          <w:szCs w:val="22"/>
        </w:rPr>
        <w:t>) than individual expression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xml:space="preserve">). These differences are not only descriptive statistics, </w:t>
      </w:r>
      <w:proofErr w:type="gramStart"/>
      <w:r w:rsidRPr="00441337">
        <w:rPr>
          <w:rFonts w:ascii="Arial" w:hAnsi="Arial" w:cs="Arial"/>
          <w:sz w:val="22"/>
          <w:szCs w:val="22"/>
        </w:rPr>
        <w:t>they are</w:t>
      </w:r>
      <w:proofErr w:type="gramEnd"/>
      <w:r w:rsidRPr="00441337">
        <w:rPr>
          <w:rFonts w:ascii="Arial" w:hAnsi="Arial" w:cs="Arial"/>
          <w:sz w:val="22"/>
          <w:szCs w:val="22"/>
        </w:rPr>
        <w:t xml:space="preserve"> what each culture considers to be competent and respectful communication in a meeting room (Minkov and Hofstede, 2012).</w:t>
      </w:r>
    </w:p>
    <w:p w14:paraId="50ABD594" w14:textId="4F6B5576" w:rsidR="00441337" w:rsidRPr="00B1662B" w:rsidRDefault="00441337" w:rsidP="00B1662B">
      <w:pPr>
        <w:pStyle w:val="Heading2"/>
        <w:spacing w:line="360" w:lineRule="auto"/>
        <w:rPr>
          <w:rFonts w:ascii="Arial" w:hAnsi="Arial" w:cs="Arial"/>
          <w:b/>
          <w:bCs/>
          <w:i/>
          <w:iCs/>
          <w:color w:val="000000" w:themeColor="text1"/>
          <w:sz w:val="22"/>
          <w:szCs w:val="22"/>
        </w:rPr>
      </w:pPr>
      <w:bookmarkStart w:id="4" w:name="_Toc236456927"/>
      <w:r w:rsidRPr="00B1662B">
        <w:rPr>
          <w:rFonts w:ascii="Arial" w:hAnsi="Arial" w:cs="Arial"/>
          <w:b/>
          <w:bCs/>
          <w:i/>
          <w:iCs/>
          <w:color w:val="000000" w:themeColor="text1"/>
          <w:sz w:val="22"/>
          <w:szCs w:val="22"/>
        </w:rPr>
        <w:t>Hall's High-Context and Low-Context Communication</w:t>
      </w:r>
      <w:bookmarkEnd w:id="4"/>
    </w:p>
    <w:p w14:paraId="6CE13CDD" w14:textId="7777777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A complementary lens is provided by Hall's (1976) description of cultures as HC or LC. In low-context (LC) cultures like the UK, meaning is mostly expressed in the explicit verbal </w:t>
      </w:r>
      <w:proofErr w:type="gramStart"/>
      <w:r w:rsidRPr="00441337">
        <w:rPr>
          <w:rFonts w:ascii="Arial" w:hAnsi="Arial" w:cs="Arial"/>
          <w:sz w:val="22"/>
          <w:szCs w:val="22"/>
        </w:rPr>
        <w:t>message</w:t>
      </w:r>
      <w:proofErr w:type="gramEnd"/>
      <w:r w:rsidRPr="00441337">
        <w:rPr>
          <w:rFonts w:ascii="Arial" w:hAnsi="Arial" w:cs="Arial"/>
          <w:sz w:val="22"/>
          <w:szCs w:val="22"/>
        </w:rPr>
        <w:t xml:space="preserve"> and communicators are expected to make their intentions explicit (Hall, 1976). In high-context cultures like Japan, meaning is context-dependent, and much is left unsaid and implied by the context and relationship history as well as by non-verbal cues (Hall and Hall, 1990). Meyer's (2014) later empirical study on the “Culture Map” supports this stance, ranking Japan as one of the highest context indirect-negative feedback cultures analyzed, and the UK as one of the lower </w:t>
      </w:r>
      <w:proofErr w:type="gramStart"/>
      <w:r w:rsidRPr="00441337">
        <w:rPr>
          <w:rFonts w:ascii="Arial" w:hAnsi="Arial" w:cs="Arial"/>
          <w:sz w:val="22"/>
          <w:szCs w:val="22"/>
        </w:rPr>
        <w:t>context</w:t>
      </w:r>
      <w:proofErr w:type="gramEnd"/>
      <w:r w:rsidRPr="00441337">
        <w:rPr>
          <w:rFonts w:ascii="Arial" w:hAnsi="Arial" w:cs="Arial"/>
          <w:sz w:val="22"/>
          <w:szCs w:val="22"/>
        </w:rPr>
        <w:t xml:space="preserve"> (not the lowest) cultures. These frameworks, combined, highlight potential friction points for a joint UK–Japan project team, which are examined in the next section in the context of Rolls-Royce's Japanese project teams.</w:t>
      </w:r>
    </w:p>
    <w:p w14:paraId="5C24FDEE" w14:textId="25178880" w:rsidR="009D3AA4" w:rsidRPr="00B1662B" w:rsidRDefault="009D3AA4" w:rsidP="00B1662B">
      <w:pPr>
        <w:pStyle w:val="Heading1"/>
        <w:spacing w:line="360" w:lineRule="auto"/>
        <w:rPr>
          <w:rFonts w:ascii="Arial" w:hAnsi="Arial" w:cs="Arial"/>
          <w:b/>
          <w:bCs/>
          <w:color w:val="000000" w:themeColor="text1"/>
          <w:sz w:val="24"/>
          <w:szCs w:val="24"/>
        </w:rPr>
      </w:pPr>
      <w:bookmarkStart w:id="5" w:name="_Toc236456928"/>
      <w:r w:rsidRPr="00B1662B">
        <w:rPr>
          <w:rFonts w:ascii="Arial" w:hAnsi="Arial" w:cs="Arial"/>
          <w:b/>
          <w:bCs/>
          <w:color w:val="000000" w:themeColor="text1"/>
          <w:sz w:val="24"/>
          <w:szCs w:val="24"/>
        </w:rPr>
        <w:t>Comparative Analysis of UK–Japan Communication Styles</w:t>
      </w:r>
      <w:bookmarkEnd w:id="5"/>
    </w:p>
    <w:p w14:paraId="6601D5AC" w14:textId="26FB1F95" w:rsidR="009D3AA4" w:rsidRPr="00B1662B" w:rsidRDefault="009D3AA4" w:rsidP="00B1662B">
      <w:pPr>
        <w:pStyle w:val="Heading2"/>
        <w:spacing w:line="360" w:lineRule="auto"/>
        <w:rPr>
          <w:rFonts w:ascii="Arial" w:hAnsi="Arial" w:cs="Arial"/>
          <w:b/>
          <w:bCs/>
          <w:i/>
          <w:iCs/>
          <w:color w:val="000000" w:themeColor="text1"/>
          <w:sz w:val="22"/>
          <w:szCs w:val="22"/>
        </w:rPr>
      </w:pPr>
      <w:bookmarkStart w:id="6" w:name="_Toc236456929"/>
      <w:r w:rsidRPr="00B1662B">
        <w:rPr>
          <w:rFonts w:ascii="Arial" w:hAnsi="Arial" w:cs="Arial"/>
          <w:b/>
          <w:bCs/>
          <w:i/>
          <w:iCs/>
          <w:color w:val="000000" w:themeColor="text1"/>
          <w:sz w:val="22"/>
          <w:szCs w:val="22"/>
        </w:rPr>
        <w:t>Directness versus Indirectness</w:t>
      </w:r>
      <w:bookmarkEnd w:id="6"/>
    </w:p>
    <w:p w14:paraId="1A72E22D" w14:textId="414BA65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The British engineers and managers tend to prefer </w:t>
      </w:r>
      <w:proofErr w:type="gramStart"/>
      <w:r w:rsidRPr="00441337">
        <w:rPr>
          <w:rFonts w:ascii="Arial" w:hAnsi="Arial" w:cs="Arial"/>
          <w:sz w:val="22"/>
          <w:szCs w:val="22"/>
        </w:rPr>
        <w:t>a relatively direct feedback</w:t>
      </w:r>
      <w:proofErr w:type="gramEnd"/>
      <w:r w:rsidRPr="00441337">
        <w:rPr>
          <w:rFonts w:ascii="Arial" w:hAnsi="Arial" w:cs="Arial"/>
          <w:sz w:val="22"/>
          <w:szCs w:val="22"/>
        </w:rPr>
        <w:t xml:space="preserve">, where colleagues will openly disagree or express concerns, albeit in a way that is understated and/or polite (Meyer, 2014). In contrast, the Japanese communication style is often a non-negating one, and the word "no" is often substituted by ambiguous language, delayed responses, or silence, as this may be a way to save face for the other party (Doi, </w:t>
      </w:r>
      <w:r w:rsidR="00C514F3">
        <w:rPr>
          <w:rFonts w:ascii="Arial" w:hAnsi="Arial" w:cs="Arial"/>
          <w:sz w:val="22"/>
          <w:szCs w:val="22"/>
        </w:rPr>
        <w:t>2001</w:t>
      </w:r>
      <w:r w:rsidRPr="00441337">
        <w:rPr>
          <w:rFonts w:ascii="Arial" w:hAnsi="Arial" w:cs="Arial"/>
          <w:sz w:val="22"/>
          <w:szCs w:val="22"/>
        </w:rPr>
        <w:t xml:space="preserve">; Meyer, 2014). When a British engineer directly challenges a design proposal, it can be seen as unnecessarily confrontational by the Japanese </w:t>
      </w:r>
      <w:r w:rsidRPr="00441337">
        <w:rPr>
          <w:rFonts w:ascii="Arial" w:hAnsi="Arial" w:cs="Arial"/>
          <w:sz w:val="22"/>
          <w:szCs w:val="22"/>
        </w:rPr>
        <w:lastRenderedPageBreak/>
        <w:t>engineers, and when a Japanese engineer expresses "difficulty" with a proposal, it can be interpreted as no objection at all by the British engineers (Gudykunst and Kim, 2003). This asymmetry can be especially problematic for technical collaborations, where it is not clear whether a specification has been accepted, leading to rework downstream.</w:t>
      </w:r>
    </w:p>
    <w:p w14:paraId="445B88D4" w14:textId="1FFB0A45" w:rsidR="00441337" w:rsidRPr="00B1662B" w:rsidRDefault="00441337" w:rsidP="00B1662B">
      <w:pPr>
        <w:pStyle w:val="Heading2"/>
        <w:spacing w:line="360" w:lineRule="auto"/>
        <w:rPr>
          <w:rFonts w:ascii="Arial" w:hAnsi="Arial" w:cs="Arial"/>
          <w:b/>
          <w:bCs/>
          <w:i/>
          <w:iCs/>
          <w:color w:val="000000" w:themeColor="text1"/>
          <w:sz w:val="22"/>
          <w:szCs w:val="22"/>
        </w:rPr>
      </w:pPr>
      <w:bookmarkStart w:id="7" w:name="_Toc236456930"/>
      <w:r w:rsidRPr="00B1662B">
        <w:rPr>
          <w:rFonts w:ascii="Arial" w:hAnsi="Arial" w:cs="Arial"/>
          <w:b/>
          <w:bCs/>
          <w:i/>
          <w:iCs/>
          <w:color w:val="000000" w:themeColor="text1"/>
          <w:sz w:val="22"/>
          <w:szCs w:val="22"/>
        </w:rPr>
        <w:t>Power Distance and Hierarchy</w:t>
      </w:r>
      <w:bookmarkEnd w:id="7"/>
    </w:p>
    <w:p w14:paraId="069CF480" w14:textId="489023E5"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The Power Distance dimension of Hofstede can be seen in the concrete aspects of the structure of meetings and </w:t>
      </w:r>
      <w:proofErr w:type="gramStart"/>
      <w:r w:rsidRPr="00441337">
        <w:rPr>
          <w:rFonts w:ascii="Arial" w:hAnsi="Arial" w:cs="Arial"/>
          <w:sz w:val="22"/>
          <w:szCs w:val="22"/>
        </w:rPr>
        <w:t>decision making</w:t>
      </w:r>
      <w:proofErr w:type="gramEnd"/>
      <w:r w:rsidRPr="00441337">
        <w:rPr>
          <w:rFonts w:ascii="Arial" w:hAnsi="Arial" w:cs="Arial"/>
          <w:sz w:val="22"/>
          <w:szCs w:val="22"/>
        </w:rPr>
        <w:t xml:space="preserve"> authority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xml:space="preserve">). In Rolls-Royce's low power distance culture, during design reviews, there is often an encouragement for junior engineers to challenge the assumptions of senior engineers (Rolls-Royce, 2023). Seniority and title are more likely to be given deference within the Japanese partner </w:t>
      </w:r>
      <w:proofErr w:type="spellStart"/>
      <w:r w:rsidRPr="00441337">
        <w:rPr>
          <w:rFonts w:ascii="Arial" w:hAnsi="Arial" w:cs="Arial"/>
          <w:sz w:val="22"/>
          <w:szCs w:val="22"/>
        </w:rPr>
        <w:t>organisations</w:t>
      </w:r>
      <w:proofErr w:type="spellEnd"/>
      <w:r w:rsidRPr="00441337">
        <w:rPr>
          <w:rFonts w:ascii="Arial" w:hAnsi="Arial" w:cs="Arial"/>
          <w:sz w:val="22"/>
          <w:szCs w:val="22"/>
        </w:rPr>
        <w:t xml:space="preserve"> with less chance of disagreement being presented in front of higher-ups, and decisions are often pre-negotiated informally prior to the formal meeting (</w:t>
      </w:r>
      <w:r w:rsidR="00894AE1">
        <w:rPr>
          <w:rFonts w:ascii="Arial" w:hAnsi="Arial" w:cs="Arial"/>
          <w:sz w:val="22"/>
          <w:szCs w:val="22"/>
        </w:rPr>
        <w:t>SJAC</w:t>
      </w:r>
      <w:r w:rsidRPr="00441337">
        <w:rPr>
          <w:rFonts w:ascii="Arial" w:hAnsi="Arial" w:cs="Arial"/>
          <w:sz w:val="22"/>
          <w:szCs w:val="22"/>
        </w:rPr>
        <w:t xml:space="preserve">, </w:t>
      </w:r>
      <w:r w:rsidR="00894AE1">
        <w:rPr>
          <w:rFonts w:ascii="Arial" w:hAnsi="Arial" w:cs="Arial"/>
          <w:sz w:val="22"/>
          <w:szCs w:val="22"/>
        </w:rPr>
        <w:t>2026</w:t>
      </w:r>
      <w:r w:rsidRPr="00441337">
        <w:rPr>
          <w:rFonts w:ascii="Arial" w:hAnsi="Arial" w:cs="Arial"/>
          <w:sz w:val="22"/>
          <w:szCs w:val="22"/>
        </w:rPr>
        <w:t xml:space="preserve">). When a challenge is not expressed at a formal meeting, a UK manager may interpret this as a sign of agreement, when in reality there may be a lot of informal discussion that takes place beforehand, where a real disagreement is actually being worked out (Trompenaars and Hampden-Turner, </w:t>
      </w:r>
      <w:r w:rsidR="00E07A20">
        <w:rPr>
          <w:rFonts w:ascii="Arial" w:hAnsi="Arial" w:cs="Arial"/>
          <w:sz w:val="22"/>
          <w:szCs w:val="22"/>
        </w:rPr>
        <w:t>2011</w:t>
      </w:r>
      <w:r w:rsidRPr="00441337">
        <w:rPr>
          <w:rFonts w:ascii="Arial" w:hAnsi="Arial" w:cs="Arial"/>
          <w:sz w:val="22"/>
          <w:szCs w:val="22"/>
        </w:rPr>
        <w:t>).</w:t>
      </w:r>
    </w:p>
    <w:p w14:paraId="4E5C90EA" w14:textId="7CC5C557" w:rsidR="00441337" w:rsidRPr="00583110" w:rsidRDefault="00441337" w:rsidP="00B1662B">
      <w:pPr>
        <w:pStyle w:val="Heading2"/>
        <w:spacing w:line="360" w:lineRule="auto"/>
        <w:rPr>
          <w:rFonts w:ascii="Arial" w:hAnsi="Arial" w:cs="Arial"/>
          <w:b/>
          <w:bCs/>
          <w:i/>
          <w:iCs/>
          <w:color w:val="000000" w:themeColor="text1"/>
          <w:sz w:val="22"/>
          <w:szCs w:val="22"/>
          <w:lang w:val="fr-BE"/>
        </w:rPr>
      </w:pPr>
      <w:bookmarkStart w:id="8" w:name="_Toc236456931"/>
      <w:r w:rsidRPr="00583110">
        <w:rPr>
          <w:rFonts w:ascii="Arial" w:hAnsi="Arial" w:cs="Arial"/>
          <w:b/>
          <w:bCs/>
          <w:i/>
          <w:iCs/>
          <w:color w:val="000000" w:themeColor="text1"/>
          <w:sz w:val="22"/>
          <w:szCs w:val="22"/>
          <w:lang w:val="fr-BE"/>
        </w:rPr>
        <w:t>Silence, Ambiguity and Non-verbal Communication</w:t>
      </w:r>
      <w:bookmarkEnd w:id="8"/>
    </w:p>
    <w:p w14:paraId="5030469C" w14:textId="2CC0344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Silence has different connotations in the two cultures. In the UK business context, silence after a proposal is likely to be seen as a lack of interest, confusion or disagreement, which leads to the UK side of the table filling the void with further explanation (Meyer, 2014). Silence (chinmoku) is often an expression of thoughtful reflection, respect, and is a proper and valued aspect of deliberation in Japanese business culture and is not a communication failure (</w:t>
      </w:r>
      <w:r w:rsidR="00E07A20" w:rsidRPr="00E07A20">
        <w:rPr>
          <w:rFonts w:ascii="Arial" w:hAnsi="Arial" w:cs="Arial"/>
          <w:sz w:val="22"/>
          <w:szCs w:val="22"/>
        </w:rPr>
        <w:t>Jones</w:t>
      </w:r>
      <w:r w:rsidRPr="00441337">
        <w:rPr>
          <w:rFonts w:ascii="Arial" w:hAnsi="Arial" w:cs="Arial"/>
          <w:sz w:val="22"/>
          <w:szCs w:val="22"/>
        </w:rPr>
        <w:t xml:space="preserve">, </w:t>
      </w:r>
      <w:r w:rsidR="00E07A20">
        <w:rPr>
          <w:rFonts w:ascii="Arial" w:hAnsi="Arial" w:cs="Arial"/>
          <w:sz w:val="22"/>
          <w:szCs w:val="22"/>
        </w:rPr>
        <w:t>2011</w:t>
      </w:r>
      <w:r w:rsidRPr="00441337">
        <w:rPr>
          <w:rFonts w:ascii="Arial" w:hAnsi="Arial" w:cs="Arial"/>
          <w:sz w:val="22"/>
          <w:szCs w:val="22"/>
        </w:rPr>
        <w:t>). For example, when a British project lead feels that the Japanese are not listening, he/she may try to expand on the original idea or to re-word it, which in turn can lead the Japanese to think that the British are impatient or that they must not have understood, and so on (Gudykunst and Kim, 2003).</w:t>
      </w:r>
    </w:p>
    <w:p w14:paraId="6711B433" w14:textId="0FE6080B" w:rsidR="00441337" w:rsidRPr="00B1662B" w:rsidRDefault="00441337" w:rsidP="00B1662B">
      <w:pPr>
        <w:pStyle w:val="Heading2"/>
        <w:spacing w:line="360" w:lineRule="auto"/>
        <w:rPr>
          <w:rFonts w:ascii="Arial" w:hAnsi="Arial" w:cs="Arial"/>
          <w:b/>
          <w:bCs/>
          <w:i/>
          <w:iCs/>
          <w:color w:val="000000" w:themeColor="text1"/>
          <w:sz w:val="22"/>
          <w:szCs w:val="22"/>
        </w:rPr>
      </w:pPr>
      <w:bookmarkStart w:id="9" w:name="_Toc236456932"/>
      <w:r w:rsidRPr="00B1662B">
        <w:rPr>
          <w:rFonts w:ascii="Arial" w:hAnsi="Arial" w:cs="Arial"/>
          <w:b/>
          <w:bCs/>
          <w:i/>
          <w:iCs/>
          <w:color w:val="000000" w:themeColor="text1"/>
          <w:sz w:val="22"/>
          <w:szCs w:val="22"/>
        </w:rPr>
        <w:t>Consensus-Based Decision-Making</w:t>
      </w:r>
      <w:bookmarkEnd w:id="9"/>
    </w:p>
    <w:p w14:paraId="2D3AE717" w14:textId="7E697DFC"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The ringi system is a characteristic process of organisational decision-making in Japan, where proposals are sent around for informal approval (nemawashi) and formally approved as a group (</w:t>
      </w:r>
      <w:r w:rsidR="00894AE1">
        <w:rPr>
          <w:rFonts w:ascii="Arial" w:hAnsi="Arial" w:cs="Arial"/>
          <w:sz w:val="22"/>
          <w:szCs w:val="22"/>
        </w:rPr>
        <w:t>SJAC</w:t>
      </w:r>
      <w:r w:rsidRPr="00441337">
        <w:rPr>
          <w:rFonts w:ascii="Arial" w:hAnsi="Arial" w:cs="Arial"/>
          <w:sz w:val="22"/>
          <w:szCs w:val="22"/>
        </w:rPr>
        <w:t xml:space="preserve">, </w:t>
      </w:r>
      <w:r w:rsidR="00894AE1">
        <w:rPr>
          <w:rFonts w:ascii="Arial" w:hAnsi="Arial" w:cs="Arial"/>
          <w:sz w:val="22"/>
          <w:szCs w:val="22"/>
        </w:rPr>
        <w:t>2026</w:t>
      </w:r>
      <w:r w:rsidRPr="00441337">
        <w:rPr>
          <w:rFonts w:ascii="Arial" w:hAnsi="Arial" w:cs="Arial"/>
          <w:sz w:val="22"/>
          <w:szCs w:val="22"/>
        </w:rPr>
        <w:t>). This is a process that is collectivist and consensus oriented as opposed to the more individually accountable and quick decision cycle that can occur in the UK where a single manager may be empowered to approve a change quickly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xml:space="preserve">). In practice, this implies that Japanese partners may feel that the </w:t>
      </w:r>
      <w:proofErr w:type="gramStart"/>
      <w:r w:rsidRPr="00441337">
        <w:rPr>
          <w:rFonts w:ascii="Arial" w:hAnsi="Arial" w:cs="Arial"/>
          <w:sz w:val="22"/>
          <w:szCs w:val="22"/>
        </w:rPr>
        <w:t>decision making</w:t>
      </w:r>
      <w:proofErr w:type="gramEnd"/>
      <w:r w:rsidRPr="00441337">
        <w:rPr>
          <w:rFonts w:ascii="Arial" w:hAnsi="Arial" w:cs="Arial"/>
          <w:sz w:val="22"/>
          <w:szCs w:val="22"/>
        </w:rPr>
        <w:t xml:space="preserve"> process of Rolls-Royce project </w:t>
      </w:r>
      <w:r w:rsidRPr="00441337">
        <w:rPr>
          <w:rFonts w:ascii="Arial" w:hAnsi="Arial" w:cs="Arial"/>
          <w:sz w:val="22"/>
          <w:szCs w:val="22"/>
        </w:rPr>
        <w:lastRenderedPageBreak/>
        <w:t xml:space="preserve">teams is fast and without sufficient consultation while Rolls-Royce teams may feel the Japanese partners are slow or that their decisions are too risky as they are made individually without a consultative process. Both perceptions are based on legal, albeit countervailing, organisational </w:t>
      </w:r>
      <w:proofErr w:type="gramStart"/>
      <w:r w:rsidRPr="00441337">
        <w:rPr>
          <w:rFonts w:ascii="Arial" w:hAnsi="Arial" w:cs="Arial"/>
          <w:sz w:val="22"/>
          <w:szCs w:val="22"/>
        </w:rPr>
        <w:t>logics</w:t>
      </w:r>
      <w:proofErr w:type="gramEnd"/>
      <w:r w:rsidRPr="00441337">
        <w:rPr>
          <w:rFonts w:ascii="Arial" w:hAnsi="Arial" w:cs="Arial"/>
          <w:sz w:val="22"/>
          <w:szCs w:val="22"/>
        </w:rPr>
        <w:t xml:space="preserve"> and not on incompetence on either side.</w:t>
      </w:r>
    </w:p>
    <w:p w14:paraId="47C019AC" w14:textId="06CF46DF" w:rsidR="00441337" w:rsidRPr="00B1662B" w:rsidRDefault="00441337" w:rsidP="00B1662B">
      <w:pPr>
        <w:pStyle w:val="Heading2"/>
        <w:spacing w:line="360" w:lineRule="auto"/>
        <w:rPr>
          <w:rFonts w:ascii="Arial" w:hAnsi="Arial" w:cs="Arial"/>
          <w:b/>
          <w:bCs/>
          <w:i/>
          <w:iCs/>
          <w:color w:val="000000" w:themeColor="text1"/>
          <w:sz w:val="22"/>
          <w:szCs w:val="22"/>
        </w:rPr>
      </w:pPr>
      <w:bookmarkStart w:id="10" w:name="_Toc236456933"/>
      <w:r w:rsidRPr="00B1662B">
        <w:rPr>
          <w:rFonts w:ascii="Arial" w:hAnsi="Arial" w:cs="Arial"/>
          <w:b/>
          <w:bCs/>
          <w:i/>
          <w:iCs/>
          <w:color w:val="000000" w:themeColor="text1"/>
          <w:sz w:val="22"/>
          <w:szCs w:val="22"/>
        </w:rPr>
        <w:t>Written and Relational Communication Norms</w:t>
      </w:r>
      <w:bookmarkEnd w:id="10"/>
    </w:p>
    <w:p w14:paraId="2FA5BDCB" w14:textId="3F0407AA"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This is typical of low-context communicators in the UK, who tend to prefer detailed written communication that can be used without a relationship context, as is the norm in legal and contractual traditions which focus on terms and conditions (Hall, 1976). High-context Japanese communication gives relatively more importance to the building of relationships (ningen kankei) before and in parallel to exhaustive written specification (Doi, </w:t>
      </w:r>
      <w:r w:rsidR="00C514F3">
        <w:rPr>
          <w:rFonts w:ascii="Arial" w:hAnsi="Arial" w:cs="Arial"/>
          <w:sz w:val="22"/>
          <w:szCs w:val="22"/>
        </w:rPr>
        <w:t>2001</w:t>
      </w:r>
      <w:r w:rsidRPr="00441337">
        <w:rPr>
          <w:rFonts w:ascii="Arial" w:hAnsi="Arial" w:cs="Arial"/>
          <w:sz w:val="22"/>
          <w:szCs w:val="22"/>
        </w:rPr>
        <w:t>; Usunier and Lee, 2013), and trust is established through repeated face-to-face communication, which is an important complement to and sometimes a substitute for exhaustive written specification. A UK team that simply takes a first draft of a technical document as the final version of an agreement, without spending the same amount of time on visits to build relationships and informal consultation, is seen by the Japanese team as merely transactional and not really engaged in the partnership.</w:t>
      </w:r>
    </w:p>
    <w:p w14:paraId="23D92A84" w14:textId="330EB1D5" w:rsidR="00FC4458" w:rsidRPr="00B1662B" w:rsidRDefault="00FC4458" w:rsidP="00B1662B">
      <w:pPr>
        <w:pStyle w:val="Heading1"/>
        <w:spacing w:line="360" w:lineRule="auto"/>
        <w:rPr>
          <w:rFonts w:ascii="Arial" w:hAnsi="Arial" w:cs="Arial"/>
          <w:b/>
          <w:bCs/>
          <w:color w:val="000000" w:themeColor="text1"/>
          <w:sz w:val="24"/>
          <w:szCs w:val="24"/>
        </w:rPr>
      </w:pPr>
      <w:bookmarkStart w:id="11" w:name="_Toc236456934"/>
      <w:r w:rsidRPr="00B1662B">
        <w:rPr>
          <w:rFonts w:ascii="Arial" w:hAnsi="Arial" w:cs="Arial"/>
          <w:b/>
          <w:bCs/>
          <w:color w:val="000000" w:themeColor="text1"/>
          <w:sz w:val="24"/>
          <w:szCs w:val="24"/>
        </w:rPr>
        <w:t>Implications for Cross-Cultural Project Management</w:t>
      </w:r>
      <w:bookmarkEnd w:id="11"/>
    </w:p>
    <w:p w14:paraId="2ACFEFB0" w14:textId="7777777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The differences have material implications for a UK – Japan joint project team as described in this brief. First, it is important to remember that the ambiguity in meetings </w:t>
      </w:r>
      <w:proofErr w:type="spellStart"/>
      <w:r w:rsidRPr="00441337">
        <w:rPr>
          <w:rFonts w:ascii="Arial" w:hAnsi="Arial" w:cs="Arial"/>
          <w:sz w:val="22"/>
          <w:szCs w:val="22"/>
        </w:rPr>
        <w:t>can not</w:t>
      </w:r>
      <w:proofErr w:type="spellEnd"/>
      <w:r w:rsidRPr="00441337">
        <w:rPr>
          <w:rFonts w:ascii="Arial" w:hAnsi="Arial" w:cs="Arial"/>
          <w:sz w:val="22"/>
          <w:szCs w:val="22"/>
        </w:rPr>
        <w:t xml:space="preserve"> always be interpreted in a UK way: what may seem like 'agreement' can actually be a sign that there are issues that have not been resolved and what may seem like 'silence' can actually be a sign of respectful deliberation and not disengagement (Meyer, 2014). A nodding or quiet acknowledgement of the technical sign-off by a UK project lead can lead to the discovery that reservations have never been addressed, much later in the design cycle (Gudykunst and Kim, 2003). </w:t>
      </w:r>
    </w:p>
    <w:p w14:paraId="062B0523" w14:textId="479DFF5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Second, what may seem like slow decision making by UK standards can be interpreted as a legitimate consensus-building process and rushing to sign-off may be interpreted as a lack of trust in the process, which is the basis for the Japanese side's cooperation (</w:t>
      </w:r>
      <w:r w:rsidR="00894AE1">
        <w:rPr>
          <w:rFonts w:ascii="Arial" w:hAnsi="Arial" w:cs="Arial"/>
          <w:sz w:val="22"/>
          <w:szCs w:val="22"/>
        </w:rPr>
        <w:t>SJAC</w:t>
      </w:r>
      <w:r w:rsidRPr="00441337">
        <w:rPr>
          <w:rFonts w:ascii="Arial" w:hAnsi="Arial" w:cs="Arial"/>
          <w:sz w:val="22"/>
          <w:szCs w:val="22"/>
        </w:rPr>
        <w:t xml:space="preserve">, </w:t>
      </w:r>
      <w:r w:rsidR="00894AE1">
        <w:rPr>
          <w:rFonts w:ascii="Arial" w:hAnsi="Arial" w:cs="Arial"/>
          <w:sz w:val="22"/>
          <w:szCs w:val="22"/>
        </w:rPr>
        <w:t>2026</w:t>
      </w:r>
      <w:r w:rsidRPr="00441337">
        <w:rPr>
          <w:rFonts w:ascii="Arial" w:hAnsi="Arial" w:cs="Arial"/>
          <w:sz w:val="22"/>
          <w:szCs w:val="22"/>
        </w:rPr>
        <w:t xml:space="preserve">). Forcing a decision may be seen as not being efficient, but rather as a lack of respect for the internal consultation process that </w:t>
      </w:r>
      <w:proofErr w:type="gramStart"/>
      <w:r w:rsidRPr="00441337">
        <w:rPr>
          <w:rFonts w:ascii="Arial" w:hAnsi="Arial" w:cs="Arial"/>
          <w:sz w:val="22"/>
          <w:szCs w:val="22"/>
        </w:rPr>
        <w:t>makes a decision</w:t>
      </w:r>
      <w:proofErr w:type="gramEnd"/>
      <w:r w:rsidRPr="00441337">
        <w:rPr>
          <w:rFonts w:ascii="Arial" w:hAnsi="Arial" w:cs="Arial"/>
          <w:sz w:val="22"/>
          <w:szCs w:val="22"/>
        </w:rPr>
        <w:t xml:space="preserve"> made by the Japanese team more durable (Trompenaars and Hampden-Turner, </w:t>
      </w:r>
      <w:r w:rsidR="00E07A20">
        <w:rPr>
          <w:rFonts w:ascii="Arial" w:hAnsi="Arial" w:cs="Arial"/>
          <w:sz w:val="22"/>
          <w:szCs w:val="22"/>
        </w:rPr>
        <w:t>2011</w:t>
      </w:r>
      <w:r w:rsidRPr="00441337">
        <w:rPr>
          <w:rFonts w:ascii="Arial" w:hAnsi="Arial" w:cs="Arial"/>
          <w:sz w:val="22"/>
          <w:szCs w:val="22"/>
        </w:rPr>
        <w:t xml:space="preserve">). </w:t>
      </w:r>
    </w:p>
    <w:p w14:paraId="3B70CD28" w14:textId="77777777"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lastRenderedPageBreak/>
        <w:t xml:space="preserve">Thirdly, training in communication that makes both sides aware of the other's norms, which may not be the same as one's own, will probably decrease the extent of misattributed intent (Gudykunst and Kim, 2003). This training works best when it is reciprocal, with the British staff being taught how to read the indirectness and silence, and the Japanese staff being made aware that the UK style of directness is not a personal criticism of them, but is a preference for low-context, explicit and task-focused feedback (Hall, 1976; Meyer, 2014). </w:t>
      </w:r>
    </w:p>
    <w:p w14:paraId="717B4F45" w14:textId="6A2FD8ED"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Fourth, the project governance structures themselves may need adapting – the single-track approval process, based on UK assumptions of individual accountability, can be counter-productive in the sense that it can undermine the collective deliberation that Japanese partners see as key to a good decision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xml:space="preserve">). Dual-track checkpoints, formal milestone points and informal consultation points, enable both cultural logics to function without either side feeling that the other was not "doing the job. </w:t>
      </w:r>
    </w:p>
    <w:p w14:paraId="229CFECF" w14:textId="4B8C4F14"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Finally, the implications are not limited to </w:t>
      </w:r>
      <w:proofErr w:type="gramStart"/>
      <w:r w:rsidRPr="00441337">
        <w:rPr>
          <w:rFonts w:ascii="Arial" w:hAnsi="Arial" w:cs="Arial"/>
          <w:sz w:val="22"/>
          <w:szCs w:val="22"/>
        </w:rPr>
        <w:t>any one</w:t>
      </w:r>
      <w:proofErr w:type="gramEnd"/>
      <w:r w:rsidRPr="00441337">
        <w:rPr>
          <w:rFonts w:ascii="Arial" w:hAnsi="Arial" w:cs="Arial"/>
          <w:sz w:val="22"/>
          <w:szCs w:val="22"/>
        </w:rPr>
        <w:t xml:space="preserve"> meeting or milestone: a series of little misunderstandings of intent can lead to a loss of relational trust, which is at least in part a replacement for complete contractual specification, especially in high-context partnerships (Doi, </w:t>
      </w:r>
      <w:r w:rsidR="00C514F3">
        <w:rPr>
          <w:rFonts w:ascii="Arial" w:hAnsi="Arial" w:cs="Arial"/>
          <w:sz w:val="22"/>
          <w:szCs w:val="22"/>
        </w:rPr>
        <w:t>2001</w:t>
      </w:r>
      <w:r w:rsidRPr="00441337">
        <w:rPr>
          <w:rFonts w:ascii="Arial" w:hAnsi="Arial" w:cs="Arial"/>
          <w:sz w:val="22"/>
          <w:szCs w:val="22"/>
        </w:rPr>
        <w:t>; Usunier and Lee, 2013). It is therefore important for a country director to consider cross-cultural communication competence as a key risk-management activity on par with technical or financial management (Ferraro and Briody, 2017).</w:t>
      </w:r>
    </w:p>
    <w:p w14:paraId="7BE7FEAC" w14:textId="55C9070D" w:rsidR="00441337" w:rsidRPr="00B1662B" w:rsidRDefault="00441337" w:rsidP="00B1662B">
      <w:pPr>
        <w:pStyle w:val="Heading1"/>
        <w:spacing w:line="360" w:lineRule="auto"/>
        <w:rPr>
          <w:rFonts w:ascii="Arial" w:hAnsi="Arial" w:cs="Arial"/>
          <w:b/>
          <w:bCs/>
          <w:color w:val="000000" w:themeColor="text1"/>
          <w:sz w:val="24"/>
          <w:szCs w:val="24"/>
        </w:rPr>
      </w:pPr>
      <w:bookmarkStart w:id="12" w:name="_Toc236456935"/>
      <w:r w:rsidRPr="00B1662B">
        <w:rPr>
          <w:rFonts w:ascii="Arial" w:hAnsi="Arial" w:cs="Arial"/>
          <w:b/>
          <w:bCs/>
          <w:color w:val="000000" w:themeColor="text1"/>
          <w:sz w:val="24"/>
          <w:szCs w:val="24"/>
        </w:rPr>
        <w:t>Recommendations</w:t>
      </w:r>
      <w:bookmarkEnd w:id="12"/>
    </w:p>
    <w:p w14:paraId="0E220486" w14:textId="07845CBA"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There are four interlocking measures which could be useful for a country director in this position. First, emulate nemawashi by creating informal communication channels parallel to formal meetings, allowing Japanese colleagues to raise concerns before a decision is made, instead of being forced to openly oppose a decision in a formal meeting (</w:t>
      </w:r>
      <w:r w:rsidR="00894AE1">
        <w:rPr>
          <w:rFonts w:ascii="Arial" w:hAnsi="Arial" w:cs="Arial"/>
          <w:sz w:val="22"/>
          <w:szCs w:val="22"/>
        </w:rPr>
        <w:t>SJAC</w:t>
      </w:r>
      <w:r w:rsidRPr="00441337">
        <w:rPr>
          <w:rFonts w:ascii="Arial" w:hAnsi="Arial" w:cs="Arial"/>
          <w:sz w:val="22"/>
          <w:szCs w:val="22"/>
        </w:rPr>
        <w:t xml:space="preserve">, </w:t>
      </w:r>
      <w:r w:rsidR="00894AE1">
        <w:rPr>
          <w:rFonts w:ascii="Arial" w:hAnsi="Arial" w:cs="Arial"/>
          <w:sz w:val="22"/>
          <w:szCs w:val="22"/>
        </w:rPr>
        <w:t>2026</w:t>
      </w:r>
      <w:r w:rsidRPr="00441337">
        <w:rPr>
          <w:rFonts w:ascii="Arial" w:hAnsi="Arial" w:cs="Arial"/>
          <w:sz w:val="22"/>
          <w:szCs w:val="22"/>
        </w:rPr>
        <w:t xml:space="preserve">). Second, make a point of informing UK staff about the communicative role of silence and indirect refusal, </w:t>
      </w:r>
      <w:proofErr w:type="gramStart"/>
      <w:r w:rsidRPr="00441337">
        <w:rPr>
          <w:rFonts w:ascii="Arial" w:hAnsi="Arial" w:cs="Arial"/>
          <w:sz w:val="22"/>
          <w:szCs w:val="22"/>
        </w:rPr>
        <w:t>so as to</w:t>
      </w:r>
      <w:proofErr w:type="gramEnd"/>
      <w:r w:rsidRPr="00441337">
        <w:rPr>
          <w:rFonts w:ascii="Arial" w:hAnsi="Arial" w:cs="Arial"/>
          <w:sz w:val="22"/>
          <w:szCs w:val="22"/>
        </w:rPr>
        <w:t xml:space="preserve"> minimize the risk of overstepping on unstated objections or taking careful consideration as passive consent (</w:t>
      </w:r>
      <w:r w:rsidR="00E07A20" w:rsidRPr="00E07A20">
        <w:rPr>
          <w:rFonts w:ascii="Arial" w:hAnsi="Arial" w:cs="Arial"/>
          <w:sz w:val="22"/>
          <w:szCs w:val="22"/>
        </w:rPr>
        <w:t>Jones</w:t>
      </w:r>
      <w:r w:rsidRPr="00441337">
        <w:rPr>
          <w:rFonts w:ascii="Arial" w:hAnsi="Arial" w:cs="Arial"/>
          <w:sz w:val="22"/>
          <w:szCs w:val="22"/>
        </w:rPr>
        <w:t xml:space="preserve">, </w:t>
      </w:r>
      <w:r w:rsidR="00E07A20">
        <w:rPr>
          <w:rFonts w:ascii="Arial" w:hAnsi="Arial" w:cs="Arial"/>
          <w:sz w:val="22"/>
          <w:szCs w:val="22"/>
        </w:rPr>
        <w:t>2011</w:t>
      </w:r>
      <w:r w:rsidRPr="00441337">
        <w:rPr>
          <w:rFonts w:ascii="Arial" w:hAnsi="Arial" w:cs="Arial"/>
          <w:sz w:val="22"/>
          <w:szCs w:val="22"/>
        </w:rPr>
        <w:t>). Third, provide more lead time in the project schedule for consensus to be reached on the Japanese side and don't take UK-paced consensus as the universal standard to which all partners are implicitly held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xml:space="preserve">). Fourth, make an effort to visit face-to-face early in the partnership (as is characteristic of HCI), as the trust that develops from ongoing personal interaction can overcome and resolve misunderstandings that could otherwise be magnified if the relationship were only "on paper" (Hall and Hall, 1990; Meyer, </w:t>
      </w:r>
      <w:r w:rsidRPr="00441337">
        <w:rPr>
          <w:rFonts w:ascii="Arial" w:hAnsi="Arial" w:cs="Arial"/>
          <w:sz w:val="22"/>
          <w:szCs w:val="22"/>
        </w:rPr>
        <w:lastRenderedPageBreak/>
        <w:t xml:space="preserve">2014). Together these measures rethink cultural difference as not something to be </w:t>
      </w:r>
      <w:proofErr w:type="spellStart"/>
      <w:r w:rsidRPr="00441337">
        <w:rPr>
          <w:rFonts w:ascii="Arial" w:hAnsi="Arial" w:cs="Arial"/>
          <w:sz w:val="22"/>
          <w:szCs w:val="22"/>
        </w:rPr>
        <w:t>minimised</w:t>
      </w:r>
      <w:proofErr w:type="spellEnd"/>
      <w:r w:rsidRPr="00441337">
        <w:rPr>
          <w:rFonts w:ascii="Arial" w:hAnsi="Arial" w:cs="Arial"/>
          <w:sz w:val="22"/>
          <w:szCs w:val="22"/>
        </w:rPr>
        <w:t xml:space="preserve"> but something that is a structural part of the partnership to be designed around.</w:t>
      </w:r>
    </w:p>
    <w:p w14:paraId="4A143BDB" w14:textId="1C20734A" w:rsidR="00441337" w:rsidRPr="00B1662B" w:rsidRDefault="00441337" w:rsidP="00B1662B">
      <w:pPr>
        <w:pStyle w:val="Heading1"/>
        <w:spacing w:line="360" w:lineRule="auto"/>
        <w:rPr>
          <w:rFonts w:ascii="Arial" w:hAnsi="Arial" w:cs="Arial"/>
          <w:b/>
          <w:bCs/>
          <w:color w:val="000000" w:themeColor="text1"/>
          <w:sz w:val="24"/>
          <w:szCs w:val="24"/>
        </w:rPr>
      </w:pPr>
      <w:bookmarkStart w:id="13" w:name="_Toc236456936"/>
      <w:r w:rsidRPr="00B1662B">
        <w:rPr>
          <w:rFonts w:ascii="Arial" w:hAnsi="Arial" w:cs="Arial"/>
          <w:b/>
          <w:bCs/>
          <w:color w:val="000000" w:themeColor="text1"/>
          <w:sz w:val="24"/>
          <w:szCs w:val="24"/>
        </w:rPr>
        <w:t>Conclusion</w:t>
      </w:r>
      <w:bookmarkEnd w:id="13"/>
    </w:p>
    <w:p w14:paraId="4797F8A0" w14:textId="4453400E" w:rsidR="00441337" w:rsidRPr="00441337" w:rsidRDefault="00441337" w:rsidP="00441337">
      <w:pPr>
        <w:spacing w:line="360" w:lineRule="auto"/>
        <w:jc w:val="both"/>
        <w:rPr>
          <w:rFonts w:ascii="Arial" w:hAnsi="Arial" w:cs="Arial"/>
          <w:sz w:val="22"/>
          <w:szCs w:val="22"/>
        </w:rPr>
      </w:pPr>
      <w:r w:rsidRPr="00441337">
        <w:rPr>
          <w:rFonts w:ascii="Arial" w:hAnsi="Arial" w:cs="Arial"/>
          <w:sz w:val="22"/>
          <w:szCs w:val="22"/>
        </w:rPr>
        <w:t xml:space="preserve">The communication problems that could occur between Rolls-Royce and the Japanese aerospace partners are not incidental but predictable </w:t>
      </w:r>
      <w:proofErr w:type="gramStart"/>
      <w:r w:rsidRPr="00441337">
        <w:rPr>
          <w:rFonts w:ascii="Arial" w:hAnsi="Arial" w:cs="Arial"/>
          <w:sz w:val="22"/>
          <w:szCs w:val="22"/>
        </w:rPr>
        <w:t>as a result of</w:t>
      </w:r>
      <w:proofErr w:type="gramEnd"/>
      <w:r w:rsidRPr="00441337">
        <w:rPr>
          <w:rFonts w:ascii="Arial" w:hAnsi="Arial" w:cs="Arial"/>
          <w:sz w:val="22"/>
          <w:szCs w:val="22"/>
        </w:rPr>
        <w:t xml:space="preserve"> well-documented differences in power distance, individualism, uncertainty avoidance and context-dependence (</w:t>
      </w:r>
      <w:r w:rsidR="00421E89" w:rsidRPr="00CF19DA">
        <w:rPr>
          <w:rFonts w:ascii="Arial" w:hAnsi="Arial" w:cs="Arial"/>
          <w:sz w:val="22"/>
          <w:szCs w:val="22"/>
        </w:rPr>
        <w:t>Hoftede</w:t>
      </w:r>
      <w:r w:rsidR="00421E89">
        <w:rPr>
          <w:rFonts w:ascii="Arial" w:hAnsi="Arial" w:cs="Arial"/>
          <w:sz w:val="22"/>
          <w:szCs w:val="22"/>
        </w:rPr>
        <w:t xml:space="preserve"> et al.</w:t>
      </w:r>
      <w:r w:rsidR="00421E89" w:rsidRPr="00441337">
        <w:rPr>
          <w:rFonts w:ascii="Arial" w:hAnsi="Arial" w:cs="Arial"/>
          <w:sz w:val="22"/>
          <w:szCs w:val="22"/>
        </w:rPr>
        <w:t>, 2010</w:t>
      </w:r>
      <w:r w:rsidRPr="00441337">
        <w:rPr>
          <w:rFonts w:ascii="Arial" w:hAnsi="Arial" w:cs="Arial"/>
          <w:sz w:val="22"/>
          <w:szCs w:val="22"/>
        </w:rPr>
        <w:t>; Hall, 1976). Direct communication norms are prevalent in the UK and indirect, consensus-seeking communication norms in Japan, and normally misunderstandings occur when one participant takes the actions of the other and reads them through their own lens of communication norms, and not the other's. So the key is not so much to eradicate cultural difference, as to create structures, timelines and cross-cultural literacy that allow both styles of communication to exist on their own terms, and to be effective leadership of a blended team in the UK and Japan.</w:t>
      </w:r>
    </w:p>
    <w:p w14:paraId="14ABD2D9" w14:textId="77777777" w:rsidR="00441337" w:rsidRPr="00441337" w:rsidRDefault="00441337" w:rsidP="00441337">
      <w:pPr>
        <w:spacing w:line="360" w:lineRule="auto"/>
        <w:jc w:val="both"/>
        <w:rPr>
          <w:rFonts w:ascii="Arial" w:hAnsi="Arial" w:cs="Arial"/>
          <w:b/>
          <w:bCs/>
          <w:sz w:val="22"/>
          <w:szCs w:val="22"/>
        </w:rPr>
      </w:pPr>
      <w:r w:rsidRPr="00441337">
        <w:rPr>
          <w:rFonts w:ascii="Arial" w:hAnsi="Arial" w:cs="Arial"/>
          <w:b/>
          <w:bCs/>
          <w:sz w:val="22"/>
          <w:szCs w:val="22"/>
        </w:rPr>
        <w:br w:type="page"/>
      </w:r>
    </w:p>
    <w:p w14:paraId="2C29F5B5" w14:textId="4035B6B3" w:rsidR="00441337" w:rsidRPr="00B1662B" w:rsidRDefault="00383F91" w:rsidP="00FF4EAD">
      <w:pPr>
        <w:pStyle w:val="Heading1"/>
        <w:spacing w:line="360" w:lineRule="auto"/>
        <w:jc w:val="center"/>
        <w:rPr>
          <w:rFonts w:ascii="Arial" w:hAnsi="Arial" w:cs="Arial"/>
          <w:b/>
          <w:bCs/>
          <w:color w:val="000000" w:themeColor="text1"/>
          <w:sz w:val="24"/>
          <w:szCs w:val="24"/>
        </w:rPr>
      </w:pPr>
      <w:bookmarkStart w:id="14" w:name="_Toc236456937"/>
      <w:r w:rsidRPr="00B1662B">
        <w:rPr>
          <w:rFonts w:ascii="Arial" w:hAnsi="Arial" w:cs="Arial"/>
          <w:b/>
          <w:bCs/>
          <w:color w:val="000000" w:themeColor="text1"/>
          <w:sz w:val="24"/>
          <w:szCs w:val="24"/>
        </w:rPr>
        <w:lastRenderedPageBreak/>
        <w:t>REFERENCES</w:t>
      </w:r>
      <w:bookmarkEnd w:id="14"/>
    </w:p>
    <w:p w14:paraId="1D78E693" w14:textId="77777777" w:rsidR="00383F91" w:rsidRDefault="00383F91" w:rsidP="00441337">
      <w:pPr>
        <w:spacing w:line="360" w:lineRule="auto"/>
        <w:jc w:val="both"/>
        <w:rPr>
          <w:rFonts w:ascii="Arial" w:hAnsi="Arial" w:cs="Arial"/>
          <w:sz w:val="22"/>
          <w:szCs w:val="22"/>
        </w:rPr>
      </w:pPr>
      <w:r w:rsidRPr="00C514F3">
        <w:rPr>
          <w:rFonts w:ascii="Arial" w:hAnsi="Arial" w:cs="Arial"/>
          <w:sz w:val="22"/>
          <w:szCs w:val="22"/>
        </w:rPr>
        <w:t xml:space="preserve">Doi, T. (2001). </w:t>
      </w:r>
      <w:r w:rsidRPr="00C514F3">
        <w:rPr>
          <w:rFonts w:ascii="Arial" w:hAnsi="Arial" w:cs="Arial"/>
          <w:i/>
          <w:iCs/>
          <w:sz w:val="22"/>
          <w:szCs w:val="22"/>
        </w:rPr>
        <w:t>The anatomy of dependence</w:t>
      </w:r>
      <w:r w:rsidRPr="00C514F3">
        <w:rPr>
          <w:rFonts w:ascii="Arial" w:hAnsi="Arial" w:cs="Arial"/>
          <w:sz w:val="22"/>
          <w:szCs w:val="22"/>
        </w:rPr>
        <w:t>. Kodansha.</w:t>
      </w:r>
    </w:p>
    <w:p w14:paraId="42324462" w14:textId="77777777" w:rsidR="00383F91" w:rsidRPr="00441337" w:rsidRDefault="00383F91" w:rsidP="00441337">
      <w:pPr>
        <w:spacing w:line="360" w:lineRule="auto"/>
        <w:jc w:val="both"/>
        <w:rPr>
          <w:rFonts w:ascii="Arial" w:hAnsi="Arial" w:cs="Arial"/>
          <w:sz w:val="22"/>
          <w:szCs w:val="22"/>
        </w:rPr>
      </w:pPr>
      <w:r w:rsidRPr="00441337">
        <w:rPr>
          <w:rFonts w:ascii="Arial" w:hAnsi="Arial" w:cs="Arial"/>
          <w:sz w:val="22"/>
          <w:szCs w:val="22"/>
        </w:rPr>
        <w:t xml:space="preserve">Ferraro, G.P. and Briody, E.K. (2017) </w:t>
      </w:r>
      <w:r w:rsidRPr="00441337">
        <w:rPr>
          <w:rFonts w:ascii="Arial" w:hAnsi="Arial" w:cs="Arial"/>
          <w:i/>
          <w:iCs/>
          <w:sz w:val="22"/>
          <w:szCs w:val="22"/>
        </w:rPr>
        <w:t>The Cultural Dimension of Global Business</w:t>
      </w:r>
      <w:r w:rsidRPr="00441337">
        <w:rPr>
          <w:rFonts w:ascii="Arial" w:hAnsi="Arial" w:cs="Arial"/>
          <w:sz w:val="22"/>
          <w:szCs w:val="22"/>
        </w:rPr>
        <w:t xml:space="preserve">. 8th </w:t>
      </w:r>
      <w:proofErr w:type="spellStart"/>
      <w:r w:rsidRPr="00441337">
        <w:rPr>
          <w:rFonts w:ascii="Arial" w:hAnsi="Arial" w:cs="Arial"/>
          <w:sz w:val="22"/>
          <w:szCs w:val="22"/>
        </w:rPr>
        <w:t>edn</w:t>
      </w:r>
      <w:proofErr w:type="spellEnd"/>
      <w:r w:rsidRPr="00441337">
        <w:rPr>
          <w:rFonts w:ascii="Arial" w:hAnsi="Arial" w:cs="Arial"/>
          <w:sz w:val="22"/>
          <w:szCs w:val="22"/>
        </w:rPr>
        <w:t>. New York: Routledge.</w:t>
      </w:r>
    </w:p>
    <w:p w14:paraId="1D76392C" w14:textId="77777777" w:rsidR="00383F91" w:rsidRDefault="00383F91" w:rsidP="00441337">
      <w:pPr>
        <w:spacing w:line="360" w:lineRule="auto"/>
        <w:jc w:val="both"/>
        <w:rPr>
          <w:rFonts w:ascii="Arial" w:hAnsi="Arial" w:cs="Arial"/>
          <w:sz w:val="22"/>
          <w:szCs w:val="22"/>
        </w:rPr>
      </w:pPr>
      <w:r w:rsidRPr="00CF19DA">
        <w:rPr>
          <w:rFonts w:ascii="Arial" w:hAnsi="Arial" w:cs="Arial"/>
          <w:sz w:val="22"/>
          <w:szCs w:val="22"/>
        </w:rPr>
        <w:t xml:space="preserve">Gudykunst, W. B., &amp; Kim, Y. Y. (1992). </w:t>
      </w:r>
      <w:r w:rsidRPr="00CF19DA">
        <w:rPr>
          <w:rFonts w:ascii="Arial" w:hAnsi="Arial" w:cs="Arial"/>
          <w:i/>
          <w:iCs/>
          <w:sz w:val="22"/>
          <w:szCs w:val="22"/>
        </w:rPr>
        <w:t>Communicating with strangers: An approach to intercultural communication</w:t>
      </w:r>
      <w:r w:rsidRPr="00CF19DA">
        <w:rPr>
          <w:rFonts w:ascii="Arial" w:hAnsi="Arial" w:cs="Arial"/>
          <w:sz w:val="22"/>
          <w:szCs w:val="22"/>
        </w:rPr>
        <w:t xml:space="preserve"> (Vol. 19). New York: McGraw-Hill.</w:t>
      </w:r>
    </w:p>
    <w:p w14:paraId="5B7C1118" w14:textId="77777777" w:rsidR="00383F91" w:rsidRDefault="00383F91" w:rsidP="00441337">
      <w:pPr>
        <w:spacing w:line="360" w:lineRule="auto"/>
        <w:jc w:val="both"/>
        <w:rPr>
          <w:rFonts w:ascii="Arial" w:hAnsi="Arial" w:cs="Arial"/>
          <w:sz w:val="22"/>
          <w:szCs w:val="22"/>
        </w:rPr>
      </w:pPr>
      <w:r w:rsidRPr="00CF19DA">
        <w:rPr>
          <w:rFonts w:ascii="Arial" w:hAnsi="Arial" w:cs="Arial"/>
          <w:sz w:val="22"/>
          <w:szCs w:val="22"/>
        </w:rPr>
        <w:t>Hall, E. T. (1976). Beyond Culture, New York (Anchor Press) 1976.</w:t>
      </w:r>
    </w:p>
    <w:p w14:paraId="41A8A3D4" w14:textId="77777777" w:rsidR="00383F91" w:rsidRDefault="00383F91" w:rsidP="00441337">
      <w:pPr>
        <w:spacing w:line="360" w:lineRule="auto"/>
        <w:jc w:val="both"/>
        <w:rPr>
          <w:rFonts w:ascii="Arial" w:hAnsi="Arial" w:cs="Arial"/>
          <w:sz w:val="22"/>
          <w:szCs w:val="22"/>
        </w:rPr>
      </w:pPr>
      <w:r w:rsidRPr="00CF19DA">
        <w:rPr>
          <w:rFonts w:ascii="Arial" w:hAnsi="Arial" w:cs="Arial"/>
          <w:sz w:val="22"/>
          <w:szCs w:val="22"/>
        </w:rPr>
        <w:t xml:space="preserve">Hall, E. T., &amp; Hall, M. R. (1990). Understanding cultural differences. </w:t>
      </w:r>
      <w:r w:rsidRPr="00CF19DA">
        <w:rPr>
          <w:rFonts w:ascii="Arial" w:hAnsi="Arial" w:cs="Arial"/>
          <w:i/>
          <w:iCs/>
          <w:sz w:val="22"/>
          <w:szCs w:val="22"/>
        </w:rPr>
        <w:t>(No Title)</w:t>
      </w:r>
      <w:r w:rsidRPr="00CF19DA">
        <w:rPr>
          <w:rFonts w:ascii="Arial" w:hAnsi="Arial" w:cs="Arial"/>
          <w:sz w:val="22"/>
          <w:szCs w:val="22"/>
        </w:rPr>
        <w:t>.</w:t>
      </w:r>
    </w:p>
    <w:p w14:paraId="7DA1DB3F" w14:textId="77777777" w:rsidR="00383F91" w:rsidRPr="00441337" w:rsidRDefault="00383F91" w:rsidP="00441337">
      <w:pPr>
        <w:spacing w:line="360" w:lineRule="auto"/>
        <w:jc w:val="both"/>
        <w:rPr>
          <w:rFonts w:ascii="Arial" w:hAnsi="Arial" w:cs="Arial"/>
          <w:sz w:val="22"/>
          <w:szCs w:val="22"/>
        </w:rPr>
      </w:pPr>
      <w:r w:rsidRPr="00441337">
        <w:rPr>
          <w:rFonts w:ascii="Arial" w:hAnsi="Arial" w:cs="Arial"/>
          <w:sz w:val="22"/>
          <w:szCs w:val="22"/>
        </w:rPr>
        <w:t xml:space="preserve">Hofstede Insights (2023) </w:t>
      </w:r>
      <w:r w:rsidRPr="00441337">
        <w:rPr>
          <w:rFonts w:ascii="Arial" w:hAnsi="Arial" w:cs="Arial"/>
          <w:i/>
          <w:iCs/>
          <w:sz w:val="22"/>
          <w:szCs w:val="22"/>
        </w:rPr>
        <w:t>Country Comparison: United Kingdom, Japan</w:t>
      </w:r>
      <w:r w:rsidRPr="00441337">
        <w:rPr>
          <w:rFonts w:ascii="Arial" w:hAnsi="Arial" w:cs="Arial"/>
          <w:sz w:val="22"/>
          <w:szCs w:val="22"/>
        </w:rPr>
        <w:t>. Helsinki: Hofstede Insights.</w:t>
      </w:r>
      <w:r>
        <w:rPr>
          <w:rFonts w:ascii="Arial" w:hAnsi="Arial" w:cs="Arial"/>
          <w:sz w:val="22"/>
          <w:szCs w:val="22"/>
        </w:rPr>
        <w:t xml:space="preserve"> Available Online. Retrieved from: </w:t>
      </w:r>
      <w:hyperlink r:id="rId9" w:history="1">
        <w:r w:rsidRPr="000C5218">
          <w:rPr>
            <w:rStyle w:val="Hyperlink"/>
            <w:rFonts w:ascii="Arial" w:hAnsi="Arial" w:cs="Arial"/>
            <w:sz w:val="22"/>
            <w:szCs w:val="22"/>
          </w:rPr>
          <w:t>https://www.hofstede-insights.com/</w:t>
        </w:r>
      </w:hyperlink>
      <w:r>
        <w:rPr>
          <w:rFonts w:ascii="Arial" w:hAnsi="Arial" w:cs="Arial"/>
          <w:sz w:val="22"/>
          <w:szCs w:val="22"/>
        </w:rPr>
        <w:t xml:space="preserve"> </w:t>
      </w:r>
    </w:p>
    <w:p w14:paraId="4564FAEB" w14:textId="77777777" w:rsidR="00383F91" w:rsidRDefault="00383F91" w:rsidP="00441337">
      <w:pPr>
        <w:spacing w:line="360" w:lineRule="auto"/>
        <w:jc w:val="both"/>
        <w:rPr>
          <w:rFonts w:ascii="Arial" w:hAnsi="Arial" w:cs="Arial"/>
          <w:sz w:val="22"/>
          <w:szCs w:val="22"/>
        </w:rPr>
      </w:pPr>
      <w:r w:rsidRPr="00CF19DA">
        <w:rPr>
          <w:rFonts w:ascii="Arial" w:hAnsi="Arial" w:cs="Arial"/>
          <w:sz w:val="22"/>
          <w:szCs w:val="22"/>
        </w:rPr>
        <w:t xml:space="preserve">Hoftede, G., Hofstede, G. J., &amp; Minkov, M. (2010). </w:t>
      </w:r>
      <w:r w:rsidRPr="00CF19DA">
        <w:rPr>
          <w:rFonts w:ascii="Arial" w:hAnsi="Arial" w:cs="Arial"/>
          <w:i/>
          <w:iCs/>
          <w:sz w:val="22"/>
          <w:szCs w:val="22"/>
        </w:rPr>
        <w:t>Cultures and organizations: software of the mind: intercultural cooperation and its importance for survival</w:t>
      </w:r>
      <w:r w:rsidRPr="00CF19DA">
        <w:rPr>
          <w:rFonts w:ascii="Arial" w:hAnsi="Arial" w:cs="Arial"/>
          <w:sz w:val="22"/>
          <w:szCs w:val="22"/>
        </w:rPr>
        <w:t>. McGraw-Hill.</w:t>
      </w:r>
    </w:p>
    <w:p w14:paraId="4DFAED1A" w14:textId="77777777" w:rsidR="00383F91" w:rsidRDefault="00383F91" w:rsidP="00441337">
      <w:pPr>
        <w:spacing w:line="360" w:lineRule="auto"/>
        <w:jc w:val="both"/>
        <w:rPr>
          <w:rFonts w:ascii="Arial" w:hAnsi="Arial" w:cs="Arial"/>
          <w:sz w:val="22"/>
          <w:szCs w:val="22"/>
        </w:rPr>
      </w:pPr>
      <w:r w:rsidRPr="00E07A20">
        <w:rPr>
          <w:rFonts w:ascii="Arial" w:hAnsi="Arial" w:cs="Arial"/>
          <w:sz w:val="22"/>
          <w:szCs w:val="22"/>
        </w:rPr>
        <w:t xml:space="preserve">Jones, S. (2011). Speech is silver, silence is golden: The cultural importance of silence in Japan. </w:t>
      </w:r>
      <w:r w:rsidRPr="00E07A20">
        <w:rPr>
          <w:rFonts w:ascii="Arial" w:hAnsi="Arial" w:cs="Arial"/>
          <w:i/>
          <w:iCs/>
          <w:sz w:val="22"/>
          <w:szCs w:val="22"/>
        </w:rPr>
        <w:t>The ANU Undergraduate Research Journal</w:t>
      </w:r>
      <w:r w:rsidRPr="00E07A20">
        <w:rPr>
          <w:rFonts w:ascii="Arial" w:hAnsi="Arial" w:cs="Arial"/>
          <w:sz w:val="22"/>
          <w:szCs w:val="22"/>
        </w:rPr>
        <w:t xml:space="preserve">, </w:t>
      </w:r>
      <w:r w:rsidRPr="00E07A20">
        <w:rPr>
          <w:rFonts w:ascii="Arial" w:hAnsi="Arial" w:cs="Arial"/>
          <w:i/>
          <w:iCs/>
          <w:sz w:val="22"/>
          <w:szCs w:val="22"/>
        </w:rPr>
        <w:t>3</w:t>
      </w:r>
      <w:r w:rsidRPr="00E07A20">
        <w:rPr>
          <w:rFonts w:ascii="Arial" w:hAnsi="Arial" w:cs="Arial"/>
          <w:sz w:val="22"/>
          <w:szCs w:val="22"/>
        </w:rPr>
        <w:t>, 17-27.</w:t>
      </w:r>
    </w:p>
    <w:p w14:paraId="2E66CF38" w14:textId="77777777" w:rsidR="00383F91" w:rsidRPr="00441337" w:rsidRDefault="00383F91" w:rsidP="00441337">
      <w:pPr>
        <w:spacing w:line="360" w:lineRule="auto"/>
        <w:jc w:val="both"/>
        <w:rPr>
          <w:rFonts w:ascii="Arial" w:hAnsi="Arial" w:cs="Arial"/>
          <w:sz w:val="22"/>
          <w:szCs w:val="22"/>
        </w:rPr>
      </w:pPr>
      <w:r w:rsidRPr="00441337">
        <w:rPr>
          <w:rFonts w:ascii="Arial" w:hAnsi="Arial" w:cs="Arial"/>
          <w:sz w:val="22"/>
          <w:szCs w:val="22"/>
        </w:rPr>
        <w:t xml:space="preserve">Meyer, E. (2014) </w:t>
      </w:r>
      <w:r w:rsidRPr="00441337">
        <w:rPr>
          <w:rFonts w:ascii="Arial" w:hAnsi="Arial" w:cs="Arial"/>
          <w:i/>
          <w:iCs/>
          <w:sz w:val="22"/>
          <w:szCs w:val="22"/>
        </w:rPr>
        <w:t>The Culture Map: Breaking Through the Invisible Boundaries of Global Business</w:t>
      </w:r>
      <w:r w:rsidRPr="00441337">
        <w:rPr>
          <w:rFonts w:ascii="Arial" w:hAnsi="Arial" w:cs="Arial"/>
          <w:sz w:val="22"/>
          <w:szCs w:val="22"/>
        </w:rPr>
        <w:t>. New York: PublicAffairs.</w:t>
      </w:r>
    </w:p>
    <w:p w14:paraId="392869D7" w14:textId="77777777" w:rsidR="00383F91" w:rsidRDefault="00383F91" w:rsidP="00441337">
      <w:pPr>
        <w:spacing w:line="360" w:lineRule="auto"/>
        <w:jc w:val="both"/>
        <w:rPr>
          <w:rFonts w:ascii="Arial" w:hAnsi="Arial" w:cs="Arial"/>
          <w:sz w:val="22"/>
          <w:szCs w:val="22"/>
        </w:rPr>
      </w:pPr>
      <w:r w:rsidRPr="00E07A20">
        <w:rPr>
          <w:rFonts w:ascii="Arial" w:hAnsi="Arial" w:cs="Arial"/>
          <w:sz w:val="22"/>
          <w:szCs w:val="22"/>
        </w:rPr>
        <w:t xml:space="preserve">Minkov, M., &amp; Hofstede, G. (2012). Is national culture a meaningful concept? Cultural values delineate homogeneous national clusters of in-country regions. </w:t>
      </w:r>
      <w:r w:rsidRPr="00E07A20">
        <w:rPr>
          <w:rFonts w:ascii="Arial" w:hAnsi="Arial" w:cs="Arial"/>
          <w:i/>
          <w:iCs/>
          <w:sz w:val="22"/>
          <w:szCs w:val="22"/>
        </w:rPr>
        <w:t>Cross-Cultural Research</w:t>
      </w:r>
      <w:r w:rsidRPr="00E07A20">
        <w:rPr>
          <w:rFonts w:ascii="Arial" w:hAnsi="Arial" w:cs="Arial"/>
          <w:sz w:val="22"/>
          <w:szCs w:val="22"/>
        </w:rPr>
        <w:t xml:space="preserve">, </w:t>
      </w:r>
      <w:r w:rsidRPr="00E07A20">
        <w:rPr>
          <w:rFonts w:ascii="Arial" w:hAnsi="Arial" w:cs="Arial"/>
          <w:i/>
          <w:iCs/>
          <w:sz w:val="22"/>
          <w:szCs w:val="22"/>
        </w:rPr>
        <w:t>46</w:t>
      </w:r>
      <w:r w:rsidRPr="00E07A20">
        <w:rPr>
          <w:rFonts w:ascii="Arial" w:hAnsi="Arial" w:cs="Arial"/>
          <w:sz w:val="22"/>
          <w:szCs w:val="22"/>
        </w:rPr>
        <w:t>(2), 133-159.</w:t>
      </w:r>
    </w:p>
    <w:p w14:paraId="5E71366B" w14:textId="77777777" w:rsidR="00383F91" w:rsidRPr="00441337" w:rsidRDefault="00383F91" w:rsidP="00441337">
      <w:pPr>
        <w:spacing w:line="360" w:lineRule="auto"/>
        <w:jc w:val="both"/>
        <w:rPr>
          <w:rFonts w:ascii="Arial" w:hAnsi="Arial" w:cs="Arial"/>
          <w:sz w:val="22"/>
          <w:szCs w:val="22"/>
        </w:rPr>
      </w:pPr>
      <w:r w:rsidRPr="00441337">
        <w:rPr>
          <w:rFonts w:ascii="Arial" w:hAnsi="Arial" w:cs="Arial"/>
          <w:sz w:val="22"/>
          <w:szCs w:val="22"/>
        </w:rPr>
        <w:t xml:space="preserve">Rolls-Royce (2023) </w:t>
      </w:r>
      <w:r w:rsidRPr="00441337">
        <w:rPr>
          <w:rFonts w:ascii="Arial" w:hAnsi="Arial" w:cs="Arial"/>
          <w:i/>
          <w:iCs/>
          <w:sz w:val="22"/>
          <w:szCs w:val="22"/>
        </w:rPr>
        <w:t>Annual Report 2022</w:t>
      </w:r>
      <w:r w:rsidRPr="00441337">
        <w:rPr>
          <w:rFonts w:ascii="Arial" w:hAnsi="Arial" w:cs="Arial"/>
          <w:sz w:val="22"/>
          <w:szCs w:val="22"/>
        </w:rPr>
        <w:t>. London: Rolls-Royce Holdings plc.</w:t>
      </w:r>
      <w:r>
        <w:rPr>
          <w:rFonts w:ascii="Arial" w:hAnsi="Arial" w:cs="Arial"/>
          <w:sz w:val="22"/>
          <w:szCs w:val="22"/>
        </w:rPr>
        <w:t xml:space="preserve"> Available Online. Retrieved from: </w:t>
      </w:r>
      <w:hyperlink r:id="rId10" w:history="1">
        <w:r w:rsidRPr="000C5218">
          <w:rPr>
            <w:rStyle w:val="Hyperlink"/>
            <w:rFonts w:ascii="Arial" w:hAnsi="Arial" w:cs="Arial"/>
            <w:sz w:val="22"/>
            <w:szCs w:val="22"/>
          </w:rPr>
          <w:t>https://www.rolls-royce.com/~/media/Files/R/Rolls-Royce/documents/annual-report/2023/2022-annual-report.pdf</w:t>
        </w:r>
      </w:hyperlink>
      <w:r>
        <w:rPr>
          <w:rFonts w:ascii="Arial" w:hAnsi="Arial" w:cs="Arial"/>
          <w:sz w:val="22"/>
          <w:szCs w:val="22"/>
        </w:rPr>
        <w:t xml:space="preserve"> </w:t>
      </w:r>
    </w:p>
    <w:p w14:paraId="3841947E" w14:textId="77777777" w:rsidR="00383F91" w:rsidRDefault="00383F91" w:rsidP="00441337">
      <w:pPr>
        <w:spacing w:line="360" w:lineRule="auto"/>
        <w:jc w:val="both"/>
        <w:rPr>
          <w:rFonts w:ascii="Arial" w:hAnsi="Arial" w:cs="Arial"/>
          <w:sz w:val="22"/>
          <w:szCs w:val="22"/>
        </w:rPr>
      </w:pPr>
      <w:r>
        <w:rPr>
          <w:rFonts w:ascii="Arial" w:hAnsi="Arial" w:cs="Arial"/>
          <w:sz w:val="22"/>
          <w:szCs w:val="22"/>
        </w:rPr>
        <w:t xml:space="preserve">SJAC, (2026) Japanese Aerospace Industry 2026. The Society of Japanese Aerospace Companies. Available Online. Retrieved from: </w:t>
      </w:r>
      <w:hyperlink r:id="rId11" w:history="1">
        <w:r w:rsidRPr="000C5218">
          <w:rPr>
            <w:rStyle w:val="Hyperlink"/>
            <w:rFonts w:ascii="Arial" w:hAnsi="Arial" w:cs="Arial"/>
            <w:sz w:val="22"/>
            <w:szCs w:val="22"/>
          </w:rPr>
          <w:t>https://www.sjac.or.jp/wp-content/uploads/2026/04/habataku2026E_spread.pdf</w:t>
        </w:r>
      </w:hyperlink>
      <w:r>
        <w:rPr>
          <w:rFonts w:ascii="Arial" w:hAnsi="Arial" w:cs="Arial"/>
          <w:sz w:val="22"/>
          <w:szCs w:val="22"/>
        </w:rPr>
        <w:t xml:space="preserve"> </w:t>
      </w:r>
    </w:p>
    <w:p w14:paraId="46EA75A6" w14:textId="77777777" w:rsidR="00383F91" w:rsidRDefault="00383F91" w:rsidP="00441337">
      <w:pPr>
        <w:spacing w:line="360" w:lineRule="auto"/>
        <w:jc w:val="both"/>
        <w:rPr>
          <w:rFonts w:ascii="Arial" w:hAnsi="Arial" w:cs="Arial"/>
          <w:sz w:val="22"/>
          <w:szCs w:val="22"/>
        </w:rPr>
      </w:pPr>
      <w:r w:rsidRPr="00E07A20">
        <w:rPr>
          <w:rFonts w:ascii="Arial" w:hAnsi="Arial" w:cs="Arial"/>
          <w:sz w:val="22"/>
          <w:szCs w:val="22"/>
        </w:rPr>
        <w:t xml:space="preserve">Trompenaars, F., &amp; Hampden-Turner, C. (2011). </w:t>
      </w:r>
      <w:r w:rsidRPr="00E07A20">
        <w:rPr>
          <w:rFonts w:ascii="Arial" w:hAnsi="Arial" w:cs="Arial"/>
          <w:i/>
          <w:iCs/>
          <w:sz w:val="22"/>
          <w:szCs w:val="22"/>
        </w:rPr>
        <w:t>Riding the waves of culture: Understanding diversity in global business</w:t>
      </w:r>
      <w:r w:rsidRPr="00E07A20">
        <w:rPr>
          <w:rFonts w:ascii="Arial" w:hAnsi="Arial" w:cs="Arial"/>
          <w:sz w:val="22"/>
          <w:szCs w:val="22"/>
        </w:rPr>
        <w:t>. Nicholas Brealey International.</w:t>
      </w:r>
    </w:p>
    <w:p w14:paraId="2BB02CE9" w14:textId="77777777" w:rsidR="00383F91" w:rsidRPr="00441337" w:rsidRDefault="00383F91" w:rsidP="00441337">
      <w:pPr>
        <w:spacing w:line="360" w:lineRule="auto"/>
        <w:jc w:val="both"/>
        <w:rPr>
          <w:rFonts w:ascii="Arial" w:hAnsi="Arial" w:cs="Arial"/>
          <w:sz w:val="22"/>
          <w:szCs w:val="22"/>
        </w:rPr>
      </w:pPr>
      <w:r w:rsidRPr="00E07A20">
        <w:rPr>
          <w:rFonts w:ascii="Arial" w:hAnsi="Arial" w:cs="Arial"/>
          <w:sz w:val="22"/>
          <w:szCs w:val="22"/>
        </w:rPr>
        <w:t>Usunier, J. C., &amp; Lee, J. A. (2013). Marketing across cultures 6th ed.</w:t>
      </w:r>
    </w:p>
    <w:sectPr w:rsidR="00383F91" w:rsidRPr="0044133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B0D90" w14:textId="77777777" w:rsidR="00EF7B01" w:rsidRDefault="00EF7B01" w:rsidP="00886166">
      <w:pPr>
        <w:spacing w:after="0" w:line="240" w:lineRule="auto"/>
      </w:pPr>
      <w:r>
        <w:separator/>
      </w:r>
    </w:p>
  </w:endnote>
  <w:endnote w:type="continuationSeparator" w:id="0">
    <w:p w14:paraId="7D92C86C" w14:textId="77777777" w:rsidR="00EF7B01" w:rsidRDefault="00EF7B01" w:rsidP="00886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8758539"/>
      <w:docPartObj>
        <w:docPartGallery w:val="Page Numbers (Bottom of Page)"/>
        <w:docPartUnique/>
      </w:docPartObj>
    </w:sdtPr>
    <w:sdtEndPr>
      <w:rPr>
        <w:noProof/>
      </w:rPr>
    </w:sdtEndPr>
    <w:sdtContent>
      <w:p w14:paraId="0676C69C" w14:textId="48005E16" w:rsidR="00886166" w:rsidRDefault="008861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2C6DF0" w14:textId="77777777" w:rsidR="00886166" w:rsidRDefault="00886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2C40C" w14:textId="77777777" w:rsidR="00EF7B01" w:rsidRDefault="00EF7B01" w:rsidP="00886166">
      <w:pPr>
        <w:spacing w:after="0" w:line="240" w:lineRule="auto"/>
      </w:pPr>
      <w:r>
        <w:separator/>
      </w:r>
    </w:p>
  </w:footnote>
  <w:footnote w:type="continuationSeparator" w:id="0">
    <w:p w14:paraId="2169AB31" w14:textId="77777777" w:rsidR="00EF7B01" w:rsidRDefault="00EF7B01" w:rsidP="00886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BA6308"/>
    <w:multiLevelType w:val="multilevel"/>
    <w:tmpl w:val="09F2D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5957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337"/>
    <w:rsid w:val="00026F7A"/>
    <w:rsid w:val="001808E0"/>
    <w:rsid w:val="003702C7"/>
    <w:rsid w:val="00383F91"/>
    <w:rsid w:val="00421E89"/>
    <w:rsid w:val="00441337"/>
    <w:rsid w:val="00575134"/>
    <w:rsid w:val="00583110"/>
    <w:rsid w:val="005B4590"/>
    <w:rsid w:val="00886166"/>
    <w:rsid w:val="00894AE1"/>
    <w:rsid w:val="008F3CBF"/>
    <w:rsid w:val="00993848"/>
    <w:rsid w:val="009A6755"/>
    <w:rsid w:val="009A7208"/>
    <w:rsid w:val="009D3AA4"/>
    <w:rsid w:val="00A748E6"/>
    <w:rsid w:val="00AD6AAD"/>
    <w:rsid w:val="00B1662B"/>
    <w:rsid w:val="00C514F3"/>
    <w:rsid w:val="00CF19DA"/>
    <w:rsid w:val="00D22157"/>
    <w:rsid w:val="00DD5C34"/>
    <w:rsid w:val="00E07A20"/>
    <w:rsid w:val="00EF7B01"/>
    <w:rsid w:val="00FC4458"/>
    <w:rsid w:val="00FF4E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93C54"/>
  <w15:chartTrackingRefBased/>
  <w15:docId w15:val="{02650191-12AA-47C6-B93C-23B4B260E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1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13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413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3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3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3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3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3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3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3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13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413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3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3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3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3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337"/>
    <w:rPr>
      <w:rFonts w:eastAsiaTheme="majorEastAsia" w:cstheme="majorBidi"/>
      <w:color w:val="272727" w:themeColor="text1" w:themeTint="D8"/>
    </w:rPr>
  </w:style>
  <w:style w:type="paragraph" w:styleId="Title">
    <w:name w:val="Title"/>
    <w:basedOn w:val="Normal"/>
    <w:next w:val="Normal"/>
    <w:link w:val="TitleChar"/>
    <w:uiPriority w:val="10"/>
    <w:qFormat/>
    <w:rsid w:val="00441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3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3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3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337"/>
    <w:pPr>
      <w:spacing w:before="160"/>
      <w:jc w:val="center"/>
    </w:pPr>
    <w:rPr>
      <w:i/>
      <w:iCs/>
      <w:color w:val="404040" w:themeColor="text1" w:themeTint="BF"/>
    </w:rPr>
  </w:style>
  <w:style w:type="character" w:customStyle="1" w:styleId="QuoteChar">
    <w:name w:val="Quote Char"/>
    <w:basedOn w:val="DefaultParagraphFont"/>
    <w:link w:val="Quote"/>
    <w:uiPriority w:val="29"/>
    <w:rsid w:val="00441337"/>
    <w:rPr>
      <w:i/>
      <w:iCs/>
      <w:color w:val="404040" w:themeColor="text1" w:themeTint="BF"/>
    </w:rPr>
  </w:style>
  <w:style w:type="paragraph" w:styleId="ListParagraph">
    <w:name w:val="List Paragraph"/>
    <w:basedOn w:val="Normal"/>
    <w:uiPriority w:val="34"/>
    <w:qFormat/>
    <w:rsid w:val="00441337"/>
    <w:pPr>
      <w:ind w:left="720"/>
      <w:contextualSpacing/>
    </w:pPr>
  </w:style>
  <w:style w:type="character" w:styleId="IntenseEmphasis">
    <w:name w:val="Intense Emphasis"/>
    <w:basedOn w:val="DefaultParagraphFont"/>
    <w:uiPriority w:val="21"/>
    <w:qFormat/>
    <w:rsid w:val="00441337"/>
    <w:rPr>
      <w:i/>
      <w:iCs/>
      <w:color w:val="0F4761" w:themeColor="accent1" w:themeShade="BF"/>
    </w:rPr>
  </w:style>
  <w:style w:type="paragraph" w:styleId="IntenseQuote">
    <w:name w:val="Intense Quote"/>
    <w:basedOn w:val="Normal"/>
    <w:next w:val="Normal"/>
    <w:link w:val="IntenseQuoteChar"/>
    <w:uiPriority w:val="30"/>
    <w:qFormat/>
    <w:rsid w:val="00441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337"/>
    <w:rPr>
      <w:i/>
      <w:iCs/>
      <w:color w:val="0F4761" w:themeColor="accent1" w:themeShade="BF"/>
    </w:rPr>
  </w:style>
  <w:style w:type="character" w:styleId="IntenseReference">
    <w:name w:val="Intense Reference"/>
    <w:basedOn w:val="DefaultParagraphFont"/>
    <w:uiPriority w:val="32"/>
    <w:qFormat/>
    <w:rsid w:val="00441337"/>
    <w:rPr>
      <w:b/>
      <w:bCs/>
      <w:smallCaps/>
      <w:color w:val="0F4761" w:themeColor="accent1" w:themeShade="BF"/>
      <w:spacing w:val="5"/>
    </w:rPr>
  </w:style>
  <w:style w:type="character" w:styleId="Hyperlink">
    <w:name w:val="Hyperlink"/>
    <w:basedOn w:val="DefaultParagraphFont"/>
    <w:uiPriority w:val="99"/>
    <w:unhideWhenUsed/>
    <w:rsid w:val="00CF19DA"/>
    <w:rPr>
      <w:color w:val="467886" w:themeColor="hyperlink"/>
      <w:u w:val="single"/>
    </w:rPr>
  </w:style>
  <w:style w:type="character" w:styleId="UnresolvedMention">
    <w:name w:val="Unresolved Mention"/>
    <w:basedOn w:val="DefaultParagraphFont"/>
    <w:uiPriority w:val="99"/>
    <w:semiHidden/>
    <w:unhideWhenUsed/>
    <w:rsid w:val="00CF19DA"/>
    <w:rPr>
      <w:color w:val="605E5C"/>
      <w:shd w:val="clear" w:color="auto" w:fill="E1DFDD"/>
    </w:rPr>
  </w:style>
  <w:style w:type="paragraph" w:styleId="Header">
    <w:name w:val="header"/>
    <w:basedOn w:val="Normal"/>
    <w:link w:val="HeaderChar"/>
    <w:uiPriority w:val="99"/>
    <w:unhideWhenUsed/>
    <w:rsid w:val="008861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166"/>
  </w:style>
  <w:style w:type="paragraph" w:styleId="Footer">
    <w:name w:val="footer"/>
    <w:basedOn w:val="Normal"/>
    <w:link w:val="FooterChar"/>
    <w:uiPriority w:val="99"/>
    <w:unhideWhenUsed/>
    <w:rsid w:val="008861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166"/>
  </w:style>
  <w:style w:type="paragraph" w:styleId="TOCHeading">
    <w:name w:val="TOC Heading"/>
    <w:basedOn w:val="Heading1"/>
    <w:next w:val="Normal"/>
    <w:uiPriority w:val="39"/>
    <w:unhideWhenUsed/>
    <w:qFormat/>
    <w:rsid w:val="008861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86166"/>
    <w:pPr>
      <w:spacing w:after="100"/>
    </w:pPr>
  </w:style>
  <w:style w:type="paragraph" w:styleId="TOC2">
    <w:name w:val="toc 2"/>
    <w:basedOn w:val="Normal"/>
    <w:next w:val="Normal"/>
    <w:autoRedefine/>
    <w:uiPriority w:val="39"/>
    <w:unhideWhenUsed/>
    <w:rsid w:val="008861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jac.or.jp/wp-content/uploads/2026/04/habataku2026E_spread.pdf" TargetMode="External"/><Relationship Id="rId5" Type="http://schemas.openxmlformats.org/officeDocument/2006/relationships/webSettings" Target="webSettings.xml"/><Relationship Id="rId10" Type="http://schemas.openxmlformats.org/officeDocument/2006/relationships/hyperlink" Target="https://www.rolls-royce.com/~/media/Files/R/Rolls-Royce/documents/annual-report/2023/2022-annual-report.pdf" TargetMode="External"/><Relationship Id="rId4" Type="http://schemas.openxmlformats.org/officeDocument/2006/relationships/settings" Target="settings.xml"/><Relationship Id="rId9" Type="http://schemas.openxmlformats.org/officeDocument/2006/relationships/hyperlink" Target="https://www.hofstede-insight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EF0A2-C5E4-4C3E-A582-F9D39C849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2648</Words>
  <Characters>15098</Characters>
  <Application>Microsoft Office Word</Application>
  <DocSecurity>0</DocSecurity>
  <Lines>125</Lines>
  <Paragraphs>35</Paragraphs>
  <ScaleCrop>false</ScaleCrop>
  <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Sabeeqa Ahsan</cp:lastModifiedBy>
  <cp:revision>2</cp:revision>
  <dcterms:created xsi:type="dcterms:W3CDTF">2026-08-09T22:14:00Z</dcterms:created>
  <dcterms:modified xsi:type="dcterms:W3CDTF">2026-08-09T22:14:00Z</dcterms:modified>
</cp:coreProperties>
</file>