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184B2E" w:rsidRPr="000055DA" w:rsidRDefault="00184B2E">
      <w:pPr>
        <w:jc w:val="center"/>
        <w:rPr>
          <w:rFonts w:ascii="Arial" w:hAnsi="Arial" w:cs="Arial"/>
          <w:b/>
          <w:color w:val="000000" w:themeColor="text1"/>
        </w:rPr>
      </w:pPr>
    </w:p>
    <w:p w14:paraId="00000002" w14:textId="77777777" w:rsidR="00184B2E" w:rsidRPr="000055DA" w:rsidRDefault="00184B2E">
      <w:pPr>
        <w:jc w:val="center"/>
        <w:rPr>
          <w:rFonts w:ascii="Arial" w:hAnsi="Arial" w:cs="Arial"/>
          <w:b/>
          <w:color w:val="000000" w:themeColor="text1"/>
        </w:rPr>
      </w:pPr>
    </w:p>
    <w:p w14:paraId="00000005" w14:textId="77777777" w:rsidR="00184B2E" w:rsidRPr="000055DA" w:rsidRDefault="00184B2E">
      <w:pPr>
        <w:jc w:val="center"/>
        <w:rPr>
          <w:rFonts w:ascii="Arial" w:hAnsi="Arial" w:cs="Arial"/>
          <w:b/>
          <w:color w:val="000000" w:themeColor="text1"/>
        </w:rPr>
      </w:pPr>
    </w:p>
    <w:p w14:paraId="00000006" w14:textId="77777777" w:rsidR="00184B2E" w:rsidRPr="000055DA" w:rsidRDefault="00184B2E">
      <w:pPr>
        <w:jc w:val="center"/>
        <w:rPr>
          <w:rFonts w:ascii="Arial" w:hAnsi="Arial" w:cs="Arial"/>
          <w:b/>
          <w:color w:val="000000" w:themeColor="text1"/>
        </w:rPr>
      </w:pPr>
    </w:p>
    <w:p w14:paraId="00000007" w14:textId="45C1AB9A" w:rsidR="00184B2E" w:rsidRPr="000055DA" w:rsidRDefault="000055DA" w:rsidP="000055DA">
      <w:pPr>
        <w:tabs>
          <w:tab w:val="left" w:pos="300"/>
        </w:tabs>
        <w:rPr>
          <w:rFonts w:ascii="Arial" w:hAnsi="Arial" w:cs="Arial"/>
          <w:b/>
          <w:color w:val="000000" w:themeColor="text1"/>
          <w:sz w:val="32"/>
          <w:szCs w:val="32"/>
        </w:rPr>
      </w:pPr>
      <w:r>
        <w:rPr>
          <w:rFonts w:ascii="Arial" w:hAnsi="Arial" w:cs="Arial"/>
          <w:b/>
          <w:color w:val="000000" w:themeColor="text1"/>
          <w:sz w:val="32"/>
          <w:szCs w:val="32"/>
        </w:rPr>
        <w:tab/>
      </w:r>
      <w:r>
        <w:rPr>
          <w:rFonts w:ascii="Arial" w:hAnsi="Arial" w:cs="Arial"/>
          <w:b/>
          <w:noProof/>
          <w:color w:val="000000" w:themeColor="text1"/>
          <w:sz w:val="32"/>
          <w:szCs w:val="32"/>
          <w:lang w:val="en-US" w:eastAsia="en-US"/>
        </w:rPr>
        <w:drawing>
          <wp:inline distT="0" distB="0" distL="0" distR="0" wp14:anchorId="7D4BEF3F" wp14:editId="15D5CA61">
            <wp:extent cx="1905000" cy="670560"/>
            <wp:effectExtent l="0" t="0" r="0" b="0"/>
            <wp:docPr id="1" name="Imagine 1" descr="C:\Users\Nora\Desktop\1650802237724395660074001739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ora\Desktop\165080223772439566007400173911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670560"/>
                    </a:xfrm>
                    <a:prstGeom prst="rect">
                      <a:avLst/>
                    </a:prstGeom>
                    <a:noFill/>
                    <a:ln>
                      <a:noFill/>
                    </a:ln>
                  </pic:spPr>
                </pic:pic>
              </a:graphicData>
            </a:graphic>
          </wp:inline>
        </w:drawing>
      </w:r>
    </w:p>
    <w:p w14:paraId="00000008" w14:textId="77777777" w:rsidR="00184B2E" w:rsidRPr="000055DA" w:rsidRDefault="00184B2E">
      <w:pPr>
        <w:jc w:val="center"/>
        <w:rPr>
          <w:rFonts w:ascii="Arial" w:hAnsi="Arial" w:cs="Arial"/>
          <w:b/>
          <w:color w:val="000000" w:themeColor="text1"/>
          <w:sz w:val="32"/>
          <w:szCs w:val="32"/>
        </w:rPr>
      </w:pPr>
    </w:p>
    <w:p w14:paraId="00000009" w14:textId="77777777" w:rsidR="00184B2E" w:rsidRPr="000055DA" w:rsidRDefault="00184B2E">
      <w:pPr>
        <w:jc w:val="center"/>
        <w:rPr>
          <w:rFonts w:ascii="Arial" w:hAnsi="Arial" w:cs="Arial"/>
          <w:b/>
          <w:color w:val="000000" w:themeColor="text1"/>
          <w:sz w:val="32"/>
          <w:szCs w:val="32"/>
        </w:rPr>
      </w:pPr>
    </w:p>
    <w:p w14:paraId="0000000A" w14:textId="77777777" w:rsidR="00184B2E" w:rsidRPr="000055DA" w:rsidRDefault="00184B2E">
      <w:pPr>
        <w:jc w:val="center"/>
        <w:rPr>
          <w:rFonts w:ascii="Arial" w:hAnsi="Arial" w:cs="Arial"/>
          <w:b/>
          <w:color w:val="000000" w:themeColor="text1"/>
          <w:sz w:val="32"/>
          <w:szCs w:val="32"/>
        </w:rPr>
      </w:pPr>
    </w:p>
    <w:p w14:paraId="77D9436A" w14:textId="77777777" w:rsidR="00886652" w:rsidRDefault="00886652" w:rsidP="00886652">
      <w:pPr>
        <w:jc w:val="left"/>
        <w:rPr>
          <w:rFonts w:ascii="Arial" w:hAnsi="Arial" w:cs="Arial"/>
          <w:b/>
          <w:color w:val="000000" w:themeColor="text1"/>
        </w:rPr>
      </w:pPr>
      <w:r>
        <w:rPr>
          <w:rFonts w:ascii="Arial" w:hAnsi="Arial" w:cs="Arial"/>
          <w:b/>
          <w:color w:val="000000" w:themeColor="text1"/>
        </w:rPr>
        <w:tab/>
        <w:t xml:space="preserve">       </w:t>
      </w:r>
    </w:p>
    <w:p w14:paraId="4841F0C8" w14:textId="39F15BDE" w:rsidR="00886652" w:rsidRPr="00886652" w:rsidRDefault="00886652" w:rsidP="00886652">
      <w:pPr>
        <w:jc w:val="left"/>
        <w:rPr>
          <w:b/>
          <w:sz w:val="36"/>
          <w:szCs w:val="36"/>
        </w:rPr>
      </w:pPr>
      <w:r>
        <w:rPr>
          <w:rFonts w:ascii="Arial" w:hAnsi="Arial" w:cs="Arial"/>
          <w:b/>
          <w:color w:val="000000" w:themeColor="text1"/>
        </w:rPr>
        <w:t xml:space="preserve">                 </w:t>
      </w:r>
      <w:r w:rsidRPr="00886652">
        <w:rPr>
          <w:b/>
          <w:sz w:val="36"/>
          <w:szCs w:val="36"/>
        </w:rPr>
        <w:t xml:space="preserve">LCBB4002 – COMMUNITY ENGAGEMENT </w:t>
      </w:r>
    </w:p>
    <w:p w14:paraId="0000000C" w14:textId="165F4B6E" w:rsidR="00184B2E" w:rsidRPr="000055DA" w:rsidRDefault="00184B2E" w:rsidP="00886652">
      <w:pPr>
        <w:tabs>
          <w:tab w:val="left" w:pos="3135"/>
        </w:tabs>
        <w:rPr>
          <w:rFonts w:ascii="Arial" w:hAnsi="Arial" w:cs="Arial"/>
          <w:b/>
          <w:color w:val="000000" w:themeColor="text1"/>
        </w:rPr>
      </w:pPr>
    </w:p>
    <w:p w14:paraId="00000011" w14:textId="77777777" w:rsidR="00184B2E" w:rsidRPr="000055DA" w:rsidRDefault="00184B2E">
      <w:pPr>
        <w:jc w:val="center"/>
        <w:rPr>
          <w:rFonts w:ascii="Arial" w:hAnsi="Arial" w:cs="Arial"/>
          <w:b/>
          <w:color w:val="000000" w:themeColor="text1"/>
        </w:rPr>
      </w:pPr>
    </w:p>
    <w:p w14:paraId="3D8EB67B" w14:textId="77777777" w:rsidR="00886652" w:rsidRDefault="00886652">
      <w:pPr>
        <w:jc w:val="center"/>
        <w:rPr>
          <w:rFonts w:ascii="Arial" w:hAnsi="Arial" w:cs="Arial"/>
          <w:b/>
          <w:color w:val="000000" w:themeColor="text1"/>
        </w:rPr>
      </w:pPr>
    </w:p>
    <w:p w14:paraId="26FB6BB2" w14:textId="77777777" w:rsidR="00886652" w:rsidRPr="000055DA" w:rsidRDefault="00886652">
      <w:pPr>
        <w:jc w:val="center"/>
        <w:rPr>
          <w:rFonts w:ascii="Arial" w:hAnsi="Arial" w:cs="Arial"/>
          <w:b/>
          <w:color w:val="000000" w:themeColor="text1"/>
        </w:rPr>
      </w:pPr>
    </w:p>
    <w:p w14:paraId="00000014" w14:textId="77777777" w:rsidR="00184B2E" w:rsidRPr="000055DA" w:rsidRDefault="00184B2E">
      <w:pPr>
        <w:jc w:val="center"/>
        <w:rPr>
          <w:rFonts w:ascii="Arial" w:hAnsi="Arial" w:cs="Arial"/>
          <w:b/>
          <w:color w:val="000000" w:themeColor="text1"/>
        </w:rPr>
      </w:pPr>
    </w:p>
    <w:p w14:paraId="00000015" w14:textId="77777777" w:rsidR="00184B2E" w:rsidRPr="000055DA" w:rsidRDefault="00184B2E">
      <w:pPr>
        <w:jc w:val="center"/>
        <w:rPr>
          <w:rFonts w:ascii="Arial" w:hAnsi="Arial" w:cs="Arial"/>
          <w:b/>
          <w:color w:val="000000" w:themeColor="text1"/>
        </w:rPr>
      </w:pPr>
    </w:p>
    <w:p w14:paraId="00000016" w14:textId="77777777" w:rsidR="00184B2E" w:rsidRPr="000055DA" w:rsidRDefault="002534E1">
      <w:pPr>
        <w:tabs>
          <w:tab w:val="left" w:pos="276"/>
        </w:tabs>
        <w:rPr>
          <w:rFonts w:ascii="Arial" w:hAnsi="Arial" w:cs="Arial"/>
          <w:b/>
          <w:color w:val="000000" w:themeColor="text1"/>
        </w:rPr>
      </w:pPr>
      <w:r w:rsidRPr="000055DA">
        <w:rPr>
          <w:rFonts w:ascii="Arial" w:hAnsi="Arial" w:cs="Arial"/>
          <w:b/>
          <w:color w:val="000000" w:themeColor="text1"/>
        </w:rPr>
        <w:t xml:space="preserve">Student name: </w:t>
      </w:r>
      <w:proofErr w:type="spellStart"/>
      <w:r w:rsidRPr="000055DA">
        <w:rPr>
          <w:rFonts w:ascii="Arial" w:hAnsi="Arial" w:cs="Arial"/>
          <w:b/>
          <w:color w:val="000000" w:themeColor="text1"/>
        </w:rPr>
        <w:t>Velicu</w:t>
      </w:r>
      <w:proofErr w:type="spellEnd"/>
      <w:r w:rsidRPr="000055DA">
        <w:rPr>
          <w:rFonts w:ascii="Arial" w:hAnsi="Arial" w:cs="Arial"/>
          <w:b/>
          <w:color w:val="000000" w:themeColor="text1"/>
        </w:rPr>
        <w:t xml:space="preserve"> </w:t>
      </w:r>
      <w:proofErr w:type="spellStart"/>
      <w:r w:rsidRPr="000055DA">
        <w:rPr>
          <w:rFonts w:ascii="Arial" w:hAnsi="Arial" w:cs="Arial"/>
          <w:b/>
          <w:color w:val="000000" w:themeColor="text1"/>
        </w:rPr>
        <w:t>Balasa</w:t>
      </w:r>
      <w:bookmarkStart w:id="0" w:name="_GoBack"/>
      <w:bookmarkEnd w:id="0"/>
      <w:proofErr w:type="spellEnd"/>
    </w:p>
    <w:p w14:paraId="00000017" w14:textId="77777777" w:rsidR="00184B2E" w:rsidRPr="000055DA" w:rsidRDefault="002534E1">
      <w:pPr>
        <w:rPr>
          <w:rFonts w:ascii="Arial" w:hAnsi="Arial" w:cs="Arial"/>
          <w:b/>
          <w:color w:val="000000" w:themeColor="text1"/>
        </w:rPr>
      </w:pPr>
      <w:r w:rsidRPr="000055DA">
        <w:rPr>
          <w:rFonts w:ascii="Arial" w:hAnsi="Arial" w:cs="Arial"/>
          <w:b/>
          <w:color w:val="000000" w:themeColor="text1"/>
        </w:rPr>
        <w:t>Student ID: 2110947</w:t>
      </w:r>
    </w:p>
    <w:p w14:paraId="00000018" w14:textId="77777777" w:rsidR="00184B2E" w:rsidRPr="000055DA" w:rsidRDefault="002534E1">
      <w:pPr>
        <w:rPr>
          <w:rFonts w:ascii="Arial" w:hAnsi="Arial" w:cs="Arial"/>
          <w:b/>
          <w:color w:val="000000" w:themeColor="text1"/>
        </w:rPr>
      </w:pPr>
      <w:r w:rsidRPr="000055DA">
        <w:rPr>
          <w:rFonts w:ascii="Arial" w:hAnsi="Arial" w:cs="Arial"/>
          <w:b/>
          <w:color w:val="000000" w:themeColor="text1"/>
        </w:rPr>
        <w:t>Module Community Engagement</w:t>
      </w:r>
    </w:p>
    <w:p w14:paraId="00000019" w14:textId="77777777" w:rsidR="00184B2E" w:rsidRPr="000055DA" w:rsidRDefault="002534E1">
      <w:pPr>
        <w:rPr>
          <w:rFonts w:ascii="Arial" w:hAnsi="Arial" w:cs="Arial"/>
          <w:b/>
          <w:color w:val="000000" w:themeColor="text1"/>
        </w:rPr>
      </w:pPr>
      <w:r w:rsidRPr="000055DA">
        <w:rPr>
          <w:rFonts w:ascii="Arial" w:hAnsi="Arial" w:cs="Arial"/>
          <w:b/>
          <w:color w:val="000000" w:themeColor="text1"/>
        </w:rPr>
        <w:t xml:space="preserve">Module </w:t>
      </w:r>
      <w:proofErr w:type="gramStart"/>
      <w:r w:rsidRPr="000055DA">
        <w:rPr>
          <w:rFonts w:ascii="Arial" w:hAnsi="Arial" w:cs="Arial"/>
          <w:b/>
          <w:color w:val="000000" w:themeColor="text1"/>
        </w:rPr>
        <w:t>code :</w:t>
      </w:r>
      <w:proofErr w:type="gramEnd"/>
      <w:r w:rsidRPr="000055DA">
        <w:rPr>
          <w:rFonts w:ascii="Arial" w:hAnsi="Arial" w:cs="Arial"/>
          <w:b/>
          <w:color w:val="000000" w:themeColor="text1"/>
        </w:rPr>
        <w:t xml:space="preserve"> LCBB4002</w:t>
      </w:r>
    </w:p>
    <w:p w14:paraId="0000001A" w14:textId="77777777" w:rsidR="00184B2E" w:rsidRPr="000055DA" w:rsidRDefault="002534E1">
      <w:pPr>
        <w:rPr>
          <w:rFonts w:ascii="Arial" w:hAnsi="Arial" w:cs="Arial"/>
          <w:b/>
          <w:color w:val="000000" w:themeColor="text1"/>
        </w:rPr>
      </w:pPr>
      <w:r w:rsidRPr="000055DA">
        <w:rPr>
          <w:rFonts w:ascii="Arial" w:hAnsi="Arial" w:cs="Arial"/>
          <w:b/>
          <w:color w:val="000000" w:themeColor="text1"/>
        </w:rPr>
        <w:t>Assignment title: Assessment 2 Community Engagement</w:t>
      </w:r>
    </w:p>
    <w:p w14:paraId="0000001B" w14:textId="77777777" w:rsidR="00184B2E" w:rsidRPr="000055DA" w:rsidRDefault="002534E1">
      <w:pPr>
        <w:rPr>
          <w:rFonts w:ascii="Arial" w:hAnsi="Arial" w:cs="Arial"/>
          <w:b/>
          <w:color w:val="000000" w:themeColor="text1"/>
        </w:rPr>
      </w:pPr>
      <w:r w:rsidRPr="000055DA">
        <w:rPr>
          <w:rFonts w:ascii="Arial" w:hAnsi="Arial" w:cs="Arial"/>
          <w:b/>
          <w:color w:val="000000" w:themeColor="text1"/>
        </w:rPr>
        <w:t xml:space="preserve">Module lecturer: Dr. </w:t>
      </w:r>
      <w:proofErr w:type="spellStart"/>
      <w:r w:rsidRPr="000055DA">
        <w:rPr>
          <w:rFonts w:ascii="Arial" w:hAnsi="Arial" w:cs="Arial"/>
          <w:b/>
          <w:color w:val="000000" w:themeColor="text1"/>
        </w:rPr>
        <w:t>Faizu</w:t>
      </w:r>
      <w:proofErr w:type="spellEnd"/>
      <w:r w:rsidRPr="000055DA">
        <w:rPr>
          <w:rFonts w:ascii="Arial" w:hAnsi="Arial" w:cs="Arial"/>
          <w:b/>
          <w:color w:val="000000" w:themeColor="text1"/>
        </w:rPr>
        <w:t xml:space="preserve"> Edu</w:t>
      </w:r>
    </w:p>
    <w:p w14:paraId="0000001C" w14:textId="5B2D0A59" w:rsidR="00184B2E" w:rsidRPr="000055DA" w:rsidRDefault="002534E1">
      <w:pPr>
        <w:rPr>
          <w:rFonts w:ascii="Arial" w:hAnsi="Arial" w:cs="Arial"/>
          <w:b/>
          <w:color w:val="000000" w:themeColor="text1"/>
        </w:rPr>
      </w:pPr>
      <w:r w:rsidRPr="000055DA">
        <w:rPr>
          <w:rFonts w:ascii="Arial" w:hAnsi="Arial" w:cs="Arial"/>
          <w:b/>
          <w:color w:val="000000" w:themeColor="text1"/>
        </w:rPr>
        <w:t>Word counts</w:t>
      </w:r>
      <w:proofErr w:type="gramStart"/>
      <w:r w:rsidRPr="000055DA">
        <w:rPr>
          <w:rFonts w:ascii="Arial" w:hAnsi="Arial" w:cs="Arial"/>
          <w:b/>
          <w:color w:val="000000" w:themeColor="text1"/>
        </w:rPr>
        <w:t>:</w:t>
      </w:r>
      <w:r w:rsidR="000055DA" w:rsidRPr="000055DA">
        <w:rPr>
          <w:rFonts w:ascii="Arial" w:hAnsi="Arial" w:cs="Arial"/>
          <w:b/>
          <w:color w:val="000000" w:themeColor="text1"/>
        </w:rPr>
        <w:t>2</w:t>
      </w:r>
      <w:r w:rsidR="00BF2193">
        <w:rPr>
          <w:rFonts w:ascii="Arial" w:hAnsi="Arial" w:cs="Arial"/>
          <w:b/>
          <w:color w:val="000000" w:themeColor="text1"/>
        </w:rPr>
        <w:t>324</w:t>
      </w:r>
      <w:proofErr w:type="gramEnd"/>
    </w:p>
    <w:p w14:paraId="0000001D" w14:textId="77777777" w:rsidR="00184B2E" w:rsidRPr="000055DA" w:rsidRDefault="002534E1">
      <w:pPr>
        <w:jc w:val="center"/>
        <w:rPr>
          <w:rFonts w:ascii="Arial" w:hAnsi="Arial" w:cs="Arial"/>
          <w:b/>
          <w:color w:val="000000" w:themeColor="text1"/>
        </w:rPr>
      </w:pPr>
      <w:r w:rsidRPr="000055DA">
        <w:rPr>
          <w:rFonts w:ascii="Arial" w:hAnsi="Arial" w:cs="Arial"/>
          <w:color w:val="000000" w:themeColor="text1"/>
        </w:rPr>
        <w:br w:type="page"/>
      </w:r>
    </w:p>
    <w:p w14:paraId="48D9B694" w14:textId="0F7B826C" w:rsidR="004C0930" w:rsidRDefault="004C0930" w:rsidP="00BF2193">
      <w:pPr>
        <w:pStyle w:val="Titlu1"/>
        <w:tabs>
          <w:tab w:val="left" w:pos="2556"/>
        </w:tabs>
        <w:rPr>
          <w:rFonts w:ascii="Arial" w:hAnsi="Arial" w:cs="Arial"/>
          <w:color w:val="000000" w:themeColor="text1"/>
        </w:rPr>
      </w:pPr>
      <w:r>
        <w:rPr>
          <w:rFonts w:ascii="Arial" w:hAnsi="Arial" w:cs="Arial"/>
          <w:color w:val="000000" w:themeColor="text1"/>
        </w:rPr>
        <w:lastRenderedPageBreak/>
        <w:tab/>
      </w:r>
      <w:r w:rsidR="00616205">
        <w:rPr>
          <w:rFonts w:ascii="Arial" w:hAnsi="Arial" w:cs="Arial"/>
          <w:color w:val="000000" w:themeColor="text1"/>
        </w:rPr>
        <w:t>Table of C</w:t>
      </w:r>
      <w:r>
        <w:rPr>
          <w:rFonts w:ascii="Arial" w:hAnsi="Arial" w:cs="Arial"/>
          <w:color w:val="000000" w:themeColor="text1"/>
        </w:rPr>
        <w:t>ontents</w:t>
      </w:r>
    </w:p>
    <w:tbl>
      <w:tblPr>
        <w:tblStyle w:val="GrilTabel"/>
        <w:tblW w:w="0" w:type="auto"/>
        <w:tblLook w:val="04A0" w:firstRow="1" w:lastRow="0" w:firstColumn="1" w:lastColumn="0" w:noHBand="0" w:noVBand="1"/>
      </w:tblPr>
      <w:tblGrid>
        <w:gridCol w:w="9576"/>
      </w:tblGrid>
      <w:tr w:rsidR="004C0930" w14:paraId="74A8CCE2" w14:textId="77777777" w:rsidTr="004C0930">
        <w:tc>
          <w:tcPr>
            <w:tcW w:w="9576" w:type="dxa"/>
          </w:tcPr>
          <w:p w14:paraId="26DFD987" w14:textId="52790646" w:rsidR="004C0930" w:rsidRDefault="004C0930" w:rsidP="004C0930">
            <w:pPr>
              <w:pStyle w:val="Titlu1"/>
              <w:tabs>
                <w:tab w:val="right" w:pos="9360"/>
              </w:tabs>
              <w:outlineLvl w:val="0"/>
              <w:rPr>
                <w:rFonts w:ascii="Arial" w:hAnsi="Arial" w:cs="Arial"/>
                <w:color w:val="000000" w:themeColor="text1"/>
              </w:rPr>
            </w:pPr>
            <w:r>
              <w:rPr>
                <w:rFonts w:ascii="Arial" w:hAnsi="Arial" w:cs="Arial"/>
                <w:color w:val="000000" w:themeColor="text1"/>
              </w:rPr>
              <w:t>Introduction</w:t>
            </w:r>
            <w:r>
              <w:rPr>
                <w:rFonts w:ascii="Arial" w:hAnsi="Arial" w:cs="Arial"/>
                <w:color w:val="000000" w:themeColor="text1"/>
              </w:rPr>
              <w:tab/>
              <w:t>3</w:t>
            </w:r>
          </w:p>
        </w:tc>
      </w:tr>
      <w:tr w:rsidR="004C0930" w14:paraId="584BF5B5" w14:textId="77777777" w:rsidTr="004C0930">
        <w:tc>
          <w:tcPr>
            <w:tcW w:w="9576" w:type="dxa"/>
          </w:tcPr>
          <w:p w14:paraId="0AC8E6D3" w14:textId="31D26C2C" w:rsidR="004C0930" w:rsidRPr="004C0930" w:rsidRDefault="004C0930" w:rsidP="00616205">
            <w:pPr>
              <w:tabs>
                <w:tab w:val="right" w:pos="9360"/>
              </w:tabs>
              <w:rPr>
                <w:rFonts w:ascii="Arial" w:hAnsi="Arial" w:cs="Arial"/>
                <w:b/>
                <w:color w:val="000000" w:themeColor="text1"/>
              </w:rPr>
            </w:pPr>
            <w:r>
              <w:rPr>
                <w:rFonts w:ascii="Arial" w:hAnsi="Arial" w:cs="Arial"/>
                <w:b/>
                <w:color w:val="000000" w:themeColor="text1"/>
              </w:rPr>
              <w:t>Community engagement through stakeholder participation</w:t>
            </w:r>
            <w:r w:rsidR="00616205">
              <w:rPr>
                <w:rFonts w:ascii="Arial" w:hAnsi="Arial" w:cs="Arial"/>
                <w:b/>
                <w:color w:val="000000" w:themeColor="text1"/>
              </w:rPr>
              <w:tab/>
            </w:r>
            <w:r w:rsidR="00616205">
              <w:rPr>
                <w:rFonts w:ascii="Arial" w:hAnsi="Arial" w:cs="Arial"/>
                <w:b/>
                <w:color w:val="000000" w:themeColor="text1"/>
              </w:rPr>
              <w:t>4-6</w:t>
            </w:r>
          </w:p>
        </w:tc>
      </w:tr>
      <w:tr w:rsidR="004C0930" w14:paraId="1AB6044C" w14:textId="77777777" w:rsidTr="004C0930">
        <w:tc>
          <w:tcPr>
            <w:tcW w:w="9576" w:type="dxa"/>
          </w:tcPr>
          <w:p w14:paraId="751DFE69" w14:textId="6014FEE7" w:rsidR="004C0930" w:rsidRDefault="004C0930" w:rsidP="00616205">
            <w:pPr>
              <w:rPr>
                <w:rFonts w:ascii="Arial" w:hAnsi="Arial" w:cs="Arial"/>
                <w:color w:val="000000" w:themeColor="text1"/>
              </w:rPr>
            </w:pPr>
            <w:r>
              <w:rPr>
                <w:rFonts w:ascii="Arial" w:hAnsi="Arial" w:cs="Arial"/>
                <w:b/>
                <w:color w:val="000000" w:themeColor="text1"/>
              </w:rPr>
              <w:t>Differences between the projects of the Community Engagement Programs</w:t>
            </w:r>
            <w:r w:rsidR="00616205">
              <w:rPr>
                <w:rFonts w:ascii="Arial" w:hAnsi="Arial" w:cs="Arial"/>
                <w:b/>
                <w:color w:val="000000" w:themeColor="text1"/>
              </w:rPr>
              <w:t xml:space="preserve">      6-7</w:t>
            </w:r>
          </w:p>
        </w:tc>
      </w:tr>
      <w:tr w:rsidR="004C0930" w14:paraId="5F08BAC7" w14:textId="77777777" w:rsidTr="004C0930">
        <w:tc>
          <w:tcPr>
            <w:tcW w:w="9576" w:type="dxa"/>
          </w:tcPr>
          <w:p w14:paraId="53CF9EB7" w14:textId="7573D42D" w:rsidR="004C0930" w:rsidRPr="004C0930" w:rsidRDefault="004C0930" w:rsidP="004C0930">
            <w:pPr>
              <w:jc w:val="left"/>
              <w:rPr>
                <w:rFonts w:ascii="Arial" w:hAnsi="Arial" w:cs="Arial"/>
                <w:b/>
                <w:color w:val="000000" w:themeColor="text1"/>
              </w:rPr>
            </w:pPr>
            <w:r>
              <w:rPr>
                <w:rFonts w:ascii="Arial" w:hAnsi="Arial" w:cs="Arial"/>
                <w:b/>
                <w:color w:val="000000" w:themeColor="text1"/>
              </w:rPr>
              <w:t>Active co</w:t>
            </w:r>
            <w:r>
              <w:rPr>
                <w:rFonts w:ascii="Arial" w:hAnsi="Arial" w:cs="Arial"/>
                <w:b/>
                <w:color w:val="000000" w:themeColor="text1"/>
              </w:rPr>
              <w:t xml:space="preserve">nsultation, good communication </w:t>
            </w:r>
            <w:r>
              <w:rPr>
                <w:rFonts w:ascii="Arial" w:hAnsi="Arial" w:cs="Arial"/>
                <w:b/>
                <w:color w:val="000000" w:themeColor="text1"/>
              </w:rPr>
              <w:t>and inclusiveness in community engagement</w:t>
            </w:r>
            <w:r w:rsidR="00616205">
              <w:rPr>
                <w:rFonts w:ascii="Arial" w:hAnsi="Arial" w:cs="Arial"/>
                <w:b/>
                <w:color w:val="000000" w:themeColor="text1"/>
              </w:rPr>
              <w:t xml:space="preserve">                                                                                                                 7-8</w:t>
            </w:r>
          </w:p>
        </w:tc>
      </w:tr>
      <w:tr w:rsidR="004C0930" w14:paraId="47BA1759" w14:textId="77777777" w:rsidTr="004C0930">
        <w:tc>
          <w:tcPr>
            <w:tcW w:w="9576" w:type="dxa"/>
          </w:tcPr>
          <w:p w14:paraId="42B57E46" w14:textId="43CFB163" w:rsidR="004C0930" w:rsidRPr="004C0930" w:rsidRDefault="004C0930" w:rsidP="00616205">
            <w:pPr>
              <w:pStyle w:val="Titlu1"/>
              <w:tabs>
                <w:tab w:val="right" w:pos="9360"/>
              </w:tabs>
              <w:rPr>
                <w:rFonts w:ascii="Arial" w:hAnsi="Arial" w:cs="Arial"/>
                <w:color w:val="000000" w:themeColor="text1"/>
              </w:rPr>
            </w:pPr>
            <w:r>
              <w:rPr>
                <w:rFonts w:ascii="Arial" w:hAnsi="Arial" w:cs="Arial"/>
                <w:color w:val="000000" w:themeColor="text1"/>
              </w:rPr>
              <w:t>Conclusion</w:t>
            </w:r>
            <w:r w:rsidR="00616205">
              <w:rPr>
                <w:rFonts w:ascii="Arial" w:hAnsi="Arial" w:cs="Arial"/>
                <w:color w:val="000000" w:themeColor="text1"/>
              </w:rPr>
              <w:tab/>
              <w:t>8-9</w:t>
            </w:r>
          </w:p>
        </w:tc>
      </w:tr>
    </w:tbl>
    <w:p w14:paraId="633E1C89" w14:textId="77777777" w:rsidR="004C0930" w:rsidRDefault="004C0930">
      <w:pPr>
        <w:pStyle w:val="Titlu1"/>
        <w:rPr>
          <w:rFonts w:ascii="Arial" w:hAnsi="Arial" w:cs="Arial"/>
          <w:color w:val="000000" w:themeColor="text1"/>
        </w:rPr>
      </w:pPr>
    </w:p>
    <w:p w14:paraId="60D9ACA1" w14:textId="77777777" w:rsidR="004C0930" w:rsidRDefault="004C0930">
      <w:pPr>
        <w:pStyle w:val="Titlu1"/>
        <w:rPr>
          <w:rFonts w:ascii="Arial" w:hAnsi="Arial" w:cs="Arial"/>
          <w:color w:val="000000" w:themeColor="text1"/>
        </w:rPr>
      </w:pPr>
    </w:p>
    <w:p w14:paraId="19C075CE" w14:textId="77777777" w:rsidR="004C0930" w:rsidRDefault="004C0930">
      <w:pPr>
        <w:pStyle w:val="Titlu1"/>
        <w:rPr>
          <w:rFonts w:ascii="Arial" w:hAnsi="Arial" w:cs="Arial"/>
          <w:color w:val="000000" w:themeColor="text1"/>
        </w:rPr>
      </w:pPr>
    </w:p>
    <w:p w14:paraId="07742719" w14:textId="77777777" w:rsidR="004C0930" w:rsidRDefault="004C0930">
      <w:pPr>
        <w:pStyle w:val="Titlu1"/>
        <w:rPr>
          <w:rFonts w:ascii="Arial" w:hAnsi="Arial" w:cs="Arial"/>
          <w:color w:val="000000" w:themeColor="text1"/>
        </w:rPr>
      </w:pPr>
    </w:p>
    <w:p w14:paraId="0E0C9398" w14:textId="77777777" w:rsidR="004C0930" w:rsidRDefault="004C0930">
      <w:pPr>
        <w:pStyle w:val="Titlu1"/>
        <w:rPr>
          <w:rFonts w:ascii="Arial" w:hAnsi="Arial" w:cs="Arial"/>
          <w:color w:val="000000" w:themeColor="text1"/>
        </w:rPr>
      </w:pPr>
    </w:p>
    <w:p w14:paraId="1386F9D3" w14:textId="77777777" w:rsidR="004C0930" w:rsidRDefault="004C0930">
      <w:pPr>
        <w:pStyle w:val="Titlu1"/>
        <w:rPr>
          <w:rFonts w:ascii="Arial" w:hAnsi="Arial" w:cs="Arial"/>
          <w:color w:val="000000" w:themeColor="text1"/>
        </w:rPr>
      </w:pPr>
    </w:p>
    <w:p w14:paraId="3C2AD1B2" w14:textId="77777777" w:rsidR="004C0930" w:rsidRDefault="004C0930">
      <w:pPr>
        <w:pStyle w:val="Titlu1"/>
        <w:rPr>
          <w:rFonts w:ascii="Arial" w:hAnsi="Arial" w:cs="Arial"/>
          <w:color w:val="000000" w:themeColor="text1"/>
        </w:rPr>
      </w:pPr>
    </w:p>
    <w:p w14:paraId="51BB5C6D" w14:textId="77777777" w:rsidR="004C0930" w:rsidRDefault="004C0930">
      <w:pPr>
        <w:pStyle w:val="Titlu1"/>
        <w:rPr>
          <w:rFonts w:ascii="Arial" w:hAnsi="Arial" w:cs="Arial"/>
          <w:color w:val="000000" w:themeColor="text1"/>
        </w:rPr>
      </w:pPr>
    </w:p>
    <w:p w14:paraId="1BD5955F" w14:textId="77777777" w:rsidR="004C0930" w:rsidRDefault="004C0930">
      <w:pPr>
        <w:pStyle w:val="Titlu1"/>
        <w:rPr>
          <w:rFonts w:ascii="Arial" w:hAnsi="Arial" w:cs="Arial"/>
          <w:color w:val="000000" w:themeColor="text1"/>
        </w:rPr>
      </w:pPr>
    </w:p>
    <w:p w14:paraId="6BD013D5" w14:textId="77777777" w:rsidR="004C0930" w:rsidRDefault="004C0930">
      <w:pPr>
        <w:pStyle w:val="Titlu1"/>
        <w:rPr>
          <w:rFonts w:ascii="Arial" w:hAnsi="Arial" w:cs="Arial"/>
          <w:color w:val="000000" w:themeColor="text1"/>
        </w:rPr>
      </w:pPr>
    </w:p>
    <w:p w14:paraId="2895C6AB" w14:textId="77777777" w:rsidR="004C0930" w:rsidRDefault="004C0930">
      <w:pPr>
        <w:pStyle w:val="Titlu1"/>
        <w:rPr>
          <w:rFonts w:ascii="Arial" w:hAnsi="Arial" w:cs="Arial"/>
          <w:color w:val="000000" w:themeColor="text1"/>
        </w:rPr>
      </w:pPr>
    </w:p>
    <w:p w14:paraId="14F3645E" w14:textId="77777777" w:rsidR="004C0930" w:rsidRDefault="004C0930">
      <w:pPr>
        <w:pStyle w:val="Titlu1"/>
        <w:rPr>
          <w:rFonts w:ascii="Arial" w:hAnsi="Arial" w:cs="Arial"/>
          <w:color w:val="000000" w:themeColor="text1"/>
        </w:rPr>
      </w:pPr>
    </w:p>
    <w:p w14:paraId="585E203F" w14:textId="77777777" w:rsidR="004C0930" w:rsidRDefault="004C0930">
      <w:pPr>
        <w:pStyle w:val="Titlu1"/>
        <w:rPr>
          <w:rFonts w:ascii="Arial" w:hAnsi="Arial" w:cs="Arial"/>
          <w:color w:val="000000" w:themeColor="text1"/>
        </w:rPr>
      </w:pPr>
    </w:p>
    <w:p w14:paraId="2E07F046" w14:textId="77777777" w:rsidR="004C0930" w:rsidRDefault="004C0930">
      <w:pPr>
        <w:pStyle w:val="Titlu1"/>
        <w:rPr>
          <w:rFonts w:ascii="Arial" w:hAnsi="Arial" w:cs="Arial"/>
          <w:color w:val="000000" w:themeColor="text1"/>
        </w:rPr>
      </w:pPr>
    </w:p>
    <w:p w14:paraId="019969AD" w14:textId="77777777" w:rsidR="004C0930" w:rsidRDefault="004C0930">
      <w:pPr>
        <w:pStyle w:val="Titlu1"/>
        <w:rPr>
          <w:rFonts w:ascii="Arial" w:hAnsi="Arial" w:cs="Arial"/>
          <w:color w:val="000000" w:themeColor="text1"/>
        </w:rPr>
      </w:pPr>
    </w:p>
    <w:p w14:paraId="7577C6D2" w14:textId="77777777" w:rsidR="004C0930" w:rsidRDefault="004C0930">
      <w:pPr>
        <w:pStyle w:val="Titlu1"/>
        <w:rPr>
          <w:rFonts w:ascii="Arial" w:hAnsi="Arial" w:cs="Arial"/>
          <w:color w:val="000000" w:themeColor="text1"/>
        </w:rPr>
      </w:pPr>
    </w:p>
    <w:p w14:paraId="0F13503E" w14:textId="77777777" w:rsidR="004C0930" w:rsidRDefault="004C0930">
      <w:pPr>
        <w:pStyle w:val="Titlu1"/>
        <w:rPr>
          <w:rFonts w:ascii="Arial" w:hAnsi="Arial" w:cs="Arial"/>
          <w:color w:val="000000" w:themeColor="text1"/>
        </w:rPr>
      </w:pPr>
    </w:p>
    <w:p w14:paraId="72FA1364" w14:textId="77777777" w:rsidR="004C0930" w:rsidRDefault="004C0930">
      <w:pPr>
        <w:pStyle w:val="Titlu1"/>
        <w:rPr>
          <w:rFonts w:ascii="Arial" w:hAnsi="Arial" w:cs="Arial"/>
          <w:color w:val="000000" w:themeColor="text1"/>
        </w:rPr>
      </w:pPr>
    </w:p>
    <w:p w14:paraId="7EC6DE5B" w14:textId="77777777" w:rsidR="004C0930" w:rsidRDefault="004C0930">
      <w:pPr>
        <w:pStyle w:val="Titlu1"/>
        <w:rPr>
          <w:rFonts w:ascii="Arial" w:hAnsi="Arial" w:cs="Arial"/>
          <w:color w:val="000000" w:themeColor="text1"/>
        </w:rPr>
      </w:pPr>
    </w:p>
    <w:p w14:paraId="2E4D5327" w14:textId="77777777" w:rsidR="004C0930" w:rsidRDefault="004C0930">
      <w:pPr>
        <w:pStyle w:val="Titlu1"/>
        <w:rPr>
          <w:rFonts w:ascii="Arial" w:hAnsi="Arial" w:cs="Arial"/>
          <w:color w:val="000000" w:themeColor="text1"/>
        </w:rPr>
      </w:pPr>
    </w:p>
    <w:p w14:paraId="677BD003" w14:textId="77777777" w:rsidR="004C0930" w:rsidRDefault="004C0930">
      <w:pPr>
        <w:pStyle w:val="Titlu1"/>
        <w:rPr>
          <w:rFonts w:ascii="Arial" w:hAnsi="Arial" w:cs="Arial"/>
          <w:color w:val="000000" w:themeColor="text1"/>
        </w:rPr>
      </w:pPr>
    </w:p>
    <w:p w14:paraId="13E802EC" w14:textId="77777777" w:rsidR="004C0930" w:rsidRDefault="004C0930">
      <w:pPr>
        <w:pStyle w:val="Titlu1"/>
        <w:rPr>
          <w:rFonts w:ascii="Arial" w:hAnsi="Arial" w:cs="Arial"/>
          <w:color w:val="000000" w:themeColor="text1"/>
        </w:rPr>
      </w:pPr>
    </w:p>
    <w:p w14:paraId="46C4C691" w14:textId="77777777" w:rsidR="004C0930" w:rsidRDefault="004C0930">
      <w:pPr>
        <w:pStyle w:val="Titlu1"/>
        <w:rPr>
          <w:rFonts w:ascii="Arial" w:hAnsi="Arial" w:cs="Arial"/>
          <w:color w:val="000000" w:themeColor="text1"/>
        </w:rPr>
      </w:pPr>
    </w:p>
    <w:p w14:paraId="06027050" w14:textId="77777777" w:rsidR="004C0930" w:rsidRDefault="004C0930">
      <w:pPr>
        <w:pStyle w:val="Titlu1"/>
        <w:rPr>
          <w:rFonts w:ascii="Arial" w:hAnsi="Arial" w:cs="Arial"/>
          <w:color w:val="000000" w:themeColor="text1"/>
        </w:rPr>
      </w:pPr>
    </w:p>
    <w:p w14:paraId="269B530E" w14:textId="77777777" w:rsidR="004C0930" w:rsidRDefault="004C0930">
      <w:pPr>
        <w:pStyle w:val="Titlu1"/>
        <w:rPr>
          <w:rFonts w:ascii="Arial" w:hAnsi="Arial" w:cs="Arial"/>
          <w:color w:val="000000" w:themeColor="text1"/>
        </w:rPr>
      </w:pPr>
    </w:p>
    <w:p w14:paraId="2FCDF716" w14:textId="77777777" w:rsidR="004C0930" w:rsidRDefault="004C0930">
      <w:pPr>
        <w:pStyle w:val="Titlu1"/>
        <w:rPr>
          <w:rFonts w:ascii="Arial" w:hAnsi="Arial" w:cs="Arial"/>
          <w:color w:val="000000" w:themeColor="text1"/>
        </w:rPr>
      </w:pPr>
    </w:p>
    <w:p w14:paraId="0B8CC6E9" w14:textId="77777777" w:rsidR="004C0930" w:rsidRDefault="004C0930">
      <w:pPr>
        <w:pStyle w:val="Titlu1"/>
        <w:rPr>
          <w:rFonts w:ascii="Arial" w:hAnsi="Arial" w:cs="Arial"/>
          <w:color w:val="000000" w:themeColor="text1"/>
        </w:rPr>
      </w:pPr>
    </w:p>
    <w:p w14:paraId="75FEA19A" w14:textId="77777777" w:rsidR="004C0930" w:rsidRDefault="004C0930">
      <w:pPr>
        <w:pStyle w:val="Titlu1"/>
        <w:rPr>
          <w:rFonts w:ascii="Arial" w:hAnsi="Arial" w:cs="Arial"/>
          <w:color w:val="000000" w:themeColor="text1"/>
        </w:rPr>
      </w:pPr>
    </w:p>
    <w:p w14:paraId="0000001E" w14:textId="77777777" w:rsidR="00184B2E" w:rsidRPr="000055DA" w:rsidRDefault="002534E1">
      <w:pPr>
        <w:pStyle w:val="Titlu1"/>
        <w:rPr>
          <w:rFonts w:ascii="Arial" w:hAnsi="Arial" w:cs="Arial"/>
          <w:color w:val="000000" w:themeColor="text1"/>
        </w:rPr>
      </w:pPr>
      <w:r w:rsidRPr="000055DA">
        <w:rPr>
          <w:rFonts w:ascii="Arial" w:hAnsi="Arial" w:cs="Arial"/>
          <w:color w:val="000000" w:themeColor="text1"/>
        </w:rPr>
        <w:t>Introduction</w:t>
      </w:r>
    </w:p>
    <w:p w14:paraId="0000001F" w14:textId="77777777" w:rsidR="00184B2E" w:rsidRPr="000055DA" w:rsidRDefault="00184B2E">
      <w:pPr>
        <w:rPr>
          <w:rFonts w:ascii="Arial" w:hAnsi="Arial" w:cs="Arial"/>
          <w:color w:val="000000" w:themeColor="text1"/>
        </w:rPr>
      </w:pPr>
    </w:p>
    <w:p w14:paraId="6C2C25E6" w14:textId="77777777" w:rsidR="00886652" w:rsidRDefault="002534E1" w:rsidP="00886652">
      <w:pPr>
        <w:ind w:firstLine="630"/>
        <w:rPr>
          <w:rFonts w:ascii="Arial" w:hAnsi="Arial" w:cs="Arial"/>
          <w:color w:val="000000" w:themeColor="text1"/>
        </w:rPr>
      </w:pPr>
      <w:r w:rsidRPr="000055DA">
        <w:rPr>
          <w:rFonts w:ascii="Arial" w:hAnsi="Arial" w:cs="Arial"/>
          <w:color w:val="000000" w:themeColor="text1"/>
        </w:rPr>
        <w:t xml:space="preserve">Community involvement is based on the vote-based idea that every individual who is affected by an issue that affects their community should have a say in the decision-making process. It also guarantees that public collaboration may influence decisions that influence the arrangement of administrations, future goals, and the viability of our networks. Even though there is no commonly agreed-upon definition of community commitment and the usage of the term varies widely, community commitment catches its significance in the general direction. Individuals, governments, and groups collaborate to create and </w:t>
      </w:r>
      <w:proofErr w:type="spellStart"/>
      <w:r w:rsidRPr="000055DA">
        <w:rPr>
          <w:rFonts w:ascii="Arial" w:hAnsi="Arial" w:cs="Arial"/>
          <w:color w:val="000000" w:themeColor="text1"/>
        </w:rPr>
        <w:t>recognise</w:t>
      </w:r>
      <w:proofErr w:type="spellEnd"/>
      <w:r w:rsidRPr="000055DA">
        <w:rPr>
          <w:rFonts w:ascii="Arial" w:hAnsi="Arial" w:cs="Arial"/>
          <w:color w:val="000000" w:themeColor="text1"/>
        </w:rPr>
        <w:t xml:space="preserve"> legitimate visions for their community's future. Even though there is no universally agreed-upon definition of community commitment and its usage varies widely, </w:t>
      </w:r>
      <w:proofErr w:type="spellStart"/>
      <w:r w:rsidRPr="000055DA">
        <w:rPr>
          <w:rFonts w:ascii="Arial" w:hAnsi="Arial" w:cs="Arial"/>
          <w:color w:val="000000" w:themeColor="text1"/>
        </w:rPr>
        <w:t>neighbourhood</w:t>
      </w:r>
      <w:proofErr w:type="spellEnd"/>
      <w:r w:rsidRPr="000055DA">
        <w:rPr>
          <w:rFonts w:ascii="Arial" w:hAnsi="Arial" w:cs="Arial"/>
          <w:color w:val="000000" w:themeColor="text1"/>
        </w:rPr>
        <w:t xml:space="preserve"> commitment captures its significance in a common independent direction. Individuals, governments, and </w:t>
      </w:r>
      <w:proofErr w:type="spellStart"/>
      <w:r w:rsidRPr="000055DA">
        <w:rPr>
          <w:rFonts w:ascii="Arial" w:hAnsi="Arial" w:cs="Arial"/>
          <w:color w:val="000000" w:themeColor="text1"/>
        </w:rPr>
        <w:t>organisations</w:t>
      </w:r>
      <w:proofErr w:type="spellEnd"/>
      <w:r w:rsidRPr="000055DA">
        <w:rPr>
          <w:rFonts w:ascii="Arial" w:hAnsi="Arial" w:cs="Arial"/>
          <w:color w:val="000000" w:themeColor="text1"/>
        </w:rPr>
        <w:t xml:space="preserve"> collaborate to create - and comprehend - acceptable aspirations for their community's future (Sally Hussey, 2021). It is linked to working with and paying attention to, networks to manufacture long-range connections and nurture substantial responses to complicated challenges for legislators and associations. By expanding these links, ideally, the value of inclusion becomes central, where government entities engage in dialogue with the real diversity of their networks.</w:t>
      </w:r>
    </w:p>
    <w:p w14:paraId="00000020" w14:textId="74B6C89C" w:rsidR="00184B2E" w:rsidRDefault="002534E1" w:rsidP="00886652">
      <w:pPr>
        <w:ind w:firstLine="630"/>
        <w:rPr>
          <w:rFonts w:ascii="Arial" w:hAnsi="Arial" w:cs="Arial"/>
          <w:color w:val="000000" w:themeColor="text1"/>
        </w:rPr>
      </w:pPr>
      <w:r w:rsidRPr="000055DA">
        <w:rPr>
          <w:rFonts w:ascii="Arial" w:hAnsi="Arial" w:cs="Arial"/>
          <w:color w:val="000000" w:themeColor="text1"/>
        </w:rPr>
        <w:t xml:space="preserve"> Community involvement aims to draw in the local community to achieve sustainable outcomes, fair dynamic cycles, and strengthen ties and trust across government associations and networks.</w:t>
      </w:r>
    </w:p>
    <w:p w14:paraId="1646199A" w14:textId="77777777" w:rsidR="004C0930" w:rsidRDefault="004C0930" w:rsidP="00886652">
      <w:pPr>
        <w:ind w:firstLine="630"/>
        <w:rPr>
          <w:rFonts w:ascii="Arial" w:hAnsi="Arial" w:cs="Arial"/>
          <w:color w:val="000000" w:themeColor="text1"/>
        </w:rPr>
      </w:pPr>
    </w:p>
    <w:p w14:paraId="1A50F9A5" w14:textId="77777777" w:rsidR="004C0930" w:rsidRDefault="004C0930" w:rsidP="00886652">
      <w:pPr>
        <w:ind w:firstLine="630"/>
        <w:rPr>
          <w:rFonts w:ascii="Arial" w:hAnsi="Arial" w:cs="Arial"/>
          <w:color w:val="000000" w:themeColor="text1"/>
        </w:rPr>
      </w:pPr>
    </w:p>
    <w:p w14:paraId="2F85FA78" w14:textId="77777777" w:rsidR="004C0930" w:rsidRDefault="004C0930" w:rsidP="00886652">
      <w:pPr>
        <w:ind w:firstLine="630"/>
        <w:rPr>
          <w:rFonts w:ascii="Arial" w:hAnsi="Arial" w:cs="Arial"/>
          <w:color w:val="000000" w:themeColor="text1"/>
        </w:rPr>
      </w:pPr>
    </w:p>
    <w:p w14:paraId="41E6AB08" w14:textId="77777777" w:rsidR="004C0930" w:rsidRDefault="004C0930" w:rsidP="00886652">
      <w:pPr>
        <w:ind w:firstLine="630"/>
        <w:rPr>
          <w:rFonts w:ascii="Arial" w:hAnsi="Arial" w:cs="Arial"/>
          <w:color w:val="000000" w:themeColor="text1"/>
        </w:rPr>
      </w:pPr>
    </w:p>
    <w:p w14:paraId="493C18CA" w14:textId="77777777" w:rsidR="004C0930" w:rsidRDefault="004C0930" w:rsidP="00886652">
      <w:pPr>
        <w:ind w:firstLine="630"/>
        <w:rPr>
          <w:rFonts w:ascii="Arial" w:hAnsi="Arial" w:cs="Arial"/>
          <w:color w:val="000000" w:themeColor="text1"/>
        </w:rPr>
      </w:pPr>
    </w:p>
    <w:p w14:paraId="218FD0C8" w14:textId="77777777" w:rsidR="004C0930" w:rsidRDefault="004C0930" w:rsidP="00886652">
      <w:pPr>
        <w:ind w:firstLine="630"/>
        <w:rPr>
          <w:rFonts w:ascii="Arial" w:hAnsi="Arial" w:cs="Arial"/>
          <w:color w:val="000000" w:themeColor="text1"/>
        </w:rPr>
      </w:pPr>
    </w:p>
    <w:p w14:paraId="25494281" w14:textId="77777777" w:rsidR="004C0930" w:rsidRPr="000055DA" w:rsidRDefault="004C0930" w:rsidP="00886652">
      <w:pPr>
        <w:ind w:firstLine="630"/>
        <w:rPr>
          <w:rFonts w:ascii="Arial" w:hAnsi="Arial" w:cs="Arial"/>
          <w:color w:val="000000" w:themeColor="text1"/>
        </w:rPr>
      </w:pPr>
    </w:p>
    <w:p w14:paraId="727FCC97" w14:textId="77777777" w:rsidR="008C45DD" w:rsidRPr="000055DA" w:rsidRDefault="008C45DD">
      <w:pPr>
        <w:rPr>
          <w:rFonts w:ascii="Arial" w:hAnsi="Arial" w:cs="Arial"/>
          <w:b/>
          <w:color w:val="000000" w:themeColor="text1"/>
        </w:rPr>
      </w:pPr>
    </w:p>
    <w:p w14:paraId="00000022" w14:textId="4D588B0C" w:rsidR="00184B2E" w:rsidRPr="000055DA" w:rsidRDefault="002534E1">
      <w:pPr>
        <w:rPr>
          <w:rFonts w:ascii="Arial" w:hAnsi="Arial" w:cs="Arial"/>
          <w:b/>
          <w:color w:val="000000" w:themeColor="text1"/>
        </w:rPr>
      </w:pPr>
      <w:r w:rsidRPr="000055DA">
        <w:rPr>
          <w:rFonts w:ascii="Arial" w:hAnsi="Arial" w:cs="Arial"/>
          <w:b/>
          <w:color w:val="000000" w:themeColor="text1"/>
        </w:rPr>
        <w:t xml:space="preserve">Community engagement </w:t>
      </w:r>
      <w:r w:rsidR="008C45DD" w:rsidRPr="000055DA">
        <w:rPr>
          <w:rFonts w:ascii="Arial" w:hAnsi="Arial" w:cs="Arial"/>
          <w:b/>
          <w:color w:val="000000" w:themeColor="text1"/>
        </w:rPr>
        <w:t>through stakeholder participation</w:t>
      </w:r>
    </w:p>
    <w:p w14:paraId="233B03C8" w14:textId="77777777" w:rsidR="00886652" w:rsidRDefault="002534E1" w:rsidP="00886652">
      <w:pPr>
        <w:ind w:firstLine="720"/>
        <w:rPr>
          <w:rFonts w:ascii="Arial" w:hAnsi="Arial" w:cs="Arial"/>
          <w:color w:val="000000" w:themeColor="text1"/>
        </w:rPr>
      </w:pPr>
      <w:r w:rsidRPr="000055DA">
        <w:rPr>
          <w:rFonts w:ascii="Arial" w:hAnsi="Arial" w:cs="Arial"/>
          <w:color w:val="000000" w:themeColor="text1"/>
        </w:rPr>
        <w:t xml:space="preserve">Community involvement is a vital method for establishing links, communications, and partnerships between residents and </w:t>
      </w:r>
      <w:proofErr w:type="spellStart"/>
      <w:r w:rsidRPr="000055DA">
        <w:rPr>
          <w:rFonts w:ascii="Arial" w:hAnsi="Arial" w:cs="Arial"/>
          <w:color w:val="000000" w:themeColor="text1"/>
        </w:rPr>
        <w:t>organisations</w:t>
      </w:r>
      <w:proofErr w:type="spellEnd"/>
      <w:r w:rsidRPr="000055DA">
        <w:rPr>
          <w:rFonts w:ascii="Arial" w:hAnsi="Arial" w:cs="Arial"/>
          <w:color w:val="000000" w:themeColor="text1"/>
        </w:rPr>
        <w:t xml:space="preserve"> to influence outcomes for both. "Building trusting ties with networks is a time-consuming, asset-intensive, and </w:t>
      </w:r>
      <w:proofErr w:type="spellStart"/>
      <w:r w:rsidRPr="000055DA">
        <w:rPr>
          <w:rFonts w:ascii="Arial" w:hAnsi="Arial" w:cs="Arial"/>
          <w:color w:val="000000" w:themeColor="text1"/>
        </w:rPr>
        <w:t>labour-intensive</w:t>
      </w:r>
      <w:proofErr w:type="spellEnd"/>
      <w:r w:rsidRPr="000055DA">
        <w:rPr>
          <w:rFonts w:ascii="Arial" w:hAnsi="Arial" w:cs="Arial"/>
          <w:color w:val="000000" w:themeColor="text1"/>
        </w:rPr>
        <w:t xml:space="preserve"> process" (</w:t>
      </w:r>
      <w:proofErr w:type="spellStart"/>
      <w:r w:rsidRPr="000055DA">
        <w:rPr>
          <w:rFonts w:ascii="Arial" w:hAnsi="Arial" w:cs="Arial"/>
          <w:color w:val="000000" w:themeColor="text1"/>
        </w:rPr>
        <w:t>Tembo</w:t>
      </w:r>
      <w:proofErr w:type="spellEnd"/>
      <w:r w:rsidRPr="000055DA">
        <w:rPr>
          <w:rFonts w:ascii="Arial" w:hAnsi="Arial" w:cs="Arial"/>
          <w:color w:val="000000" w:themeColor="text1"/>
        </w:rPr>
        <w:t xml:space="preserve"> et al., 2021). </w:t>
      </w:r>
    </w:p>
    <w:p w14:paraId="492AA40E" w14:textId="77777777" w:rsidR="00886652" w:rsidRDefault="002534E1" w:rsidP="00886652">
      <w:pPr>
        <w:ind w:firstLine="720"/>
        <w:rPr>
          <w:rFonts w:ascii="Arial" w:hAnsi="Arial" w:cs="Arial"/>
          <w:color w:val="000000" w:themeColor="text1"/>
        </w:rPr>
      </w:pPr>
      <w:r w:rsidRPr="000055DA">
        <w:rPr>
          <w:rFonts w:ascii="Arial" w:hAnsi="Arial" w:cs="Arial"/>
          <w:color w:val="000000" w:themeColor="text1"/>
        </w:rPr>
        <w:t xml:space="preserve">The general public is frequently ignorant of the potential of children with exceptional needs. In the general public's perception, special needs are frequently associated with relatively low expectations. </w:t>
      </w:r>
    </w:p>
    <w:p w14:paraId="70ABC8AE" w14:textId="77777777" w:rsidR="00886652" w:rsidRDefault="002534E1" w:rsidP="00886652">
      <w:pPr>
        <w:ind w:firstLine="630"/>
        <w:rPr>
          <w:rFonts w:ascii="Arial" w:hAnsi="Arial" w:cs="Arial"/>
          <w:color w:val="000000" w:themeColor="text1"/>
        </w:rPr>
      </w:pPr>
      <w:r w:rsidRPr="000055DA">
        <w:rPr>
          <w:rFonts w:ascii="Arial" w:hAnsi="Arial" w:cs="Arial"/>
          <w:color w:val="000000" w:themeColor="text1"/>
        </w:rPr>
        <w:t xml:space="preserve">A parent must believe in the importance of teaching special-needs children. </w:t>
      </w:r>
      <w:proofErr w:type="gramStart"/>
      <w:r w:rsidRPr="000055DA">
        <w:rPr>
          <w:rFonts w:ascii="Arial" w:hAnsi="Arial" w:cs="Arial"/>
          <w:color w:val="000000" w:themeColor="text1"/>
        </w:rPr>
        <w:t>The more the expectations, the greater their acceptability in the family.</w:t>
      </w:r>
      <w:proofErr w:type="gramEnd"/>
      <w:r w:rsidRPr="000055DA">
        <w:rPr>
          <w:rFonts w:ascii="Arial" w:hAnsi="Arial" w:cs="Arial"/>
          <w:color w:val="000000" w:themeColor="text1"/>
        </w:rPr>
        <w:t xml:space="preserve"> </w:t>
      </w:r>
    </w:p>
    <w:p w14:paraId="47101E99" w14:textId="77777777" w:rsidR="00886652" w:rsidRDefault="002534E1" w:rsidP="00886652">
      <w:pPr>
        <w:ind w:firstLine="630"/>
        <w:rPr>
          <w:rFonts w:ascii="Arial" w:hAnsi="Arial" w:cs="Arial"/>
          <w:color w:val="000000" w:themeColor="text1"/>
        </w:rPr>
      </w:pPr>
      <w:r w:rsidRPr="000055DA">
        <w:rPr>
          <w:rFonts w:ascii="Arial" w:hAnsi="Arial" w:cs="Arial"/>
          <w:color w:val="000000" w:themeColor="text1"/>
        </w:rPr>
        <w:t xml:space="preserve">Disabled students who are put in special schools should be considered for integration into regular schools once they have mastered functional communication and daily life abilities. </w:t>
      </w:r>
    </w:p>
    <w:p w14:paraId="00000025" w14:textId="58773BA4" w:rsidR="00184B2E" w:rsidRPr="000055DA" w:rsidRDefault="002534E1" w:rsidP="00886652">
      <w:pPr>
        <w:ind w:firstLine="630"/>
        <w:rPr>
          <w:rFonts w:ascii="Arial" w:hAnsi="Arial" w:cs="Arial"/>
          <w:color w:val="000000" w:themeColor="text1"/>
        </w:rPr>
      </w:pPr>
      <w:r w:rsidRPr="000055DA">
        <w:rPr>
          <w:rFonts w:ascii="Arial" w:hAnsi="Arial" w:cs="Arial"/>
          <w:color w:val="000000" w:themeColor="text1"/>
        </w:rPr>
        <w:t xml:space="preserve">The initiative that I am running will collect funding for special-needs youngsters' schooling.  Over the last decade, schools in the United States and the United Kingdom have endured dramatic funding cuts, undermining their ability to develop the talents and creativity of future generations. And, with a global epidemic in full swing, non-profit </w:t>
      </w:r>
      <w:proofErr w:type="spellStart"/>
      <w:r w:rsidRPr="000055DA">
        <w:rPr>
          <w:rFonts w:ascii="Arial" w:hAnsi="Arial" w:cs="Arial"/>
          <w:color w:val="000000" w:themeColor="text1"/>
        </w:rPr>
        <w:t>organisations</w:t>
      </w:r>
      <w:proofErr w:type="spellEnd"/>
      <w:r w:rsidRPr="000055DA">
        <w:rPr>
          <w:rFonts w:ascii="Arial" w:hAnsi="Arial" w:cs="Arial"/>
          <w:color w:val="000000" w:themeColor="text1"/>
        </w:rPr>
        <w:t xml:space="preserve"> are struggling more than ever. To assist children with exceptional needs in receiving a suitable education and employment placements by generating funds and assisting non-profit </w:t>
      </w:r>
      <w:proofErr w:type="spellStart"/>
      <w:r w:rsidRPr="000055DA">
        <w:rPr>
          <w:rFonts w:ascii="Arial" w:hAnsi="Arial" w:cs="Arial"/>
          <w:color w:val="000000" w:themeColor="text1"/>
        </w:rPr>
        <w:t>organisations</w:t>
      </w:r>
      <w:proofErr w:type="spellEnd"/>
      <w:r w:rsidRPr="000055DA">
        <w:rPr>
          <w:rFonts w:ascii="Arial" w:hAnsi="Arial" w:cs="Arial"/>
          <w:color w:val="000000" w:themeColor="text1"/>
        </w:rPr>
        <w:t xml:space="preserve"> that have made measures to educate these youngsters.</w:t>
      </w:r>
      <w:r w:rsidR="00616205" w:rsidRPr="000055DA">
        <w:rPr>
          <w:rFonts w:ascii="Arial" w:hAnsi="Arial" w:cs="Arial"/>
          <w:color w:val="000000" w:themeColor="text1"/>
        </w:rPr>
        <w:t xml:space="preserve"> </w:t>
      </w:r>
    </w:p>
    <w:p w14:paraId="50E35992" w14:textId="77777777" w:rsidR="00886652" w:rsidRDefault="002534E1" w:rsidP="00886652">
      <w:pPr>
        <w:ind w:firstLine="630"/>
        <w:rPr>
          <w:rFonts w:ascii="Arial" w:hAnsi="Arial" w:cs="Arial"/>
          <w:color w:val="000000" w:themeColor="text1"/>
        </w:rPr>
      </w:pPr>
      <w:r w:rsidRPr="000055DA">
        <w:rPr>
          <w:rFonts w:ascii="Arial" w:hAnsi="Arial" w:cs="Arial"/>
          <w:color w:val="000000" w:themeColor="text1"/>
        </w:rPr>
        <w:t xml:space="preserve">Every dollar and every pledge drive counts! Nonetheless, large investments are sometimes necessary for </w:t>
      </w:r>
      <w:proofErr w:type="spellStart"/>
      <w:r w:rsidRPr="000055DA">
        <w:rPr>
          <w:rFonts w:ascii="Arial" w:hAnsi="Arial" w:cs="Arial"/>
          <w:color w:val="000000" w:themeColor="text1"/>
        </w:rPr>
        <w:t>remodelling</w:t>
      </w:r>
      <w:proofErr w:type="spellEnd"/>
      <w:r w:rsidRPr="000055DA">
        <w:rPr>
          <w:rFonts w:ascii="Arial" w:hAnsi="Arial" w:cs="Arial"/>
          <w:color w:val="000000" w:themeColor="text1"/>
        </w:rPr>
        <w:t xml:space="preserve"> or construction projects. Commitment refers to the many ways in which </w:t>
      </w:r>
      <w:proofErr w:type="spellStart"/>
      <w:r w:rsidRPr="000055DA">
        <w:rPr>
          <w:rFonts w:ascii="Arial" w:hAnsi="Arial" w:cs="Arial"/>
          <w:color w:val="000000" w:themeColor="text1"/>
        </w:rPr>
        <w:t>organisations</w:t>
      </w:r>
      <w:proofErr w:type="spellEnd"/>
      <w:r w:rsidRPr="000055DA">
        <w:rPr>
          <w:rFonts w:ascii="Arial" w:hAnsi="Arial" w:cs="Arial"/>
          <w:color w:val="000000" w:themeColor="text1"/>
        </w:rPr>
        <w:t xml:space="preserve"> collaborate with and incorporate partners and the local community in the course of events and the implementation of local community drives.  "The University of Illinois at Chicago formed a Community Engagement Advisory Board" to "further enhance research commitment and assemble limit with regard to community occupied with 2019, research across the translational range" (</w:t>
      </w:r>
      <w:proofErr w:type="spellStart"/>
      <w:r w:rsidRPr="000055DA">
        <w:rPr>
          <w:rFonts w:ascii="Arial" w:hAnsi="Arial" w:cs="Arial"/>
          <w:color w:val="000000" w:themeColor="text1"/>
        </w:rPr>
        <w:t>Choure</w:t>
      </w:r>
      <w:proofErr w:type="spellEnd"/>
      <w:r w:rsidRPr="000055DA">
        <w:rPr>
          <w:rFonts w:ascii="Arial" w:hAnsi="Arial" w:cs="Arial"/>
          <w:color w:val="000000" w:themeColor="text1"/>
        </w:rPr>
        <w:t xml:space="preserve">, 2018). </w:t>
      </w:r>
    </w:p>
    <w:p w14:paraId="00000027" w14:textId="1FBD9E36" w:rsidR="00184B2E" w:rsidRPr="000055DA" w:rsidRDefault="002534E1" w:rsidP="00616205">
      <w:pPr>
        <w:ind w:firstLine="630"/>
        <w:rPr>
          <w:rFonts w:ascii="Arial" w:hAnsi="Arial" w:cs="Arial"/>
          <w:color w:val="000000" w:themeColor="text1"/>
        </w:rPr>
      </w:pPr>
      <w:r w:rsidRPr="000055DA">
        <w:rPr>
          <w:rFonts w:ascii="Arial" w:hAnsi="Arial" w:cs="Arial"/>
          <w:color w:val="000000" w:themeColor="text1"/>
        </w:rPr>
        <w:lastRenderedPageBreak/>
        <w:t xml:space="preserve">My commitment encompasses a wide range of investment options, from data exchange and interviews to the dynamic association in dynamic cycles. To make a compelling local community commitment process, the </w:t>
      </w:r>
      <w:proofErr w:type="spellStart"/>
      <w:r w:rsidRPr="000055DA">
        <w:rPr>
          <w:rFonts w:ascii="Arial" w:hAnsi="Arial" w:cs="Arial"/>
          <w:color w:val="000000" w:themeColor="text1"/>
        </w:rPr>
        <w:t>programme</w:t>
      </w:r>
      <w:proofErr w:type="spellEnd"/>
      <w:r w:rsidRPr="000055DA">
        <w:rPr>
          <w:rFonts w:ascii="Arial" w:hAnsi="Arial" w:cs="Arial"/>
          <w:color w:val="000000" w:themeColor="text1"/>
        </w:rPr>
        <w:t xml:space="preserve"> that is being coordinated should be simple to read, convincing, and related to navigation. It should be plain, accessible, and open, as well as complete, mindful, and respectful of all obligations. It should be valuable, informative, and contribute to continuous progress. It should have clear and reasonable periods for assembling connections, coordinated effort, and trust. It should also provide input and responsibilities and should be evaluated.</w:t>
      </w:r>
      <w:r w:rsidR="00616205" w:rsidRPr="000055DA">
        <w:rPr>
          <w:rFonts w:ascii="Arial" w:hAnsi="Arial" w:cs="Arial"/>
          <w:color w:val="000000" w:themeColor="text1"/>
        </w:rPr>
        <w:t xml:space="preserve"> </w:t>
      </w:r>
    </w:p>
    <w:p w14:paraId="00000029" w14:textId="4AD8B0A1" w:rsidR="00184B2E" w:rsidRPr="000055DA" w:rsidRDefault="002534E1" w:rsidP="00886652">
      <w:pPr>
        <w:ind w:firstLine="540"/>
        <w:rPr>
          <w:rFonts w:ascii="Arial" w:hAnsi="Arial" w:cs="Arial"/>
          <w:color w:val="000000" w:themeColor="text1"/>
        </w:rPr>
      </w:pPr>
      <w:r w:rsidRPr="000055DA">
        <w:rPr>
          <w:rFonts w:ascii="Arial" w:hAnsi="Arial" w:cs="Arial"/>
          <w:color w:val="000000" w:themeColor="text1"/>
        </w:rPr>
        <w:t xml:space="preserve">I will be conducting a marathon fair race which will include different brands' participation. This participation is planned to advertise the brands to consumers. A reasonable and thorough social speculation and local area development </w:t>
      </w:r>
      <w:proofErr w:type="spellStart"/>
      <w:r w:rsidRPr="000055DA">
        <w:rPr>
          <w:rFonts w:ascii="Arial" w:hAnsi="Arial" w:cs="Arial"/>
          <w:color w:val="000000" w:themeColor="text1"/>
        </w:rPr>
        <w:t>programme</w:t>
      </w:r>
      <w:proofErr w:type="spellEnd"/>
      <w:r w:rsidRPr="000055DA">
        <w:rPr>
          <w:rFonts w:ascii="Arial" w:hAnsi="Arial" w:cs="Arial"/>
          <w:color w:val="000000" w:themeColor="text1"/>
        </w:rPr>
        <w:t xml:space="preserve"> may assist in the development and maintenance of a Social License to Operate (SLO) and ensure tangible, positive impact in project-affected areas. Including community group members from the start and throughout a local area, the project may be a vital engagement. This is because local area partners have the skills and knowledge that </w:t>
      </w:r>
      <w:proofErr w:type="spellStart"/>
      <w:r w:rsidRPr="000055DA">
        <w:rPr>
          <w:rFonts w:ascii="Arial" w:hAnsi="Arial" w:cs="Arial"/>
          <w:color w:val="000000" w:themeColor="text1"/>
        </w:rPr>
        <w:t>organisations</w:t>
      </w:r>
      <w:proofErr w:type="spellEnd"/>
      <w:r w:rsidRPr="000055DA">
        <w:rPr>
          <w:rFonts w:ascii="Arial" w:hAnsi="Arial" w:cs="Arial"/>
          <w:color w:val="000000" w:themeColor="text1"/>
        </w:rPr>
        <w:t xml:space="preserve"> require and may make a substantial contribution to initiatives. Showing an interest in partners and knowing about the </w:t>
      </w:r>
      <w:proofErr w:type="spellStart"/>
      <w:r w:rsidRPr="000055DA">
        <w:rPr>
          <w:rFonts w:ascii="Arial" w:hAnsi="Arial" w:cs="Arial"/>
          <w:color w:val="000000" w:themeColor="text1"/>
        </w:rPr>
        <w:t>programme</w:t>
      </w:r>
      <w:proofErr w:type="spellEnd"/>
      <w:r w:rsidRPr="000055DA">
        <w:rPr>
          <w:rFonts w:ascii="Arial" w:hAnsi="Arial" w:cs="Arial"/>
          <w:color w:val="000000" w:themeColor="text1"/>
        </w:rPr>
        <w:t xml:space="preserve"> design, implementation, executives, and assessment provides valuable learning opportunities. Welcoming partners to discuss thoughts and feelings may have a significant impact on relationships, as it can make partners feel liked and revered.</w:t>
      </w:r>
      <w:r w:rsidR="00886652" w:rsidRPr="000055DA">
        <w:rPr>
          <w:rFonts w:ascii="Arial" w:hAnsi="Arial" w:cs="Arial"/>
          <w:color w:val="000000" w:themeColor="text1"/>
        </w:rPr>
        <w:t xml:space="preserve"> </w:t>
      </w:r>
    </w:p>
    <w:p w14:paraId="0000002A" w14:textId="77777777" w:rsidR="00184B2E" w:rsidRPr="000055DA" w:rsidRDefault="002534E1" w:rsidP="00886652">
      <w:pPr>
        <w:ind w:firstLine="540"/>
        <w:rPr>
          <w:rFonts w:ascii="Arial" w:hAnsi="Arial" w:cs="Arial"/>
          <w:color w:val="000000" w:themeColor="text1"/>
        </w:rPr>
      </w:pPr>
      <w:r w:rsidRPr="000055DA">
        <w:rPr>
          <w:rFonts w:ascii="Arial" w:hAnsi="Arial" w:cs="Arial"/>
          <w:color w:val="000000" w:themeColor="text1"/>
        </w:rPr>
        <w:t xml:space="preserve">This type of community engagement is ideal since it allows everyone to participate. The substantial socioeconomic changes that have occurred in recent years have altered the circumstances under which families are raising small children and have shifted the ability of the traditional aid structure to adequately support them. This </w:t>
      </w:r>
      <w:proofErr w:type="spellStart"/>
      <w:r w:rsidRPr="000055DA">
        <w:rPr>
          <w:rFonts w:ascii="Arial" w:hAnsi="Arial" w:cs="Arial"/>
          <w:color w:val="000000" w:themeColor="text1"/>
        </w:rPr>
        <w:t>programme</w:t>
      </w:r>
      <w:proofErr w:type="spellEnd"/>
      <w:r w:rsidRPr="000055DA">
        <w:rPr>
          <w:rFonts w:ascii="Arial" w:hAnsi="Arial" w:cs="Arial"/>
          <w:color w:val="000000" w:themeColor="text1"/>
        </w:rPr>
        <w:t xml:space="preserve"> mostly serves children with special needs. This Community administration may help a broad range of meetings of kids with disabilities </w:t>
      </w:r>
      <w:proofErr w:type="spellStart"/>
      <w:r w:rsidRPr="000055DA">
        <w:rPr>
          <w:rFonts w:ascii="Arial" w:hAnsi="Arial" w:cs="Arial"/>
          <w:color w:val="000000" w:themeColor="text1"/>
        </w:rPr>
        <w:t>organised</w:t>
      </w:r>
      <w:proofErr w:type="spellEnd"/>
      <w:r w:rsidRPr="000055DA">
        <w:rPr>
          <w:rFonts w:ascii="Arial" w:hAnsi="Arial" w:cs="Arial"/>
          <w:color w:val="000000" w:themeColor="text1"/>
        </w:rPr>
        <w:t xml:space="preserve"> through a </w:t>
      </w:r>
      <w:proofErr w:type="spellStart"/>
      <w:r w:rsidRPr="000055DA">
        <w:rPr>
          <w:rFonts w:ascii="Arial" w:hAnsi="Arial" w:cs="Arial"/>
          <w:color w:val="000000" w:themeColor="text1"/>
        </w:rPr>
        <w:t>neighbourhood</w:t>
      </w:r>
      <w:proofErr w:type="spellEnd"/>
      <w:r w:rsidRPr="000055DA">
        <w:rPr>
          <w:rFonts w:ascii="Arial" w:hAnsi="Arial" w:cs="Arial"/>
          <w:color w:val="000000" w:themeColor="text1"/>
        </w:rPr>
        <w:t xml:space="preserve"> group, for example, a school or non-benefit </w:t>
      </w:r>
      <w:proofErr w:type="spellStart"/>
      <w:r w:rsidRPr="000055DA">
        <w:rPr>
          <w:rFonts w:ascii="Arial" w:hAnsi="Arial" w:cs="Arial"/>
          <w:color w:val="000000" w:themeColor="text1"/>
        </w:rPr>
        <w:t>organisation</w:t>
      </w:r>
      <w:proofErr w:type="spellEnd"/>
      <w:r w:rsidRPr="000055DA">
        <w:rPr>
          <w:rFonts w:ascii="Arial" w:hAnsi="Arial" w:cs="Arial"/>
          <w:color w:val="000000" w:themeColor="text1"/>
        </w:rPr>
        <w:t xml:space="preserve">, and I can also begin my community administration initiatives. Several </w:t>
      </w:r>
      <w:proofErr w:type="spellStart"/>
      <w:r w:rsidRPr="000055DA">
        <w:rPr>
          <w:rFonts w:ascii="Arial" w:hAnsi="Arial" w:cs="Arial"/>
          <w:color w:val="000000" w:themeColor="text1"/>
        </w:rPr>
        <w:t>organisations</w:t>
      </w:r>
      <w:proofErr w:type="spellEnd"/>
      <w:r w:rsidRPr="000055DA">
        <w:rPr>
          <w:rFonts w:ascii="Arial" w:hAnsi="Arial" w:cs="Arial"/>
          <w:color w:val="000000" w:themeColor="text1"/>
        </w:rPr>
        <w:t xml:space="preserve"> already have relationships with my target populations that I can connect with. This will provide possible opportunities for social connection and relationship development, as well as allow </w:t>
      </w:r>
      <w:r w:rsidRPr="000055DA">
        <w:rPr>
          <w:rFonts w:ascii="Arial" w:hAnsi="Arial" w:cs="Arial"/>
          <w:color w:val="000000" w:themeColor="text1"/>
        </w:rPr>
        <w:lastRenderedPageBreak/>
        <w:t xml:space="preserve">residents to provide feedback on visual, voice-recorded, or video designs. It will also create an </w:t>
      </w:r>
      <w:proofErr w:type="spellStart"/>
      <w:r w:rsidRPr="000055DA">
        <w:rPr>
          <w:rFonts w:ascii="Arial" w:hAnsi="Arial" w:cs="Arial"/>
          <w:color w:val="000000" w:themeColor="text1"/>
        </w:rPr>
        <w:t>organisation</w:t>
      </w:r>
      <w:proofErr w:type="spellEnd"/>
      <w:r w:rsidRPr="000055DA">
        <w:rPr>
          <w:rFonts w:ascii="Arial" w:hAnsi="Arial" w:cs="Arial"/>
          <w:color w:val="000000" w:themeColor="text1"/>
        </w:rPr>
        <w:t xml:space="preserve"> of administrations that fill gaps or reduce redundancy for the target population.</w:t>
      </w:r>
    </w:p>
    <w:p w14:paraId="0000002B" w14:textId="77777777" w:rsidR="00184B2E" w:rsidRPr="000055DA" w:rsidRDefault="00184B2E">
      <w:pPr>
        <w:rPr>
          <w:rFonts w:ascii="Arial" w:hAnsi="Arial" w:cs="Arial"/>
          <w:color w:val="000000" w:themeColor="text1"/>
        </w:rPr>
      </w:pPr>
    </w:p>
    <w:p w14:paraId="6D9B266D" w14:textId="77777777" w:rsidR="008C45DD" w:rsidRPr="000055DA" w:rsidRDefault="008C45DD" w:rsidP="00886652">
      <w:pPr>
        <w:jc w:val="center"/>
        <w:rPr>
          <w:rFonts w:ascii="Arial" w:hAnsi="Arial" w:cs="Arial"/>
          <w:color w:val="000000" w:themeColor="text1"/>
        </w:rPr>
      </w:pPr>
      <w:r w:rsidRPr="000055DA">
        <w:rPr>
          <w:rFonts w:ascii="Arial" w:hAnsi="Arial" w:cs="Arial"/>
          <w:b/>
          <w:color w:val="000000" w:themeColor="text1"/>
        </w:rPr>
        <w:t>Differences between the projects of the Community Engagement Programs</w:t>
      </w:r>
    </w:p>
    <w:p w14:paraId="75FCEF58" w14:textId="77777777" w:rsidR="00886652" w:rsidRDefault="002534E1" w:rsidP="00886652">
      <w:pPr>
        <w:ind w:firstLine="450"/>
        <w:rPr>
          <w:rFonts w:ascii="Arial" w:hAnsi="Arial" w:cs="Arial"/>
          <w:color w:val="000000" w:themeColor="text1"/>
        </w:rPr>
      </w:pPr>
      <w:r w:rsidRPr="000055DA">
        <w:rPr>
          <w:rFonts w:ascii="Arial" w:hAnsi="Arial" w:cs="Arial"/>
          <w:color w:val="000000" w:themeColor="text1"/>
        </w:rPr>
        <w:t xml:space="preserve">The students also hold workshops or different classes for specially-abled children. As seen, the community's main purpose is to provide knowledge and take special care for the specially-abled students, it has been getting help by providing different activities and participating in getting funding for the students even some other school students with rich backgrounds also participate by donating to the community by being an active member by organizing events and meeting in developing its area more advanced. "Within a natural equity framework, the limit building has been a significant part of endeavors to manage wellbeing variations at the strategy, framework, and climatic levels," writes Williamson (2022). </w:t>
      </w:r>
    </w:p>
    <w:p w14:paraId="07824395" w14:textId="77777777" w:rsidR="00886652" w:rsidRDefault="002534E1" w:rsidP="00886652">
      <w:pPr>
        <w:ind w:firstLine="450"/>
        <w:rPr>
          <w:rFonts w:ascii="Arial" w:hAnsi="Arial" w:cs="Arial"/>
          <w:color w:val="000000" w:themeColor="text1"/>
        </w:rPr>
      </w:pPr>
      <w:r w:rsidRPr="000055DA">
        <w:rPr>
          <w:rFonts w:ascii="Arial" w:hAnsi="Arial" w:cs="Arial"/>
          <w:color w:val="000000" w:themeColor="text1"/>
        </w:rPr>
        <w:t xml:space="preserve">Assessment 1 discusses the UK youth community which has come with many different programs for the youth in skill development. Its main purpose was to help the younger generation to involve themselves in future activities benefiting them to retain knowledge and skill enhancement. </w:t>
      </w:r>
    </w:p>
    <w:p w14:paraId="0000002E" w14:textId="2B674CB3" w:rsidR="00184B2E" w:rsidRDefault="002534E1" w:rsidP="00886652">
      <w:pPr>
        <w:ind w:firstLine="450"/>
        <w:rPr>
          <w:rFonts w:ascii="Arial" w:hAnsi="Arial" w:cs="Arial"/>
          <w:color w:val="000000" w:themeColor="text1"/>
        </w:rPr>
      </w:pPr>
      <w:r w:rsidRPr="000055DA">
        <w:rPr>
          <w:rFonts w:ascii="Arial" w:hAnsi="Arial" w:cs="Arial"/>
          <w:color w:val="000000" w:themeColor="text1"/>
        </w:rPr>
        <w:t xml:space="preserve">Generation code accelerator is one of the many programs developed by the UK youth community helping in providing the knowledge of technology and coding for the youth who are lacking such skills. They have included many organizations that help in developing such programs. It came up with 40 tutors and found that more than five thousand young people are seen being interested to take part in the activities provided by the Generation code Accelerator. The UK tech supporters have funded this program to help them understand the world of technology and its importance in gaining knowledge. It is seen that one of the stakeholders is Microsoft as it has helped the younger generation to get to know more about such activities which are leading to greater success. The program mainly provides artificial </w:t>
      </w:r>
      <w:proofErr w:type="gramStart"/>
      <w:r w:rsidRPr="000055DA">
        <w:rPr>
          <w:rFonts w:ascii="Arial" w:hAnsi="Arial" w:cs="Arial"/>
          <w:color w:val="000000" w:themeColor="text1"/>
        </w:rPr>
        <w:t>intelligence,</w:t>
      </w:r>
      <w:proofErr w:type="gramEnd"/>
      <w:r w:rsidRPr="000055DA">
        <w:rPr>
          <w:rFonts w:ascii="Arial" w:hAnsi="Arial" w:cs="Arial"/>
          <w:color w:val="000000" w:themeColor="text1"/>
        </w:rPr>
        <w:t xml:space="preserve"> big data and other internet things which will help the students learn valuable skills and experience which will help them in advance for their professions. The program is taking its idea to the next level by using the social media platform to give education, regain its program and </w:t>
      </w:r>
      <w:r w:rsidRPr="000055DA">
        <w:rPr>
          <w:rFonts w:ascii="Arial" w:hAnsi="Arial" w:cs="Arial"/>
          <w:color w:val="000000" w:themeColor="text1"/>
        </w:rPr>
        <w:lastRenderedPageBreak/>
        <w:t>convey its activities to youth through social media. This program has been helping in development for many years like the well being of the youths. The help of the stakeholders made the program a success and has been awarded for being a way to new innovative ideas.</w:t>
      </w:r>
    </w:p>
    <w:p w14:paraId="0000002F" w14:textId="77777777" w:rsidR="00184B2E" w:rsidRPr="000055DA" w:rsidRDefault="00184B2E">
      <w:pPr>
        <w:rPr>
          <w:rFonts w:ascii="Arial" w:hAnsi="Arial" w:cs="Arial"/>
          <w:color w:val="000000" w:themeColor="text1"/>
        </w:rPr>
      </w:pPr>
    </w:p>
    <w:p w14:paraId="00000031" w14:textId="68B57F24" w:rsidR="00184B2E" w:rsidRPr="000055DA" w:rsidRDefault="00886652" w:rsidP="00616205">
      <w:pPr>
        <w:jc w:val="left"/>
        <w:rPr>
          <w:rFonts w:ascii="Arial" w:hAnsi="Arial" w:cs="Arial"/>
          <w:color w:val="000000" w:themeColor="text1"/>
        </w:rPr>
      </w:pPr>
      <w:r>
        <w:rPr>
          <w:rFonts w:ascii="Arial" w:hAnsi="Arial" w:cs="Arial"/>
          <w:b/>
          <w:color w:val="000000" w:themeColor="text1"/>
        </w:rPr>
        <w:t xml:space="preserve">           </w:t>
      </w:r>
      <w:r w:rsidR="002534E1" w:rsidRPr="000055DA">
        <w:rPr>
          <w:rFonts w:ascii="Arial" w:hAnsi="Arial" w:cs="Arial"/>
          <w:b/>
          <w:color w:val="000000" w:themeColor="text1"/>
        </w:rPr>
        <w:t>Active consultation, good communication, stakeholder participation, and inclusiveness in community engagement</w:t>
      </w:r>
    </w:p>
    <w:p w14:paraId="00000033" w14:textId="696D5BF0" w:rsidR="00184B2E" w:rsidRPr="000055DA" w:rsidRDefault="002534E1" w:rsidP="00886652">
      <w:pPr>
        <w:ind w:firstLine="630"/>
        <w:rPr>
          <w:rFonts w:ascii="Arial" w:hAnsi="Arial" w:cs="Arial"/>
          <w:color w:val="000000" w:themeColor="text1"/>
        </w:rPr>
      </w:pPr>
      <w:r w:rsidRPr="000055DA">
        <w:rPr>
          <w:rFonts w:ascii="Arial" w:hAnsi="Arial" w:cs="Arial"/>
          <w:color w:val="000000" w:themeColor="text1"/>
        </w:rPr>
        <w:t xml:space="preserve">Community engagement is a complimentary connection and genuine affiliation between the community and a </w:t>
      </w:r>
      <w:proofErr w:type="spellStart"/>
      <w:r w:rsidRPr="000055DA">
        <w:rPr>
          <w:rFonts w:ascii="Arial" w:hAnsi="Arial" w:cs="Arial"/>
          <w:color w:val="000000" w:themeColor="text1"/>
        </w:rPr>
        <w:t>speciality</w:t>
      </w:r>
      <w:proofErr w:type="spellEnd"/>
      <w:r w:rsidRPr="000055DA">
        <w:rPr>
          <w:rFonts w:ascii="Arial" w:hAnsi="Arial" w:cs="Arial"/>
          <w:color w:val="000000" w:themeColor="text1"/>
        </w:rPr>
        <w:t xml:space="preserve"> co-op that indisputably typifies fundamental freedoms norms. This means that members should leave the interaction feeling valued as if their input was valued as if they were taken seriously, and as if the cycle was beneficial to them. The first part of this interaction entails determining what each gathering contributes to the connection and determining how to best </w:t>
      </w:r>
      <w:proofErr w:type="spellStart"/>
      <w:r w:rsidRPr="000055DA">
        <w:rPr>
          <w:rFonts w:ascii="Arial" w:hAnsi="Arial" w:cs="Arial"/>
          <w:color w:val="000000" w:themeColor="text1"/>
        </w:rPr>
        <w:t>utilise</w:t>
      </w:r>
      <w:proofErr w:type="spellEnd"/>
      <w:r w:rsidRPr="000055DA">
        <w:rPr>
          <w:rFonts w:ascii="Arial" w:hAnsi="Arial" w:cs="Arial"/>
          <w:color w:val="000000" w:themeColor="text1"/>
        </w:rPr>
        <w:t xml:space="preserve"> these assets together. All in all, community participation fosters the necessary cooperation for vote-based governance (Corbett and Le </w:t>
      </w:r>
      <w:proofErr w:type="spellStart"/>
      <w:r w:rsidRPr="000055DA">
        <w:rPr>
          <w:rFonts w:ascii="Arial" w:hAnsi="Arial" w:cs="Arial"/>
          <w:color w:val="000000" w:themeColor="text1"/>
        </w:rPr>
        <w:t>Dantec</w:t>
      </w:r>
      <w:proofErr w:type="spellEnd"/>
      <w:r w:rsidRPr="000055DA">
        <w:rPr>
          <w:rFonts w:ascii="Arial" w:hAnsi="Arial" w:cs="Arial"/>
          <w:color w:val="000000" w:themeColor="text1"/>
        </w:rPr>
        <w:t>, 2018). This assumes that members have prior knowledge, skills, and experience regarding their concerns and the best ways to address them. Perhaps the most important issue here is that a conference is a cost with little long-term value. It's a cost of doing business. Commitment, in any event, boosts self-esteem. Commitment is a desire in developing future capability through focusing on the relationships between a foundation and its networks. Individuals must be able to communicate with one another to commit to a Community. It also necessitates mutual respect and confidence, as well as a common structure and rationale. Including networks in the planning and direction process can strengthen their ability to make a move that leads to beneficial results.</w:t>
      </w:r>
      <w:r w:rsidR="00886652" w:rsidRPr="000055DA">
        <w:rPr>
          <w:rFonts w:ascii="Arial" w:hAnsi="Arial" w:cs="Arial"/>
          <w:color w:val="000000" w:themeColor="text1"/>
        </w:rPr>
        <w:t xml:space="preserve"> </w:t>
      </w:r>
    </w:p>
    <w:p w14:paraId="00000035" w14:textId="0920AEC0" w:rsidR="00184B2E" w:rsidRPr="000055DA" w:rsidRDefault="00886652" w:rsidP="00886652">
      <w:pPr>
        <w:ind w:firstLine="630"/>
        <w:rPr>
          <w:rFonts w:ascii="Arial" w:hAnsi="Arial" w:cs="Arial"/>
          <w:color w:val="000000" w:themeColor="text1"/>
        </w:rPr>
      </w:pPr>
      <w:r>
        <w:rPr>
          <w:rFonts w:ascii="Arial" w:hAnsi="Arial" w:cs="Arial"/>
          <w:color w:val="000000" w:themeColor="text1"/>
        </w:rPr>
        <w:t xml:space="preserve"> </w:t>
      </w:r>
      <w:r w:rsidR="002534E1" w:rsidRPr="000055DA">
        <w:rPr>
          <w:rFonts w:ascii="Arial" w:hAnsi="Arial" w:cs="Arial"/>
          <w:color w:val="000000" w:themeColor="text1"/>
        </w:rPr>
        <w:t xml:space="preserve">Community commitment and communication are umbrella concepts that encompass dynamic partner support, data exchange, and meetings at all levels. "Community commitment is a critical component to address the metropolitan empty land issue and promote long-term recovery," according to Kim, Newman, and Jiang (2020). Both are critical for establishing trust with networks, employing backing and possession, and discovering clashes that may be resolved. Commitment works best when the partners have a well-defined relationship based on mutual respect and trust. Supporting </w:t>
      </w:r>
      <w:r w:rsidR="002534E1" w:rsidRPr="000055DA">
        <w:rPr>
          <w:rFonts w:ascii="Arial" w:hAnsi="Arial" w:cs="Arial"/>
          <w:color w:val="000000" w:themeColor="text1"/>
        </w:rPr>
        <w:lastRenderedPageBreak/>
        <w:t xml:space="preserve">and maintaining </w:t>
      </w:r>
      <w:proofErr w:type="gramStart"/>
      <w:r w:rsidR="002534E1" w:rsidRPr="000055DA">
        <w:rPr>
          <w:rFonts w:ascii="Arial" w:hAnsi="Arial" w:cs="Arial"/>
          <w:color w:val="000000" w:themeColor="text1"/>
        </w:rPr>
        <w:t>positive connections ensures</w:t>
      </w:r>
      <w:proofErr w:type="gramEnd"/>
      <w:r w:rsidR="002534E1" w:rsidRPr="000055DA">
        <w:rPr>
          <w:rFonts w:ascii="Arial" w:hAnsi="Arial" w:cs="Arial"/>
          <w:color w:val="000000" w:themeColor="text1"/>
        </w:rPr>
        <w:t xml:space="preserve"> that commitment and dialogue are as successful as possible, and that misleading impression are kept to a minimum.</w:t>
      </w:r>
      <w:r w:rsidR="00616205" w:rsidRPr="000055DA">
        <w:rPr>
          <w:rFonts w:ascii="Arial" w:hAnsi="Arial" w:cs="Arial"/>
          <w:color w:val="000000" w:themeColor="text1"/>
        </w:rPr>
        <w:t xml:space="preserve"> </w:t>
      </w:r>
    </w:p>
    <w:p w14:paraId="255C4161" w14:textId="3F8886BE" w:rsidR="00886652" w:rsidRDefault="00616205">
      <w:pPr>
        <w:rPr>
          <w:rFonts w:ascii="Arial" w:hAnsi="Arial" w:cs="Arial"/>
          <w:color w:val="000000" w:themeColor="text1"/>
        </w:rPr>
      </w:pPr>
      <w:r>
        <w:rPr>
          <w:rFonts w:ascii="Arial" w:hAnsi="Arial" w:cs="Arial"/>
          <w:color w:val="000000" w:themeColor="text1"/>
        </w:rPr>
        <w:t xml:space="preserve">        </w:t>
      </w:r>
      <w:r w:rsidR="002534E1" w:rsidRPr="000055DA">
        <w:rPr>
          <w:rFonts w:ascii="Arial" w:hAnsi="Arial" w:cs="Arial"/>
          <w:color w:val="000000" w:themeColor="text1"/>
        </w:rPr>
        <w:t xml:space="preserve">Building a comprehension of the </w:t>
      </w:r>
      <w:proofErr w:type="spellStart"/>
      <w:r w:rsidR="002534E1" w:rsidRPr="000055DA">
        <w:rPr>
          <w:rFonts w:ascii="Arial" w:hAnsi="Arial" w:cs="Arial"/>
          <w:color w:val="000000" w:themeColor="text1"/>
        </w:rPr>
        <w:t>neighbourhood</w:t>
      </w:r>
      <w:proofErr w:type="spellEnd"/>
      <w:r w:rsidR="002534E1" w:rsidRPr="000055DA">
        <w:rPr>
          <w:rFonts w:ascii="Arial" w:hAnsi="Arial" w:cs="Arial"/>
          <w:color w:val="000000" w:themeColor="text1"/>
        </w:rPr>
        <w:t xml:space="preserve"> setting, including partner planning and examination, building relationships based on trust and transparency, ensuring consistency in partner commitment and correspondence, overseeing partner assumptions through a graduated, staged, and proper commitment approach, and laying out an early, open, and responsive complaint process are all examples of a partner or stakeholder-based approach to dealing with social and Community development </w:t>
      </w:r>
      <w:proofErr w:type="spellStart"/>
      <w:r w:rsidR="002534E1" w:rsidRPr="000055DA">
        <w:rPr>
          <w:rFonts w:ascii="Arial" w:hAnsi="Arial" w:cs="Arial"/>
          <w:color w:val="000000" w:themeColor="text1"/>
        </w:rPr>
        <w:t>programmes</w:t>
      </w:r>
      <w:proofErr w:type="spellEnd"/>
      <w:r w:rsidR="002534E1" w:rsidRPr="000055DA">
        <w:rPr>
          <w:rFonts w:ascii="Arial" w:hAnsi="Arial" w:cs="Arial"/>
          <w:color w:val="000000" w:themeColor="text1"/>
        </w:rPr>
        <w:t xml:space="preserve">. "The public perception of not-for-profit </w:t>
      </w:r>
      <w:proofErr w:type="spellStart"/>
      <w:r w:rsidR="002534E1" w:rsidRPr="000055DA">
        <w:rPr>
          <w:rFonts w:ascii="Arial" w:hAnsi="Arial" w:cs="Arial"/>
          <w:color w:val="000000" w:themeColor="text1"/>
        </w:rPr>
        <w:t>organisations</w:t>
      </w:r>
      <w:proofErr w:type="spellEnd"/>
      <w:r w:rsidR="002534E1" w:rsidRPr="000055DA">
        <w:rPr>
          <w:rFonts w:ascii="Arial" w:hAnsi="Arial" w:cs="Arial"/>
          <w:color w:val="000000" w:themeColor="text1"/>
        </w:rPr>
        <w:t xml:space="preserve"> (NPOs) and for-benefit social enterprises (FPSEs), as well as the differences between them, have implications for hypothesis, strategy, and </w:t>
      </w:r>
      <w:proofErr w:type="spellStart"/>
      <w:r w:rsidR="002534E1" w:rsidRPr="000055DA">
        <w:rPr>
          <w:rFonts w:ascii="Arial" w:hAnsi="Arial" w:cs="Arial"/>
          <w:color w:val="000000" w:themeColor="text1"/>
        </w:rPr>
        <w:t>practise</w:t>
      </w:r>
      <w:proofErr w:type="spellEnd"/>
      <w:r w:rsidR="002534E1" w:rsidRPr="000055DA">
        <w:rPr>
          <w:rFonts w:ascii="Arial" w:hAnsi="Arial" w:cs="Arial"/>
          <w:color w:val="000000" w:themeColor="text1"/>
        </w:rPr>
        <w:t xml:space="preserve">" (Albrecht et al., 2018).  Everyone has a role to play in open commitment, according to comprehensive people group commitment. It provides individuals with valuable opportunities to participate by removing barriers, forming connections, and participating in meaningful and powerful ways. </w:t>
      </w:r>
    </w:p>
    <w:p w14:paraId="00000036" w14:textId="5F44DAFC" w:rsidR="00184B2E" w:rsidRPr="000055DA" w:rsidRDefault="002534E1" w:rsidP="00886652">
      <w:pPr>
        <w:ind w:firstLine="540"/>
        <w:rPr>
          <w:rFonts w:ascii="Arial" w:hAnsi="Arial" w:cs="Arial"/>
          <w:color w:val="000000" w:themeColor="text1"/>
        </w:rPr>
      </w:pPr>
      <w:r w:rsidRPr="000055DA">
        <w:rPr>
          <w:rFonts w:ascii="Arial" w:hAnsi="Arial" w:cs="Arial"/>
          <w:color w:val="000000" w:themeColor="text1"/>
        </w:rPr>
        <w:t xml:space="preserve">Community commitment initiatives become more diverse, agent </w:t>
      </w:r>
      <w:proofErr w:type="spellStart"/>
      <w:r w:rsidRPr="000055DA">
        <w:rPr>
          <w:rFonts w:ascii="Arial" w:hAnsi="Arial" w:cs="Arial"/>
          <w:color w:val="000000" w:themeColor="text1"/>
        </w:rPr>
        <w:t>endeavours</w:t>
      </w:r>
      <w:proofErr w:type="spellEnd"/>
      <w:r w:rsidRPr="000055DA">
        <w:rPr>
          <w:rFonts w:ascii="Arial" w:hAnsi="Arial" w:cs="Arial"/>
          <w:color w:val="000000" w:themeColor="text1"/>
        </w:rPr>
        <w:t xml:space="preserve"> when we intentionally plan for consideration and can result in more evenhanded results.</w:t>
      </w:r>
    </w:p>
    <w:p w14:paraId="00000037" w14:textId="77777777" w:rsidR="00184B2E" w:rsidRPr="000055DA" w:rsidRDefault="00184B2E">
      <w:pPr>
        <w:rPr>
          <w:rFonts w:ascii="Arial" w:hAnsi="Arial" w:cs="Arial"/>
          <w:color w:val="000000" w:themeColor="text1"/>
        </w:rPr>
      </w:pPr>
    </w:p>
    <w:p w14:paraId="00000038" w14:textId="77777777" w:rsidR="00184B2E" w:rsidRPr="000055DA" w:rsidRDefault="002534E1">
      <w:pPr>
        <w:pStyle w:val="Titlu1"/>
        <w:rPr>
          <w:rFonts w:ascii="Arial" w:hAnsi="Arial" w:cs="Arial"/>
          <w:color w:val="000000" w:themeColor="text1"/>
        </w:rPr>
      </w:pPr>
      <w:r w:rsidRPr="000055DA">
        <w:rPr>
          <w:rFonts w:ascii="Arial" w:hAnsi="Arial" w:cs="Arial"/>
          <w:color w:val="000000" w:themeColor="text1"/>
        </w:rPr>
        <w:t>Conclusion</w:t>
      </w:r>
    </w:p>
    <w:p w14:paraId="00000039" w14:textId="77777777" w:rsidR="00184B2E" w:rsidRPr="000055DA" w:rsidRDefault="00184B2E">
      <w:pPr>
        <w:rPr>
          <w:rFonts w:ascii="Arial" w:hAnsi="Arial" w:cs="Arial"/>
          <w:color w:val="000000" w:themeColor="text1"/>
        </w:rPr>
      </w:pPr>
    </w:p>
    <w:p w14:paraId="0D7D5E27" w14:textId="77777777" w:rsidR="00886652" w:rsidRDefault="002534E1" w:rsidP="00886652">
      <w:pPr>
        <w:ind w:firstLine="540"/>
        <w:rPr>
          <w:rFonts w:ascii="Arial" w:hAnsi="Arial" w:cs="Arial"/>
          <w:color w:val="000000" w:themeColor="text1"/>
        </w:rPr>
      </w:pPr>
      <w:r w:rsidRPr="000055DA">
        <w:rPr>
          <w:rFonts w:ascii="Arial" w:hAnsi="Arial" w:cs="Arial"/>
          <w:color w:val="000000" w:themeColor="text1"/>
        </w:rPr>
        <w:t>The report concludes the working of different programs and their way of contributing to the community. The two programs are the Generation Code accelerator by the UK youth and the Creating Future Extraordinary program.</w:t>
      </w:r>
    </w:p>
    <w:p w14:paraId="78A0E0E3" w14:textId="77777777" w:rsidR="00886652" w:rsidRDefault="002534E1" w:rsidP="00886652">
      <w:pPr>
        <w:ind w:firstLine="540"/>
        <w:rPr>
          <w:rFonts w:ascii="Arial" w:hAnsi="Arial" w:cs="Arial"/>
          <w:color w:val="000000" w:themeColor="text1"/>
        </w:rPr>
      </w:pPr>
      <w:r w:rsidRPr="000055DA">
        <w:rPr>
          <w:rFonts w:ascii="Arial" w:hAnsi="Arial" w:cs="Arial"/>
          <w:color w:val="000000" w:themeColor="text1"/>
        </w:rPr>
        <w:t xml:space="preserve"> The assessment mainly discusses the community involvement in the </w:t>
      </w:r>
      <w:proofErr w:type="spellStart"/>
      <w:r w:rsidRPr="000055DA">
        <w:rPr>
          <w:rFonts w:ascii="Arial" w:hAnsi="Arial" w:cs="Arial"/>
          <w:color w:val="000000" w:themeColor="text1"/>
        </w:rPr>
        <w:t>neighbourhood</w:t>
      </w:r>
      <w:proofErr w:type="spellEnd"/>
      <w:r w:rsidRPr="000055DA">
        <w:rPr>
          <w:rFonts w:ascii="Arial" w:hAnsi="Arial" w:cs="Arial"/>
          <w:color w:val="000000" w:themeColor="text1"/>
        </w:rPr>
        <w:t xml:space="preserve"> and how it works in the locality. It mainly discusses how these two types of programs are working and their involvement in the community and how it is making changes among the people especially the youth of the UK. </w:t>
      </w:r>
    </w:p>
    <w:p w14:paraId="24E29C25" w14:textId="77777777" w:rsidR="007343AE" w:rsidRDefault="002534E1" w:rsidP="00886652">
      <w:pPr>
        <w:ind w:firstLine="540"/>
        <w:rPr>
          <w:rFonts w:ascii="Arial" w:hAnsi="Arial" w:cs="Arial"/>
          <w:color w:val="000000" w:themeColor="text1"/>
        </w:rPr>
      </w:pPr>
      <w:r w:rsidRPr="000055DA">
        <w:rPr>
          <w:rFonts w:ascii="Arial" w:hAnsi="Arial" w:cs="Arial"/>
          <w:color w:val="000000" w:themeColor="text1"/>
        </w:rPr>
        <w:t xml:space="preserve">The main purpose of the Generation code program is to help all the youth in the UK to learn about technical knowledge and coding which will help the youth to learn new skills which can be turned into a profession. This program is seen to make a </w:t>
      </w:r>
      <w:proofErr w:type="spellStart"/>
      <w:proofErr w:type="gramStart"/>
      <w:r w:rsidRPr="000055DA">
        <w:rPr>
          <w:rFonts w:ascii="Arial" w:hAnsi="Arial" w:cs="Arial"/>
          <w:color w:val="000000" w:themeColor="text1"/>
        </w:rPr>
        <w:lastRenderedPageBreak/>
        <w:t>broadway</w:t>
      </w:r>
      <w:proofErr w:type="spellEnd"/>
      <w:proofErr w:type="gramEnd"/>
      <w:r w:rsidRPr="000055DA">
        <w:rPr>
          <w:rFonts w:ascii="Arial" w:hAnsi="Arial" w:cs="Arial"/>
          <w:color w:val="000000" w:themeColor="text1"/>
        </w:rPr>
        <w:t xml:space="preserve"> among the youth for four years with the help of Microsoft which has made a great contribution to youth development. </w:t>
      </w:r>
    </w:p>
    <w:p w14:paraId="0000003A" w14:textId="248D00CC" w:rsidR="00184B2E" w:rsidRPr="000055DA" w:rsidRDefault="002534E1" w:rsidP="00886652">
      <w:pPr>
        <w:ind w:firstLine="540"/>
        <w:rPr>
          <w:rFonts w:ascii="Arial" w:hAnsi="Arial" w:cs="Arial"/>
          <w:color w:val="000000" w:themeColor="text1"/>
        </w:rPr>
      </w:pPr>
      <w:r w:rsidRPr="000055DA">
        <w:rPr>
          <w:rFonts w:ascii="Arial" w:hAnsi="Arial" w:cs="Arial"/>
          <w:color w:val="000000" w:themeColor="text1"/>
        </w:rPr>
        <w:t>The main purpose of the Creating Future Extraordinary program is to help all children who are especially able to provide them with different educational workshops and also different activities to make them involved in different activities like learning about different types of skills and ways the children can communicate with others.</w:t>
      </w:r>
      <w:r w:rsidRPr="000055DA">
        <w:rPr>
          <w:rFonts w:ascii="Arial" w:hAnsi="Arial" w:cs="Arial"/>
          <w:color w:val="000000" w:themeColor="text1"/>
        </w:rPr>
        <w:br w:type="page"/>
      </w:r>
    </w:p>
    <w:p w14:paraId="0000003B" w14:textId="77777777" w:rsidR="00184B2E" w:rsidRPr="000055DA" w:rsidRDefault="002534E1">
      <w:pPr>
        <w:pStyle w:val="Titlu1"/>
        <w:rPr>
          <w:rFonts w:ascii="Arial" w:hAnsi="Arial" w:cs="Arial"/>
          <w:color w:val="000000" w:themeColor="text1"/>
        </w:rPr>
      </w:pPr>
      <w:bookmarkStart w:id="1" w:name="_heading=h.tyufzocrzdv0" w:colFirst="0" w:colLast="0"/>
      <w:bookmarkEnd w:id="1"/>
      <w:r w:rsidRPr="000055DA">
        <w:rPr>
          <w:rFonts w:ascii="Arial" w:hAnsi="Arial" w:cs="Arial"/>
          <w:color w:val="000000" w:themeColor="text1"/>
        </w:rPr>
        <w:lastRenderedPageBreak/>
        <w:t>Reference List</w:t>
      </w:r>
    </w:p>
    <w:p w14:paraId="0000003C" w14:textId="77777777" w:rsidR="00184B2E" w:rsidRPr="000055DA" w:rsidRDefault="00184B2E">
      <w:pPr>
        <w:rPr>
          <w:rFonts w:ascii="Arial" w:hAnsi="Arial" w:cs="Arial"/>
          <w:b/>
          <w:color w:val="000000" w:themeColor="text1"/>
        </w:rPr>
      </w:pPr>
    </w:p>
    <w:p w14:paraId="0000003D" w14:textId="77777777" w:rsidR="00184B2E" w:rsidRPr="00616205" w:rsidRDefault="002534E1">
      <w:pPr>
        <w:rPr>
          <w:rFonts w:ascii="Arial" w:hAnsi="Arial" w:cs="Arial"/>
          <w:i/>
          <w:color w:val="000000" w:themeColor="text1"/>
        </w:rPr>
      </w:pPr>
      <w:r w:rsidRPr="00616205">
        <w:rPr>
          <w:rFonts w:ascii="Arial" w:hAnsi="Arial" w:cs="Arial"/>
          <w:i/>
          <w:color w:val="000000" w:themeColor="text1"/>
        </w:rPr>
        <w:t xml:space="preserve">Albrecht, K., </w:t>
      </w:r>
      <w:proofErr w:type="spellStart"/>
      <w:r w:rsidRPr="00616205">
        <w:rPr>
          <w:rFonts w:ascii="Arial" w:hAnsi="Arial" w:cs="Arial"/>
          <w:i/>
          <w:color w:val="000000" w:themeColor="text1"/>
        </w:rPr>
        <w:t>Varkey</w:t>
      </w:r>
      <w:proofErr w:type="spellEnd"/>
      <w:r w:rsidRPr="00616205">
        <w:rPr>
          <w:rFonts w:ascii="Arial" w:hAnsi="Arial" w:cs="Arial"/>
          <w:i/>
          <w:color w:val="000000" w:themeColor="text1"/>
        </w:rPr>
        <w:t xml:space="preserve">, S., Colville, K. and </w:t>
      </w:r>
      <w:proofErr w:type="spellStart"/>
      <w:r w:rsidRPr="00616205">
        <w:rPr>
          <w:rFonts w:ascii="Arial" w:hAnsi="Arial" w:cs="Arial"/>
          <w:i/>
          <w:color w:val="000000" w:themeColor="text1"/>
        </w:rPr>
        <w:t>Clerkin</w:t>
      </w:r>
      <w:proofErr w:type="spellEnd"/>
      <w:r w:rsidRPr="00616205">
        <w:rPr>
          <w:rFonts w:ascii="Arial" w:hAnsi="Arial" w:cs="Arial"/>
          <w:i/>
          <w:color w:val="000000" w:themeColor="text1"/>
        </w:rPr>
        <w:t xml:space="preserve">, R., 2018. Perceptions of nonprofits and for-profit social enterprises: Current trends and future implications. </w:t>
      </w:r>
      <w:proofErr w:type="gramStart"/>
      <w:r w:rsidRPr="00616205">
        <w:rPr>
          <w:rFonts w:ascii="Arial" w:hAnsi="Arial" w:cs="Arial"/>
          <w:i/>
          <w:color w:val="000000" w:themeColor="text1"/>
        </w:rPr>
        <w:t>The Journal of Nonprofit Education and Leadership, 8(3).</w:t>
      </w:r>
      <w:proofErr w:type="gramEnd"/>
      <w:r w:rsidRPr="00616205">
        <w:rPr>
          <w:rFonts w:ascii="Arial" w:hAnsi="Arial" w:cs="Arial"/>
          <w:i/>
          <w:color w:val="000000" w:themeColor="text1"/>
        </w:rPr>
        <w:t xml:space="preserve"> DOI: https://doi.org/10.18666/JNEL-2018-V8-I3-9134</w:t>
      </w:r>
    </w:p>
    <w:p w14:paraId="0000003E" w14:textId="77777777" w:rsidR="00184B2E" w:rsidRPr="00616205" w:rsidRDefault="002534E1">
      <w:pPr>
        <w:rPr>
          <w:rFonts w:ascii="Arial" w:hAnsi="Arial" w:cs="Arial"/>
          <w:i/>
          <w:color w:val="000000" w:themeColor="text1"/>
        </w:rPr>
      </w:pPr>
      <w:proofErr w:type="gramStart"/>
      <w:r w:rsidRPr="00616205">
        <w:rPr>
          <w:rFonts w:ascii="Arial" w:hAnsi="Arial" w:cs="Arial"/>
          <w:i/>
          <w:color w:val="000000" w:themeColor="text1"/>
        </w:rPr>
        <w:t xml:space="preserve">Corbett, E. and Le </w:t>
      </w:r>
      <w:proofErr w:type="spellStart"/>
      <w:r w:rsidRPr="00616205">
        <w:rPr>
          <w:rFonts w:ascii="Arial" w:hAnsi="Arial" w:cs="Arial"/>
          <w:i/>
          <w:color w:val="000000" w:themeColor="text1"/>
        </w:rPr>
        <w:t>Dantec</w:t>
      </w:r>
      <w:proofErr w:type="spellEnd"/>
      <w:r w:rsidRPr="00616205">
        <w:rPr>
          <w:rFonts w:ascii="Arial" w:hAnsi="Arial" w:cs="Arial"/>
          <w:i/>
          <w:color w:val="000000" w:themeColor="text1"/>
        </w:rPr>
        <w:t>, C.A., 2018, April.</w:t>
      </w:r>
      <w:proofErr w:type="gramEnd"/>
      <w:r w:rsidRPr="00616205">
        <w:rPr>
          <w:rFonts w:ascii="Arial" w:hAnsi="Arial" w:cs="Arial"/>
          <w:i/>
          <w:color w:val="000000" w:themeColor="text1"/>
        </w:rPr>
        <w:t xml:space="preserve"> The problem of community engagement: Disentangling the practices of municipal government. </w:t>
      </w:r>
      <w:proofErr w:type="gramStart"/>
      <w:r w:rsidRPr="00616205">
        <w:rPr>
          <w:rFonts w:ascii="Arial" w:hAnsi="Arial" w:cs="Arial"/>
          <w:i/>
          <w:color w:val="000000" w:themeColor="text1"/>
        </w:rPr>
        <w:t>In Proceedings of the 2018 CHI conference on human factors in computing systems (pp. 1-13).</w:t>
      </w:r>
      <w:proofErr w:type="gramEnd"/>
      <w:r w:rsidRPr="00616205">
        <w:rPr>
          <w:rFonts w:ascii="Arial" w:hAnsi="Arial" w:cs="Arial"/>
          <w:i/>
          <w:color w:val="000000" w:themeColor="text1"/>
        </w:rPr>
        <w:t xml:space="preserve"> Available at: https://dl.acm.org/doi/pdf/10.1145/3173574.3174148</w:t>
      </w:r>
    </w:p>
    <w:p w14:paraId="0000003F" w14:textId="77777777" w:rsidR="00184B2E" w:rsidRPr="00616205" w:rsidRDefault="002534E1">
      <w:pPr>
        <w:rPr>
          <w:rFonts w:ascii="Arial" w:hAnsi="Arial" w:cs="Arial"/>
          <w:i/>
          <w:color w:val="000000" w:themeColor="text1"/>
        </w:rPr>
      </w:pPr>
      <w:proofErr w:type="gramStart"/>
      <w:r w:rsidRPr="00616205">
        <w:rPr>
          <w:rFonts w:ascii="Arial" w:hAnsi="Arial" w:cs="Arial"/>
          <w:i/>
          <w:color w:val="000000" w:themeColor="text1"/>
        </w:rPr>
        <w:t xml:space="preserve">De </w:t>
      </w:r>
      <w:proofErr w:type="spellStart"/>
      <w:r w:rsidRPr="00616205">
        <w:rPr>
          <w:rFonts w:ascii="Arial" w:hAnsi="Arial" w:cs="Arial"/>
          <w:i/>
          <w:color w:val="000000" w:themeColor="text1"/>
        </w:rPr>
        <w:t>Weger</w:t>
      </w:r>
      <w:proofErr w:type="spellEnd"/>
      <w:r w:rsidRPr="00616205">
        <w:rPr>
          <w:rFonts w:ascii="Arial" w:hAnsi="Arial" w:cs="Arial"/>
          <w:i/>
          <w:color w:val="000000" w:themeColor="text1"/>
        </w:rPr>
        <w:t xml:space="preserve">, E., Van </w:t>
      </w:r>
      <w:proofErr w:type="spellStart"/>
      <w:r w:rsidRPr="00616205">
        <w:rPr>
          <w:rFonts w:ascii="Arial" w:hAnsi="Arial" w:cs="Arial"/>
          <w:i/>
          <w:color w:val="000000" w:themeColor="text1"/>
        </w:rPr>
        <w:t>Vooren</w:t>
      </w:r>
      <w:proofErr w:type="spellEnd"/>
      <w:r w:rsidRPr="00616205">
        <w:rPr>
          <w:rFonts w:ascii="Arial" w:hAnsi="Arial" w:cs="Arial"/>
          <w:i/>
          <w:color w:val="000000" w:themeColor="text1"/>
        </w:rPr>
        <w:t xml:space="preserve">, N., </w:t>
      </w:r>
      <w:proofErr w:type="spellStart"/>
      <w:r w:rsidRPr="00616205">
        <w:rPr>
          <w:rFonts w:ascii="Arial" w:hAnsi="Arial" w:cs="Arial"/>
          <w:i/>
          <w:color w:val="000000" w:themeColor="text1"/>
        </w:rPr>
        <w:t>Luijkx</w:t>
      </w:r>
      <w:proofErr w:type="spellEnd"/>
      <w:r w:rsidRPr="00616205">
        <w:rPr>
          <w:rFonts w:ascii="Arial" w:hAnsi="Arial" w:cs="Arial"/>
          <w:i/>
          <w:color w:val="000000" w:themeColor="text1"/>
        </w:rPr>
        <w:t xml:space="preserve">, K.G., Baan, C.A. and </w:t>
      </w:r>
      <w:proofErr w:type="spellStart"/>
      <w:r w:rsidRPr="00616205">
        <w:rPr>
          <w:rFonts w:ascii="Arial" w:hAnsi="Arial" w:cs="Arial"/>
          <w:i/>
          <w:color w:val="000000" w:themeColor="text1"/>
        </w:rPr>
        <w:t>Drewes</w:t>
      </w:r>
      <w:proofErr w:type="spellEnd"/>
      <w:r w:rsidRPr="00616205">
        <w:rPr>
          <w:rFonts w:ascii="Arial" w:hAnsi="Arial" w:cs="Arial"/>
          <w:i/>
          <w:color w:val="000000" w:themeColor="text1"/>
        </w:rPr>
        <w:t>, H.W., 2018.</w:t>
      </w:r>
      <w:proofErr w:type="gramEnd"/>
      <w:r w:rsidRPr="00616205">
        <w:rPr>
          <w:rFonts w:ascii="Arial" w:hAnsi="Arial" w:cs="Arial"/>
          <w:i/>
          <w:color w:val="000000" w:themeColor="text1"/>
        </w:rPr>
        <w:t xml:space="preserve"> </w:t>
      </w:r>
      <w:proofErr w:type="gramStart"/>
      <w:r w:rsidRPr="00616205">
        <w:rPr>
          <w:rFonts w:ascii="Arial" w:hAnsi="Arial" w:cs="Arial"/>
          <w:i/>
          <w:color w:val="000000" w:themeColor="text1"/>
        </w:rPr>
        <w:t>Achieving successful community engagement: a rapid realist review.</w:t>
      </w:r>
      <w:proofErr w:type="gramEnd"/>
      <w:r w:rsidRPr="00616205">
        <w:rPr>
          <w:rFonts w:ascii="Arial" w:hAnsi="Arial" w:cs="Arial"/>
          <w:i/>
          <w:color w:val="000000" w:themeColor="text1"/>
        </w:rPr>
        <w:t xml:space="preserve"> BMC health services research, 18(1), pp.1-18. DOI: https://doi.org/10.1186/s12913-018-3090-1</w:t>
      </w:r>
    </w:p>
    <w:p w14:paraId="00000040" w14:textId="77777777" w:rsidR="00184B2E" w:rsidRPr="00616205" w:rsidRDefault="002534E1">
      <w:pPr>
        <w:rPr>
          <w:rFonts w:ascii="Arial" w:hAnsi="Arial" w:cs="Arial"/>
          <w:i/>
          <w:color w:val="000000" w:themeColor="text1"/>
        </w:rPr>
      </w:pPr>
      <w:proofErr w:type="gramStart"/>
      <w:r w:rsidRPr="00616205">
        <w:rPr>
          <w:rFonts w:ascii="Arial" w:hAnsi="Arial" w:cs="Arial"/>
          <w:i/>
          <w:color w:val="000000" w:themeColor="text1"/>
        </w:rPr>
        <w:t>Di Napoli, I., Dolce, P. and Arcidiacono, C., 2019.</w:t>
      </w:r>
      <w:proofErr w:type="gramEnd"/>
      <w:r w:rsidRPr="00616205">
        <w:rPr>
          <w:rFonts w:ascii="Arial" w:hAnsi="Arial" w:cs="Arial"/>
          <w:i/>
          <w:color w:val="000000" w:themeColor="text1"/>
        </w:rPr>
        <w:t xml:space="preserve"> Community trust: A social indicator related to community engagement. </w:t>
      </w:r>
      <w:proofErr w:type="gramStart"/>
      <w:r w:rsidRPr="00616205">
        <w:rPr>
          <w:rFonts w:ascii="Arial" w:hAnsi="Arial" w:cs="Arial"/>
          <w:i/>
          <w:color w:val="000000" w:themeColor="text1"/>
        </w:rPr>
        <w:t>Social Indicators Research, 145(2), pp.551-579.</w:t>
      </w:r>
      <w:proofErr w:type="gramEnd"/>
      <w:r w:rsidRPr="00616205">
        <w:rPr>
          <w:rFonts w:ascii="Arial" w:hAnsi="Arial" w:cs="Arial"/>
          <w:i/>
          <w:color w:val="000000" w:themeColor="text1"/>
        </w:rPr>
        <w:t xml:space="preserve"> https://doi.org/10.1007/s11205-019-02114-y</w:t>
      </w:r>
    </w:p>
    <w:p w14:paraId="00000041" w14:textId="77777777" w:rsidR="00184B2E" w:rsidRPr="00616205" w:rsidRDefault="002534E1" w:rsidP="00616205">
      <w:pPr>
        <w:jc w:val="left"/>
        <w:rPr>
          <w:rFonts w:ascii="Arial" w:hAnsi="Arial" w:cs="Arial"/>
          <w:i/>
          <w:color w:val="000000" w:themeColor="text1"/>
        </w:rPr>
      </w:pPr>
      <w:r w:rsidRPr="00616205">
        <w:rPr>
          <w:rFonts w:ascii="Arial" w:hAnsi="Arial" w:cs="Arial"/>
          <w:i/>
          <w:color w:val="000000" w:themeColor="text1"/>
        </w:rPr>
        <w:t xml:space="preserve">Kim, G., Newman, G. and Jiang, B., 2020. Urban regeneration: Community engagement process for vacant land in declining cities. </w:t>
      </w:r>
      <w:proofErr w:type="gramStart"/>
      <w:r w:rsidRPr="00616205">
        <w:rPr>
          <w:rFonts w:ascii="Arial" w:hAnsi="Arial" w:cs="Arial"/>
          <w:i/>
          <w:color w:val="000000" w:themeColor="text1"/>
        </w:rPr>
        <w:t>Cities, 102, p.102730.</w:t>
      </w:r>
      <w:proofErr w:type="gramEnd"/>
      <w:r w:rsidRPr="00616205">
        <w:rPr>
          <w:rFonts w:ascii="Arial" w:hAnsi="Arial" w:cs="Arial"/>
          <w:i/>
          <w:color w:val="000000" w:themeColor="text1"/>
        </w:rPr>
        <w:t xml:space="preserve"> Available at:  https://doi.org/10.1016/j.cities.2020.102730</w:t>
      </w:r>
    </w:p>
    <w:p w14:paraId="00000042" w14:textId="77777777" w:rsidR="00184B2E" w:rsidRPr="00616205" w:rsidRDefault="002534E1" w:rsidP="00616205">
      <w:pPr>
        <w:jc w:val="left"/>
        <w:rPr>
          <w:rFonts w:ascii="Arial" w:hAnsi="Arial" w:cs="Arial"/>
          <w:i/>
          <w:color w:val="000000" w:themeColor="text1"/>
        </w:rPr>
      </w:pPr>
      <w:proofErr w:type="gramStart"/>
      <w:r w:rsidRPr="00616205">
        <w:rPr>
          <w:rFonts w:ascii="Arial" w:hAnsi="Arial" w:cs="Arial"/>
          <w:i/>
          <w:color w:val="000000" w:themeColor="text1"/>
        </w:rPr>
        <w:t xml:space="preserve">Matthews, A.K., Anderson, E.E., Willis, M., Castillo, A. and </w:t>
      </w:r>
      <w:proofErr w:type="spellStart"/>
      <w:r w:rsidRPr="00616205">
        <w:rPr>
          <w:rFonts w:ascii="Arial" w:hAnsi="Arial" w:cs="Arial"/>
          <w:i/>
          <w:color w:val="000000" w:themeColor="text1"/>
        </w:rPr>
        <w:t>Choure</w:t>
      </w:r>
      <w:proofErr w:type="spellEnd"/>
      <w:r w:rsidRPr="00616205">
        <w:rPr>
          <w:rFonts w:ascii="Arial" w:hAnsi="Arial" w:cs="Arial"/>
          <w:i/>
          <w:color w:val="000000" w:themeColor="text1"/>
        </w:rPr>
        <w:t>, W., 2018.</w:t>
      </w:r>
      <w:proofErr w:type="gramEnd"/>
      <w:r w:rsidRPr="00616205">
        <w:rPr>
          <w:rFonts w:ascii="Arial" w:hAnsi="Arial" w:cs="Arial"/>
          <w:i/>
          <w:color w:val="000000" w:themeColor="text1"/>
        </w:rPr>
        <w:t xml:space="preserve"> A Community Engagement Advisory Board as a strategy to improve research engagement and build institutional capacity for community-engaged research. </w:t>
      </w:r>
      <w:proofErr w:type="gramStart"/>
      <w:r w:rsidRPr="00616205">
        <w:rPr>
          <w:rFonts w:ascii="Arial" w:hAnsi="Arial" w:cs="Arial"/>
          <w:i/>
          <w:color w:val="000000" w:themeColor="text1"/>
        </w:rPr>
        <w:t>Journal of Clinical and Translational Science, 2(2), pp.66-72.</w:t>
      </w:r>
      <w:proofErr w:type="gramEnd"/>
      <w:r w:rsidRPr="00616205">
        <w:rPr>
          <w:rFonts w:ascii="Arial" w:hAnsi="Arial" w:cs="Arial"/>
          <w:i/>
          <w:color w:val="000000" w:themeColor="text1"/>
        </w:rPr>
        <w:t xml:space="preserve"> Available at: https://www.cambridge.org/core/services/aop-cambridge-core/content/view/87B4C9556FCD87B9247FF640C5C954F7/S2059866118000146a.pdf/community_engagement_advisory_board_as_a_strategy_to_improve_research_engagement_and_build_institutional_capacity_for_communityengaged_research.pdf</w:t>
      </w:r>
    </w:p>
    <w:p w14:paraId="00000043" w14:textId="77777777" w:rsidR="00184B2E" w:rsidRPr="00616205" w:rsidRDefault="002534E1">
      <w:pPr>
        <w:rPr>
          <w:rFonts w:ascii="Arial" w:hAnsi="Arial" w:cs="Arial"/>
          <w:i/>
          <w:color w:val="000000" w:themeColor="text1"/>
        </w:rPr>
      </w:pPr>
      <w:r w:rsidRPr="00616205">
        <w:rPr>
          <w:rFonts w:ascii="Arial" w:hAnsi="Arial" w:cs="Arial"/>
          <w:i/>
          <w:color w:val="000000" w:themeColor="text1"/>
        </w:rPr>
        <w:t>Sally Hussey, 2021. Why is Community Engagement Important? - Bang The Table. [</w:t>
      </w:r>
      <w:proofErr w:type="gramStart"/>
      <w:r w:rsidRPr="00616205">
        <w:rPr>
          <w:rFonts w:ascii="Arial" w:hAnsi="Arial" w:cs="Arial"/>
          <w:i/>
          <w:color w:val="000000" w:themeColor="text1"/>
        </w:rPr>
        <w:t>online</w:t>
      </w:r>
      <w:proofErr w:type="gramEnd"/>
      <w:r w:rsidRPr="00616205">
        <w:rPr>
          <w:rFonts w:ascii="Arial" w:hAnsi="Arial" w:cs="Arial"/>
          <w:i/>
          <w:color w:val="000000" w:themeColor="text1"/>
        </w:rPr>
        <w:t>] Bang the Table. Available at: &lt;https://www.bangthetable.com/why-is-community-engagement-</w:t>
      </w:r>
      <w:r w:rsidRPr="00616205">
        <w:rPr>
          <w:rFonts w:ascii="Arial" w:hAnsi="Arial" w:cs="Arial"/>
          <w:i/>
          <w:color w:val="000000" w:themeColor="text1"/>
        </w:rPr>
        <w:lastRenderedPageBreak/>
        <w:t>important/#:~:text=Community%20engagement%20increases%20the%20visibility</w:t>
      </w:r>
      <w:proofErr w:type="gramStart"/>
      <w:r w:rsidRPr="00616205">
        <w:rPr>
          <w:rFonts w:ascii="Arial" w:hAnsi="Arial" w:cs="Arial"/>
          <w:i/>
          <w:color w:val="000000" w:themeColor="text1"/>
        </w:rPr>
        <w:t>,their</w:t>
      </w:r>
      <w:proofErr w:type="gramEnd"/>
      <w:r w:rsidRPr="00616205">
        <w:rPr>
          <w:rFonts w:ascii="Arial" w:hAnsi="Arial" w:cs="Arial"/>
          <w:i/>
          <w:color w:val="000000" w:themeColor="text1"/>
        </w:rPr>
        <w:t>%20towns%2C%20cities%20and%20neighbourhoods.&gt; [Accessed 8 April 2022].</w:t>
      </w:r>
    </w:p>
    <w:p w14:paraId="00000044" w14:textId="77777777" w:rsidR="00184B2E" w:rsidRPr="00616205" w:rsidRDefault="002534E1" w:rsidP="00616205">
      <w:pPr>
        <w:jc w:val="left"/>
        <w:rPr>
          <w:rFonts w:ascii="Arial" w:hAnsi="Arial" w:cs="Arial"/>
          <w:i/>
          <w:color w:val="000000" w:themeColor="text1"/>
        </w:rPr>
      </w:pPr>
      <w:proofErr w:type="spellStart"/>
      <w:proofErr w:type="gramStart"/>
      <w:r w:rsidRPr="00616205">
        <w:rPr>
          <w:rFonts w:ascii="Arial" w:hAnsi="Arial" w:cs="Arial"/>
          <w:i/>
          <w:color w:val="000000" w:themeColor="text1"/>
        </w:rPr>
        <w:t>Tembo</w:t>
      </w:r>
      <w:proofErr w:type="spellEnd"/>
      <w:r w:rsidRPr="00616205">
        <w:rPr>
          <w:rFonts w:ascii="Arial" w:hAnsi="Arial" w:cs="Arial"/>
          <w:i/>
          <w:color w:val="000000" w:themeColor="text1"/>
        </w:rPr>
        <w:t xml:space="preserve">, D., Hickey, G., Montenegro, C., Chandler, D., Nelson, E., Porter, K., </w:t>
      </w:r>
      <w:proofErr w:type="spellStart"/>
      <w:r w:rsidRPr="00616205">
        <w:rPr>
          <w:rFonts w:ascii="Arial" w:hAnsi="Arial" w:cs="Arial"/>
          <w:i/>
          <w:color w:val="000000" w:themeColor="text1"/>
        </w:rPr>
        <w:t>Dikomitis</w:t>
      </w:r>
      <w:proofErr w:type="spellEnd"/>
      <w:r w:rsidRPr="00616205">
        <w:rPr>
          <w:rFonts w:ascii="Arial" w:hAnsi="Arial" w:cs="Arial"/>
          <w:i/>
          <w:color w:val="000000" w:themeColor="text1"/>
        </w:rPr>
        <w:t xml:space="preserve">, L., Chambers, M., </w:t>
      </w:r>
      <w:proofErr w:type="spellStart"/>
      <w:r w:rsidRPr="00616205">
        <w:rPr>
          <w:rFonts w:ascii="Arial" w:hAnsi="Arial" w:cs="Arial"/>
          <w:i/>
          <w:color w:val="000000" w:themeColor="text1"/>
        </w:rPr>
        <w:t>Chimbari</w:t>
      </w:r>
      <w:proofErr w:type="spellEnd"/>
      <w:r w:rsidRPr="00616205">
        <w:rPr>
          <w:rFonts w:ascii="Arial" w:hAnsi="Arial" w:cs="Arial"/>
          <w:i/>
          <w:color w:val="000000" w:themeColor="text1"/>
        </w:rPr>
        <w:t>, M., Mumba, N. and Beresford, P., 2021.</w:t>
      </w:r>
      <w:proofErr w:type="gramEnd"/>
      <w:r w:rsidRPr="00616205">
        <w:rPr>
          <w:rFonts w:ascii="Arial" w:hAnsi="Arial" w:cs="Arial"/>
          <w:i/>
          <w:color w:val="000000" w:themeColor="text1"/>
        </w:rPr>
        <w:t xml:space="preserve"> </w:t>
      </w:r>
      <w:proofErr w:type="gramStart"/>
      <w:r w:rsidRPr="00616205">
        <w:rPr>
          <w:rFonts w:ascii="Arial" w:hAnsi="Arial" w:cs="Arial"/>
          <w:i/>
          <w:color w:val="000000" w:themeColor="text1"/>
        </w:rPr>
        <w:t>Effective engagement and involvement with community stakeholders in the co-production of global health research.</w:t>
      </w:r>
      <w:proofErr w:type="gramEnd"/>
      <w:r w:rsidRPr="00616205">
        <w:rPr>
          <w:rFonts w:ascii="Arial" w:hAnsi="Arial" w:cs="Arial"/>
          <w:i/>
          <w:color w:val="000000" w:themeColor="text1"/>
        </w:rPr>
        <w:t xml:space="preserve"> </w:t>
      </w:r>
      <w:proofErr w:type="spellStart"/>
      <w:proofErr w:type="gramStart"/>
      <w:r w:rsidRPr="00616205">
        <w:rPr>
          <w:rFonts w:ascii="Arial" w:hAnsi="Arial" w:cs="Arial"/>
          <w:i/>
          <w:color w:val="000000" w:themeColor="text1"/>
        </w:rPr>
        <w:t>bmj</w:t>
      </w:r>
      <w:proofErr w:type="spellEnd"/>
      <w:proofErr w:type="gramEnd"/>
      <w:r w:rsidRPr="00616205">
        <w:rPr>
          <w:rFonts w:ascii="Arial" w:hAnsi="Arial" w:cs="Arial"/>
          <w:i/>
          <w:color w:val="000000" w:themeColor="text1"/>
        </w:rPr>
        <w:t>, 372. Available at: https://www.bmj.com/content/bmj/372/bmj.n178.full.pdf</w:t>
      </w:r>
    </w:p>
    <w:p w14:paraId="00000045" w14:textId="77777777" w:rsidR="00184B2E" w:rsidRPr="00616205" w:rsidRDefault="002534E1">
      <w:pPr>
        <w:rPr>
          <w:rFonts w:ascii="Arial" w:hAnsi="Arial" w:cs="Arial"/>
          <w:i/>
          <w:color w:val="000000" w:themeColor="text1"/>
        </w:rPr>
      </w:pPr>
      <w:r w:rsidRPr="00616205">
        <w:rPr>
          <w:rFonts w:ascii="Arial" w:hAnsi="Arial" w:cs="Arial"/>
          <w:i/>
          <w:color w:val="000000" w:themeColor="text1"/>
        </w:rPr>
        <w:t xml:space="preserve">Williamson, D.H., 2022. Using the Community Engagement Framework to Understand and Assess EJ-Related Research Efforts. </w:t>
      </w:r>
      <w:proofErr w:type="gramStart"/>
      <w:r w:rsidRPr="00616205">
        <w:rPr>
          <w:rFonts w:ascii="Arial" w:hAnsi="Arial" w:cs="Arial"/>
          <w:i/>
          <w:color w:val="000000" w:themeColor="text1"/>
        </w:rPr>
        <w:t>Sustainability, 14(5), p.2809.</w:t>
      </w:r>
      <w:proofErr w:type="gramEnd"/>
      <w:r w:rsidRPr="00616205">
        <w:rPr>
          <w:rFonts w:ascii="Arial" w:hAnsi="Arial" w:cs="Arial"/>
          <w:i/>
          <w:color w:val="000000" w:themeColor="text1"/>
        </w:rPr>
        <w:t xml:space="preserve"> DOI: https://doi.org/10.3390/su14052809</w:t>
      </w:r>
    </w:p>
    <w:p w14:paraId="00000046" w14:textId="77777777" w:rsidR="00184B2E" w:rsidRPr="00616205" w:rsidRDefault="002534E1">
      <w:pPr>
        <w:rPr>
          <w:rFonts w:ascii="Arial" w:hAnsi="Arial" w:cs="Arial"/>
          <w:i/>
          <w:color w:val="000000" w:themeColor="text1"/>
        </w:rPr>
      </w:pPr>
      <w:proofErr w:type="gramStart"/>
      <w:r w:rsidRPr="00616205">
        <w:rPr>
          <w:rFonts w:ascii="Arial" w:hAnsi="Arial" w:cs="Arial"/>
          <w:i/>
          <w:color w:val="000000" w:themeColor="text1"/>
        </w:rPr>
        <w:t>World Health Organization, 2020.</w:t>
      </w:r>
      <w:proofErr w:type="gramEnd"/>
      <w:r w:rsidRPr="00616205">
        <w:rPr>
          <w:rFonts w:ascii="Arial" w:hAnsi="Arial" w:cs="Arial"/>
          <w:i/>
          <w:color w:val="000000" w:themeColor="text1"/>
        </w:rPr>
        <w:t xml:space="preserve"> Risk communication and community engagement readiness and response to coronavirus disease (COVID-19): interim guidance, 19 March 2020 (No. WHO/2019-nCoV/RCCE/2020.2). </w:t>
      </w:r>
      <w:proofErr w:type="gramStart"/>
      <w:r w:rsidRPr="00616205">
        <w:rPr>
          <w:rFonts w:ascii="Arial" w:hAnsi="Arial" w:cs="Arial"/>
          <w:i/>
          <w:color w:val="000000" w:themeColor="text1"/>
        </w:rPr>
        <w:t>World Health Organization.</w:t>
      </w:r>
      <w:proofErr w:type="gramEnd"/>
      <w:r w:rsidRPr="00616205">
        <w:rPr>
          <w:rFonts w:ascii="Arial" w:hAnsi="Arial" w:cs="Arial"/>
          <w:i/>
          <w:color w:val="000000" w:themeColor="text1"/>
        </w:rPr>
        <w:t xml:space="preserve"> Available at: https://apps.who.int/iris/bitstream/handle/10665/331513/WHO-2019-nCoV-RCCE-2020.2-eng.pdf</w:t>
      </w:r>
    </w:p>
    <w:p w14:paraId="00000047" w14:textId="77777777" w:rsidR="00184B2E" w:rsidRPr="000055DA" w:rsidRDefault="00184B2E">
      <w:pPr>
        <w:rPr>
          <w:rFonts w:ascii="Arial" w:hAnsi="Arial" w:cs="Arial"/>
          <w:color w:val="000000" w:themeColor="text1"/>
        </w:rPr>
      </w:pPr>
    </w:p>
    <w:p w14:paraId="00000049" w14:textId="21DF6AC1" w:rsidR="00184B2E" w:rsidRPr="000055DA" w:rsidRDefault="00184B2E">
      <w:pPr>
        <w:rPr>
          <w:rFonts w:ascii="Arial" w:hAnsi="Arial" w:cs="Arial"/>
          <w:color w:val="000000" w:themeColor="text1"/>
        </w:rPr>
      </w:pPr>
    </w:p>
    <w:sectPr w:rsidR="00184B2E" w:rsidRPr="000055D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AE200C" w14:textId="77777777" w:rsidR="00042C2F" w:rsidRDefault="00042C2F">
      <w:pPr>
        <w:spacing w:line="240" w:lineRule="auto"/>
      </w:pPr>
      <w:r>
        <w:separator/>
      </w:r>
    </w:p>
  </w:endnote>
  <w:endnote w:type="continuationSeparator" w:id="0">
    <w:p w14:paraId="2EBAD4AE" w14:textId="77777777" w:rsidR="00042C2F" w:rsidRDefault="00042C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D" w14:textId="77777777" w:rsidR="00184B2E" w:rsidRDefault="00184B2E">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F" w14:textId="56CD20AC" w:rsidR="00184B2E" w:rsidRDefault="002534E1">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BF2193">
      <w:rPr>
        <w:b/>
        <w:noProof/>
        <w:color w:val="000000"/>
      </w:rPr>
      <w:t>11</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BF2193">
      <w:rPr>
        <w:b/>
        <w:noProof/>
        <w:color w:val="000000"/>
      </w:rPr>
      <w:t>11</w:t>
    </w:r>
    <w:r>
      <w:rPr>
        <w:b/>
        <w:color w:val="000000"/>
      </w:rPr>
      <w:fldChar w:fldCharType="end"/>
    </w:r>
  </w:p>
  <w:p w14:paraId="00000050" w14:textId="77777777" w:rsidR="00184B2E" w:rsidRDefault="00184B2E">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E" w14:textId="77777777" w:rsidR="00184B2E" w:rsidRDefault="00184B2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93B4E7" w14:textId="77777777" w:rsidR="00042C2F" w:rsidRDefault="00042C2F">
      <w:pPr>
        <w:spacing w:line="240" w:lineRule="auto"/>
      </w:pPr>
      <w:r>
        <w:separator/>
      </w:r>
    </w:p>
  </w:footnote>
  <w:footnote w:type="continuationSeparator" w:id="0">
    <w:p w14:paraId="58EC15CE" w14:textId="77777777" w:rsidR="00042C2F" w:rsidRDefault="00042C2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B" w14:textId="77777777" w:rsidR="00184B2E" w:rsidRDefault="00184B2E">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A" w14:textId="77777777" w:rsidR="00184B2E" w:rsidRDefault="00184B2E">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C" w14:textId="77777777" w:rsidR="00184B2E" w:rsidRDefault="00184B2E">
    <w:pPr>
      <w:pBdr>
        <w:top w:val="nil"/>
        <w:left w:val="nil"/>
        <w:bottom w:val="nil"/>
        <w:right w:val="nil"/>
        <w:between w:val="nil"/>
      </w:pBdr>
      <w:tabs>
        <w:tab w:val="center" w:pos="4680"/>
        <w:tab w:val="right" w:pos="9360"/>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DU1NTY1Mjc0MTexNDdV0lEKTi0uzszPAykwrAUA0ykLuCwAAAA="/>
  </w:docVars>
  <w:rsids>
    <w:rsidRoot w:val="00184B2E"/>
    <w:rsid w:val="000055DA"/>
    <w:rsid w:val="00042C2F"/>
    <w:rsid w:val="00184B2E"/>
    <w:rsid w:val="002534E1"/>
    <w:rsid w:val="004C0930"/>
    <w:rsid w:val="00616205"/>
    <w:rsid w:val="006447A0"/>
    <w:rsid w:val="007343AE"/>
    <w:rsid w:val="00886652"/>
    <w:rsid w:val="008C45DD"/>
    <w:rsid w:val="00A56D11"/>
    <w:rsid w:val="00B47036"/>
    <w:rsid w:val="00BF2193"/>
    <w:rsid w:val="00E646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33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F5294"/>
  </w:style>
  <w:style w:type="paragraph" w:styleId="Titlu1">
    <w:name w:val="heading 1"/>
    <w:basedOn w:val="Normal"/>
    <w:next w:val="Normal"/>
    <w:link w:val="Titlu1Caracter"/>
    <w:qFormat/>
    <w:rsid w:val="00827318"/>
    <w:pPr>
      <w:outlineLvl w:val="0"/>
    </w:pPr>
    <w:rPr>
      <w:b/>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827318"/>
    <w:pPr>
      <w:tabs>
        <w:tab w:val="center" w:pos="4680"/>
        <w:tab w:val="right" w:pos="9360"/>
      </w:tabs>
      <w:spacing w:line="240" w:lineRule="auto"/>
    </w:pPr>
  </w:style>
  <w:style w:type="character" w:customStyle="1" w:styleId="AntetCaracter">
    <w:name w:val="Antet Caracter"/>
    <w:basedOn w:val="Fontdeparagrafimplicit"/>
    <w:link w:val="Antet"/>
    <w:uiPriority w:val="99"/>
    <w:rsid w:val="00827318"/>
  </w:style>
  <w:style w:type="paragraph" w:styleId="Subsol">
    <w:name w:val="footer"/>
    <w:basedOn w:val="Normal"/>
    <w:link w:val="SubsolCaracter"/>
    <w:uiPriority w:val="99"/>
    <w:unhideWhenUsed/>
    <w:rsid w:val="00827318"/>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827318"/>
  </w:style>
  <w:style w:type="paragraph" w:styleId="TextnBalon">
    <w:name w:val="Balloon Text"/>
    <w:basedOn w:val="Normal"/>
    <w:link w:val="TextnBalonCaracter"/>
    <w:uiPriority w:val="99"/>
    <w:semiHidden/>
    <w:unhideWhenUsed/>
    <w:rsid w:val="00616A25"/>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16A25"/>
    <w:rPr>
      <w:rFonts w:ascii="Tahoma" w:hAnsi="Tahoma" w:cs="Tahoma"/>
      <w:sz w:val="16"/>
      <w:szCs w:val="16"/>
    </w:rPr>
  </w:style>
  <w:style w:type="table" w:styleId="GrilTabel">
    <w:name w:val="Table Grid"/>
    <w:basedOn w:val="TabelNormal"/>
    <w:uiPriority w:val="39"/>
    <w:rsid w:val="004C093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sid w:val="004C0930"/>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F5294"/>
  </w:style>
  <w:style w:type="paragraph" w:styleId="Titlu1">
    <w:name w:val="heading 1"/>
    <w:basedOn w:val="Normal"/>
    <w:next w:val="Normal"/>
    <w:link w:val="Titlu1Caracter"/>
    <w:qFormat/>
    <w:rsid w:val="00827318"/>
    <w:pPr>
      <w:outlineLvl w:val="0"/>
    </w:pPr>
    <w:rPr>
      <w:b/>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827318"/>
    <w:pPr>
      <w:tabs>
        <w:tab w:val="center" w:pos="4680"/>
        <w:tab w:val="right" w:pos="9360"/>
      </w:tabs>
      <w:spacing w:line="240" w:lineRule="auto"/>
    </w:pPr>
  </w:style>
  <w:style w:type="character" w:customStyle="1" w:styleId="AntetCaracter">
    <w:name w:val="Antet Caracter"/>
    <w:basedOn w:val="Fontdeparagrafimplicit"/>
    <w:link w:val="Antet"/>
    <w:uiPriority w:val="99"/>
    <w:rsid w:val="00827318"/>
  </w:style>
  <w:style w:type="paragraph" w:styleId="Subsol">
    <w:name w:val="footer"/>
    <w:basedOn w:val="Normal"/>
    <w:link w:val="SubsolCaracter"/>
    <w:uiPriority w:val="99"/>
    <w:unhideWhenUsed/>
    <w:rsid w:val="00827318"/>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827318"/>
  </w:style>
  <w:style w:type="paragraph" w:styleId="TextnBalon">
    <w:name w:val="Balloon Text"/>
    <w:basedOn w:val="Normal"/>
    <w:link w:val="TextnBalonCaracter"/>
    <w:uiPriority w:val="99"/>
    <w:semiHidden/>
    <w:unhideWhenUsed/>
    <w:rsid w:val="00616A25"/>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16A25"/>
    <w:rPr>
      <w:rFonts w:ascii="Tahoma" w:hAnsi="Tahoma" w:cs="Tahoma"/>
      <w:sz w:val="16"/>
      <w:szCs w:val="16"/>
    </w:rPr>
  </w:style>
  <w:style w:type="table" w:styleId="GrilTabel">
    <w:name w:val="Table Grid"/>
    <w:basedOn w:val="TabelNormal"/>
    <w:uiPriority w:val="39"/>
    <w:rsid w:val="004C093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sid w:val="004C093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203372">
      <w:bodyDiv w:val="1"/>
      <w:marLeft w:val="0"/>
      <w:marRight w:val="0"/>
      <w:marTop w:val="0"/>
      <w:marBottom w:val="0"/>
      <w:divBdr>
        <w:top w:val="none" w:sz="0" w:space="0" w:color="auto"/>
        <w:left w:val="none" w:sz="0" w:space="0" w:color="auto"/>
        <w:bottom w:val="none" w:sz="0" w:space="0" w:color="auto"/>
        <w:right w:val="none" w:sz="0" w:space="0" w:color="auto"/>
      </w:divBdr>
    </w:div>
    <w:div w:id="1801804989">
      <w:bodyDiv w:val="1"/>
      <w:marLeft w:val="0"/>
      <w:marRight w:val="0"/>
      <w:marTop w:val="0"/>
      <w:marBottom w:val="0"/>
      <w:divBdr>
        <w:top w:val="none" w:sz="0" w:space="0" w:color="auto"/>
        <w:left w:val="none" w:sz="0" w:space="0" w:color="auto"/>
        <w:bottom w:val="none" w:sz="0" w:space="0" w:color="auto"/>
        <w:right w:val="none" w:sz="0" w:space="0" w:color="auto"/>
      </w:divBdr>
    </w:div>
    <w:div w:id="1977685357">
      <w:bodyDiv w:val="1"/>
      <w:marLeft w:val="0"/>
      <w:marRight w:val="0"/>
      <w:marTop w:val="0"/>
      <w:marBottom w:val="0"/>
      <w:divBdr>
        <w:top w:val="none" w:sz="0" w:space="0" w:color="auto"/>
        <w:left w:val="none" w:sz="0" w:space="0" w:color="auto"/>
        <w:bottom w:val="none" w:sz="0" w:space="0" w:color="auto"/>
        <w:right w:val="none" w:sz="0" w:space="0" w:color="auto"/>
      </w:divBdr>
    </w:div>
    <w:div w:id="2063485066">
      <w:bodyDiv w:val="1"/>
      <w:marLeft w:val="0"/>
      <w:marRight w:val="0"/>
      <w:marTop w:val="0"/>
      <w:marBottom w:val="0"/>
      <w:divBdr>
        <w:top w:val="none" w:sz="0" w:space="0" w:color="auto"/>
        <w:left w:val="none" w:sz="0" w:space="0" w:color="auto"/>
        <w:bottom w:val="none" w:sz="0" w:space="0" w:color="auto"/>
        <w:right w:val="none" w:sz="0" w:space="0" w:color="auto"/>
      </w:divBdr>
    </w:div>
    <w:div w:id="21358324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nFFI6W+9yeiZuci+OkFWlHoHwQ==">AMUW2mUqb5eUL5g71OrQooBLWU2sReJCJ9Q2AO6bGYK6UpN8h6GF0bGzoOcuUJSUZFAbj/HuJ0MrLinGC+nxO+qjz1m2+1026t6NdYtAv8h9aB2LOCxSKTUhEuQCZYuzOdN/nS9bSRDV</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BDA7F9-B634-49A8-930B-0961BC77E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2553</Words>
  <Characters>14556</Characters>
  <Application>Microsoft Office Word</Application>
  <DocSecurity>0</DocSecurity>
  <Lines>121</Lines>
  <Paragraphs>34</Paragraphs>
  <ScaleCrop>false</ScaleCrop>
  <HeadingPairs>
    <vt:vector size="2" baseType="variant">
      <vt:variant>
        <vt:lpstr>Titlu</vt:lpstr>
      </vt:variant>
      <vt:variant>
        <vt:i4>1</vt:i4>
      </vt:variant>
    </vt:vector>
  </HeadingPairs>
  <TitlesOfParts>
    <vt:vector size="1" baseType="lpstr">
      <vt:lpstr/>
    </vt:vector>
  </TitlesOfParts>
  <Company>HP</Company>
  <LinksUpToDate>false</LinksUpToDate>
  <CharactersWithSpaces>17075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Lica</dc:creator>
  <cp:lastModifiedBy>Nora</cp:lastModifiedBy>
  <cp:revision>6</cp:revision>
  <dcterms:created xsi:type="dcterms:W3CDTF">2022-04-28T20:38:00Z</dcterms:created>
  <dcterms:modified xsi:type="dcterms:W3CDTF">2022-04-30T08:09:00Z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ad3be33-4108-4738-9e07-d8656a181486_Enabled">
    <vt:lpwstr>true</vt:lpwstr>
  </property>
  <property fmtid="{D5CDD505-2E9C-101B-9397-08002B2CF9AE}" pid="3" name="MSIP_Label_dad3be33-4108-4738-9e07-d8656a181486_SetDate">
    <vt:lpwstr>2022-04-08T04:03:37Z</vt:lpwstr>
  </property>
  <property fmtid="{D5CDD505-2E9C-101B-9397-08002B2CF9AE}" pid="4" name="MSIP_Label_dad3be33-4108-4738-9e07-d8656a181486_Method">
    <vt:lpwstr>Privileged</vt:lpwstr>
  </property>
  <property fmtid="{D5CDD505-2E9C-101B-9397-08002B2CF9AE}" pid="5" name="MSIP_Label_dad3be33-4108-4738-9e07-d8656a181486_Name">
    <vt:lpwstr>Public No Visual Label</vt:lpwstr>
  </property>
  <property fmtid="{D5CDD505-2E9C-101B-9397-08002B2CF9AE}" pid="6" name="MSIP_Label_dad3be33-4108-4738-9e07-d8656a181486_SiteId">
    <vt:lpwstr>945c199a-83a2-4e80-9f8c-5a91be5752dd</vt:lpwstr>
  </property>
  <property fmtid="{D5CDD505-2E9C-101B-9397-08002B2CF9AE}" pid="7" name="MSIP_Label_dad3be33-4108-4738-9e07-d8656a181486_ActionId">
    <vt:lpwstr>673e0268-983b-4631-923f-132d631f2086</vt:lpwstr>
  </property>
  <property fmtid="{D5CDD505-2E9C-101B-9397-08002B2CF9AE}" pid="8" name="MSIP_Label_dad3be33-4108-4738-9e07-d8656a181486_ContentBits">
    <vt:lpwstr>0</vt:lpwstr>
  </property>
</Properties>
</file>