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513A92" w14:textId="77777777" w:rsidR="001C33C6" w:rsidRDefault="001C33C6" w:rsidP="001C33C6">
      <w:pPr>
        <w:spacing w:before="120" w:after="120" w:line="360" w:lineRule="auto"/>
        <w:jc w:val="center"/>
        <w:rPr>
          <w:rFonts w:ascii="Times New Roman" w:hAnsi="Times New Roman" w:cs="Times New Roman"/>
          <w:b/>
          <w:sz w:val="32"/>
          <w:szCs w:val="32"/>
        </w:rPr>
      </w:pPr>
    </w:p>
    <w:p w14:paraId="6940A431" w14:textId="77777777" w:rsidR="001C33C6" w:rsidRDefault="001C33C6" w:rsidP="001C33C6">
      <w:pPr>
        <w:spacing w:before="120" w:after="120" w:line="360" w:lineRule="auto"/>
        <w:jc w:val="center"/>
        <w:rPr>
          <w:rFonts w:ascii="Times New Roman" w:hAnsi="Times New Roman" w:cs="Times New Roman"/>
          <w:b/>
          <w:sz w:val="32"/>
          <w:szCs w:val="32"/>
        </w:rPr>
      </w:pPr>
    </w:p>
    <w:p w14:paraId="6FE7CBA2" w14:textId="77777777" w:rsidR="001C33C6" w:rsidRDefault="001C33C6" w:rsidP="001C33C6">
      <w:pPr>
        <w:spacing w:before="120" w:after="120" w:line="360" w:lineRule="auto"/>
        <w:jc w:val="center"/>
        <w:rPr>
          <w:rFonts w:ascii="Times New Roman" w:hAnsi="Times New Roman" w:cs="Times New Roman"/>
          <w:b/>
          <w:sz w:val="32"/>
          <w:szCs w:val="32"/>
        </w:rPr>
      </w:pPr>
    </w:p>
    <w:p w14:paraId="2A7BEBE8" w14:textId="77777777" w:rsidR="001C33C6" w:rsidRDefault="001C33C6" w:rsidP="001C33C6">
      <w:pPr>
        <w:spacing w:before="120" w:after="120" w:line="360" w:lineRule="auto"/>
        <w:jc w:val="center"/>
        <w:rPr>
          <w:rFonts w:ascii="Times New Roman" w:hAnsi="Times New Roman" w:cs="Times New Roman"/>
          <w:b/>
          <w:sz w:val="32"/>
          <w:szCs w:val="32"/>
        </w:rPr>
      </w:pPr>
    </w:p>
    <w:p w14:paraId="6F15E60A" w14:textId="77777777" w:rsidR="001C33C6" w:rsidRDefault="001C33C6" w:rsidP="001C33C6">
      <w:pPr>
        <w:spacing w:before="120" w:after="120" w:line="360" w:lineRule="auto"/>
        <w:jc w:val="center"/>
        <w:rPr>
          <w:rFonts w:ascii="Times New Roman" w:hAnsi="Times New Roman" w:cs="Times New Roman"/>
          <w:b/>
          <w:sz w:val="32"/>
          <w:szCs w:val="32"/>
        </w:rPr>
      </w:pPr>
    </w:p>
    <w:p w14:paraId="362707C4" w14:textId="77777777" w:rsidR="001C33C6" w:rsidRDefault="001C33C6" w:rsidP="001C33C6">
      <w:pPr>
        <w:spacing w:before="120" w:after="120" w:line="360" w:lineRule="auto"/>
        <w:jc w:val="center"/>
        <w:rPr>
          <w:rFonts w:ascii="Times New Roman" w:hAnsi="Times New Roman" w:cs="Times New Roman"/>
          <w:b/>
          <w:sz w:val="32"/>
          <w:szCs w:val="32"/>
        </w:rPr>
      </w:pPr>
    </w:p>
    <w:p w14:paraId="1261C70B" w14:textId="77777777" w:rsidR="001C33C6" w:rsidRPr="001C33C6" w:rsidRDefault="001C33C6" w:rsidP="001C33C6">
      <w:pPr>
        <w:spacing w:before="120" w:after="120" w:line="360" w:lineRule="auto"/>
        <w:jc w:val="center"/>
        <w:rPr>
          <w:rFonts w:ascii="Times New Roman" w:hAnsi="Times New Roman" w:cs="Times New Roman"/>
          <w:b/>
          <w:sz w:val="32"/>
          <w:szCs w:val="32"/>
        </w:rPr>
      </w:pPr>
      <w:r w:rsidRPr="001C33C6">
        <w:rPr>
          <w:rFonts w:ascii="Times New Roman" w:hAnsi="Times New Roman" w:cs="Times New Roman"/>
          <w:b/>
          <w:sz w:val="32"/>
          <w:szCs w:val="32"/>
        </w:rPr>
        <w:t>ASSIGNMENT 2</w:t>
      </w:r>
    </w:p>
    <w:p w14:paraId="4C1DA67F" w14:textId="77777777" w:rsidR="001C33C6" w:rsidRPr="001C33C6" w:rsidRDefault="001C33C6" w:rsidP="001C33C6">
      <w:pPr>
        <w:spacing w:before="120" w:after="120" w:line="360" w:lineRule="auto"/>
        <w:jc w:val="center"/>
        <w:rPr>
          <w:rFonts w:ascii="Times New Roman" w:hAnsi="Times New Roman" w:cs="Times New Roman"/>
          <w:b/>
          <w:sz w:val="32"/>
          <w:szCs w:val="32"/>
        </w:rPr>
      </w:pPr>
      <w:r w:rsidRPr="001C33C6">
        <w:rPr>
          <w:rFonts w:ascii="Times New Roman" w:hAnsi="Times New Roman" w:cs="Times New Roman"/>
          <w:b/>
          <w:sz w:val="32"/>
          <w:szCs w:val="32"/>
        </w:rPr>
        <w:t>SWOT ANALYSIS</w:t>
      </w:r>
    </w:p>
    <w:p w14:paraId="28892424" w14:textId="77777777" w:rsidR="00CF4FB7" w:rsidRDefault="00CF4FB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 w:eastAsia="en-US"/>
        </w:rPr>
        <w:id w:val="510733450"/>
        <w:docPartObj>
          <w:docPartGallery w:val="Table of Contents"/>
          <w:docPartUnique/>
        </w:docPartObj>
      </w:sdtPr>
      <w:sdtEndPr>
        <w:rPr>
          <w:noProof/>
        </w:rPr>
      </w:sdtEndPr>
      <w:sdtContent>
        <w:p w14:paraId="303C2FED" w14:textId="77777777" w:rsidR="00B41B87" w:rsidRPr="00B41B87" w:rsidRDefault="00B41B87" w:rsidP="00B41B87">
          <w:pPr>
            <w:pStyle w:val="TOCHeading"/>
            <w:spacing w:line="360" w:lineRule="auto"/>
            <w:jc w:val="center"/>
            <w:rPr>
              <w:rFonts w:ascii="Times New Roman" w:hAnsi="Times New Roman" w:cs="Times New Roman"/>
              <w:color w:val="000000" w:themeColor="text1"/>
            </w:rPr>
          </w:pPr>
          <w:r w:rsidRPr="00B41B87">
            <w:rPr>
              <w:rFonts w:ascii="Times New Roman" w:hAnsi="Times New Roman" w:cs="Times New Roman"/>
              <w:color w:val="000000" w:themeColor="text1"/>
            </w:rPr>
            <w:t>Table of Contents</w:t>
          </w:r>
        </w:p>
        <w:p w14:paraId="10076F71" w14:textId="77777777" w:rsidR="00B41B87" w:rsidRPr="00586561" w:rsidRDefault="00B41B87" w:rsidP="00586561">
          <w:pPr>
            <w:pStyle w:val="TOC1"/>
            <w:tabs>
              <w:tab w:val="right" w:leader="dot" w:pos="9350"/>
            </w:tabs>
            <w:spacing w:line="360" w:lineRule="auto"/>
            <w:jc w:val="both"/>
            <w:rPr>
              <w:rFonts w:ascii="Times New Roman" w:hAnsi="Times New Roman" w:cs="Times New Roman"/>
              <w:noProof/>
              <w:color w:val="000000" w:themeColor="text1"/>
              <w:sz w:val="24"/>
              <w:szCs w:val="24"/>
            </w:rPr>
          </w:pPr>
          <w:r>
            <w:fldChar w:fldCharType="begin"/>
          </w:r>
          <w:r>
            <w:instrText xml:space="preserve"> TOC \o "1-3" \h \z \u </w:instrText>
          </w:r>
          <w:r>
            <w:fldChar w:fldCharType="separate"/>
          </w:r>
          <w:hyperlink w:anchor="_Toc184313072" w:history="1">
            <w:r w:rsidRPr="00586561">
              <w:rPr>
                <w:rStyle w:val="Hyperlink"/>
                <w:rFonts w:ascii="Times New Roman" w:hAnsi="Times New Roman" w:cs="Times New Roman"/>
                <w:noProof/>
                <w:color w:val="000000" w:themeColor="text1"/>
                <w:sz w:val="24"/>
                <w:szCs w:val="24"/>
              </w:rPr>
              <w:t>1. Introduction</w:t>
            </w:r>
            <w:r w:rsidRPr="00586561">
              <w:rPr>
                <w:rFonts w:ascii="Times New Roman" w:hAnsi="Times New Roman" w:cs="Times New Roman"/>
                <w:noProof/>
                <w:webHidden/>
                <w:color w:val="000000" w:themeColor="text1"/>
                <w:sz w:val="24"/>
                <w:szCs w:val="24"/>
              </w:rPr>
              <w:tab/>
            </w:r>
            <w:r w:rsidRPr="00586561">
              <w:rPr>
                <w:rFonts w:ascii="Times New Roman" w:hAnsi="Times New Roman" w:cs="Times New Roman"/>
                <w:noProof/>
                <w:webHidden/>
                <w:color w:val="000000" w:themeColor="text1"/>
                <w:sz w:val="24"/>
                <w:szCs w:val="24"/>
              </w:rPr>
              <w:fldChar w:fldCharType="begin"/>
            </w:r>
            <w:r w:rsidRPr="00586561">
              <w:rPr>
                <w:rFonts w:ascii="Times New Roman" w:hAnsi="Times New Roman" w:cs="Times New Roman"/>
                <w:noProof/>
                <w:webHidden/>
                <w:color w:val="000000" w:themeColor="text1"/>
                <w:sz w:val="24"/>
                <w:szCs w:val="24"/>
              </w:rPr>
              <w:instrText xml:space="preserve"> PAGEREF _Toc184313072 \h </w:instrText>
            </w:r>
            <w:r w:rsidRPr="00586561">
              <w:rPr>
                <w:rFonts w:ascii="Times New Roman" w:hAnsi="Times New Roman" w:cs="Times New Roman"/>
                <w:noProof/>
                <w:webHidden/>
                <w:color w:val="000000" w:themeColor="text1"/>
                <w:sz w:val="24"/>
                <w:szCs w:val="24"/>
              </w:rPr>
            </w:r>
            <w:r w:rsidRPr="00586561">
              <w:rPr>
                <w:rFonts w:ascii="Times New Roman" w:hAnsi="Times New Roman" w:cs="Times New Roman"/>
                <w:noProof/>
                <w:webHidden/>
                <w:color w:val="000000" w:themeColor="text1"/>
                <w:sz w:val="24"/>
                <w:szCs w:val="24"/>
              </w:rPr>
              <w:fldChar w:fldCharType="separate"/>
            </w:r>
            <w:r w:rsidRPr="00586561">
              <w:rPr>
                <w:rFonts w:ascii="Times New Roman" w:hAnsi="Times New Roman" w:cs="Times New Roman"/>
                <w:noProof/>
                <w:webHidden/>
                <w:color w:val="000000" w:themeColor="text1"/>
                <w:sz w:val="24"/>
                <w:szCs w:val="24"/>
              </w:rPr>
              <w:t>3</w:t>
            </w:r>
            <w:r w:rsidRPr="00586561">
              <w:rPr>
                <w:rFonts w:ascii="Times New Roman" w:hAnsi="Times New Roman" w:cs="Times New Roman"/>
                <w:noProof/>
                <w:webHidden/>
                <w:color w:val="000000" w:themeColor="text1"/>
                <w:sz w:val="24"/>
                <w:szCs w:val="24"/>
              </w:rPr>
              <w:fldChar w:fldCharType="end"/>
            </w:r>
          </w:hyperlink>
        </w:p>
        <w:p w14:paraId="084AFB73" w14:textId="77777777" w:rsidR="00B41B87" w:rsidRPr="00586561" w:rsidRDefault="00B41B87" w:rsidP="00586561">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84313073" w:history="1">
            <w:r w:rsidRPr="00586561">
              <w:rPr>
                <w:rStyle w:val="Hyperlink"/>
                <w:rFonts w:ascii="Times New Roman" w:hAnsi="Times New Roman" w:cs="Times New Roman"/>
                <w:noProof/>
                <w:color w:val="000000" w:themeColor="text1"/>
                <w:sz w:val="24"/>
                <w:szCs w:val="24"/>
              </w:rPr>
              <w:t>2. SWOT Analysis</w:t>
            </w:r>
            <w:r w:rsidRPr="00586561">
              <w:rPr>
                <w:rFonts w:ascii="Times New Roman" w:hAnsi="Times New Roman" w:cs="Times New Roman"/>
                <w:noProof/>
                <w:webHidden/>
                <w:color w:val="000000" w:themeColor="text1"/>
                <w:sz w:val="24"/>
                <w:szCs w:val="24"/>
              </w:rPr>
              <w:tab/>
            </w:r>
            <w:r w:rsidRPr="00586561">
              <w:rPr>
                <w:rFonts w:ascii="Times New Roman" w:hAnsi="Times New Roman" w:cs="Times New Roman"/>
                <w:noProof/>
                <w:webHidden/>
                <w:color w:val="000000" w:themeColor="text1"/>
                <w:sz w:val="24"/>
                <w:szCs w:val="24"/>
              </w:rPr>
              <w:fldChar w:fldCharType="begin"/>
            </w:r>
            <w:r w:rsidRPr="00586561">
              <w:rPr>
                <w:rFonts w:ascii="Times New Roman" w:hAnsi="Times New Roman" w:cs="Times New Roman"/>
                <w:noProof/>
                <w:webHidden/>
                <w:color w:val="000000" w:themeColor="text1"/>
                <w:sz w:val="24"/>
                <w:szCs w:val="24"/>
              </w:rPr>
              <w:instrText xml:space="preserve"> PAGEREF _Toc184313073 \h </w:instrText>
            </w:r>
            <w:r w:rsidRPr="00586561">
              <w:rPr>
                <w:rFonts w:ascii="Times New Roman" w:hAnsi="Times New Roman" w:cs="Times New Roman"/>
                <w:noProof/>
                <w:webHidden/>
                <w:color w:val="000000" w:themeColor="text1"/>
                <w:sz w:val="24"/>
                <w:szCs w:val="24"/>
              </w:rPr>
            </w:r>
            <w:r w:rsidRPr="00586561">
              <w:rPr>
                <w:rFonts w:ascii="Times New Roman" w:hAnsi="Times New Roman" w:cs="Times New Roman"/>
                <w:noProof/>
                <w:webHidden/>
                <w:color w:val="000000" w:themeColor="text1"/>
                <w:sz w:val="24"/>
                <w:szCs w:val="24"/>
              </w:rPr>
              <w:fldChar w:fldCharType="separate"/>
            </w:r>
            <w:r w:rsidRPr="00586561">
              <w:rPr>
                <w:rFonts w:ascii="Times New Roman" w:hAnsi="Times New Roman" w:cs="Times New Roman"/>
                <w:noProof/>
                <w:webHidden/>
                <w:color w:val="000000" w:themeColor="text1"/>
                <w:sz w:val="24"/>
                <w:szCs w:val="24"/>
              </w:rPr>
              <w:t>3</w:t>
            </w:r>
            <w:r w:rsidRPr="00586561">
              <w:rPr>
                <w:rFonts w:ascii="Times New Roman" w:hAnsi="Times New Roman" w:cs="Times New Roman"/>
                <w:noProof/>
                <w:webHidden/>
                <w:color w:val="000000" w:themeColor="text1"/>
                <w:sz w:val="24"/>
                <w:szCs w:val="24"/>
              </w:rPr>
              <w:fldChar w:fldCharType="end"/>
            </w:r>
          </w:hyperlink>
        </w:p>
        <w:p w14:paraId="3F9D2380" w14:textId="77777777" w:rsidR="00B41B87" w:rsidRPr="00586561" w:rsidRDefault="00B41B87" w:rsidP="00586561">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84313074" w:history="1">
            <w:r w:rsidRPr="00586561">
              <w:rPr>
                <w:rStyle w:val="Hyperlink"/>
                <w:rFonts w:ascii="Times New Roman" w:hAnsi="Times New Roman" w:cs="Times New Roman"/>
                <w:noProof/>
                <w:color w:val="000000" w:themeColor="text1"/>
                <w:sz w:val="24"/>
                <w:szCs w:val="24"/>
              </w:rPr>
              <w:t>3. Conclusion</w:t>
            </w:r>
            <w:r w:rsidRPr="00586561">
              <w:rPr>
                <w:rFonts w:ascii="Times New Roman" w:hAnsi="Times New Roman" w:cs="Times New Roman"/>
                <w:noProof/>
                <w:webHidden/>
                <w:color w:val="000000" w:themeColor="text1"/>
                <w:sz w:val="24"/>
                <w:szCs w:val="24"/>
              </w:rPr>
              <w:tab/>
            </w:r>
            <w:r w:rsidRPr="00586561">
              <w:rPr>
                <w:rFonts w:ascii="Times New Roman" w:hAnsi="Times New Roman" w:cs="Times New Roman"/>
                <w:noProof/>
                <w:webHidden/>
                <w:color w:val="000000" w:themeColor="text1"/>
                <w:sz w:val="24"/>
                <w:szCs w:val="24"/>
              </w:rPr>
              <w:fldChar w:fldCharType="begin"/>
            </w:r>
            <w:r w:rsidRPr="00586561">
              <w:rPr>
                <w:rFonts w:ascii="Times New Roman" w:hAnsi="Times New Roman" w:cs="Times New Roman"/>
                <w:noProof/>
                <w:webHidden/>
                <w:color w:val="000000" w:themeColor="text1"/>
                <w:sz w:val="24"/>
                <w:szCs w:val="24"/>
              </w:rPr>
              <w:instrText xml:space="preserve"> PAGEREF _Toc184313074 \h </w:instrText>
            </w:r>
            <w:r w:rsidRPr="00586561">
              <w:rPr>
                <w:rFonts w:ascii="Times New Roman" w:hAnsi="Times New Roman" w:cs="Times New Roman"/>
                <w:noProof/>
                <w:webHidden/>
                <w:color w:val="000000" w:themeColor="text1"/>
                <w:sz w:val="24"/>
                <w:szCs w:val="24"/>
              </w:rPr>
            </w:r>
            <w:r w:rsidRPr="00586561">
              <w:rPr>
                <w:rFonts w:ascii="Times New Roman" w:hAnsi="Times New Roman" w:cs="Times New Roman"/>
                <w:noProof/>
                <w:webHidden/>
                <w:color w:val="000000" w:themeColor="text1"/>
                <w:sz w:val="24"/>
                <w:szCs w:val="24"/>
              </w:rPr>
              <w:fldChar w:fldCharType="separate"/>
            </w:r>
            <w:r w:rsidRPr="00586561">
              <w:rPr>
                <w:rFonts w:ascii="Times New Roman" w:hAnsi="Times New Roman" w:cs="Times New Roman"/>
                <w:noProof/>
                <w:webHidden/>
                <w:color w:val="000000" w:themeColor="text1"/>
                <w:sz w:val="24"/>
                <w:szCs w:val="24"/>
              </w:rPr>
              <w:t>8</w:t>
            </w:r>
            <w:r w:rsidRPr="00586561">
              <w:rPr>
                <w:rFonts w:ascii="Times New Roman" w:hAnsi="Times New Roman" w:cs="Times New Roman"/>
                <w:noProof/>
                <w:webHidden/>
                <w:color w:val="000000" w:themeColor="text1"/>
                <w:sz w:val="24"/>
                <w:szCs w:val="24"/>
              </w:rPr>
              <w:fldChar w:fldCharType="end"/>
            </w:r>
          </w:hyperlink>
        </w:p>
        <w:p w14:paraId="0A67AC3C" w14:textId="77777777" w:rsidR="00B41B87" w:rsidRDefault="00B41B87" w:rsidP="00586561">
          <w:pPr>
            <w:pStyle w:val="TOC1"/>
            <w:tabs>
              <w:tab w:val="right" w:leader="dot" w:pos="9350"/>
            </w:tabs>
            <w:spacing w:line="360" w:lineRule="auto"/>
            <w:jc w:val="both"/>
            <w:rPr>
              <w:noProof/>
            </w:rPr>
          </w:pPr>
          <w:hyperlink w:anchor="_Toc184313075" w:history="1">
            <w:r w:rsidRPr="00586561">
              <w:rPr>
                <w:rStyle w:val="Hyperlink"/>
                <w:rFonts w:ascii="Times New Roman" w:hAnsi="Times New Roman" w:cs="Times New Roman"/>
                <w:noProof/>
                <w:color w:val="000000" w:themeColor="text1"/>
                <w:sz w:val="24"/>
                <w:szCs w:val="24"/>
                <w:lang w:val="en-US"/>
              </w:rPr>
              <w:t>References</w:t>
            </w:r>
            <w:r w:rsidRPr="00586561">
              <w:rPr>
                <w:rFonts w:ascii="Times New Roman" w:hAnsi="Times New Roman" w:cs="Times New Roman"/>
                <w:noProof/>
                <w:webHidden/>
                <w:color w:val="000000" w:themeColor="text1"/>
                <w:sz w:val="24"/>
                <w:szCs w:val="24"/>
              </w:rPr>
              <w:tab/>
            </w:r>
            <w:r w:rsidRPr="00586561">
              <w:rPr>
                <w:rFonts w:ascii="Times New Roman" w:hAnsi="Times New Roman" w:cs="Times New Roman"/>
                <w:noProof/>
                <w:webHidden/>
                <w:color w:val="000000" w:themeColor="text1"/>
                <w:sz w:val="24"/>
                <w:szCs w:val="24"/>
              </w:rPr>
              <w:fldChar w:fldCharType="begin"/>
            </w:r>
            <w:r w:rsidRPr="00586561">
              <w:rPr>
                <w:rFonts w:ascii="Times New Roman" w:hAnsi="Times New Roman" w:cs="Times New Roman"/>
                <w:noProof/>
                <w:webHidden/>
                <w:color w:val="000000" w:themeColor="text1"/>
                <w:sz w:val="24"/>
                <w:szCs w:val="24"/>
              </w:rPr>
              <w:instrText xml:space="preserve"> PAGEREF _Toc184313075 \h </w:instrText>
            </w:r>
            <w:r w:rsidRPr="00586561">
              <w:rPr>
                <w:rFonts w:ascii="Times New Roman" w:hAnsi="Times New Roman" w:cs="Times New Roman"/>
                <w:noProof/>
                <w:webHidden/>
                <w:color w:val="000000" w:themeColor="text1"/>
                <w:sz w:val="24"/>
                <w:szCs w:val="24"/>
              </w:rPr>
            </w:r>
            <w:r w:rsidRPr="00586561">
              <w:rPr>
                <w:rFonts w:ascii="Times New Roman" w:hAnsi="Times New Roman" w:cs="Times New Roman"/>
                <w:noProof/>
                <w:webHidden/>
                <w:color w:val="000000" w:themeColor="text1"/>
                <w:sz w:val="24"/>
                <w:szCs w:val="24"/>
              </w:rPr>
              <w:fldChar w:fldCharType="separate"/>
            </w:r>
            <w:r w:rsidRPr="00586561">
              <w:rPr>
                <w:rFonts w:ascii="Times New Roman" w:hAnsi="Times New Roman" w:cs="Times New Roman"/>
                <w:noProof/>
                <w:webHidden/>
                <w:color w:val="000000" w:themeColor="text1"/>
                <w:sz w:val="24"/>
                <w:szCs w:val="24"/>
              </w:rPr>
              <w:t>9</w:t>
            </w:r>
            <w:r w:rsidRPr="00586561">
              <w:rPr>
                <w:rFonts w:ascii="Times New Roman" w:hAnsi="Times New Roman" w:cs="Times New Roman"/>
                <w:noProof/>
                <w:webHidden/>
                <w:color w:val="000000" w:themeColor="text1"/>
                <w:sz w:val="24"/>
                <w:szCs w:val="24"/>
              </w:rPr>
              <w:fldChar w:fldCharType="end"/>
            </w:r>
          </w:hyperlink>
        </w:p>
        <w:p w14:paraId="46473F41" w14:textId="77777777" w:rsidR="00B41B87" w:rsidRDefault="00B41B87">
          <w:r>
            <w:rPr>
              <w:b/>
              <w:bCs/>
              <w:noProof/>
            </w:rPr>
            <w:fldChar w:fldCharType="end"/>
          </w:r>
        </w:p>
      </w:sdtContent>
    </w:sdt>
    <w:p w14:paraId="36528910" w14:textId="77777777" w:rsidR="00CF4FB7" w:rsidRDefault="00CF4FB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7610C99" w14:textId="77777777" w:rsidR="008B2436" w:rsidRDefault="00016AE6" w:rsidP="00CF4FB7">
      <w:pPr>
        <w:pStyle w:val="Heading1"/>
      </w:pPr>
      <w:bookmarkStart w:id="0" w:name="_Toc184313072"/>
      <w:r>
        <w:lastRenderedPageBreak/>
        <w:t xml:space="preserve">1. </w:t>
      </w:r>
      <w:r w:rsidRPr="00CF4FB7">
        <w:t>Introduction</w:t>
      </w:r>
      <w:bookmarkEnd w:id="0"/>
    </w:p>
    <w:p w14:paraId="012CFEA3"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aim of this study is to provide a detailed SWOT analysis to showcase my goals and academic success. As per the view of Puyt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SWOT analysis plays a critical role for individuals in addressing their weaknesses, and strengths and ensuring they identify their threats and opportunities. SWOT analysis provides a great scope to individuals for giving insight into academic skills and making informed choices for adjusting them. In this assignment, I am going to evaluate my aspects by highlighting my skills and competency with critical evaluation. </w:t>
      </w:r>
    </w:p>
    <w:p w14:paraId="36315768" w14:textId="77777777" w:rsidR="008B2436" w:rsidRDefault="00016AE6" w:rsidP="00CF4FB7">
      <w:pPr>
        <w:pStyle w:val="Heading1"/>
      </w:pPr>
      <w:bookmarkStart w:id="1" w:name="_Toc184313073"/>
      <w:r>
        <w:t>2. SWOT Analysis</w:t>
      </w:r>
      <w:bookmarkEnd w:id="1"/>
      <w:r>
        <w:t xml:space="preserve"> </w:t>
      </w:r>
    </w:p>
    <w:p w14:paraId="1DF3005C" w14:textId="77777777" w:rsidR="008B2436" w:rsidRDefault="00016AE6">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p w14:paraId="0E61849E"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strong analytical thinking skills. As pointed out by Tang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analytical thinking provides great assistance to individuals in breaking down complex information into smaller parts. This enables me to break my tasks into manageable components and increase efficiency. For example, during my recent study recently, I was analysing a new clinical case study within a research article where I used this skill to give insight not its sample size, statistical importance and selection of the methodology for finding out the reliability and validity of information. Another example is that critical thinking skills enabled me to work better at Brynfield manor-Swansea where I prepared meals that were relevant according to the age and person. </w:t>
      </w:r>
    </w:p>
    <w:p w14:paraId="4E2967E8"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the capability of showing open-mindedness and seeking diverse viewpoints. As per the statement of Al-Abrrow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open-mindedness aided individuals in developing their critical thinking and adapting to situations. This ability helped me to care for expert opinions, and explore scholarly articles and clinical guidelines for strengthening my concepts in my academics. My critical thinking ability enables me to use efficient logic for exploring them with clear evaluation. It broadens the path for me to develop my holistic understanding of healthcare issues.  As an example, recently, I was exploring ethical considerations in medical practices where I have taken diverse perspectives from my families, teachers, healthcare professionals, patients and scholarly articles. Another example is Open-mindedness helped me to work better at Brynfield Manor where I have used it to identify the challenges of patients and support them emotionally and physically. I have also used diverse perspectives for developing a care plan.   </w:t>
      </w:r>
    </w:p>
    <w:p w14:paraId="25840633" w14:textId="77777777" w:rsidR="008B2436" w:rsidRDefault="00016AE6">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102D9FD4" wp14:editId="4159478E">
            <wp:extent cx="4095750" cy="3057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095750" cy="3057525"/>
                    </a:xfrm>
                    <a:prstGeom prst="rect">
                      <a:avLst/>
                    </a:prstGeom>
                  </pic:spPr>
                </pic:pic>
              </a:graphicData>
            </a:graphic>
          </wp:inline>
        </w:drawing>
      </w:r>
    </w:p>
    <w:p w14:paraId="54EEA0FA" w14:textId="77777777" w:rsidR="008B2436" w:rsidRDefault="00016AE6">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Open-mindedness</w:t>
      </w:r>
    </w:p>
    <w:p w14:paraId="61A2777A" w14:textId="77777777" w:rsidR="008B2436" w:rsidRDefault="00016AE6">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Al-Abrrow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30CE694D"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analytical thinking skills helped me a lot in using efficient time management techniques to balance my tasks. For example, I have been capable of learning the usage of Eisenhower Matrix for time management. As per the description of Dmytryshyn and Goran (2022), the Eisenhower Matrix is beneficial for individuals in determining non-urgent and urgent tasks. With this, I have been capable of setting high priorities for my tasks. As an example, during the exam, I set priority on my syllabus and revision rather than completion of my assignment first which was non-essential at that time. With this approach, I have been able to earn good marks and did not face obstacles to remain relevant in my tasks. </w:t>
      </w:r>
    </w:p>
    <w:p w14:paraId="79AA6A9D" w14:textId="77777777" w:rsidR="008B2436" w:rsidRDefault="00016AE6">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191AEDA0" wp14:editId="391AE133">
            <wp:extent cx="4714875" cy="51339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714875" cy="5133975"/>
                    </a:xfrm>
                    <a:prstGeom prst="rect">
                      <a:avLst/>
                    </a:prstGeom>
                  </pic:spPr>
                </pic:pic>
              </a:graphicData>
            </a:graphic>
          </wp:inline>
        </w:drawing>
      </w:r>
    </w:p>
    <w:p w14:paraId="19C8F95B" w14:textId="77777777" w:rsidR="008B2436" w:rsidRDefault="00016AE6">
      <w:pPr>
        <w:pStyle w:val="Normal1"/>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Time Management Technique</w:t>
      </w:r>
    </w:p>
    <w:p w14:paraId="4E12D653" w14:textId="77777777" w:rsidR="008B2436" w:rsidRDefault="00016AE6">
      <w:pPr>
        <w:pStyle w:val="Normal1"/>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Dmytryshyn and Goran, 2022)</w:t>
      </w:r>
    </w:p>
    <w:p w14:paraId="43B505D2" w14:textId="77777777" w:rsidR="008B2436" w:rsidRDefault="008B2436">
      <w:pPr>
        <w:pStyle w:val="Normal1"/>
        <w:spacing w:before="200" w:after="200" w:line="360" w:lineRule="auto"/>
        <w:jc w:val="both"/>
        <w:rPr>
          <w:rFonts w:ascii="Times New Roman" w:eastAsia="Times New Roman" w:hAnsi="Times New Roman" w:cs="Times New Roman"/>
          <w:sz w:val="24"/>
          <w:szCs w:val="24"/>
        </w:rPr>
      </w:pPr>
    </w:p>
    <w:p w14:paraId="12AD10B3" w14:textId="77777777" w:rsidR="008B2436" w:rsidRDefault="00016AE6">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14665A7A"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my key weaknesses in my trait is building confidence in my decision-making ability. I have been facing such a challenge in making judgments whenever I face ambiguous and complex situations. As per the evaluation of Supena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decision-making is essential for broadening the path for individuals to improve their productivity and have better outcomes in their lives. I have identified that I have a strong fear of making mistakes that increase hesitation </w:t>
      </w:r>
      <w:r>
        <w:rPr>
          <w:rFonts w:ascii="Times New Roman" w:eastAsia="Times New Roman" w:hAnsi="Times New Roman" w:cs="Times New Roman"/>
          <w:sz w:val="24"/>
          <w:szCs w:val="24"/>
        </w:rPr>
        <w:lastRenderedPageBreak/>
        <w:t xml:space="preserve">in my mind and get clarification for making suitable decisions. For example, during my previous academic project, I got a task to work on a group project where I had a fear of failure to provide the right role to every team member due to the occurrence of the same types of abilities and skills among individuals. Accordingly, I was unable to perform the task meticulously. </w:t>
      </w:r>
    </w:p>
    <w:p w14:paraId="35A9BDAF"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weakness in my trait is to identify biases within my own thinking. From the point of view of Abuhassna</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(2020), effective thinking is beneficial for individuals to interpret information in a proficient manner. However, I have to struggle with it though I am able to find biases in other ways of thinking. Due to this reason, I have been leaving many blind spots within my academic projects and unable to meet objectives accurately. Such problems can be very problematic for my growth in this field. </w:t>
      </w:r>
    </w:p>
    <w:p w14:paraId="4BDEA15D"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key challenges of my trait is to show procrastination within my tasks especially when I have to perform resource-intensive tasks. As per the opinion of  Mohammadi Bytamar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procrastination leads to lowering the level of quality work by individuals. For instance, in one of my previous projects, I had to complete a survey and conduct an interview for my research which was very resource-intensive. I did not create any effective planning for completing but that resulted in a last-minute rush and increased my stress. Such a problem is challenging as it can hinder my long-term growth to showcase exceptional performance in academics.  </w:t>
      </w:r>
    </w:p>
    <w:p w14:paraId="36E14EDE" w14:textId="77777777" w:rsidR="008B2436" w:rsidRDefault="00016AE6">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7C9B6B91"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key opportunities for me is to enhance my critical thinking by adopting continuous learning. As per the arguments of  Baber (2021), continuous learning broadens the path for students to build their confidence, set goals and focus on personal growth. In this regard, I am going to read articles and books on healthcare. I will have an opportunity to participate in workshops related to healthcare which can be proficient for me to extend my critical thinking skills and decision-making ability to make efficient judgements. </w:t>
      </w:r>
    </w:p>
    <w:p w14:paraId="717AA078"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have an opportunity to seek guidance and mentorships. As per the evaluation of Shen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mentorship plays a vital role in providing the right guidance for career development opportunities. Currently, I have been working at Brynfield Manor - Swansea, United Kingdom. I want to progress in my career. With the assistance of mentorship, I can have relevant feedback </w:t>
      </w:r>
      <w:r>
        <w:rPr>
          <w:rFonts w:ascii="Times New Roman" w:eastAsia="Times New Roman" w:hAnsi="Times New Roman" w:cs="Times New Roman"/>
          <w:sz w:val="24"/>
          <w:szCs w:val="24"/>
        </w:rPr>
        <w:lastRenderedPageBreak/>
        <w:t xml:space="preserve">and peer-to-peer support that ensures me to not only identify my weaknesses but also resolve them.  </w:t>
      </w:r>
    </w:p>
    <w:p w14:paraId="086B131C"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have an opportunity to participate in professional networking events through seminars with industry professionals. As highlighted by Davis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professional networks expand the opportunities for students to broaden their career growth. With this, I can have opportunities for exploring new practices and new trends in patient-care practices. Through this, I can refine my current skills and go one step ahead to improve my career growth at a consistent rate. </w:t>
      </w:r>
    </w:p>
    <w:p w14:paraId="0EC8C1DC" w14:textId="77777777" w:rsidR="008B2436" w:rsidRDefault="00016AE6">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46C1E099"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have a great threat from procrastination because it might increase my level of burnout. As mentioned by Uddin (2021), time management is essential for balancing personal and professional life. I have to work and maintain my academics where time management plays a vital role. However, my procrastination nature can increase burnout with my academic tasks which can lead to failure of submission of quality assignments. Apart from these, I might not maintain high standards that can reduce my grade which can be challenging in front of my career growth in the right direction. </w:t>
      </w:r>
    </w:p>
    <w:p w14:paraId="16D238F5"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One of the key threats that I can have in my future life is to avoid technological distractions. There is no doubt that technology plays a vital role for people to connect and complete tasks meticulously. However, social media and usage of smartphones can distract me from performing tasks. Due to this reason, I might not satisfy patients and perform effective patient care. Apart from this, I might have a great threat of distracting myself from my learning and evaluating complex information within my academics. Because of this, I will have to struggle to make efficient judgements and improve my decision. </w:t>
      </w:r>
    </w:p>
    <w:p w14:paraId="19DFCDA6" w14:textId="77777777" w:rsidR="008B2436"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also have a chance of facing extreme pressure on my health issues. I have to balance both my academics and patient-care service. The latter one is very hectic and requires a huge time to spend. As a result, I might not focus on managing consistency which can increase lag in my trait for developing my weak skills meticulously. Furthermore, competition in the job market can be another threat for me in front of my aspiration to heighten my career growth. Without developing my career skills, I will have a great threat to show exceptional performance which might hinder me from achieving my aspiration in a hassle-free manner. </w:t>
      </w:r>
    </w:p>
    <w:p w14:paraId="39E10716" w14:textId="77777777" w:rsidR="008B2436" w:rsidRDefault="00016AE6" w:rsidP="00CF4FB7">
      <w:pPr>
        <w:pStyle w:val="Heading1"/>
      </w:pPr>
      <w:bookmarkStart w:id="2" w:name="_Toc184313074"/>
      <w:r>
        <w:lastRenderedPageBreak/>
        <w:t>3. Conclusion</w:t>
      </w:r>
      <w:bookmarkEnd w:id="2"/>
    </w:p>
    <w:p w14:paraId="08D9B029" w14:textId="77777777" w:rsidR="008B4EB2" w:rsidRDefault="00016AE6">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the SWOT analytical tool is efficient for identifying one's current state in terms of their abilities and skills. I have identified that I have strong analytical thinking, open-mindedness, and time management capability which helped me to complete my tasks with diverse perspectives and within time most of their parts. However, I have to struggle with making decisions, finding biases in my thinking, and procrastinating at the time when I get overwhelmed with work. Though there is a high chance that I can enhance my critical thinking, I can get guidance from mentorship, and participate in professional networking events for broadening the path for securing my career growth. However, my procrastination nature, distraction due to social media, extreme pressure from competition and health issues can disrupt my performance. </w:t>
      </w:r>
    </w:p>
    <w:p w14:paraId="2247CE38" w14:textId="77777777" w:rsidR="008B4EB2" w:rsidRDefault="008B4EB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7BEEC19" w14:textId="77777777" w:rsidR="004E5D3E" w:rsidRPr="00082332" w:rsidRDefault="004E5D3E" w:rsidP="005D65CC">
      <w:pPr>
        <w:pStyle w:val="Heading1"/>
        <w:rPr>
          <w:lang w:val="en-US"/>
        </w:rPr>
      </w:pPr>
      <w:bookmarkStart w:id="3" w:name="_Toc184313075"/>
      <w:r w:rsidRPr="00082332">
        <w:rPr>
          <w:lang w:val="en-US"/>
        </w:rPr>
        <w:lastRenderedPageBreak/>
        <w:t>References</w:t>
      </w:r>
      <w:bookmarkEnd w:id="3"/>
    </w:p>
    <w:p w14:paraId="327445F0" w14:textId="77777777" w:rsidR="00BC20D1" w:rsidRPr="00082332" w:rsidRDefault="00BC20D1" w:rsidP="004E5D3E">
      <w:pPr>
        <w:pStyle w:val="NormalWeb"/>
        <w:spacing w:before="0" w:beforeAutospacing="0" w:after="240" w:afterAutospacing="0" w:line="360" w:lineRule="auto"/>
        <w:ind w:left="360"/>
        <w:jc w:val="both"/>
      </w:pPr>
      <w:proofErr w:type="spellStart"/>
      <w:r w:rsidRPr="00082332">
        <w:t>Abuhassna</w:t>
      </w:r>
      <w:proofErr w:type="spellEnd"/>
      <w:r w:rsidRPr="00082332">
        <w:t xml:space="preserve">, H., Al-Rahmi, W.M., Yahya, N., Zakaria, M.A.Z.M., </w:t>
      </w:r>
      <w:proofErr w:type="spellStart"/>
      <w:r w:rsidRPr="00082332">
        <w:t>Kosnin</w:t>
      </w:r>
      <w:proofErr w:type="spellEnd"/>
      <w:r w:rsidRPr="00082332">
        <w:t xml:space="preserve">, </w:t>
      </w:r>
      <w:proofErr w:type="spellStart"/>
      <w:r w:rsidRPr="00082332">
        <w:t>A.Bt.M</w:t>
      </w:r>
      <w:proofErr w:type="spellEnd"/>
      <w:r w:rsidRPr="00082332">
        <w:t xml:space="preserve">. and Darwish, M. (2020). Development of a new model on utilizing online learning platforms to improve students’ academic achievements and satisfaction. </w:t>
      </w:r>
      <w:r w:rsidRPr="00082332">
        <w:rPr>
          <w:i/>
          <w:iCs/>
        </w:rPr>
        <w:t>International Journal of Educational Technology in Higher Education</w:t>
      </w:r>
      <w:r w:rsidRPr="00082332">
        <w:t xml:space="preserve">, 17(1). </w:t>
      </w:r>
      <w:proofErr w:type="spellStart"/>
      <w:r w:rsidRPr="00082332">
        <w:t>doi:https</w:t>
      </w:r>
      <w:proofErr w:type="spellEnd"/>
      <w:r w:rsidRPr="00082332">
        <w:t>://doi.org/10.1186/s41239-020-00216-z.</w:t>
      </w:r>
    </w:p>
    <w:p w14:paraId="31ABCD46" w14:textId="77777777" w:rsidR="00BC20D1" w:rsidRPr="00082332" w:rsidRDefault="00BC20D1" w:rsidP="004E5D3E">
      <w:pPr>
        <w:pStyle w:val="NormalWeb"/>
        <w:spacing w:before="0" w:beforeAutospacing="0" w:after="240" w:afterAutospacing="0" w:line="360" w:lineRule="auto"/>
        <w:ind w:left="360"/>
        <w:jc w:val="both"/>
      </w:pPr>
      <w:r w:rsidRPr="00082332">
        <w:t>Al-</w:t>
      </w:r>
      <w:proofErr w:type="spellStart"/>
      <w:r w:rsidRPr="00082332">
        <w:t>Abrrow</w:t>
      </w:r>
      <w:proofErr w:type="spellEnd"/>
      <w:r w:rsidRPr="00082332">
        <w:t xml:space="preserve">, H., Fayez, A.S., Abdullah, H., Khaw, K.W., Alnoor, A. and Rexhepi, G. (2021). Effect of open-mindedness and humble </w:t>
      </w:r>
      <w:proofErr w:type="spellStart"/>
      <w:r w:rsidRPr="00082332">
        <w:t>behavior</w:t>
      </w:r>
      <w:proofErr w:type="spellEnd"/>
      <w:r w:rsidRPr="00082332">
        <w:t xml:space="preserve"> on innovation: mediator role of learning. </w:t>
      </w:r>
      <w:r w:rsidRPr="00082332">
        <w:rPr>
          <w:i/>
          <w:iCs/>
        </w:rPr>
        <w:t>International Journal of Emerging Markets</w:t>
      </w:r>
      <w:r w:rsidRPr="00082332">
        <w:t xml:space="preserve">, ahead-of-print(ahead-of-print). </w:t>
      </w:r>
      <w:proofErr w:type="spellStart"/>
      <w:r w:rsidRPr="00082332">
        <w:t>doi:https</w:t>
      </w:r>
      <w:proofErr w:type="spellEnd"/>
      <w:r w:rsidRPr="00082332">
        <w:t>://doi.org/10.1108/ijoem-08-2020-0888.</w:t>
      </w:r>
    </w:p>
    <w:p w14:paraId="26EEBC0A" w14:textId="77777777" w:rsidR="00BC20D1" w:rsidRPr="00082332" w:rsidRDefault="00BC20D1" w:rsidP="004E5D3E">
      <w:pPr>
        <w:pStyle w:val="NormalWeb"/>
        <w:spacing w:before="0" w:beforeAutospacing="0" w:after="240" w:afterAutospacing="0" w:line="360" w:lineRule="auto"/>
        <w:ind w:left="360"/>
        <w:jc w:val="both"/>
      </w:pPr>
      <w:r w:rsidRPr="00082332">
        <w:t xml:space="preserve">Baber, H. (2021). Social interaction and effectiveness of the online learning – A moderating role of maintaining social distance during the pandemic COVID-19. </w:t>
      </w:r>
      <w:r w:rsidRPr="00082332">
        <w:rPr>
          <w:i/>
          <w:iCs/>
        </w:rPr>
        <w:t>Asian Education and Development Studies</w:t>
      </w:r>
      <w:r w:rsidRPr="00082332">
        <w:t xml:space="preserve">, 11(1). </w:t>
      </w:r>
      <w:proofErr w:type="spellStart"/>
      <w:r w:rsidRPr="00082332">
        <w:t>doi:https</w:t>
      </w:r>
      <w:proofErr w:type="spellEnd"/>
      <w:r w:rsidRPr="00082332">
        <w:t>://doi.org/10.1108/aeds-09-2020-0209.</w:t>
      </w:r>
    </w:p>
    <w:p w14:paraId="2FB09BA8" w14:textId="77777777" w:rsidR="00BC20D1" w:rsidRPr="00082332" w:rsidRDefault="00BC20D1" w:rsidP="004E5D3E">
      <w:pPr>
        <w:pStyle w:val="NormalWeb"/>
        <w:spacing w:before="0" w:beforeAutospacing="0" w:after="240" w:afterAutospacing="0" w:line="360" w:lineRule="auto"/>
        <w:ind w:left="360"/>
        <w:jc w:val="both"/>
      </w:pPr>
      <w:r w:rsidRPr="00082332">
        <w:t xml:space="preserve">Davis, J., Wolff, H.-G., Forret, M.L. and Sullivan, S.E. (2020). Networking via LinkedIn: an Examination of Usage and Career Benefits. </w:t>
      </w:r>
      <w:r w:rsidRPr="00082332">
        <w:rPr>
          <w:i/>
          <w:iCs/>
        </w:rPr>
        <w:t xml:space="preserve">Journal of Vocational </w:t>
      </w:r>
      <w:proofErr w:type="spellStart"/>
      <w:r w:rsidRPr="00082332">
        <w:rPr>
          <w:i/>
          <w:iCs/>
        </w:rPr>
        <w:t>Behavior</w:t>
      </w:r>
      <w:proofErr w:type="spellEnd"/>
      <w:r w:rsidRPr="00082332">
        <w:t xml:space="preserve">, [online] 118(1). </w:t>
      </w:r>
      <w:proofErr w:type="spellStart"/>
      <w:r w:rsidRPr="00082332">
        <w:t>doi:https</w:t>
      </w:r>
      <w:proofErr w:type="spellEnd"/>
      <w:r w:rsidRPr="00082332">
        <w:t xml:space="preserve">://doi.org/10.1016/j.jvb.2020.103396. </w:t>
      </w:r>
    </w:p>
    <w:p w14:paraId="25505593" w14:textId="77777777" w:rsidR="00BC20D1" w:rsidRPr="00082332" w:rsidRDefault="00BC20D1" w:rsidP="004E5D3E">
      <w:pPr>
        <w:pStyle w:val="NormalWeb"/>
        <w:spacing w:before="0" w:beforeAutospacing="0" w:after="240" w:afterAutospacing="0" w:line="360" w:lineRule="auto"/>
        <w:ind w:left="360"/>
        <w:jc w:val="both"/>
      </w:pPr>
      <w:proofErr w:type="spellStart"/>
      <w:r w:rsidRPr="00082332">
        <w:t>Dmytryshyn</w:t>
      </w:r>
      <w:proofErr w:type="spellEnd"/>
      <w:r w:rsidRPr="00082332">
        <w:t xml:space="preserve">, M. and Goran, T. (2022). Proposal of an effective time management system. </w:t>
      </w:r>
      <w:r w:rsidRPr="00082332">
        <w:rPr>
          <w:i/>
          <w:iCs/>
        </w:rPr>
        <w:t>Management</w:t>
      </w:r>
      <w:r w:rsidRPr="00082332">
        <w:t xml:space="preserve">, 27(2), pp.283–298. </w:t>
      </w:r>
      <w:proofErr w:type="spellStart"/>
      <w:r w:rsidRPr="00082332">
        <w:t>doi:https</w:t>
      </w:r>
      <w:proofErr w:type="spellEnd"/>
      <w:r w:rsidRPr="00082332">
        <w:t>://doi.org/10.30924/mjcmi.27.2.15.</w:t>
      </w:r>
    </w:p>
    <w:p w14:paraId="15EF9E34" w14:textId="77777777" w:rsidR="00BC20D1" w:rsidRPr="00082332" w:rsidRDefault="00BC20D1" w:rsidP="004E5D3E">
      <w:pPr>
        <w:pStyle w:val="NormalWeb"/>
        <w:spacing w:before="0" w:beforeAutospacing="0" w:after="240" w:afterAutospacing="0" w:line="360" w:lineRule="auto"/>
        <w:ind w:left="360"/>
        <w:jc w:val="both"/>
      </w:pPr>
      <w:r w:rsidRPr="00082332">
        <w:t xml:space="preserve">Mohammadi </w:t>
      </w:r>
      <w:proofErr w:type="spellStart"/>
      <w:r w:rsidRPr="00082332">
        <w:t>Bytamar</w:t>
      </w:r>
      <w:proofErr w:type="spellEnd"/>
      <w:r w:rsidRPr="00082332">
        <w:t xml:space="preserve">, J., Saed, O. and </w:t>
      </w:r>
      <w:proofErr w:type="spellStart"/>
      <w:r w:rsidRPr="00082332">
        <w:t>Khakpoor</w:t>
      </w:r>
      <w:proofErr w:type="spellEnd"/>
      <w:r w:rsidRPr="00082332">
        <w:t xml:space="preserve">, S. (2020). Emotion Regulation Difficulties and Academic Procrastination. </w:t>
      </w:r>
      <w:r w:rsidRPr="00082332">
        <w:rPr>
          <w:i/>
          <w:iCs/>
        </w:rPr>
        <w:t>Frontiers in Psychology</w:t>
      </w:r>
      <w:r w:rsidRPr="00082332">
        <w:t xml:space="preserve">, 11. </w:t>
      </w:r>
      <w:proofErr w:type="spellStart"/>
      <w:proofErr w:type="gramStart"/>
      <w:r w:rsidRPr="00082332">
        <w:t>doi:https</w:t>
      </w:r>
      <w:proofErr w:type="spellEnd"/>
      <w:r w:rsidRPr="00082332">
        <w:t>://doi.org/10.3389/fpsyg.2020.524588</w:t>
      </w:r>
      <w:proofErr w:type="gramEnd"/>
      <w:r w:rsidRPr="00082332">
        <w:t>.</w:t>
      </w:r>
    </w:p>
    <w:p w14:paraId="2494F467" w14:textId="77777777" w:rsidR="00BC20D1" w:rsidRPr="00082332" w:rsidRDefault="00BC20D1" w:rsidP="004E5D3E">
      <w:pPr>
        <w:pStyle w:val="NormalWeb"/>
        <w:spacing w:before="0" w:beforeAutospacing="0" w:after="240" w:afterAutospacing="0" w:line="360" w:lineRule="auto"/>
        <w:ind w:left="360"/>
        <w:jc w:val="both"/>
      </w:pPr>
      <w:proofErr w:type="spellStart"/>
      <w:r w:rsidRPr="00082332">
        <w:t>Puyt</w:t>
      </w:r>
      <w:proofErr w:type="spellEnd"/>
      <w:r w:rsidRPr="00082332">
        <w:t xml:space="preserve">, R.W., Lie, F.B. and </w:t>
      </w:r>
      <w:proofErr w:type="spellStart"/>
      <w:r w:rsidRPr="00082332">
        <w:t>Wilderom</w:t>
      </w:r>
      <w:proofErr w:type="spellEnd"/>
      <w:r w:rsidRPr="00082332">
        <w:t xml:space="preserve">, C.P.M. (2023). The origins of SWOT analysis. </w:t>
      </w:r>
      <w:r w:rsidRPr="00082332">
        <w:rPr>
          <w:i/>
          <w:iCs/>
        </w:rPr>
        <w:t>Long Range Planning</w:t>
      </w:r>
      <w:r w:rsidRPr="00082332">
        <w:t xml:space="preserve">, 56(3), p.102304. </w:t>
      </w:r>
      <w:proofErr w:type="spellStart"/>
      <w:r w:rsidRPr="00082332">
        <w:t>doi:https</w:t>
      </w:r>
      <w:proofErr w:type="spellEnd"/>
      <w:r w:rsidRPr="00082332">
        <w:t>://doi.org/10.1016/j.lrp.2023.102304.</w:t>
      </w:r>
    </w:p>
    <w:p w14:paraId="0170E026" w14:textId="77777777" w:rsidR="00BC20D1" w:rsidRPr="00082332" w:rsidRDefault="00BC20D1" w:rsidP="004E5D3E">
      <w:pPr>
        <w:pStyle w:val="NormalWeb"/>
        <w:spacing w:before="0" w:beforeAutospacing="0" w:after="240" w:afterAutospacing="0" w:line="360" w:lineRule="auto"/>
        <w:ind w:left="360"/>
        <w:jc w:val="both"/>
      </w:pPr>
      <w:r w:rsidRPr="00082332">
        <w:t xml:space="preserve">Shen, M.R., </w:t>
      </w:r>
      <w:proofErr w:type="spellStart"/>
      <w:r w:rsidRPr="00082332">
        <w:t>Tzioumis</w:t>
      </w:r>
      <w:proofErr w:type="spellEnd"/>
      <w:r w:rsidRPr="00082332">
        <w:t xml:space="preserve">, E., Andersen, E., Wouk, K., McCall, R., Li, W., Girdler, S. and Malloy, E. (2021). Impact of Mentoring on Academic Career Success for Women in Medicine. </w:t>
      </w:r>
      <w:r w:rsidRPr="00082332">
        <w:rPr>
          <w:i/>
          <w:iCs/>
        </w:rPr>
        <w:t>Academic Medicine</w:t>
      </w:r>
      <w:r w:rsidRPr="00082332">
        <w:t xml:space="preserve">, Publish Ahead of Print. </w:t>
      </w:r>
      <w:proofErr w:type="spellStart"/>
      <w:r w:rsidRPr="00082332">
        <w:t>doi:https</w:t>
      </w:r>
      <w:proofErr w:type="spellEnd"/>
      <w:r w:rsidRPr="00082332">
        <w:t>://doi.org/10.1097/acm.0000000000004563.</w:t>
      </w:r>
    </w:p>
    <w:p w14:paraId="6253C547" w14:textId="77777777" w:rsidR="00BC20D1" w:rsidRPr="00082332" w:rsidRDefault="00BC20D1" w:rsidP="004E5D3E">
      <w:pPr>
        <w:pStyle w:val="NormalWeb"/>
        <w:spacing w:before="0" w:beforeAutospacing="0" w:after="240" w:afterAutospacing="0" w:line="360" w:lineRule="auto"/>
        <w:ind w:left="360"/>
        <w:jc w:val="both"/>
      </w:pPr>
      <w:proofErr w:type="spellStart"/>
      <w:r w:rsidRPr="00082332">
        <w:lastRenderedPageBreak/>
        <w:t>Supena</w:t>
      </w:r>
      <w:proofErr w:type="spellEnd"/>
      <w:r w:rsidRPr="00082332">
        <w:t xml:space="preserve">, I., </w:t>
      </w:r>
      <w:proofErr w:type="spellStart"/>
      <w:r w:rsidRPr="00082332">
        <w:t>Darmuki</w:t>
      </w:r>
      <w:proofErr w:type="spellEnd"/>
      <w:r w:rsidRPr="00082332">
        <w:t xml:space="preserve">, A. and </w:t>
      </w:r>
      <w:proofErr w:type="spellStart"/>
      <w:r w:rsidRPr="00082332">
        <w:t>Hariyadi</w:t>
      </w:r>
      <w:proofErr w:type="spellEnd"/>
      <w:r w:rsidRPr="00082332">
        <w:t xml:space="preserve">, A. (2021). The Influence of 4C (Constructive, Critical, Creativity, Collaborative) Learning Model on Students’ Learning Outcomes. </w:t>
      </w:r>
      <w:r w:rsidRPr="00082332">
        <w:rPr>
          <w:i/>
          <w:iCs/>
        </w:rPr>
        <w:t>International Journal of Instruction</w:t>
      </w:r>
      <w:r w:rsidRPr="00082332">
        <w:t>, [online] 14(3), pp.873–892. Available at: https://eric.ed.gov/?id=EJ1304598 [Accessed 5 Dec. 2024].</w:t>
      </w:r>
    </w:p>
    <w:p w14:paraId="42C42CD4" w14:textId="77777777" w:rsidR="00BC20D1" w:rsidRPr="00082332" w:rsidRDefault="00BC20D1" w:rsidP="004E5D3E">
      <w:pPr>
        <w:pStyle w:val="NormalWeb"/>
        <w:spacing w:before="0" w:beforeAutospacing="0" w:after="240" w:afterAutospacing="0" w:line="360" w:lineRule="auto"/>
        <w:ind w:left="360"/>
        <w:jc w:val="both"/>
      </w:pPr>
      <w:r w:rsidRPr="00082332">
        <w:t xml:space="preserve">Tang, T., Vezzani, V. and Eriksson, V. (2020). Developing critical thinking, collective creativity skills and problem solving through playful design jams. </w:t>
      </w:r>
      <w:r w:rsidRPr="00082332">
        <w:rPr>
          <w:i/>
          <w:iCs/>
        </w:rPr>
        <w:t>Thinking Skills and Creativity</w:t>
      </w:r>
      <w:r w:rsidRPr="00082332">
        <w:t xml:space="preserve">, 37(4), p.100696. </w:t>
      </w:r>
      <w:proofErr w:type="spellStart"/>
      <w:r w:rsidRPr="00082332">
        <w:t>doi:https</w:t>
      </w:r>
      <w:proofErr w:type="spellEnd"/>
      <w:r w:rsidRPr="00082332">
        <w:t>://doi.org/10.1016/j.tsc.2020.100696.</w:t>
      </w:r>
    </w:p>
    <w:p w14:paraId="7AF8A5DE" w14:textId="77777777" w:rsidR="00BC20D1" w:rsidRPr="00082332" w:rsidRDefault="00BC20D1" w:rsidP="004E5D3E">
      <w:pPr>
        <w:pStyle w:val="NormalWeb"/>
        <w:spacing w:before="0" w:beforeAutospacing="0" w:after="240" w:afterAutospacing="0" w:line="360" w:lineRule="auto"/>
        <w:ind w:left="360"/>
        <w:jc w:val="both"/>
      </w:pPr>
      <w:r w:rsidRPr="00082332">
        <w:t xml:space="preserve">Uddin, M. (2021). Addressing work‐life balance challenges of working women during COVID‐19 in Bangladesh. </w:t>
      </w:r>
      <w:r w:rsidRPr="00082332">
        <w:rPr>
          <w:i/>
          <w:iCs/>
        </w:rPr>
        <w:t>International Social Science Journal</w:t>
      </w:r>
      <w:r w:rsidRPr="00082332">
        <w:t xml:space="preserve">, 71(239-240). </w:t>
      </w:r>
      <w:proofErr w:type="spellStart"/>
      <w:r w:rsidRPr="00082332">
        <w:t>doi:https</w:t>
      </w:r>
      <w:proofErr w:type="spellEnd"/>
      <w:r w:rsidRPr="00082332">
        <w:t>://doi.org/10.1111/issj.12267.</w:t>
      </w:r>
    </w:p>
    <w:p w14:paraId="30002239" w14:textId="77777777" w:rsidR="008B2436" w:rsidRDefault="008B2436">
      <w:pPr>
        <w:pStyle w:val="Normal1"/>
        <w:spacing w:before="200" w:after="200" w:line="360" w:lineRule="auto"/>
        <w:jc w:val="both"/>
        <w:rPr>
          <w:rFonts w:ascii="Times New Roman" w:eastAsia="Times New Roman" w:hAnsi="Times New Roman" w:cs="Times New Roman"/>
          <w:sz w:val="24"/>
          <w:szCs w:val="24"/>
        </w:rPr>
      </w:pPr>
    </w:p>
    <w:sectPr w:rsidR="008B2436" w:rsidSect="00D13B59">
      <w:footerReference w:type="default" r:id="rId9"/>
      <w:pgSz w:w="12240" w:h="15840"/>
      <w:pgMar w:top="1440" w:right="1440" w:bottom="1440" w:left="1440" w:header="720" w:footer="720"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07AEBD" w14:textId="77777777" w:rsidR="00041013" w:rsidRDefault="00041013" w:rsidP="001F0280">
      <w:pPr>
        <w:spacing w:line="240" w:lineRule="auto"/>
      </w:pPr>
      <w:r>
        <w:separator/>
      </w:r>
    </w:p>
  </w:endnote>
  <w:endnote w:type="continuationSeparator" w:id="0">
    <w:p w14:paraId="7D101FBF" w14:textId="77777777" w:rsidR="00041013" w:rsidRDefault="00041013" w:rsidP="001F02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1770742008"/>
      <w:docPartObj>
        <w:docPartGallery w:val="Page Numbers (Bottom of Page)"/>
        <w:docPartUnique/>
      </w:docPartObj>
    </w:sdtPr>
    <w:sdtEndPr>
      <w:rPr>
        <w:noProof/>
      </w:rPr>
    </w:sdtEndPr>
    <w:sdtContent>
      <w:p w14:paraId="10C75B2F" w14:textId="77777777" w:rsidR="001F0280" w:rsidRPr="001F0280" w:rsidRDefault="001F0280">
        <w:pPr>
          <w:pStyle w:val="Footer"/>
          <w:jc w:val="right"/>
          <w:rPr>
            <w:rFonts w:ascii="Times New Roman" w:hAnsi="Times New Roman" w:cs="Times New Roman"/>
            <w:sz w:val="20"/>
            <w:szCs w:val="20"/>
          </w:rPr>
        </w:pPr>
        <w:r w:rsidRPr="001F0280">
          <w:rPr>
            <w:rFonts w:ascii="Times New Roman" w:hAnsi="Times New Roman" w:cs="Times New Roman"/>
            <w:sz w:val="20"/>
            <w:szCs w:val="20"/>
          </w:rPr>
          <w:fldChar w:fldCharType="begin"/>
        </w:r>
        <w:r w:rsidRPr="001F0280">
          <w:rPr>
            <w:rFonts w:ascii="Times New Roman" w:hAnsi="Times New Roman" w:cs="Times New Roman"/>
            <w:sz w:val="20"/>
            <w:szCs w:val="20"/>
          </w:rPr>
          <w:instrText xml:space="preserve"> PAGE   \* MERGEFORMAT </w:instrText>
        </w:r>
        <w:r w:rsidRPr="001F0280">
          <w:rPr>
            <w:rFonts w:ascii="Times New Roman" w:hAnsi="Times New Roman" w:cs="Times New Roman"/>
            <w:sz w:val="20"/>
            <w:szCs w:val="20"/>
          </w:rPr>
          <w:fldChar w:fldCharType="separate"/>
        </w:r>
        <w:r w:rsidR="00586561">
          <w:rPr>
            <w:rFonts w:ascii="Times New Roman" w:hAnsi="Times New Roman" w:cs="Times New Roman"/>
            <w:noProof/>
            <w:sz w:val="20"/>
            <w:szCs w:val="20"/>
          </w:rPr>
          <w:t>2</w:t>
        </w:r>
        <w:r w:rsidRPr="001F0280">
          <w:rPr>
            <w:rFonts w:ascii="Times New Roman" w:hAnsi="Times New Roman" w:cs="Times New Roman"/>
            <w:noProof/>
            <w:sz w:val="20"/>
            <w:szCs w:val="20"/>
          </w:rPr>
          <w:fldChar w:fldCharType="end"/>
        </w:r>
      </w:p>
    </w:sdtContent>
  </w:sdt>
  <w:p w14:paraId="4B01D93D" w14:textId="77777777" w:rsidR="001F0280" w:rsidRPr="001F0280" w:rsidRDefault="001F0280">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DCA782" w14:textId="77777777" w:rsidR="00041013" w:rsidRDefault="00041013" w:rsidP="001F0280">
      <w:pPr>
        <w:spacing w:line="240" w:lineRule="auto"/>
      </w:pPr>
      <w:r>
        <w:separator/>
      </w:r>
    </w:p>
  </w:footnote>
  <w:footnote w:type="continuationSeparator" w:id="0">
    <w:p w14:paraId="1DE41991" w14:textId="77777777" w:rsidR="00041013" w:rsidRDefault="00041013" w:rsidP="001F028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2436"/>
    <w:rsid w:val="00016AE6"/>
    <w:rsid w:val="00041013"/>
    <w:rsid w:val="001C33C6"/>
    <w:rsid w:val="001F0280"/>
    <w:rsid w:val="004E5D3E"/>
    <w:rsid w:val="00505090"/>
    <w:rsid w:val="00586561"/>
    <w:rsid w:val="005A080B"/>
    <w:rsid w:val="005D65CC"/>
    <w:rsid w:val="008B2436"/>
    <w:rsid w:val="008B4EB2"/>
    <w:rsid w:val="00B41B87"/>
    <w:rsid w:val="00BC20D1"/>
    <w:rsid w:val="00CF4FB7"/>
    <w:rsid w:val="00D13B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41760"/>
  <w15:docId w15:val="{E38D0A7C-9A30-4677-A9EA-26CCE7AAF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F4FB7"/>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F4F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4FB7"/>
    <w:rPr>
      <w:rFonts w:ascii="Tahoma" w:hAnsi="Tahoma" w:cs="Tahoma"/>
      <w:sz w:val="16"/>
      <w:szCs w:val="16"/>
    </w:rPr>
  </w:style>
  <w:style w:type="paragraph" w:styleId="NormalWeb">
    <w:name w:val="Normal (Web)"/>
    <w:basedOn w:val="Normal"/>
    <w:uiPriority w:val="99"/>
    <w:semiHidden/>
    <w:unhideWhenUsed/>
    <w:rsid w:val="004E5D3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1F0280"/>
    <w:pPr>
      <w:tabs>
        <w:tab w:val="center" w:pos="4513"/>
        <w:tab w:val="right" w:pos="9026"/>
      </w:tabs>
      <w:spacing w:line="240" w:lineRule="auto"/>
    </w:pPr>
  </w:style>
  <w:style w:type="character" w:customStyle="1" w:styleId="HeaderChar">
    <w:name w:val="Header Char"/>
    <w:basedOn w:val="DefaultParagraphFont"/>
    <w:link w:val="Header"/>
    <w:uiPriority w:val="99"/>
    <w:rsid w:val="001F0280"/>
  </w:style>
  <w:style w:type="paragraph" w:styleId="Footer">
    <w:name w:val="footer"/>
    <w:basedOn w:val="Normal"/>
    <w:link w:val="FooterChar"/>
    <w:uiPriority w:val="99"/>
    <w:unhideWhenUsed/>
    <w:rsid w:val="001F0280"/>
    <w:pPr>
      <w:tabs>
        <w:tab w:val="center" w:pos="4513"/>
        <w:tab w:val="right" w:pos="9026"/>
      </w:tabs>
      <w:spacing w:line="240" w:lineRule="auto"/>
    </w:pPr>
  </w:style>
  <w:style w:type="character" w:customStyle="1" w:styleId="FooterChar">
    <w:name w:val="Footer Char"/>
    <w:basedOn w:val="DefaultParagraphFont"/>
    <w:link w:val="Footer"/>
    <w:uiPriority w:val="99"/>
    <w:rsid w:val="001F0280"/>
  </w:style>
  <w:style w:type="paragraph" w:styleId="TOCHeading">
    <w:name w:val="TOC Heading"/>
    <w:basedOn w:val="Heading1"/>
    <w:next w:val="Normal"/>
    <w:uiPriority w:val="39"/>
    <w:semiHidden/>
    <w:unhideWhenUsed/>
    <w:qFormat/>
    <w:rsid w:val="00B41B87"/>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B41B87"/>
    <w:pPr>
      <w:spacing w:after="100"/>
    </w:pPr>
  </w:style>
  <w:style w:type="character" w:styleId="Hyperlink">
    <w:name w:val="Hyperlink"/>
    <w:basedOn w:val="DefaultParagraphFont"/>
    <w:uiPriority w:val="99"/>
    <w:unhideWhenUsed/>
    <w:rsid w:val="00B41B8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F69DB9-3985-47C5-90F8-EAFB44974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1897</Words>
  <Characters>10703</Characters>
  <Application>Microsoft Office Word</Application>
  <DocSecurity>0</DocSecurity>
  <Lines>178</Lines>
  <Paragraphs>52</Paragraphs>
  <ScaleCrop>false</ScaleCrop>
  <Company/>
  <LinksUpToDate>false</LinksUpToDate>
  <CharactersWithSpaces>12548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bugilan</cp:lastModifiedBy>
  <cp:revision>36</cp:revision>
  <dcterms:created xsi:type="dcterms:W3CDTF">2024-12-05T12:12:00Z</dcterms:created>
  <dcterms:modified xsi:type="dcterms:W3CDTF">2024-12-11T15:10:00Z</dcterms:modified>
</cp:coreProperties>
</file>