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AA71B" w14:textId="77777777" w:rsidR="00FA75EF" w:rsidRDefault="00AB4553" w:rsidP="00AB4553">
      <w:pPr>
        <w:rPr>
          <w:rFonts w:ascii="Arial" w:hAnsi="Arial" w:cs="Arial"/>
          <w:b/>
          <w:bCs/>
          <w:sz w:val="22"/>
          <w:szCs w:val="22"/>
        </w:rPr>
      </w:pPr>
      <w:r w:rsidRPr="004D75AE">
        <w:rPr>
          <w:rFonts w:ascii="Arial" w:hAnsi="Arial" w:cs="Arial"/>
          <w:b/>
          <w:bCs/>
          <w:sz w:val="22"/>
          <w:szCs w:val="22"/>
        </w:rPr>
        <w:t>Development Appraisal Report</w:t>
      </w:r>
      <w:r w:rsidR="00FA75EF">
        <w:rPr>
          <w:rFonts w:ascii="Arial" w:hAnsi="Arial" w:cs="Arial"/>
          <w:b/>
          <w:bCs/>
          <w:sz w:val="22"/>
          <w:szCs w:val="22"/>
        </w:rPr>
        <w:t xml:space="preserve"> - </w:t>
      </w:r>
      <w:r w:rsidRPr="004D75AE">
        <w:rPr>
          <w:rFonts w:ascii="Arial" w:hAnsi="Arial" w:cs="Arial"/>
          <w:b/>
          <w:bCs/>
          <w:sz w:val="22"/>
          <w:szCs w:val="22"/>
        </w:rPr>
        <w:t xml:space="preserve">Lace House </w:t>
      </w:r>
    </w:p>
    <w:p w14:paraId="47DF0F16" w14:textId="64E8ABFB" w:rsidR="00AB4553" w:rsidRPr="00FC16A3" w:rsidRDefault="00AB4553" w:rsidP="00FA75EF">
      <w:pPr>
        <w:pStyle w:val="Heading1"/>
        <w:rPr>
          <w:sz w:val="24"/>
          <w:szCs w:val="24"/>
        </w:rPr>
      </w:pPr>
      <w:r w:rsidRPr="00FC16A3">
        <w:rPr>
          <w:sz w:val="24"/>
          <w:szCs w:val="24"/>
        </w:rPr>
        <w:t>1. Executive Summary</w:t>
      </w:r>
      <w:r w:rsidR="00FA75EF" w:rsidRPr="00FC16A3">
        <w:rPr>
          <w:sz w:val="24"/>
          <w:szCs w:val="24"/>
        </w:rPr>
        <w:t xml:space="preserve"> </w:t>
      </w:r>
    </w:p>
    <w:p w14:paraId="7A8070A8" w14:textId="77777777" w:rsidR="003A16BD" w:rsidRPr="003A16BD" w:rsidRDefault="003A16BD" w:rsidP="003A16BD">
      <w:pPr>
        <w:rPr>
          <w:rFonts w:ascii="Arial" w:hAnsi="Arial" w:cs="Arial"/>
          <w:sz w:val="22"/>
          <w:szCs w:val="22"/>
        </w:rPr>
      </w:pPr>
      <w:r w:rsidRPr="003A16BD">
        <w:rPr>
          <w:rFonts w:ascii="Arial" w:hAnsi="Arial" w:cs="Arial"/>
          <w:sz w:val="22"/>
          <w:szCs w:val="22"/>
        </w:rPr>
        <w:t>This report looks at whether the proposed redevelopment of Lace House is a good investment. The aim is to turn the current building, which is not being fully used, into a successful new development that includes both commercial and possibly residential use. The plan involves keeping the important historical features of the building while improving it to meet modern standards. This means updating the structure in a way that respects its heritage but also makes it energy-efficient and more useful for today’s needs.</w:t>
      </w:r>
    </w:p>
    <w:p w14:paraId="2C6EE3FB" w14:textId="128319D9" w:rsidR="003A16BD" w:rsidRPr="003A16BD" w:rsidRDefault="003A16BD" w:rsidP="003A16BD">
      <w:pPr>
        <w:rPr>
          <w:rFonts w:ascii="Arial" w:hAnsi="Arial" w:cs="Arial"/>
          <w:sz w:val="22"/>
          <w:szCs w:val="22"/>
        </w:rPr>
      </w:pPr>
      <w:r w:rsidRPr="003A16BD">
        <w:rPr>
          <w:rFonts w:ascii="Arial" w:hAnsi="Arial" w:cs="Arial"/>
          <w:sz w:val="22"/>
          <w:szCs w:val="22"/>
        </w:rPr>
        <w:t xml:space="preserve">The assessment shows that the development could make a reasonable profit, but there are some risks involved. These include the added costs and delays that can come with gaining planning permission for a historic building, as well as the possibility of spending more than expected during construction. Despite these risks, the expected income from the completed project is high enough to cover the costs and leave a profit, </w:t>
      </w:r>
      <w:r w:rsidR="00602420" w:rsidRPr="004D75AE">
        <w:rPr>
          <w:rFonts w:ascii="Arial" w:hAnsi="Arial" w:cs="Arial"/>
          <w:sz w:val="22"/>
          <w:szCs w:val="22"/>
        </w:rPr>
        <w:t>if</w:t>
      </w:r>
      <w:r w:rsidRPr="003A16BD">
        <w:rPr>
          <w:rFonts w:ascii="Arial" w:hAnsi="Arial" w:cs="Arial"/>
          <w:sz w:val="22"/>
          <w:szCs w:val="22"/>
        </w:rPr>
        <w:t xml:space="preserve"> the budget is well </w:t>
      </w:r>
      <w:r w:rsidR="00602420" w:rsidRPr="004D75AE">
        <w:rPr>
          <w:rFonts w:ascii="Arial" w:hAnsi="Arial" w:cs="Arial"/>
          <w:sz w:val="22"/>
          <w:szCs w:val="22"/>
        </w:rPr>
        <w:t>managed,</w:t>
      </w:r>
      <w:r w:rsidRPr="003A16BD">
        <w:rPr>
          <w:rFonts w:ascii="Arial" w:hAnsi="Arial" w:cs="Arial"/>
          <w:sz w:val="22"/>
          <w:szCs w:val="22"/>
        </w:rPr>
        <w:t xml:space="preserve"> and the risks are properly handled.</w:t>
      </w:r>
    </w:p>
    <w:p w14:paraId="352CCCE8" w14:textId="3B3B5221" w:rsidR="003A16BD" w:rsidRPr="003A16BD" w:rsidRDefault="003A16BD" w:rsidP="003A16BD">
      <w:pPr>
        <w:rPr>
          <w:rFonts w:ascii="Arial" w:hAnsi="Arial" w:cs="Arial"/>
          <w:sz w:val="22"/>
          <w:szCs w:val="22"/>
        </w:rPr>
      </w:pPr>
      <w:r w:rsidRPr="003A16BD">
        <w:rPr>
          <w:rFonts w:ascii="Arial" w:hAnsi="Arial" w:cs="Arial"/>
          <w:sz w:val="22"/>
          <w:szCs w:val="22"/>
        </w:rPr>
        <w:t xml:space="preserve">To make the project even more successful, the report suggests some improvements. These include using environmentally friendly materials and technology to make the building more </w:t>
      </w:r>
      <w:r w:rsidR="00602420" w:rsidRPr="004D75AE">
        <w:rPr>
          <w:rFonts w:ascii="Arial" w:hAnsi="Arial" w:cs="Arial"/>
          <w:sz w:val="22"/>
          <w:szCs w:val="22"/>
        </w:rPr>
        <w:t>energy efficient</w:t>
      </w:r>
      <w:r w:rsidRPr="003A16BD">
        <w:rPr>
          <w:rFonts w:ascii="Arial" w:hAnsi="Arial" w:cs="Arial"/>
          <w:sz w:val="22"/>
          <w:szCs w:val="22"/>
        </w:rPr>
        <w:t>. Working closely with the local council and heritage officers early in the process is also important, to avoid planning delays and ensure the design is acceptable. The layout of the spaces inside the building should be carefully planned to make the most of the available area, without damaging the building’s character. It is also important that the project benefits the wider community, such as by using local contractors, creating jobs, and improving nearby public spaces.</w:t>
      </w:r>
    </w:p>
    <w:p w14:paraId="12BDA704" w14:textId="77777777" w:rsidR="003A16BD" w:rsidRPr="003A16BD" w:rsidRDefault="003A16BD" w:rsidP="003A16BD">
      <w:pPr>
        <w:rPr>
          <w:rFonts w:ascii="Arial" w:hAnsi="Arial" w:cs="Arial"/>
          <w:sz w:val="22"/>
          <w:szCs w:val="22"/>
        </w:rPr>
      </w:pPr>
      <w:r w:rsidRPr="003A16BD">
        <w:rPr>
          <w:rFonts w:ascii="Arial" w:hAnsi="Arial" w:cs="Arial"/>
          <w:sz w:val="22"/>
          <w:szCs w:val="22"/>
        </w:rPr>
        <w:t>Overall, this report finds that the Lace House project has good potential to succeed financially and to make a positive contribution to the local area. With the right planning, careful budgeting, and a strong focus on sustainable and respectful construction, the development can offer both profit and long-term value</w:t>
      </w:r>
    </w:p>
    <w:p w14:paraId="3F7B7C26" w14:textId="6E79E3F0" w:rsidR="00AB4553" w:rsidRPr="004D75AE" w:rsidRDefault="00AB4553" w:rsidP="00AB4553">
      <w:pPr>
        <w:rPr>
          <w:rFonts w:ascii="Arial" w:hAnsi="Arial" w:cs="Arial"/>
          <w:sz w:val="22"/>
          <w:szCs w:val="22"/>
        </w:rPr>
      </w:pPr>
    </w:p>
    <w:p w14:paraId="7F568F40" w14:textId="77777777" w:rsidR="00AB4553" w:rsidRPr="00FC16A3" w:rsidRDefault="00AB4553" w:rsidP="00FC16A3">
      <w:pPr>
        <w:pStyle w:val="Heading1"/>
        <w:rPr>
          <w:sz w:val="24"/>
          <w:szCs w:val="24"/>
        </w:rPr>
      </w:pPr>
      <w:r w:rsidRPr="00FC16A3">
        <w:rPr>
          <w:sz w:val="24"/>
          <w:szCs w:val="24"/>
        </w:rPr>
        <w:t>2. Introduction</w:t>
      </w:r>
    </w:p>
    <w:p w14:paraId="36C27519" w14:textId="77777777" w:rsidR="00AB4553" w:rsidRPr="004D75AE" w:rsidRDefault="00AB4553" w:rsidP="00AB4553">
      <w:pPr>
        <w:rPr>
          <w:rFonts w:ascii="Arial" w:hAnsi="Arial" w:cs="Arial"/>
          <w:sz w:val="22"/>
          <w:szCs w:val="22"/>
        </w:rPr>
      </w:pPr>
      <w:r w:rsidRPr="004D75AE">
        <w:rPr>
          <w:rFonts w:ascii="Arial" w:hAnsi="Arial" w:cs="Arial"/>
          <w:sz w:val="22"/>
          <w:szCs w:val="22"/>
        </w:rPr>
        <w:t>This report presents a development appraisal for the proposed redevelopment of Lace House, a heritage building located within an established urban area. The purpose of the appraisal is to assess whether the project is financially viable, determine the risks involved, and identify opportunities to enhance the scheme through ethical and sustainable design and construction practices.</w:t>
      </w:r>
    </w:p>
    <w:p w14:paraId="5D131AD2" w14:textId="77777777" w:rsidR="00AB4553" w:rsidRPr="004D75AE" w:rsidRDefault="00AB4553" w:rsidP="00AB4553">
      <w:pPr>
        <w:rPr>
          <w:rFonts w:ascii="Arial" w:hAnsi="Arial" w:cs="Arial"/>
          <w:sz w:val="22"/>
          <w:szCs w:val="22"/>
        </w:rPr>
      </w:pPr>
      <w:r w:rsidRPr="004D75AE">
        <w:rPr>
          <w:rFonts w:ascii="Arial" w:hAnsi="Arial" w:cs="Arial"/>
          <w:sz w:val="22"/>
          <w:szCs w:val="22"/>
        </w:rPr>
        <w:t>Lace House is currently underused, and the development proposal involves its conversion into a mix of residential flats. Due to its historic value and location, the building is subject to planning and conservation requirements that could impact both the design and the construction process. These constraints must be balanced against market potential and financial return.</w:t>
      </w:r>
    </w:p>
    <w:p w14:paraId="40F8C2DB" w14:textId="77777777" w:rsidR="00AB4553" w:rsidRPr="004D75AE" w:rsidRDefault="00AB4553" w:rsidP="00AB4553">
      <w:pPr>
        <w:rPr>
          <w:rFonts w:ascii="Arial" w:hAnsi="Arial" w:cs="Arial"/>
          <w:sz w:val="22"/>
          <w:szCs w:val="22"/>
        </w:rPr>
      </w:pPr>
      <w:r w:rsidRPr="004D75AE">
        <w:rPr>
          <w:rFonts w:ascii="Arial" w:hAnsi="Arial" w:cs="Arial"/>
          <w:sz w:val="22"/>
          <w:szCs w:val="22"/>
        </w:rPr>
        <w:t xml:space="preserve">The report includes a breakdown of estimated costs, revenue forecasts based on current market values, and a risk analysis covering planning, construction, and market factors. Construction costs are estimated using industry benchmarks and adjusted for the added </w:t>
      </w:r>
      <w:r w:rsidRPr="004D75AE">
        <w:rPr>
          <w:rFonts w:ascii="Arial" w:hAnsi="Arial" w:cs="Arial"/>
          <w:sz w:val="22"/>
          <w:szCs w:val="22"/>
        </w:rPr>
        <w:lastRenderedPageBreak/>
        <w:t>complexity of working within a historic structure. Planning policies relevant to conservation and reuse have also been considered in shaping the assumptions used in this appraisal.</w:t>
      </w:r>
    </w:p>
    <w:p w14:paraId="225819DC" w14:textId="77777777" w:rsidR="00AB4553" w:rsidRPr="004D75AE" w:rsidRDefault="00AB4553" w:rsidP="00AB4553">
      <w:pPr>
        <w:rPr>
          <w:rFonts w:ascii="Arial" w:hAnsi="Arial" w:cs="Arial"/>
          <w:sz w:val="22"/>
          <w:szCs w:val="22"/>
        </w:rPr>
      </w:pPr>
      <w:r w:rsidRPr="004D75AE">
        <w:rPr>
          <w:rFonts w:ascii="Arial" w:hAnsi="Arial" w:cs="Arial"/>
          <w:sz w:val="22"/>
          <w:szCs w:val="22"/>
        </w:rPr>
        <w:t>This appraisal is structured around key development management principles. These include conducting a feasibility study, applying cost estimation techniques, assessing financial return using Return on Investment (ROI) analysis, and applying risk management frameworks. The findings of the appraisal will support the developer’s decision on whether to proceed with the project in its current form or make changes to enhance financial and practical outcomes.</w:t>
      </w:r>
    </w:p>
    <w:p w14:paraId="28E4DFA5" w14:textId="77777777" w:rsidR="00AB4553" w:rsidRPr="00FC16A3" w:rsidRDefault="00AB4553" w:rsidP="00FC16A3">
      <w:pPr>
        <w:pStyle w:val="Heading1"/>
        <w:rPr>
          <w:sz w:val="24"/>
          <w:szCs w:val="24"/>
        </w:rPr>
      </w:pPr>
      <w:r w:rsidRPr="00FC16A3">
        <w:rPr>
          <w:sz w:val="24"/>
          <w:szCs w:val="24"/>
        </w:rPr>
        <w:t>3. Methodology</w:t>
      </w:r>
    </w:p>
    <w:p w14:paraId="6F6484CC" w14:textId="77777777" w:rsidR="00AB4553" w:rsidRPr="004D75AE" w:rsidRDefault="00AB4553" w:rsidP="00AB4553">
      <w:pPr>
        <w:rPr>
          <w:rFonts w:ascii="Arial" w:hAnsi="Arial" w:cs="Arial"/>
          <w:sz w:val="22"/>
          <w:szCs w:val="22"/>
        </w:rPr>
      </w:pPr>
      <w:r w:rsidRPr="004D75AE">
        <w:rPr>
          <w:rFonts w:ascii="Arial" w:hAnsi="Arial" w:cs="Arial"/>
          <w:sz w:val="22"/>
          <w:szCs w:val="22"/>
        </w:rPr>
        <w:t>This development appraisal follows a systematic approach using established methods in construction project management and property development. The process begins with an assessment of the site and proposed scheme to understand the context, constraints, and opportunities. A review of local planning policy, conservation guidance, and comparable developments has been used to guide assumptions.</w:t>
      </w:r>
    </w:p>
    <w:p w14:paraId="7E47675D" w14:textId="77777777" w:rsidR="00AB4553" w:rsidRPr="004D75AE" w:rsidRDefault="00AB4553" w:rsidP="00AB4553">
      <w:pPr>
        <w:rPr>
          <w:rFonts w:ascii="Arial" w:hAnsi="Arial" w:cs="Arial"/>
          <w:sz w:val="22"/>
          <w:szCs w:val="22"/>
        </w:rPr>
      </w:pPr>
      <w:r w:rsidRPr="004D75AE">
        <w:rPr>
          <w:rFonts w:ascii="Arial" w:hAnsi="Arial" w:cs="Arial"/>
          <w:sz w:val="22"/>
          <w:szCs w:val="22"/>
        </w:rPr>
        <w:t>Development costs have been estimated using the Building Cost Information Service (BCIS) rates, market research, and historical project data. The costs considered include construction, professional fees, planning and legal charges, and finance costs over the project’s duration. A contingency is included to cover unforeseen issues, particularly relevant in historic building refurbishment.</w:t>
      </w:r>
    </w:p>
    <w:p w14:paraId="1455524C" w14:textId="77777777" w:rsidR="00AB4553" w:rsidRPr="004D75AE" w:rsidRDefault="00AB4553" w:rsidP="00AB4553">
      <w:pPr>
        <w:rPr>
          <w:rFonts w:ascii="Arial" w:hAnsi="Arial" w:cs="Arial"/>
          <w:sz w:val="22"/>
          <w:szCs w:val="22"/>
        </w:rPr>
      </w:pPr>
      <w:r w:rsidRPr="004D75AE">
        <w:rPr>
          <w:rFonts w:ascii="Arial" w:hAnsi="Arial" w:cs="Arial"/>
          <w:sz w:val="22"/>
          <w:szCs w:val="22"/>
        </w:rPr>
        <w:t>Revenue is forecast based on comparable property sales in the local area, adjusted for property type and size. A Return on Investment (ROI) calculation compares total development cost against net income from unit sales, providing a measure of the project's potential profitability.</w:t>
      </w:r>
    </w:p>
    <w:p w14:paraId="2842FCA9" w14:textId="77777777" w:rsidR="00AB4553" w:rsidRPr="004D75AE" w:rsidRDefault="00AB4553" w:rsidP="00AB4553">
      <w:pPr>
        <w:rPr>
          <w:rFonts w:ascii="Arial" w:hAnsi="Arial" w:cs="Arial"/>
          <w:sz w:val="22"/>
          <w:szCs w:val="22"/>
        </w:rPr>
      </w:pPr>
      <w:r w:rsidRPr="004D75AE">
        <w:rPr>
          <w:rFonts w:ascii="Arial" w:hAnsi="Arial" w:cs="Arial"/>
          <w:sz w:val="22"/>
          <w:szCs w:val="22"/>
        </w:rPr>
        <w:t>Risk evaluation is carried out using a qualitative risk matrix, identifying threats across planning, finance, construction, and sales. Each risk is assessed for likelihood and impact, with corresponding mitigation measures proposed.</w:t>
      </w:r>
    </w:p>
    <w:p w14:paraId="2CE3AB13" w14:textId="77777777" w:rsidR="00AB4553" w:rsidRPr="004D75AE" w:rsidRDefault="00AB4553" w:rsidP="00AB4553">
      <w:pPr>
        <w:rPr>
          <w:rFonts w:ascii="Arial" w:hAnsi="Arial" w:cs="Arial"/>
          <w:sz w:val="22"/>
          <w:szCs w:val="22"/>
        </w:rPr>
      </w:pPr>
      <w:r w:rsidRPr="004D75AE">
        <w:rPr>
          <w:rFonts w:ascii="Arial" w:hAnsi="Arial" w:cs="Arial"/>
          <w:sz w:val="22"/>
          <w:szCs w:val="22"/>
        </w:rPr>
        <w:t>Sustainability and ethical value have been considered by reviewing how environmental improvements, social engagement, and local economic benefits can be built into the development strategy. The outcome is a complete appraisal which supports an informed go/no-go decision.</w:t>
      </w:r>
    </w:p>
    <w:p w14:paraId="3526BCEA" w14:textId="77777777" w:rsidR="00AB4553" w:rsidRPr="003565E9" w:rsidRDefault="00AB4553" w:rsidP="003565E9">
      <w:pPr>
        <w:pStyle w:val="Heading1"/>
        <w:rPr>
          <w:sz w:val="24"/>
          <w:szCs w:val="24"/>
        </w:rPr>
      </w:pPr>
      <w:r w:rsidRPr="003565E9">
        <w:rPr>
          <w:sz w:val="24"/>
          <w:szCs w:val="24"/>
        </w:rPr>
        <w:t>4. Site and Scheme Analysis</w:t>
      </w:r>
    </w:p>
    <w:p w14:paraId="2A2A1BA6" w14:textId="77777777" w:rsidR="00AB4553" w:rsidRPr="004D75AE" w:rsidRDefault="00AB4553" w:rsidP="00AB4553">
      <w:pPr>
        <w:rPr>
          <w:rFonts w:ascii="Arial" w:hAnsi="Arial" w:cs="Arial"/>
          <w:sz w:val="22"/>
          <w:szCs w:val="22"/>
        </w:rPr>
      </w:pPr>
      <w:r w:rsidRPr="004D75AE">
        <w:rPr>
          <w:rFonts w:ascii="Arial" w:hAnsi="Arial" w:cs="Arial"/>
          <w:sz w:val="22"/>
          <w:szCs w:val="22"/>
        </w:rPr>
        <w:t xml:space="preserve">The Lace House site </w:t>
      </w:r>
      <w:proofErr w:type="gramStart"/>
      <w:r w:rsidRPr="004D75AE">
        <w:rPr>
          <w:rFonts w:ascii="Arial" w:hAnsi="Arial" w:cs="Arial"/>
          <w:sz w:val="22"/>
          <w:szCs w:val="22"/>
        </w:rPr>
        <w:t>is located in</w:t>
      </w:r>
      <w:proofErr w:type="gramEnd"/>
      <w:r w:rsidRPr="004D75AE">
        <w:rPr>
          <w:rFonts w:ascii="Arial" w:hAnsi="Arial" w:cs="Arial"/>
          <w:sz w:val="22"/>
          <w:szCs w:val="22"/>
        </w:rPr>
        <w:t xml:space="preserve"> an established urban neighbourhood with good access to public transport, local shops, and amenities. These characteristics make it highly suitable for residential development. The area appears to be in high demand, especially for smaller flats aimed at first-time buyers, young professionals, or buy-to-let investors.</w:t>
      </w:r>
    </w:p>
    <w:p w14:paraId="2C738373" w14:textId="77777777" w:rsidR="00AB4553" w:rsidRPr="004D75AE" w:rsidRDefault="00AB4553" w:rsidP="00AB4553">
      <w:pPr>
        <w:rPr>
          <w:rFonts w:ascii="Arial" w:hAnsi="Arial" w:cs="Arial"/>
          <w:sz w:val="22"/>
          <w:szCs w:val="22"/>
        </w:rPr>
      </w:pPr>
      <w:r w:rsidRPr="004D75AE">
        <w:rPr>
          <w:rFonts w:ascii="Arial" w:hAnsi="Arial" w:cs="Arial"/>
          <w:sz w:val="22"/>
          <w:szCs w:val="22"/>
        </w:rPr>
        <w:t>The building itself is of architectural interest and is believed to be listed or located within a conservation area. This status means that while the scheme can benefit from the character and appeal of the historic architecture, it must also comply with strict planning regulations that protect heritage assets. This includes restrictions on changes to the exterior appearance, retention of original materials and features, and careful design to maintain the historic value of the property.</w:t>
      </w:r>
    </w:p>
    <w:p w14:paraId="6686ABF1" w14:textId="77777777" w:rsidR="00AB4553" w:rsidRPr="004D75AE" w:rsidRDefault="00AB4553" w:rsidP="00AB4553">
      <w:pPr>
        <w:rPr>
          <w:rFonts w:ascii="Arial" w:hAnsi="Arial" w:cs="Arial"/>
          <w:sz w:val="22"/>
          <w:szCs w:val="22"/>
        </w:rPr>
      </w:pPr>
      <w:r w:rsidRPr="004D75AE">
        <w:rPr>
          <w:rFonts w:ascii="Arial" w:hAnsi="Arial" w:cs="Arial"/>
          <w:sz w:val="22"/>
          <w:szCs w:val="22"/>
        </w:rPr>
        <w:lastRenderedPageBreak/>
        <w:t>The proposed scheme involves creating nine residential flats within the existing building, made up of seven one-bedroom units and two two-bedroom units. Initial plans suggest that internal layouts have been designed to make the most efficient use of space while complying with building regulations, including fire escape, access, and natural light requirements.</w:t>
      </w:r>
    </w:p>
    <w:p w14:paraId="577F1C3C" w14:textId="77777777" w:rsidR="00AB4553" w:rsidRPr="004D75AE" w:rsidRDefault="00AB4553" w:rsidP="00AB4553">
      <w:pPr>
        <w:rPr>
          <w:rFonts w:ascii="Arial" w:hAnsi="Arial" w:cs="Arial"/>
          <w:sz w:val="22"/>
          <w:szCs w:val="22"/>
        </w:rPr>
      </w:pPr>
      <w:r w:rsidRPr="004D75AE">
        <w:rPr>
          <w:rFonts w:ascii="Arial" w:hAnsi="Arial" w:cs="Arial"/>
          <w:sz w:val="22"/>
          <w:szCs w:val="22"/>
        </w:rPr>
        <w:t xml:space="preserve">From a construction management point of view, working within an existing structure presents several technical challenges. These include unknown conditions hidden behind walls and floors, structural reinforcement, and the coordination of modern mechanical and electrical systems in confined or awkward spaces. Site access may also be restricted due to the location, which can impact logistics and build sequencing. </w:t>
      </w:r>
      <w:proofErr w:type="gramStart"/>
      <w:r w:rsidRPr="004D75AE">
        <w:rPr>
          <w:rFonts w:ascii="Arial" w:hAnsi="Arial" w:cs="Arial"/>
          <w:sz w:val="22"/>
          <w:szCs w:val="22"/>
        </w:rPr>
        <w:t>All of</w:t>
      </w:r>
      <w:proofErr w:type="gramEnd"/>
      <w:r w:rsidRPr="004D75AE">
        <w:rPr>
          <w:rFonts w:ascii="Arial" w:hAnsi="Arial" w:cs="Arial"/>
          <w:sz w:val="22"/>
          <w:szCs w:val="22"/>
        </w:rPr>
        <w:t xml:space="preserve"> these factors need to be considered when scheduling works and forecasting costs.</w:t>
      </w:r>
    </w:p>
    <w:p w14:paraId="426B01EA" w14:textId="77777777" w:rsidR="00AB4553" w:rsidRPr="004D75AE" w:rsidRDefault="00AB4553" w:rsidP="00AB4553">
      <w:pPr>
        <w:rPr>
          <w:rFonts w:ascii="Arial" w:hAnsi="Arial" w:cs="Arial"/>
          <w:sz w:val="22"/>
          <w:szCs w:val="22"/>
        </w:rPr>
      </w:pPr>
      <w:r w:rsidRPr="004D75AE">
        <w:rPr>
          <w:rFonts w:ascii="Arial" w:hAnsi="Arial" w:cs="Arial"/>
          <w:sz w:val="22"/>
          <w:szCs w:val="22"/>
        </w:rPr>
        <w:t>Environmental and energy performance will also need to be addressed. Older buildings are often poorly insulated and have outdated heating systems. While heritage constraints may limit external alterations, internal upgrades such as insulation, high-efficiency electric heating, and low-energy lighting can still be implemented. These measures contribute not only to reduced operating costs but also to compliance with modern energy performance standards and sustainability goals.</w:t>
      </w:r>
    </w:p>
    <w:p w14:paraId="1E3538DD" w14:textId="77777777" w:rsidR="00AB4553" w:rsidRPr="004D75AE" w:rsidRDefault="00AB4553" w:rsidP="00AB4553">
      <w:pPr>
        <w:rPr>
          <w:rFonts w:ascii="Arial" w:hAnsi="Arial" w:cs="Arial"/>
          <w:sz w:val="22"/>
          <w:szCs w:val="22"/>
        </w:rPr>
      </w:pPr>
      <w:r w:rsidRPr="004D75AE">
        <w:rPr>
          <w:rFonts w:ascii="Arial" w:hAnsi="Arial" w:cs="Arial"/>
          <w:sz w:val="22"/>
          <w:szCs w:val="22"/>
        </w:rPr>
        <w:t>Overall, the site is well located, the building has strong market appeal, and the scheme appears to offer a good balance between preservation and practical redevelopment. However, success will depend on managing heritage planning constraints, construction complexity, and cost certainty.</w:t>
      </w:r>
    </w:p>
    <w:p w14:paraId="7AD33B5E" w14:textId="77777777" w:rsidR="00AB4553" w:rsidRPr="003565E9" w:rsidRDefault="00AB4553" w:rsidP="003565E9">
      <w:pPr>
        <w:pStyle w:val="Heading1"/>
        <w:rPr>
          <w:sz w:val="24"/>
          <w:szCs w:val="24"/>
        </w:rPr>
      </w:pPr>
      <w:r w:rsidRPr="003565E9">
        <w:rPr>
          <w:sz w:val="24"/>
          <w:szCs w:val="24"/>
        </w:rPr>
        <w:t>5. Development Cost Assessment</w:t>
      </w:r>
    </w:p>
    <w:p w14:paraId="14997120" w14:textId="77777777" w:rsidR="00AB4553" w:rsidRPr="004D75AE" w:rsidRDefault="00AB4553" w:rsidP="00AB4553">
      <w:pPr>
        <w:rPr>
          <w:rFonts w:ascii="Arial" w:hAnsi="Arial" w:cs="Arial"/>
          <w:sz w:val="22"/>
          <w:szCs w:val="22"/>
        </w:rPr>
      </w:pPr>
      <w:r w:rsidRPr="004D75AE">
        <w:rPr>
          <w:rFonts w:ascii="Arial" w:hAnsi="Arial" w:cs="Arial"/>
          <w:sz w:val="22"/>
          <w:szCs w:val="22"/>
        </w:rPr>
        <w:t>An essential part of this development appraisal is the detailed analysis of costs associated with delivering the Lace House scheme. The total development cost includes the construction and refurbishment of the building, professional and design fees, statutory costs, financing, and contingency.</w:t>
      </w:r>
    </w:p>
    <w:p w14:paraId="5D95825C" w14:textId="77777777" w:rsidR="00AB4553" w:rsidRPr="004D75AE" w:rsidRDefault="00AB4553" w:rsidP="00AB4553">
      <w:pPr>
        <w:rPr>
          <w:rFonts w:ascii="Arial" w:hAnsi="Arial" w:cs="Arial"/>
          <w:sz w:val="22"/>
          <w:szCs w:val="22"/>
        </w:rPr>
      </w:pPr>
      <w:r w:rsidRPr="004D75AE">
        <w:rPr>
          <w:rFonts w:ascii="Arial" w:hAnsi="Arial" w:cs="Arial"/>
          <w:sz w:val="22"/>
          <w:szCs w:val="22"/>
        </w:rPr>
        <w:t>The estimated base construction cost, based on project plans and adjusted BCIS rates, is £1,001,680. This figure accounts for the higher cost per square metre typical of refurbishment projects, especially those involving historic buildings where specialist trades and careful preservation techniques are needed.</w:t>
      </w:r>
    </w:p>
    <w:p w14:paraId="4BB6E3EE" w14:textId="77777777" w:rsidR="00AB4553" w:rsidRPr="004D75AE" w:rsidRDefault="00AB4553" w:rsidP="00AB4553">
      <w:pPr>
        <w:rPr>
          <w:rFonts w:ascii="Arial" w:hAnsi="Arial" w:cs="Arial"/>
          <w:sz w:val="22"/>
          <w:szCs w:val="22"/>
        </w:rPr>
      </w:pPr>
      <w:r w:rsidRPr="004D75AE">
        <w:rPr>
          <w:rFonts w:ascii="Arial" w:hAnsi="Arial" w:cs="Arial"/>
          <w:sz w:val="22"/>
          <w:szCs w:val="22"/>
        </w:rPr>
        <w:t>In addition to construction, the project will incur approximately £100,000 in professional fees. These include architects, planning consultants, structural engineers, building regulations specialists, and cost consultants. These services are necessary to gain planning permission, create detailed drawings, and oversee site works.</w:t>
      </w:r>
    </w:p>
    <w:p w14:paraId="4252F980" w14:textId="77777777" w:rsidR="00AB4553" w:rsidRPr="004D75AE" w:rsidRDefault="00AB4553" w:rsidP="00AB4553">
      <w:pPr>
        <w:rPr>
          <w:rFonts w:ascii="Arial" w:hAnsi="Arial" w:cs="Arial"/>
          <w:sz w:val="22"/>
          <w:szCs w:val="22"/>
        </w:rPr>
      </w:pPr>
      <w:r w:rsidRPr="004D75AE">
        <w:rPr>
          <w:rFonts w:ascii="Arial" w:hAnsi="Arial" w:cs="Arial"/>
          <w:sz w:val="22"/>
          <w:szCs w:val="22"/>
        </w:rPr>
        <w:t>Legal and statutory costs include stamp duty and conveyancing fees, with a stamp duty estimate of £55,325. Additional allowances may be required for party wall agreements and legal advice related to working within a conservation area.</w:t>
      </w:r>
    </w:p>
    <w:p w14:paraId="45419338" w14:textId="48D8ABFF" w:rsidR="00AB4553" w:rsidRPr="004D75AE" w:rsidRDefault="00AB4553" w:rsidP="00AB4553">
      <w:pPr>
        <w:rPr>
          <w:rFonts w:ascii="Arial" w:hAnsi="Arial" w:cs="Arial"/>
          <w:sz w:val="22"/>
          <w:szCs w:val="22"/>
        </w:rPr>
      </w:pPr>
      <w:r w:rsidRPr="004D75AE">
        <w:rPr>
          <w:rFonts w:ascii="Arial" w:hAnsi="Arial" w:cs="Arial"/>
          <w:sz w:val="22"/>
          <w:szCs w:val="22"/>
        </w:rPr>
        <w:t>The scheme is expected to be financed over a period of two years, with borrowing costs estimated at 10% interest per annum. This results in a total finance cost of approximately £1,483,708.01 over the life of the project. When all costs are combined, the total estimated development cost is £2,640,713.01.</w:t>
      </w:r>
      <w:r w:rsidR="00560E3B">
        <w:rPr>
          <w:rFonts w:ascii="Arial" w:hAnsi="Arial" w:cs="Arial"/>
          <w:sz w:val="22"/>
          <w:szCs w:val="22"/>
        </w:rPr>
        <w:t xml:space="preserve"> </w:t>
      </w:r>
      <w:r w:rsidRPr="004D75AE">
        <w:rPr>
          <w:rFonts w:ascii="Arial" w:hAnsi="Arial" w:cs="Arial"/>
          <w:sz w:val="22"/>
          <w:szCs w:val="22"/>
        </w:rPr>
        <w:t>These figures form the foundation for evaluating the project’s financial return in the following section.</w:t>
      </w:r>
    </w:p>
    <w:p w14:paraId="7FB9AC4C" w14:textId="77777777" w:rsidR="00AB4553" w:rsidRPr="003565E9" w:rsidRDefault="00AB4553" w:rsidP="003565E9">
      <w:pPr>
        <w:pStyle w:val="Heading1"/>
        <w:rPr>
          <w:sz w:val="24"/>
          <w:szCs w:val="24"/>
        </w:rPr>
      </w:pPr>
      <w:r w:rsidRPr="003565E9">
        <w:rPr>
          <w:sz w:val="24"/>
          <w:szCs w:val="24"/>
        </w:rPr>
        <w:lastRenderedPageBreak/>
        <w:t>6. Revenue Forecast</w:t>
      </w:r>
    </w:p>
    <w:p w14:paraId="1113E177" w14:textId="77777777" w:rsidR="00AB4553" w:rsidRPr="004D75AE" w:rsidRDefault="00AB4553" w:rsidP="00AB4553">
      <w:pPr>
        <w:rPr>
          <w:rFonts w:ascii="Arial" w:hAnsi="Arial" w:cs="Arial"/>
          <w:sz w:val="22"/>
          <w:szCs w:val="22"/>
        </w:rPr>
      </w:pPr>
      <w:r w:rsidRPr="004D75AE">
        <w:rPr>
          <w:rFonts w:ascii="Arial" w:hAnsi="Arial" w:cs="Arial"/>
          <w:sz w:val="22"/>
          <w:szCs w:val="22"/>
        </w:rPr>
        <w:t>The development’s financial return is calculated by comparing the cost of development with the income expected from the sale of the completed flats. Local property market data has been used to estimate realistic sales values for one- and two-bedroom flats in this area.</w:t>
      </w:r>
    </w:p>
    <w:p w14:paraId="42BD3D77" w14:textId="77777777" w:rsidR="00AB4553" w:rsidRPr="004D75AE" w:rsidRDefault="00AB4553" w:rsidP="00AB4553">
      <w:pPr>
        <w:rPr>
          <w:rFonts w:ascii="Arial" w:hAnsi="Arial" w:cs="Arial"/>
          <w:sz w:val="22"/>
          <w:szCs w:val="22"/>
        </w:rPr>
      </w:pPr>
      <w:r w:rsidRPr="004D75AE">
        <w:rPr>
          <w:rFonts w:ascii="Arial" w:hAnsi="Arial" w:cs="Arial"/>
          <w:sz w:val="22"/>
          <w:szCs w:val="22"/>
        </w:rPr>
        <w:t>The pricing assumptions are as follows:</w:t>
      </w:r>
    </w:p>
    <w:p w14:paraId="70EBD0A6" w14:textId="77777777" w:rsidR="00AB4553" w:rsidRPr="004D75AE" w:rsidRDefault="00AB4553" w:rsidP="00AB4553">
      <w:pPr>
        <w:numPr>
          <w:ilvl w:val="0"/>
          <w:numId w:val="5"/>
        </w:numPr>
        <w:rPr>
          <w:rFonts w:ascii="Arial" w:hAnsi="Arial" w:cs="Arial"/>
          <w:sz w:val="22"/>
          <w:szCs w:val="22"/>
        </w:rPr>
      </w:pPr>
      <w:r w:rsidRPr="004D75AE">
        <w:rPr>
          <w:rFonts w:ascii="Arial" w:hAnsi="Arial" w:cs="Arial"/>
          <w:sz w:val="22"/>
          <w:szCs w:val="22"/>
        </w:rPr>
        <w:t>7 x 1-bedroom flats at £350,000 each = £2,450,000</w:t>
      </w:r>
    </w:p>
    <w:p w14:paraId="21B06904" w14:textId="77777777" w:rsidR="00AB4553" w:rsidRPr="004D75AE" w:rsidRDefault="00AB4553" w:rsidP="00AB4553">
      <w:pPr>
        <w:numPr>
          <w:ilvl w:val="0"/>
          <w:numId w:val="5"/>
        </w:numPr>
        <w:rPr>
          <w:rFonts w:ascii="Arial" w:hAnsi="Arial" w:cs="Arial"/>
          <w:sz w:val="22"/>
          <w:szCs w:val="22"/>
        </w:rPr>
      </w:pPr>
      <w:r w:rsidRPr="004D75AE">
        <w:rPr>
          <w:rFonts w:ascii="Arial" w:hAnsi="Arial" w:cs="Arial"/>
          <w:sz w:val="22"/>
          <w:szCs w:val="22"/>
        </w:rPr>
        <w:t>2 x 2-bedroom flats at £425,000 each = £850,000</w:t>
      </w:r>
    </w:p>
    <w:p w14:paraId="07B989E9" w14:textId="77777777" w:rsidR="00AB4553" w:rsidRPr="004D75AE" w:rsidRDefault="00AB4553" w:rsidP="00AB4553">
      <w:pPr>
        <w:numPr>
          <w:ilvl w:val="0"/>
          <w:numId w:val="5"/>
        </w:numPr>
        <w:rPr>
          <w:rFonts w:ascii="Arial" w:hAnsi="Arial" w:cs="Arial"/>
          <w:sz w:val="22"/>
          <w:szCs w:val="22"/>
        </w:rPr>
      </w:pPr>
      <w:r w:rsidRPr="004D75AE">
        <w:rPr>
          <w:rFonts w:ascii="Arial" w:hAnsi="Arial" w:cs="Arial"/>
          <w:b/>
          <w:bCs/>
          <w:sz w:val="22"/>
          <w:szCs w:val="22"/>
        </w:rPr>
        <w:t>Total Gross Development Value (GDV)</w:t>
      </w:r>
      <w:r w:rsidRPr="004D75AE">
        <w:rPr>
          <w:rFonts w:ascii="Arial" w:hAnsi="Arial" w:cs="Arial"/>
          <w:sz w:val="22"/>
          <w:szCs w:val="22"/>
        </w:rPr>
        <w:t xml:space="preserve"> = £3,300,000</w:t>
      </w:r>
    </w:p>
    <w:p w14:paraId="73EC5FBF" w14:textId="77777777" w:rsidR="00AB4553" w:rsidRPr="004D75AE" w:rsidRDefault="00AB4553" w:rsidP="00AB4553">
      <w:pPr>
        <w:rPr>
          <w:rFonts w:ascii="Arial" w:hAnsi="Arial" w:cs="Arial"/>
          <w:sz w:val="22"/>
          <w:szCs w:val="22"/>
        </w:rPr>
      </w:pPr>
      <w:r w:rsidRPr="004D75AE">
        <w:rPr>
          <w:rFonts w:ascii="Arial" w:hAnsi="Arial" w:cs="Arial"/>
          <w:sz w:val="22"/>
          <w:szCs w:val="22"/>
        </w:rPr>
        <w:t>Selling costs, including estate agent fees and legal disbursements, are estimated at £66,000. Deducting these from the GDV leaves a net revenue of £3,234,000.</w:t>
      </w:r>
    </w:p>
    <w:p w14:paraId="4E2213C1" w14:textId="77777777" w:rsidR="00AB4553" w:rsidRPr="004D75AE" w:rsidRDefault="00AB4553" w:rsidP="00AB4553">
      <w:pPr>
        <w:rPr>
          <w:rFonts w:ascii="Arial" w:hAnsi="Arial" w:cs="Arial"/>
          <w:sz w:val="22"/>
          <w:szCs w:val="22"/>
        </w:rPr>
      </w:pPr>
      <w:r w:rsidRPr="004D75AE">
        <w:rPr>
          <w:rFonts w:ascii="Arial" w:hAnsi="Arial" w:cs="Arial"/>
          <w:sz w:val="22"/>
          <w:szCs w:val="22"/>
        </w:rPr>
        <w:t xml:space="preserve">Net Profit = £3,234,000 - £2,640,713.01 = </w:t>
      </w:r>
      <w:r w:rsidRPr="004D75AE">
        <w:rPr>
          <w:rFonts w:ascii="Arial" w:hAnsi="Arial" w:cs="Arial"/>
          <w:b/>
          <w:bCs/>
          <w:sz w:val="22"/>
          <w:szCs w:val="22"/>
        </w:rPr>
        <w:t>£593,286.99</w:t>
      </w:r>
    </w:p>
    <w:p w14:paraId="0C5CA636" w14:textId="77777777" w:rsidR="00AB4553" w:rsidRPr="004D75AE" w:rsidRDefault="00AB4553" w:rsidP="00AB4553">
      <w:pPr>
        <w:rPr>
          <w:rFonts w:ascii="Arial" w:hAnsi="Arial" w:cs="Arial"/>
          <w:sz w:val="22"/>
          <w:szCs w:val="22"/>
        </w:rPr>
      </w:pPr>
      <w:r w:rsidRPr="004D75AE">
        <w:rPr>
          <w:rFonts w:ascii="Arial" w:hAnsi="Arial" w:cs="Arial"/>
          <w:sz w:val="22"/>
          <w:szCs w:val="22"/>
        </w:rPr>
        <w:t xml:space="preserve">Return on Investment (ROI) is calculated as: ROI = (Net Profit / Total Development Cost) × 100 = (593,286.99 / 2,640,713.01) × 100 = </w:t>
      </w:r>
      <w:r w:rsidRPr="004D75AE">
        <w:rPr>
          <w:rFonts w:ascii="Arial" w:hAnsi="Arial" w:cs="Arial"/>
          <w:b/>
          <w:bCs/>
          <w:sz w:val="22"/>
          <w:szCs w:val="22"/>
        </w:rPr>
        <w:t>22.47%</w:t>
      </w:r>
    </w:p>
    <w:p w14:paraId="596129F3" w14:textId="77777777" w:rsidR="00AB4553" w:rsidRPr="004D75AE" w:rsidRDefault="00AB4553" w:rsidP="00AB4553">
      <w:pPr>
        <w:rPr>
          <w:rFonts w:ascii="Arial" w:hAnsi="Arial" w:cs="Arial"/>
          <w:sz w:val="22"/>
          <w:szCs w:val="22"/>
        </w:rPr>
      </w:pPr>
      <w:r w:rsidRPr="004D75AE">
        <w:rPr>
          <w:rFonts w:ascii="Arial" w:hAnsi="Arial" w:cs="Arial"/>
          <w:sz w:val="22"/>
          <w:szCs w:val="22"/>
        </w:rPr>
        <w:t>This ROI suggests that the project is financially viable based on current assumptions. However, it is sensitive to changes in market value or build costs. A 10% increase in costs would reduce profit significantly, while a dip in the property market could also affect viability.</w:t>
      </w:r>
    </w:p>
    <w:p w14:paraId="7F93424A" w14:textId="77777777" w:rsidR="00AB4553" w:rsidRPr="004D75AE" w:rsidRDefault="00AB4553" w:rsidP="00AB4553">
      <w:pPr>
        <w:rPr>
          <w:rFonts w:ascii="Arial" w:hAnsi="Arial" w:cs="Arial"/>
          <w:sz w:val="22"/>
          <w:szCs w:val="22"/>
        </w:rPr>
      </w:pPr>
      <w:r w:rsidRPr="004D75AE">
        <w:rPr>
          <w:rFonts w:ascii="Arial" w:hAnsi="Arial" w:cs="Arial"/>
          <w:sz w:val="22"/>
          <w:szCs w:val="22"/>
        </w:rPr>
        <w:t>A modest contingency should be built into both the cost and revenue side to account for potential fluctuations in interest rates, inflation, or construction delays.</w:t>
      </w:r>
    </w:p>
    <w:p w14:paraId="4F630A1E" w14:textId="77777777" w:rsidR="00AB4553" w:rsidRPr="004D75AE" w:rsidRDefault="00AB4553" w:rsidP="00AB4553">
      <w:pPr>
        <w:rPr>
          <w:rFonts w:ascii="Arial" w:hAnsi="Arial" w:cs="Arial"/>
          <w:sz w:val="22"/>
          <w:szCs w:val="22"/>
        </w:rPr>
      </w:pPr>
      <w:r w:rsidRPr="004D75AE">
        <w:rPr>
          <w:rFonts w:ascii="Arial" w:hAnsi="Arial" w:cs="Arial"/>
          <w:sz w:val="22"/>
          <w:szCs w:val="22"/>
        </w:rPr>
        <w:t>The next section evaluates risks in more detail and outlines how they can be managed</w:t>
      </w:r>
    </w:p>
    <w:p w14:paraId="4FBD7D26" w14:textId="77777777" w:rsidR="00AB4553" w:rsidRPr="00FB4D14" w:rsidRDefault="00AB4553" w:rsidP="00FB4D14">
      <w:pPr>
        <w:pStyle w:val="Heading1"/>
        <w:rPr>
          <w:sz w:val="24"/>
          <w:szCs w:val="24"/>
        </w:rPr>
      </w:pPr>
      <w:r w:rsidRPr="00FB4D14">
        <w:rPr>
          <w:sz w:val="24"/>
          <w:szCs w:val="24"/>
        </w:rPr>
        <w:t>7. Risk Evaluation</w:t>
      </w:r>
    </w:p>
    <w:p w14:paraId="3376F7A4" w14:textId="77777777" w:rsidR="00AB4553" w:rsidRPr="004D75AE" w:rsidRDefault="00AB4553" w:rsidP="00AB4553">
      <w:pPr>
        <w:rPr>
          <w:rFonts w:ascii="Arial" w:hAnsi="Arial" w:cs="Arial"/>
          <w:sz w:val="22"/>
          <w:szCs w:val="22"/>
        </w:rPr>
      </w:pPr>
      <w:r w:rsidRPr="004D75AE">
        <w:rPr>
          <w:rFonts w:ascii="Arial" w:hAnsi="Arial" w:cs="Arial"/>
          <w:sz w:val="22"/>
          <w:szCs w:val="22"/>
        </w:rPr>
        <w:t>All construction projects involve risk, and the Lace House development presents a mix of financial, planning, construction, and environmental challenges that require close attention. This section identifies key risks and explains how they can be effectively managed to reduce their impact.</w:t>
      </w:r>
    </w:p>
    <w:p w14:paraId="76072A70" w14:textId="77777777" w:rsidR="00AB4553" w:rsidRPr="004D75AE" w:rsidRDefault="00AB4553" w:rsidP="00AB4553">
      <w:pPr>
        <w:rPr>
          <w:rFonts w:ascii="Arial" w:hAnsi="Arial" w:cs="Arial"/>
          <w:sz w:val="22"/>
          <w:szCs w:val="22"/>
        </w:rPr>
      </w:pPr>
      <w:r w:rsidRPr="004D75AE">
        <w:rPr>
          <w:rFonts w:ascii="Arial" w:hAnsi="Arial" w:cs="Arial"/>
          <w:b/>
          <w:bCs/>
          <w:sz w:val="22"/>
          <w:szCs w:val="22"/>
        </w:rPr>
        <w:t>Planning and Regulatory Risk</w:t>
      </w:r>
      <w:r w:rsidRPr="004D75AE">
        <w:rPr>
          <w:rFonts w:ascii="Arial" w:hAnsi="Arial" w:cs="Arial"/>
          <w:sz w:val="22"/>
          <w:szCs w:val="22"/>
        </w:rPr>
        <w:t xml:space="preserve">: Since the building is assumed to be listed or in a conservation area, the planning process may be more complex and time-consuming. The risk of delayed or denied approval could impact the project schedule and financial model. </w:t>
      </w:r>
      <w:r w:rsidRPr="004D75AE">
        <w:rPr>
          <w:rFonts w:ascii="Arial" w:hAnsi="Arial" w:cs="Arial"/>
          <w:i/>
          <w:iCs/>
          <w:sz w:val="22"/>
          <w:szCs w:val="22"/>
        </w:rPr>
        <w:t>Mitigation</w:t>
      </w:r>
      <w:r w:rsidRPr="004D75AE">
        <w:rPr>
          <w:rFonts w:ascii="Arial" w:hAnsi="Arial" w:cs="Arial"/>
          <w:sz w:val="22"/>
          <w:szCs w:val="22"/>
        </w:rPr>
        <w:t>: Engage early with the local planning authority and conservation officers. Use consultants experienced in heritage development and provide detailed heritage impact assessments to support planning submissions.</w:t>
      </w:r>
    </w:p>
    <w:p w14:paraId="0BF3FF0E" w14:textId="77777777" w:rsidR="00AB4553" w:rsidRPr="004D75AE" w:rsidRDefault="00AB4553" w:rsidP="00AB4553">
      <w:pPr>
        <w:rPr>
          <w:rFonts w:ascii="Arial" w:hAnsi="Arial" w:cs="Arial"/>
          <w:sz w:val="22"/>
          <w:szCs w:val="22"/>
        </w:rPr>
      </w:pPr>
      <w:r w:rsidRPr="004D75AE">
        <w:rPr>
          <w:rFonts w:ascii="Arial" w:hAnsi="Arial" w:cs="Arial"/>
          <w:b/>
          <w:bCs/>
          <w:sz w:val="22"/>
          <w:szCs w:val="22"/>
        </w:rPr>
        <w:t>Construction Risk</w:t>
      </w:r>
      <w:r w:rsidRPr="004D75AE">
        <w:rPr>
          <w:rFonts w:ascii="Arial" w:hAnsi="Arial" w:cs="Arial"/>
          <w:sz w:val="22"/>
          <w:szCs w:val="22"/>
        </w:rPr>
        <w:t xml:space="preserve">: Unknown conditions such as structural weaknesses or outdated building fabric could result in unforeseen works. The need for specialist contractors and non-standard methods increases the chance of delays or rework. </w:t>
      </w:r>
      <w:r w:rsidRPr="004D75AE">
        <w:rPr>
          <w:rFonts w:ascii="Arial" w:hAnsi="Arial" w:cs="Arial"/>
          <w:i/>
          <w:iCs/>
          <w:sz w:val="22"/>
          <w:szCs w:val="22"/>
        </w:rPr>
        <w:t>Mitigation</w:t>
      </w:r>
      <w:r w:rsidRPr="004D75AE">
        <w:rPr>
          <w:rFonts w:ascii="Arial" w:hAnsi="Arial" w:cs="Arial"/>
          <w:sz w:val="22"/>
          <w:szCs w:val="22"/>
        </w:rPr>
        <w:t>: Carry out comprehensive surveys and structural investigations. Maintain a 10–15% contingency in the construction budget. Use a contractor experienced in heritage refurbishment and prepare detailed work method statements.</w:t>
      </w:r>
    </w:p>
    <w:p w14:paraId="2A8C7303" w14:textId="77777777" w:rsidR="00AB4553" w:rsidRPr="004D75AE" w:rsidRDefault="00AB4553" w:rsidP="00AB4553">
      <w:pPr>
        <w:rPr>
          <w:rFonts w:ascii="Arial" w:hAnsi="Arial" w:cs="Arial"/>
          <w:sz w:val="22"/>
          <w:szCs w:val="22"/>
        </w:rPr>
      </w:pPr>
      <w:r w:rsidRPr="004D75AE">
        <w:rPr>
          <w:rFonts w:ascii="Arial" w:hAnsi="Arial" w:cs="Arial"/>
          <w:b/>
          <w:bCs/>
          <w:sz w:val="22"/>
          <w:szCs w:val="22"/>
        </w:rPr>
        <w:t>Financial Risk</w:t>
      </w:r>
      <w:r w:rsidRPr="004D75AE">
        <w:rPr>
          <w:rFonts w:ascii="Arial" w:hAnsi="Arial" w:cs="Arial"/>
          <w:sz w:val="22"/>
          <w:szCs w:val="22"/>
        </w:rPr>
        <w:t xml:space="preserve">: Borrowing costs, inflation, and changes in market conditions can affect overall returns. If construction costs rise or sales values drop, the project’s profitability could </w:t>
      </w:r>
      <w:r w:rsidRPr="004D75AE">
        <w:rPr>
          <w:rFonts w:ascii="Arial" w:hAnsi="Arial" w:cs="Arial"/>
          <w:sz w:val="22"/>
          <w:szCs w:val="22"/>
        </w:rPr>
        <w:lastRenderedPageBreak/>
        <w:t xml:space="preserve">be threatened. </w:t>
      </w:r>
      <w:r w:rsidRPr="004D75AE">
        <w:rPr>
          <w:rFonts w:ascii="Arial" w:hAnsi="Arial" w:cs="Arial"/>
          <w:i/>
          <w:iCs/>
          <w:sz w:val="22"/>
          <w:szCs w:val="22"/>
        </w:rPr>
        <w:t>Mitigation</w:t>
      </w:r>
      <w:r w:rsidRPr="004D75AE">
        <w:rPr>
          <w:rFonts w:ascii="Arial" w:hAnsi="Arial" w:cs="Arial"/>
          <w:sz w:val="22"/>
          <w:szCs w:val="22"/>
        </w:rPr>
        <w:t>: Apply conservative assumptions in the financial model. Regularly review the budget and forecast during delivery. Maintain communication with lenders and ensure flexible financing terms where possible.</w:t>
      </w:r>
    </w:p>
    <w:p w14:paraId="6924F308" w14:textId="77777777" w:rsidR="00AB4553" w:rsidRPr="004D75AE" w:rsidRDefault="00AB4553" w:rsidP="00AB4553">
      <w:pPr>
        <w:rPr>
          <w:rFonts w:ascii="Arial" w:hAnsi="Arial" w:cs="Arial"/>
          <w:sz w:val="22"/>
          <w:szCs w:val="22"/>
        </w:rPr>
      </w:pPr>
      <w:r w:rsidRPr="004D75AE">
        <w:rPr>
          <w:rFonts w:ascii="Arial" w:hAnsi="Arial" w:cs="Arial"/>
          <w:b/>
          <w:bCs/>
          <w:sz w:val="22"/>
          <w:szCs w:val="22"/>
        </w:rPr>
        <w:t>Market Risk</w:t>
      </w:r>
      <w:r w:rsidRPr="004D75AE">
        <w:rPr>
          <w:rFonts w:ascii="Arial" w:hAnsi="Arial" w:cs="Arial"/>
          <w:sz w:val="22"/>
          <w:szCs w:val="22"/>
        </w:rPr>
        <w:t xml:space="preserve">: The housing market could change during the development cycle. Buyer demand and pricing in the area could be influenced by economic factors or competing developments. </w:t>
      </w:r>
      <w:r w:rsidRPr="004D75AE">
        <w:rPr>
          <w:rFonts w:ascii="Arial" w:hAnsi="Arial" w:cs="Arial"/>
          <w:i/>
          <w:iCs/>
          <w:sz w:val="22"/>
          <w:szCs w:val="22"/>
        </w:rPr>
        <w:t>Mitigation</w:t>
      </w:r>
      <w:r w:rsidRPr="004D75AE">
        <w:rPr>
          <w:rFonts w:ascii="Arial" w:hAnsi="Arial" w:cs="Arial"/>
          <w:sz w:val="22"/>
          <w:szCs w:val="22"/>
        </w:rPr>
        <w:t>: Commission up-to-date market appraisals before going to market. Stagger the release of units if needed and explore rental options as a backup.</w:t>
      </w:r>
    </w:p>
    <w:p w14:paraId="498C7BE8" w14:textId="77777777" w:rsidR="00AB4553" w:rsidRPr="004D75AE" w:rsidRDefault="00AB4553" w:rsidP="00AB4553">
      <w:pPr>
        <w:rPr>
          <w:rFonts w:ascii="Arial" w:hAnsi="Arial" w:cs="Arial"/>
          <w:sz w:val="22"/>
          <w:szCs w:val="22"/>
        </w:rPr>
      </w:pPr>
      <w:r w:rsidRPr="004D75AE">
        <w:rPr>
          <w:rFonts w:ascii="Arial" w:hAnsi="Arial" w:cs="Arial"/>
          <w:b/>
          <w:bCs/>
          <w:sz w:val="22"/>
          <w:szCs w:val="22"/>
        </w:rPr>
        <w:t>Health, Safety, and Environmental Risk</w:t>
      </w:r>
      <w:r w:rsidRPr="004D75AE">
        <w:rPr>
          <w:rFonts w:ascii="Arial" w:hAnsi="Arial" w:cs="Arial"/>
          <w:sz w:val="22"/>
          <w:szCs w:val="22"/>
        </w:rPr>
        <w:t xml:space="preserve">: Heritage buildings may contain hazardous materials such as asbestos or lead paint. Working in a tight urban site also increases risks to workers and the public. </w:t>
      </w:r>
      <w:r w:rsidRPr="004D75AE">
        <w:rPr>
          <w:rFonts w:ascii="Arial" w:hAnsi="Arial" w:cs="Arial"/>
          <w:i/>
          <w:iCs/>
          <w:sz w:val="22"/>
          <w:szCs w:val="22"/>
        </w:rPr>
        <w:t>Mitigation</w:t>
      </w:r>
      <w:r w:rsidRPr="004D75AE">
        <w:rPr>
          <w:rFonts w:ascii="Arial" w:hAnsi="Arial" w:cs="Arial"/>
          <w:sz w:val="22"/>
          <w:szCs w:val="22"/>
        </w:rPr>
        <w:t>: Conduct detailed environmental risk assessments before construction. Implement robust health and safety planning and closely monitor compliance with CDM 2015 regulations.</w:t>
      </w:r>
    </w:p>
    <w:p w14:paraId="2D7A52BE" w14:textId="77777777" w:rsidR="00AB4553" w:rsidRPr="004D75AE" w:rsidRDefault="00AB4553" w:rsidP="00AB4553">
      <w:pPr>
        <w:rPr>
          <w:rFonts w:ascii="Arial" w:hAnsi="Arial" w:cs="Arial"/>
          <w:sz w:val="22"/>
          <w:szCs w:val="22"/>
        </w:rPr>
      </w:pPr>
      <w:r w:rsidRPr="004D75AE">
        <w:rPr>
          <w:rFonts w:ascii="Arial" w:hAnsi="Arial" w:cs="Arial"/>
          <w:sz w:val="22"/>
          <w:szCs w:val="22"/>
        </w:rPr>
        <w:t>Through active risk management and early preparation, these risks can be addressed, ensuring a smoother development process.</w:t>
      </w:r>
    </w:p>
    <w:p w14:paraId="48C5063C" w14:textId="77777777" w:rsidR="00AB4553" w:rsidRPr="00B518C5" w:rsidRDefault="00AB4553" w:rsidP="00B518C5">
      <w:pPr>
        <w:pStyle w:val="Heading1"/>
        <w:rPr>
          <w:sz w:val="24"/>
          <w:szCs w:val="24"/>
        </w:rPr>
      </w:pPr>
      <w:r w:rsidRPr="00B518C5">
        <w:rPr>
          <w:sz w:val="24"/>
          <w:szCs w:val="24"/>
        </w:rPr>
        <w:t>8. Recommendations for Improvement</w:t>
      </w:r>
    </w:p>
    <w:p w14:paraId="498D0303" w14:textId="77777777" w:rsidR="00AB4553" w:rsidRPr="004D75AE" w:rsidRDefault="00AB4553" w:rsidP="00AB4553">
      <w:pPr>
        <w:rPr>
          <w:rFonts w:ascii="Arial" w:hAnsi="Arial" w:cs="Arial"/>
          <w:sz w:val="22"/>
          <w:szCs w:val="22"/>
        </w:rPr>
      </w:pPr>
      <w:r w:rsidRPr="004D75AE">
        <w:rPr>
          <w:rFonts w:ascii="Arial" w:hAnsi="Arial" w:cs="Arial"/>
          <w:sz w:val="22"/>
          <w:szCs w:val="22"/>
        </w:rPr>
        <w:t>Although the current appraisal suggests the Lace House scheme is financially viable, there are several areas where improvements can increase value, reduce risk, or enhance the development’s appeal to planners, buyers, and the wider community.</w:t>
      </w:r>
    </w:p>
    <w:p w14:paraId="41B9746A" w14:textId="77777777" w:rsidR="00AB4553" w:rsidRPr="004D75AE" w:rsidRDefault="00AB4553" w:rsidP="00AB4553">
      <w:pPr>
        <w:rPr>
          <w:rFonts w:ascii="Arial" w:hAnsi="Arial" w:cs="Arial"/>
          <w:sz w:val="22"/>
          <w:szCs w:val="22"/>
        </w:rPr>
      </w:pPr>
      <w:r w:rsidRPr="004D75AE">
        <w:rPr>
          <w:rFonts w:ascii="Arial" w:hAnsi="Arial" w:cs="Arial"/>
          <w:b/>
          <w:bCs/>
          <w:sz w:val="22"/>
          <w:szCs w:val="22"/>
        </w:rPr>
        <w:t>Enhance Sustainability</w:t>
      </w:r>
      <w:r w:rsidRPr="004D75AE">
        <w:rPr>
          <w:rFonts w:ascii="Arial" w:hAnsi="Arial" w:cs="Arial"/>
          <w:sz w:val="22"/>
          <w:szCs w:val="22"/>
        </w:rPr>
        <w:t>: Integrate sustainable design features such as high-efficiency heating, low-energy lighting, water-saving appliances, and internal insulation where permitted. Improving EPC ratings will increase marketability and may attract environmentally conscious buyers.</w:t>
      </w:r>
    </w:p>
    <w:p w14:paraId="02B3D6AF" w14:textId="77777777" w:rsidR="00AB4553" w:rsidRPr="004D75AE" w:rsidRDefault="00AB4553" w:rsidP="00AB4553">
      <w:pPr>
        <w:rPr>
          <w:rFonts w:ascii="Arial" w:hAnsi="Arial" w:cs="Arial"/>
          <w:sz w:val="22"/>
          <w:szCs w:val="22"/>
        </w:rPr>
      </w:pPr>
      <w:r w:rsidRPr="004D75AE">
        <w:rPr>
          <w:rFonts w:ascii="Arial" w:hAnsi="Arial" w:cs="Arial"/>
          <w:b/>
          <w:bCs/>
          <w:sz w:val="22"/>
          <w:szCs w:val="22"/>
        </w:rPr>
        <w:t>Improve Space Efficiency</w:t>
      </w:r>
      <w:r w:rsidRPr="004D75AE">
        <w:rPr>
          <w:rFonts w:ascii="Arial" w:hAnsi="Arial" w:cs="Arial"/>
          <w:sz w:val="22"/>
          <w:szCs w:val="22"/>
        </w:rPr>
        <w:t>: Small changes to internal layouts can maximise net saleable area. Open-plan designs, reduced hallway space, and integrated storage can improve perceived space and function.</w:t>
      </w:r>
    </w:p>
    <w:p w14:paraId="483FB8B0" w14:textId="77777777" w:rsidR="00AB4553" w:rsidRPr="004D75AE" w:rsidRDefault="00AB4553" w:rsidP="00AB4553">
      <w:pPr>
        <w:rPr>
          <w:rFonts w:ascii="Arial" w:hAnsi="Arial" w:cs="Arial"/>
          <w:sz w:val="22"/>
          <w:szCs w:val="22"/>
        </w:rPr>
      </w:pPr>
      <w:r w:rsidRPr="004D75AE">
        <w:rPr>
          <w:rFonts w:ascii="Arial" w:hAnsi="Arial" w:cs="Arial"/>
          <w:b/>
          <w:bCs/>
          <w:sz w:val="22"/>
          <w:szCs w:val="22"/>
        </w:rPr>
        <w:t>Cost Management</w:t>
      </w:r>
      <w:r w:rsidRPr="004D75AE">
        <w:rPr>
          <w:rFonts w:ascii="Arial" w:hAnsi="Arial" w:cs="Arial"/>
          <w:sz w:val="22"/>
          <w:szCs w:val="22"/>
        </w:rPr>
        <w:t xml:space="preserve">: Use value engineering to assess where materials or finishes can be substituted without affecting quality or compliance. Consider modern methods of construction (MMC) where possible for internal </w:t>
      </w:r>
      <w:proofErr w:type="gramStart"/>
      <w:r w:rsidRPr="004D75AE">
        <w:rPr>
          <w:rFonts w:ascii="Arial" w:hAnsi="Arial" w:cs="Arial"/>
          <w:sz w:val="22"/>
          <w:szCs w:val="22"/>
        </w:rPr>
        <w:t>fit-outs</w:t>
      </w:r>
      <w:proofErr w:type="gramEnd"/>
      <w:r w:rsidRPr="004D75AE">
        <w:rPr>
          <w:rFonts w:ascii="Arial" w:hAnsi="Arial" w:cs="Arial"/>
          <w:sz w:val="22"/>
          <w:szCs w:val="22"/>
        </w:rPr>
        <w:t>.</w:t>
      </w:r>
    </w:p>
    <w:p w14:paraId="4F9D0BDC" w14:textId="77777777" w:rsidR="00AB4553" w:rsidRPr="004D75AE" w:rsidRDefault="00AB4553" w:rsidP="00AB4553">
      <w:pPr>
        <w:rPr>
          <w:rFonts w:ascii="Arial" w:hAnsi="Arial" w:cs="Arial"/>
          <w:sz w:val="22"/>
          <w:szCs w:val="22"/>
        </w:rPr>
      </w:pPr>
      <w:r w:rsidRPr="004D75AE">
        <w:rPr>
          <w:rFonts w:ascii="Arial" w:hAnsi="Arial" w:cs="Arial"/>
          <w:b/>
          <w:bCs/>
          <w:sz w:val="22"/>
          <w:szCs w:val="22"/>
        </w:rPr>
        <w:t>Stakeholder Engagement</w:t>
      </w:r>
      <w:r w:rsidRPr="004D75AE">
        <w:rPr>
          <w:rFonts w:ascii="Arial" w:hAnsi="Arial" w:cs="Arial"/>
          <w:sz w:val="22"/>
          <w:szCs w:val="22"/>
        </w:rPr>
        <w:t>: Build local support by holding community consultations and sharing plans early. Using local tradespeople and suppliers can increase goodwill and potentially reduce costs.</w:t>
      </w:r>
    </w:p>
    <w:p w14:paraId="56DCD22F" w14:textId="77777777" w:rsidR="00AB4553" w:rsidRPr="004D75AE" w:rsidRDefault="00AB4553" w:rsidP="00AB4553">
      <w:pPr>
        <w:rPr>
          <w:rFonts w:ascii="Arial" w:hAnsi="Arial" w:cs="Arial"/>
          <w:sz w:val="22"/>
          <w:szCs w:val="22"/>
        </w:rPr>
      </w:pPr>
      <w:r w:rsidRPr="004D75AE">
        <w:rPr>
          <w:rFonts w:ascii="Arial" w:hAnsi="Arial" w:cs="Arial"/>
          <w:b/>
          <w:bCs/>
          <w:sz w:val="22"/>
          <w:szCs w:val="22"/>
        </w:rPr>
        <w:t>Sales Flexibility</w:t>
      </w:r>
      <w:r w:rsidRPr="004D75AE">
        <w:rPr>
          <w:rFonts w:ascii="Arial" w:hAnsi="Arial" w:cs="Arial"/>
          <w:sz w:val="22"/>
          <w:szCs w:val="22"/>
        </w:rPr>
        <w:t>: Prepare a phased sales strategy. Offer incentives such as legal fee contributions or furnishing packages to increase unit appeal. In uncertain markets, having a short-term rental plan in place can reduce vacancy.</w:t>
      </w:r>
    </w:p>
    <w:p w14:paraId="7078380D" w14:textId="77777777" w:rsidR="00AB4553" w:rsidRPr="004D75AE" w:rsidRDefault="00AB4553" w:rsidP="00AB4553">
      <w:pPr>
        <w:rPr>
          <w:rFonts w:ascii="Arial" w:hAnsi="Arial" w:cs="Arial"/>
          <w:sz w:val="22"/>
          <w:szCs w:val="22"/>
        </w:rPr>
      </w:pPr>
      <w:r w:rsidRPr="004D75AE">
        <w:rPr>
          <w:rFonts w:ascii="Arial" w:hAnsi="Arial" w:cs="Arial"/>
          <w:sz w:val="22"/>
          <w:szCs w:val="22"/>
        </w:rPr>
        <w:t>These improvements are realistic, cost-effective, and in line with best practices in ethical construction management. They also support long-term asset value and can provide reputational benefits.</w:t>
      </w:r>
    </w:p>
    <w:p w14:paraId="4F0B48E7" w14:textId="77777777" w:rsidR="00AB4553" w:rsidRPr="00B518C5" w:rsidRDefault="00AB4553" w:rsidP="00B518C5">
      <w:pPr>
        <w:pStyle w:val="Heading1"/>
        <w:rPr>
          <w:sz w:val="24"/>
          <w:szCs w:val="24"/>
        </w:rPr>
      </w:pPr>
      <w:r w:rsidRPr="00B518C5">
        <w:rPr>
          <w:sz w:val="24"/>
          <w:szCs w:val="24"/>
        </w:rPr>
        <w:lastRenderedPageBreak/>
        <w:t>9. Conclusion</w:t>
      </w:r>
    </w:p>
    <w:p w14:paraId="7EF89B42" w14:textId="77777777" w:rsidR="00AB4553" w:rsidRPr="004D75AE" w:rsidRDefault="00AB4553" w:rsidP="00AB4553">
      <w:pPr>
        <w:rPr>
          <w:rFonts w:ascii="Arial" w:hAnsi="Arial" w:cs="Arial"/>
          <w:sz w:val="22"/>
          <w:szCs w:val="22"/>
        </w:rPr>
      </w:pPr>
      <w:r w:rsidRPr="004D75AE">
        <w:rPr>
          <w:rFonts w:ascii="Arial" w:hAnsi="Arial" w:cs="Arial"/>
          <w:sz w:val="22"/>
          <w:szCs w:val="22"/>
        </w:rPr>
        <w:t>This appraisal has assessed the financial and practical viability of redeveloping Lace House into a residential scheme comprising seven one-bedroom and two two-bedroom flats. Based on estimated costs and revenues, the scheme shows a return on investment of approximately 22.5%, suggesting a positive financial outlook.</w:t>
      </w:r>
    </w:p>
    <w:p w14:paraId="22692EE9" w14:textId="77777777" w:rsidR="00AB4553" w:rsidRPr="004D75AE" w:rsidRDefault="00AB4553" w:rsidP="00AB4553">
      <w:pPr>
        <w:rPr>
          <w:rFonts w:ascii="Arial" w:hAnsi="Arial" w:cs="Arial"/>
          <w:sz w:val="22"/>
          <w:szCs w:val="22"/>
        </w:rPr>
      </w:pPr>
      <w:r w:rsidRPr="004D75AE">
        <w:rPr>
          <w:rFonts w:ascii="Arial" w:hAnsi="Arial" w:cs="Arial"/>
          <w:sz w:val="22"/>
          <w:szCs w:val="22"/>
        </w:rPr>
        <w:t>However, this outcome depends on effectively managing a range of risks. Heritage planning constraints, construction complexity, market conditions, and financial uncertainties must all be closely monitored. The inclusion of a contingency budget, flexible sales strategy, and sustainability improvements will help strengthen the scheme’s resilience.</w:t>
      </w:r>
    </w:p>
    <w:p w14:paraId="383964E8" w14:textId="77777777" w:rsidR="00AB4553" w:rsidRPr="004D75AE" w:rsidRDefault="00AB4553" w:rsidP="00AB4553">
      <w:pPr>
        <w:rPr>
          <w:rFonts w:ascii="Arial" w:hAnsi="Arial" w:cs="Arial"/>
          <w:sz w:val="22"/>
          <w:szCs w:val="22"/>
        </w:rPr>
      </w:pPr>
      <w:r w:rsidRPr="004D75AE">
        <w:rPr>
          <w:rFonts w:ascii="Arial" w:hAnsi="Arial" w:cs="Arial"/>
          <w:sz w:val="22"/>
          <w:szCs w:val="22"/>
        </w:rPr>
        <w:t>The site’s location, historic character, and strong market demand for residential units suggest the scheme has high potential. With the recommendations in this report implemented—particularly regarding early stakeholder engagement, efficient design, and sustainability—the project is likely to deliver strong social and financial value.</w:t>
      </w:r>
    </w:p>
    <w:p w14:paraId="0CE0DDF8" w14:textId="77777777" w:rsidR="00AB4553" w:rsidRPr="004D75AE" w:rsidRDefault="00AB4553" w:rsidP="00AB4553">
      <w:pPr>
        <w:rPr>
          <w:rFonts w:ascii="Arial" w:hAnsi="Arial" w:cs="Arial"/>
          <w:sz w:val="22"/>
          <w:szCs w:val="22"/>
        </w:rPr>
      </w:pPr>
      <w:r w:rsidRPr="004D75AE">
        <w:rPr>
          <w:rFonts w:ascii="Arial" w:hAnsi="Arial" w:cs="Arial"/>
          <w:sz w:val="22"/>
          <w:szCs w:val="22"/>
        </w:rPr>
        <w:t>The Lace House scheme is therefore recommended for progression to the next stage, subject to continued due diligence, planning approval, and value optimisation during design development.</w:t>
      </w:r>
    </w:p>
    <w:p w14:paraId="66FA9371" w14:textId="77777777" w:rsidR="00AB4553" w:rsidRPr="004D75AE" w:rsidRDefault="00AB4553">
      <w:pPr>
        <w:rPr>
          <w:rFonts w:ascii="Arial" w:hAnsi="Arial" w:cs="Arial"/>
          <w:sz w:val="22"/>
          <w:szCs w:val="22"/>
        </w:rPr>
      </w:pPr>
    </w:p>
    <w:sectPr w:rsidR="00AB4553" w:rsidRPr="004D7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04A4F"/>
    <w:multiLevelType w:val="multilevel"/>
    <w:tmpl w:val="F936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D35CE"/>
    <w:multiLevelType w:val="multilevel"/>
    <w:tmpl w:val="C44C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793153"/>
    <w:multiLevelType w:val="multilevel"/>
    <w:tmpl w:val="D2A6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71B37"/>
    <w:multiLevelType w:val="multilevel"/>
    <w:tmpl w:val="85DA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0E3AB5"/>
    <w:multiLevelType w:val="multilevel"/>
    <w:tmpl w:val="C54C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794174">
    <w:abstractNumId w:val="3"/>
  </w:num>
  <w:num w:numId="2" w16cid:durableId="1310551346">
    <w:abstractNumId w:val="2"/>
  </w:num>
  <w:num w:numId="3" w16cid:durableId="27339839">
    <w:abstractNumId w:val="4"/>
  </w:num>
  <w:num w:numId="4" w16cid:durableId="951789047">
    <w:abstractNumId w:val="1"/>
  </w:num>
  <w:num w:numId="5" w16cid:durableId="591858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553"/>
    <w:rsid w:val="003565E9"/>
    <w:rsid w:val="003A16BD"/>
    <w:rsid w:val="00467354"/>
    <w:rsid w:val="004D75AE"/>
    <w:rsid w:val="00560E3B"/>
    <w:rsid w:val="00602420"/>
    <w:rsid w:val="008E2800"/>
    <w:rsid w:val="00AB4553"/>
    <w:rsid w:val="00B518C5"/>
    <w:rsid w:val="00F55C46"/>
    <w:rsid w:val="00FA75EF"/>
    <w:rsid w:val="00FB4D14"/>
    <w:rsid w:val="00FC1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DB062"/>
  <w15:chartTrackingRefBased/>
  <w15:docId w15:val="{38C23D48-BD16-413F-9317-EF1D6EC3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553"/>
    <w:rPr>
      <w:rFonts w:eastAsiaTheme="majorEastAsia" w:cstheme="majorBidi"/>
      <w:color w:val="272727" w:themeColor="text1" w:themeTint="D8"/>
    </w:rPr>
  </w:style>
  <w:style w:type="paragraph" w:styleId="Title">
    <w:name w:val="Title"/>
    <w:basedOn w:val="Normal"/>
    <w:next w:val="Normal"/>
    <w:link w:val="TitleChar"/>
    <w:uiPriority w:val="10"/>
    <w:qFormat/>
    <w:rsid w:val="00AB4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553"/>
    <w:pPr>
      <w:spacing w:before="160"/>
      <w:jc w:val="center"/>
    </w:pPr>
    <w:rPr>
      <w:i/>
      <w:iCs/>
      <w:color w:val="404040" w:themeColor="text1" w:themeTint="BF"/>
    </w:rPr>
  </w:style>
  <w:style w:type="character" w:customStyle="1" w:styleId="QuoteChar">
    <w:name w:val="Quote Char"/>
    <w:basedOn w:val="DefaultParagraphFont"/>
    <w:link w:val="Quote"/>
    <w:uiPriority w:val="29"/>
    <w:rsid w:val="00AB4553"/>
    <w:rPr>
      <w:i/>
      <w:iCs/>
      <w:color w:val="404040" w:themeColor="text1" w:themeTint="BF"/>
    </w:rPr>
  </w:style>
  <w:style w:type="paragraph" w:styleId="ListParagraph">
    <w:name w:val="List Paragraph"/>
    <w:basedOn w:val="Normal"/>
    <w:uiPriority w:val="34"/>
    <w:qFormat/>
    <w:rsid w:val="00AB4553"/>
    <w:pPr>
      <w:ind w:left="720"/>
      <w:contextualSpacing/>
    </w:pPr>
  </w:style>
  <w:style w:type="character" w:styleId="IntenseEmphasis">
    <w:name w:val="Intense Emphasis"/>
    <w:basedOn w:val="DefaultParagraphFont"/>
    <w:uiPriority w:val="21"/>
    <w:qFormat/>
    <w:rsid w:val="00AB4553"/>
    <w:rPr>
      <w:i/>
      <w:iCs/>
      <w:color w:val="0F4761" w:themeColor="accent1" w:themeShade="BF"/>
    </w:rPr>
  </w:style>
  <w:style w:type="paragraph" w:styleId="IntenseQuote">
    <w:name w:val="Intense Quote"/>
    <w:basedOn w:val="Normal"/>
    <w:next w:val="Normal"/>
    <w:link w:val="IntenseQuoteChar"/>
    <w:uiPriority w:val="30"/>
    <w:qFormat/>
    <w:rsid w:val="00AB4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553"/>
    <w:rPr>
      <w:i/>
      <w:iCs/>
      <w:color w:val="0F4761" w:themeColor="accent1" w:themeShade="BF"/>
    </w:rPr>
  </w:style>
  <w:style w:type="character" w:styleId="IntenseReference">
    <w:name w:val="Intense Reference"/>
    <w:basedOn w:val="DefaultParagraphFont"/>
    <w:uiPriority w:val="32"/>
    <w:qFormat/>
    <w:rsid w:val="00AB45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4620">
      <w:bodyDiv w:val="1"/>
      <w:marLeft w:val="0"/>
      <w:marRight w:val="0"/>
      <w:marTop w:val="0"/>
      <w:marBottom w:val="0"/>
      <w:divBdr>
        <w:top w:val="none" w:sz="0" w:space="0" w:color="auto"/>
        <w:left w:val="none" w:sz="0" w:space="0" w:color="auto"/>
        <w:bottom w:val="none" w:sz="0" w:space="0" w:color="auto"/>
        <w:right w:val="none" w:sz="0" w:space="0" w:color="auto"/>
      </w:divBdr>
    </w:div>
    <w:div w:id="625044878">
      <w:bodyDiv w:val="1"/>
      <w:marLeft w:val="0"/>
      <w:marRight w:val="0"/>
      <w:marTop w:val="0"/>
      <w:marBottom w:val="0"/>
      <w:divBdr>
        <w:top w:val="none" w:sz="0" w:space="0" w:color="auto"/>
        <w:left w:val="none" w:sz="0" w:space="0" w:color="auto"/>
        <w:bottom w:val="none" w:sz="0" w:space="0" w:color="auto"/>
        <w:right w:val="none" w:sz="0" w:space="0" w:color="auto"/>
      </w:divBdr>
    </w:div>
    <w:div w:id="918293363">
      <w:bodyDiv w:val="1"/>
      <w:marLeft w:val="0"/>
      <w:marRight w:val="0"/>
      <w:marTop w:val="0"/>
      <w:marBottom w:val="0"/>
      <w:divBdr>
        <w:top w:val="none" w:sz="0" w:space="0" w:color="auto"/>
        <w:left w:val="none" w:sz="0" w:space="0" w:color="auto"/>
        <w:bottom w:val="none" w:sz="0" w:space="0" w:color="auto"/>
        <w:right w:val="none" w:sz="0" w:space="0" w:color="auto"/>
      </w:divBdr>
    </w:div>
    <w:div w:id="1049569899">
      <w:bodyDiv w:val="1"/>
      <w:marLeft w:val="0"/>
      <w:marRight w:val="0"/>
      <w:marTop w:val="0"/>
      <w:marBottom w:val="0"/>
      <w:divBdr>
        <w:top w:val="none" w:sz="0" w:space="0" w:color="auto"/>
        <w:left w:val="none" w:sz="0" w:space="0" w:color="auto"/>
        <w:bottom w:val="none" w:sz="0" w:space="0" w:color="auto"/>
        <w:right w:val="none" w:sz="0" w:space="0" w:color="auto"/>
      </w:divBdr>
    </w:div>
    <w:div w:id="1103646343">
      <w:bodyDiv w:val="1"/>
      <w:marLeft w:val="0"/>
      <w:marRight w:val="0"/>
      <w:marTop w:val="0"/>
      <w:marBottom w:val="0"/>
      <w:divBdr>
        <w:top w:val="none" w:sz="0" w:space="0" w:color="auto"/>
        <w:left w:val="none" w:sz="0" w:space="0" w:color="auto"/>
        <w:bottom w:val="none" w:sz="0" w:space="0" w:color="auto"/>
        <w:right w:val="none" w:sz="0" w:space="0" w:color="auto"/>
      </w:divBdr>
    </w:div>
    <w:div w:id="1396201723">
      <w:bodyDiv w:val="1"/>
      <w:marLeft w:val="0"/>
      <w:marRight w:val="0"/>
      <w:marTop w:val="0"/>
      <w:marBottom w:val="0"/>
      <w:divBdr>
        <w:top w:val="none" w:sz="0" w:space="0" w:color="auto"/>
        <w:left w:val="none" w:sz="0" w:space="0" w:color="auto"/>
        <w:bottom w:val="none" w:sz="0" w:space="0" w:color="auto"/>
        <w:right w:val="none" w:sz="0" w:space="0" w:color="auto"/>
      </w:divBdr>
    </w:div>
    <w:div w:id="1443257922">
      <w:bodyDiv w:val="1"/>
      <w:marLeft w:val="0"/>
      <w:marRight w:val="0"/>
      <w:marTop w:val="0"/>
      <w:marBottom w:val="0"/>
      <w:divBdr>
        <w:top w:val="none" w:sz="0" w:space="0" w:color="auto"/>
        <w:left w:val="none" w:sz="0" w:space="0" w:color="auto"/>
        <w:bottom w:val="none" w:sz="0" w:space="0" w:color="auto"/>
        <w:right w:val="none" w:sz="0" w:space="0" w:color="auto"/>
      </w:divBdr>
    </w:div>
    <w:div w:id="1504516080">
      <w:bodyDiv w:val="1"/>
      <w:marLeft w:val="0"/>
      <w:marRight w:val="0"/>
      <w:marTop w:val="0"/>
      <w:marBottom w:val="0"/>
      <w:divBdr>
        <w:top w:val="none" w:sz="0" w:space="0" w:color="auto"/>
        <w:left w:val="none" w:sz="0" w:space="0" w:color="auto"/>
        <w:bottom w:val="none" w:sz="0" w:space="0" w:color="auto"/>
        <w:right w:val="none" w:sz="0" w:space="0" w:color="auto"/>
      </w:divBdr>
    </w:div>
    <w:div w:id="1716419022">
      <w:bodyDiv w:val="1"/>
      <w:marLeft w:val="0"/>
      <w:marRight w:val="0"/>
      <w:marTop w:val="0"/>
      <w:marBottom w:val="0"/>
      <w:divBdr>
        <w:top w:val="none" w:sz="0" w:space="0" w:color="auto"/>
        <w:left w:val="none" w:sz="0" w:space="0" w:color="auto"/>
        <w:bottom w:val="none" w:sz="0" w:space="0" w:color="auto"/>
        <w:right w:val="none" w:sz="0" w:space="0" w:color="auto"/>
      </w:divBdr>
    </w:div>
    <w:div w:id="184243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Edwards</dc:creator>
  <cp:keywords/>
  <dc:description/>
  <cp:lastModifiedBy>Euan Edwards</cp:lastModifiedBy>
  <cp:revision>11</cp:revision>
  <dcterms:created xsi:type="dcterms:W3CDTF">2025-05-12T22:33:00Z</dcterms:created>
  <dcterms:modified xsi:type="dcterms:W3CDTF">2025-05-13T20:57:00Z</dcterms:modified>
</cp:coreProperties>
</file>