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A50C5" w14:textId="77777777" w:rsidR="00FD7EC0" w:rsidRDefault="00FD7EC0">
      <w:pPr>
        <w:rPr>
          <w:b/>
          <w:bCs/>
          <w:u w:val="single"/>
        </w:rPr>
      </w:pPr>
      <w:bookmarkStart w:id="0" w:name="_Hlk191712435"/>
      <w:r>
        <w:rPr>
          <w:b/>
          <w:bCs/>
          <w:u w:val="single"/>
        </w:rPr>
        <w:t>Separation of Powers Theory UK.</w:t>
      </w:r>
    </w:p>
    <w:p w14:paraId="05A2F6F8" w14:textId="6BC663A7" w:rsidR="00CE7599" w:rsidRDefault="00A0462C" w:rsidP="00CE7599">
      <w:bookmarkStart w:id="1" w:name="_Hlk192059089"/>
      <w:bookmarkEnd w:id="0"/>
      <w:r>
        <w:t>This assignment will discuss the</w:t>
      </w:r>
      <w:r w:rsidR="004E4E56">
        <w:t xml:space="preserve"> creation of the separation of powers theory</w:t>
      </w:r>
      <w:r w:rsidR="00C64681">
        <w:t xml:space="preserve"> with</w:t>
      </w:r>
      <w:r w:rsidR="004E4E56">
        <w:t xml:space="preserve"> up to-date information identifying the key advantages and disadvantages of the </w:t>
      </w:r>
      <w:r w:rsidR="00DF689A">
        <w:t>‘</w:t>
      </w:r>
      <w:r w:rsidR="004E4E56">
        <w:t>theory</w:t>
      </w:r>
      <w:r w:rsidR="00DF689A">
        <w:t>’</w:t>
      </w:r>
      <w:r w:rsidR="008C7BCF">
        <w:t xml:space="preserve">, this work will involve </w:t>
      </w:r>
      <w:r w:rsidR="00CE7599">
        <w:t xml:space="preserve">an </w:t>
      </w:r>
      <w:r w:rsidR="004E4E56">
        <w:t xml:space="preserve">introduction </w:t>
      </w:r>
      <w:r w:rsidR="00CE7599">
        <w:t>and</w:t>
      </w:r>
      <w:r w:rsidR="004E4E56">
        <w:t xml:space="preserve"> a main body </w:t>
      </w:r>
      <w:r w:rsidR="008C7BCF">
        <w:t xml:space="preserve">with a </w:t>
      </w:r>
      <w:r w:rsidR="004E4E56">
        <w:t>conclusion to provide a clear structure</w:t>
      </w:r>
      <w:r w:rsidR="00CE7599">
        <w:t xml:space="preserve">. There will be a </w:t>
      </w:r>
      <w:r w:rsidR="004E4E56">
        <w:t xml:space="preserve">brief description of </w:t>
      </w:r>
      <w:r w:rsidR="00DF689A">
        <w:t>how</w:t>
      </w:r>
      <w:r w:rsidR="008331B1">
        <w:t xml:space="preserve"> the United Kingdom state </w:t>
      </w:r>
      <w:r w:rsidR="00017A6B">
        <w:t xml:space="preserve">has been </w:t>
      </w:r>
      <w:r w:rsidR="008331B1">
        <w:t>established</w:t>
      </w:r>
      <w:r w:rsidR="00DF5E1D">
        <w:t>.</w:t>
      </w:r>
      <w:r w:rsidR="008331B1">
        <w:t xml:space="preserve"> In this assignment there will also be</w:t>
      </w:r>
      <w:r w:rsidR="00017A6B">
        <w:t xml:space="preserve"> a</w:t>
      </w:r>
      <w:r w:rsidR="00DF689A">
        <w:t xml:space="preserve"> </w:t>
      </w:r>
      <w:r w:rsidR="00017A6B">
        <w:t>discussion</w:t>
      </w:r>
      <w:r w:rsidR="008331B1">
        <w:t xml:space="preserve"> as to</w:t>
      </w:r>
      <w:r w:rsidR="00DF689A">
        <w:t xml:space="preserve"> </w:t>
      </w:r>
      <w:r w:rsidR="000D4BB2">
        <w:t xml:space="preserve">why </w:t>
      </w:r>
      <w:r w:rsidR="004E4E56">
        <w:t xml:space="preserve">the Constitutional Reform Act 2005 </w:t>
      </w:r>
      <w:r w:rsidR="000D4BB2">
        <w:t>is so important</w:t>
      </w:r>
      <w:r w:rsidR="008331B1">
        <w:t xml:space="preserve"> when introduced</w:t>
      </w:r>
      <w:r w:rsidR="004E4E56">
        <w:t xml:space="preserve"> </w:t>
      </w:r>
      <w:r w:rsidR="00A9597C">
        <w:t>and</w:t>
      </w:r>
      <w:r w:rsidR="008331B1">
        <w:t xml:space="preserve"> an insight to different various types of</w:t>
      </w:r>
      <w:r w:rsidR="004E4E56">
        <w:t xml:space="preserve"> reform suggestion</w:t>
      </w:r>
      <w:r w:rsidR="00DF5E1D">
        <w:t>s</w:t>
      </w:r>
      <w:r w:rsidR="004E4E56">
        <w:t>.</w:t>
      </w:r>
      <w:r w:rsidR="00AB5990">
        <w:t xml:space="preserve"> </w:t>
      </w:r>
      <w:r w:rsidR="00742972">
        <w:t xml:space="preserve">This thesis </w:t>
      </w:r>
      <w:r w:rsidR="00CE7599">
        <w:t xml:space="preserve">will conclude all evidence leading to an answer </w:t>
      </w:r>
      <w:r w:rsidR="002D303B">
        <w:t xml:space="preserve">of whether reform is suitable </w:t>
      </w:r>
      <w:r w:rsidR="00091744">
        <w:t>because the separation of powers has been adapted throughout history and remains preserved to this day</w:t>
      </w:r>
      <w:r w:rsidR="00CE7599">
        <w:t>.</w:t>
      </w:r>
    </w:p>
    <w:p w14:paraId="46D3E258" w14:textId="1C512D27" w:rsidR="00091744" w:rsidRDefault="00B42775" w:rsidP="00091744">
      <w:bookmarkStart w:id="2" w:name="_Hlk192059636"/>
      <w:bookmarkEnd w:id="1"/>
      <w:r>
        <w:t>The United Kingdom</w:t>
      </w:r>
      <w:r w:rsidR="002D303B">
        <w:t>’s</w:t>
      </w:r>
      <w:r>
        <w:t xml:space="preserve"> state has three branches. </w:t>
      </w:r>
      <w:r w:rsidR="00091744">
        <w:t>According to (UK Government, 2015) the writer identifies and breaks down the 3 branches of ‘Government’</w:t>
      </w:r>
      <w:r w:rsidR="003C5A77">
        <w:t xml:space="preserve">. </w:t>
      </w:r>
      <w:r w:rsidR="00091744">
        <w:t>The acknowledgment to be learned is the foundation principles that involve the building blocks that form the UK Government inclusive of the head of ‘state’ whom is known as the ‘Monarch’,</w:t>
      </w:r>
      <w:r w:rsidR="00F16172">
        <w:t xml:space="preserve"> who appoints the Prime Minister and also grants assent to legislation, the</w:t>
      </w:r>
      <w:r w:rsidR="00091744">
        <w:t xml:space="preserve"> ‘Prime Minister’ is the head of the UK ‘Government’</w:t>
      </w:r>
      <w:r w:rsidR="00F16172">
        <w:t xml:space="preserve"> and a part of the cabinet </w:t>
      </w:r>
      <w:r w:rsidR="00A00DC4">
        <w:t>also consisting of</w:t>
      </w:r>
      <w:r w:rsidR="00F16172">
        <w:t xml:space="preserve"> senior ministers</w:t>
      </w:r>
      <w:r w:rsidR="00091744">
        <w:t>,</w:t>
      </w:r>
      <w:r w:rsidR="00F16172">
        <w:t xml:space="preserve"> the ‘Executive’ has the powers to declare wars and also sign treaties. T</w:t>
      </w:r>
      <w:r w:rsidR="00091744">
        <w:t>he ‘Legislature’ is UK’s ‘Parliament’ consisting of two chambers, the ‘House of Commons’ &amp; the ‘House of Lords’ with an independent &amp; impartial ‘Judiciary’.</w:t>
      </w:r>
      <w:r w:rsidR="00F16172">
        <w:t xml:space="preserve"> </w:t>
      </w:r>
      <w:bookmarkStart w:id="3" w:name="_Hlk192062707"/>
      <w:r w:rsidR="00F16172">
        <w:t xml:space="preserve">The role of Parliament is to scrutinise the government </w:t>
      </w:r>
      <w:r w:rsidR="00B54C53">
        <w:t>and</w:t>
      </w:r>
      <w:r w:rsidR="00F16172">
        <w:t xml:space="preserve"> has the power to pass laws on anything that has the full relevancy</w:t>
      </w:r>
      <w:r w:rsidR="00A00DC4">
        <w:t xml:space="preserve"> to safeguard the </w:t>
      </w:r>
      <w:r w:rsidR="00F16172">
        <w:t xml:space="preserve">country with no restriction to </w:t>
      </w:r>
      <w:r w:rsidR="00A00DC4">
        <w:t xml:space="preserve">forth standing </w:t>
      </w:r>
      <w:r w:rsidR="00F16172">
        <w:t>laws.</w:t>
      </w:r>
      <w:bookmarkEnd w:id="3"/>
      <w:r w:rsidR="00F16172">
        <w:t xml:space="preserve"> The judiciary are </w:t>
      </w:r>
      <w:r w:rsidR="00B54C53">
        <w:t>independent,</w:t>
      </w:r>
      <w:r w:rsidR="00F16172">
        <w:t xml:space="preserve"> and the ministers must keep the judiciary upheld. </w:t>
      </w:r>
      <w:r w:rsidR="00091744">
        <w:t xml:space="preserve">The use of this explanation </w:t>
      </w:r>
      <w:r>
        <w:t xml:space="preserve">provides </w:t>
      </w:r>
      <w:r w:rsidR="00A00DC4">
        <w:t>an</w:t>
      </w:r>
      <w:r>
        <w:t xml:space="preserve"> </w:t>
      </w:r>
      <w:r w:rsidR="00091744">
        <w:t>understanding of what parts of the Government make up the ‘state’</w:t>
      </w:r>
      <w:r w:rsidR="003C5A77">
        <w:t xml:space="preserve"> </w:t>
      </w:r>
      <w:r w:rsidR="00A00DC4">
        <w:t>also</w:t>
      </w:r>
      <w:r w:rsidR="003C5A77">
        <w:t xml:space="preserve"> provid</w:t>
      </w:r>
      <w:r w:rsidR="00A00DC4">
        <w:t>ing</w:t>
      </w:r>
      <w:r w:rsidR="003C5A77">
        <w:t xml:space="preserve"> the explanation as to how the UK Government operates with a functioning and proven method of law making</w:t>
      </w:r>
      <w:r w:rsidR="009A0A1A">
        <w:t xml:space="preserve"> and interpretation of UK law</w:t>
      </w:r>
      <w:r w:rsidR="002F610C">
        <w:t>.</w:t>
      </w:r>
    </w:p>
    <w:p w14:paraId="4F44B78E" w14:textId="52588CF5" w:rsidR="007F52D3" w:rsidRDefault="007F52D3" w:rsidP="007F52D3">
      <w:bookmarkStart w:id="4" w:name="_Hlk192059759"/>
      <w:bookmarkEnd w:id="2"/>
      <w:r>
        <w:t xml:space="preserve"> </w:t>
      </w:r>
      <w:r w:rsidR="002F610C">
        <w:t>The separation of powers is a theory that has become a</w:t>
      </w:r>
      <w:r w:rsidR="00BC340F">
        <w:t xml:space="preserve"> crucial</w:t>
      </w:r>
      <w:r w:rsidR="002F610C">
        <w:t xml:space="preserve"> part of the way the UK operates and functions when dealing with important decisions that can affect the countries direction and wellbeing.</w:t>
      </w:r>
      <w:r>
        <w:t xml:space="preserve"> According to Webley &amp; Samuels (2015, p. 115), the writer defines that the separation of powers theory as a ‘Theory or a doctrine that describes the way in which a state organises the distribution of power and function between its different branches’. The description portrays the theory as fusion of powers delineating the power between the three branches that involve the ‘executive’, ‘legislature’ and the ‘judiciary’. The powers are giving the reader a clear understanding of how the ‘theory’ is divided between 3 vital organs and the questionable origins of ‘legal’, ‘political’ backgrounds with suggestive questioning as to whether the separation of powers has become a more desirable possibility to remain completely separated.</w:t>
      </w:r>
    </w:p>
    <w:p w14:paraId="271D68C6" w14:textId="0784F6A0" w:rsidR="00483261" w:rsidRDefault="00483261" w:rsidP="007F52D3">
      <w:r>
        <w:lastRenderedPageBreak/>
        <w:t xml:space="preserve"> Before the 2005 Constitutional reform act was assented by the Monarch, </w:t>
      </w:r>
      <w:proofErr w:type="gramStart"/>
      <w:r>
        <w:t>The</w:t>
      </w:r>
      <w:proofErr w:type="gramEnd"/>
      <w:r>
        <w:t xml:space="preserve"> countries judicial functions were </w:t>
      </w:r>
      <w:r w:rsidR="00C71F04">
        <w:t>discussed behind closed doors and had one standing point of power known as the Lord chancellor. The Lord Chancellor</w:t>
      </w:r>
    </w:p>
    <w:bookmarkEnd w:id="4"/>
    <w:p w14:paraId="3BD0AEFA" w14:textId="1A42A39F" w:rsidR="007F52D3" w:rsidRDefault="007F52D3" w:rsidP="00B9639F"/>
    <w:p w14:paraId="4EA4472B" w14:textId="77777777" w:rsidR="007F52D3" w:rsidRDefault="007F52D3" w:rsidP="00B9639F"/>
    <w:p w14:paraId="1A216B87" w14:textId="51BFD7EA" w:rsidR="00220760" w:rsidRDefault="002F610C" w:rsidP="00B9639F">
      <w:r>
        <w:t xml:space="preserve"> </w:t>
      </w:r>
      <w:r w:rsidR="00091744">
        <w:t xml:space="preserve">According to Akhtar (2023, pp. 1-3) </w:t>
      </w:r>
      <w:r w:rsidR="00CD2520">
        <w:t>The</w:t>
      </w:r>
      <w:r w:rsidR="000A1C7E">
        <w:t xml:space="preserve"> </w:t>
      </w:r>
      <w:r w:rsidR="00CD2520">
        <w:t>‘s</w:t>
      </w:r>
      <w:r w:rsidR="000A1C7E">
        <w:t>eparation of powers theory</w:t>
      </w:r>
      <w:r w:rsidR="00CD2520">
        <w:t>’</w:t>
      </w:r>
      <w:r>
        <w:t xml:space="preserve"> is designed to regulate the state and </w:t>
      </w:r>
      <w:r w:rsidR="000A1C7E">
        <w:t>has been dated back to</w:t>
      </w:r>
      <w:r w:rsidR="00091744">
        <w:t xml:space="preserve"> the</w:t>
      </w:r>
      <w:r w:rsidR="000A1C7E">
        <w:t xml:space="preserve"> 17</w:t>
      </w:r>
      <w:r w:rsidR="000A1C7E" w:rsidRPr="000A1C7E">
        <w:rPr>
          <w:vertAlign w:val="superscript"/>
        </w:rPr>
        <w:t>th</w:t>
      </w:r>
      <w:r w:rsidR="000A1C7E">
        <w:t xml:space="preserve"> &amp; 18</w:t>
      </w:r>
      <w:r w:rsidR="000A1C7E" w:rsidRPr="000A1C7E">
        <w:rPr>
          <w:vertAlign w:val="superscript"/>
        </w:rPr>
        <w:t>th</w:t>
      </w:r>
      <w:r w:rsidR="000A1C7E">
        <w:t xml:space="preserve"> </w:t>
      </w:r>
      <w:r w:rsidR="00A45810">
        <w:t>c</w:t>
      </w:r>
      <w:r w:rsidR="000A1C7E">
        <w:t xml:space="preserve">entury involving philosophical theorist ‘Baron Montesquieu’ who </w:t>
      </w:r>
      <w:r w:rsidR="008C7BCF">
        <w:t>stated,</w:t>
      </w:r>
      <w:r w:rsidR="000A1C7E">
        <w:t xml:space="preserve"> ‘</w:t>
      </w:r>
      <w:r w:rsidR="000A1C7E" w:rsidRPr="000A1C7E">
        <w:t>that there is an overlap in the balance of powers and the scope of the doctrine and relevance in the modern era</w:t>
      </w:r>
      <w:r w:rsidR="000A1C7E">
        <w:t>’</w:t>
      </w:r>
      <w:r w:rsidR="00CD2520">
        <w:t xml:space="preserve">, </w:t>
      </w:r>
      <w:r w:rsidR="00091744">
        <w:t>this provides evidence that there is a history of analysis and contemporary innovation regarding the theory</w:t>
      </w:r>
      <w:r w:rsidR="002D303B">
        <w:t xml:space="preserve"> and can be seen as a disadvantage of the powers theory</w:t>
      </w:r>
      <w:r w:rsidR="007F52D3">
        <w:t xml:space="preserve"> from the perspective of ‘Montesquieu</w:t>
      </w:r>
      <w:r w:rsidR="00A00DC4">
        <w:t>’</w:t>
      </w:r>
      <w:r w:rsidR="002D303B">
        <w:t>.</w:t>
      </w:r>
      <w:r w:rsidR="00A00DC4">
        <w:t xml:space="preserve"> This can be </w:t>
      </w:r>
      <w:r w:rsidR="00220760">
        <w:t xml:space="preserve">argued </w:t>
      </w:r>
      <w:r w:rsidR="00A00DC4">
        <w:t xml:space="preserve">by the written description of the powers provided by </w:t>
      </w:r>
      <w:r w:rsidR="00B97C4D">
        <w:t xml:space="preserve">(UK Government, </w:t>
      </w:r>
      <w:r w:rsidR="00220760">
        <w:t>ca 2005) who describe the integration of powers by the executive and the legislature to be a form of stability given that the ‘PM’ has a majority of power throughout parliament and also the head of the government this does not define that the powers are merged as one by no means. However, there is an understanding of how the overlapping of powers can be made a point of in</w:t>
      </w:r>
      <w:r w:rsidR="0066435D">
        <w:t>spection</w:t>
      </w:r>
      <w:r w:rsidR="00220760">
        <w:t>.</w:t>
      </w:r>
      <w:r w:rsidR="0066435D">
        <w:t xml:space="preserve"> This shows that there are two sides of analysis both valid and credible providing a true understanding of the frustration surrounding</w:t>
      </w:r>
      <w:r w:rsidR="009A0A1A">
        <w:t xml:space="preserve"> the separation of powers</w:t>
      </w:r>
      <w:r w:rsidR="0066435D">
        <w:t>.</w:t>
      </w:r>
    </w:p>
    <w:p w14:paraId="4D7E9CDF" w14:textId="3BDCDA55" w:rsidR="002D303B" w:rsidRDefault="00220760" w:rsidP="00B9639F">
      <w:r>
        <w:t xml:space="preserve"> </w:t>
      </w:r>
      <w:r w:rsidR="002D303B">
        <w:t xml:space="preserve"> </w:t>
      </w:r>
      <w:r w:rsidR="00653CE0">
        <w:t xml:space="preserve">A central concept is another viewpoint of ‘Montesquieu’ this time giving an example through theory of why the separated powers are desirable providing an answer to the adverse </w:t>
      </w:r>
      <w:r w:rsidR="00B54C53">
        <w:t>effects</w:t>
      </w:r>
      <w:r w:rsidR="00091F5C">
        <w:t xml:space="preserve"> that</w:t>
      </w:r>
      <w:r w:rsidR="00653CE0">
        <w:t xml:space="preserve"> if there was to be a single power providing ultimate control through politics and law</w:t>
      </w:r>
      <w:r w:rsidR="00091F5C">
        <w:t xml:space="preserve"> then the outcome would be none of the greater to humanity</w:t>
      </w:r>
      <w:r w:rsidR="00BC340F">
        <w:t xml:space="preserve">. He was </w:t>
      </w:r>
      <w:r w:rsidR="00653CE0">
        <w:t xml:space="preserve">quoted saying ‘When legislative power is united with executive power in a single person or a single body of the magistracy, there is no liberty. Nor is there liberty if the power of judging is not separate from legislative </w:t>
      </w:r>
      <w:r w:rsidR="008C0DB1">
        <w:t>power and from executive power. All would be lost if the same man or same body of principal men, either of nobles, or of the people, exercised these three powers: that of making the laws, that of executing public resolutions, and that of judging the crimes and the dispute of the individuals’ (</w:t>
      </w:r>
      <w:proofErr w:type="spellStart"/>
      <w:r w:rsidR="008C0DB1">
        <w:t>Martenet</w:t>
      </w:r>
      <w:proofErr w:type="spellEnd"/>
      <w:r w:rsidR="008C0DB1">
        <w:t>, 2024, p. 13).</w:t>
      </w:r>
      <w:r w:rsidR="00091F5C">
        <w:t xml:space="preserve"> This proves that the analysis of the theory has been dated back in history with quite some thought of how the developed powers can become more suitable and beneficial for the good of democracy.</w:t>
      </w:r>
      <w:r w:rsidR="008C0DB1">
        <w:t xml:space="preserve"> The writer also describes the relevance between </w:t>
      </w:r>
      <w:r w:rsidR="009A0A1A">
        <w:t>‘</w:t>
      </w:r>
      <w:r w:rsidR="008C0DB1">
        <w:t>Montesquieu</w:t>
      </w:r>
      <w:r w:rsidR="009A0A1A">
        <w:t>’</w:t>
      </w:r>
      <w:r w:rsidR="008C0DB1">
        <w:t xml:space="preserve"> &amp; ‘J</w:t>
      </w:r>
      <w:r w:rsidR="00BC340F">
        <w:t>ames Madison</w:t>
      </w:r>
      <w:r w:rsidR="008C0DB1">
        <w:t>’</w:t>
      </w:r>
      <w:r w:rsidR="00BC340F">
        <w:t xml:space="preserve"> and how both are of the same perception </w:t>
      </w:r>
      <w:r w:rsidR="008C0DB1">
        <w:t xml:space="preserve">where </w:t>
      </w:r>
      <w:r w:rsidR="00BC340F">
        <w:t xml:space="preserve">they </w:t>
      </w:r>
      <w:r w:rsidR="009A0A1A">
        <w:t>state</w:t>
      </w:r>
      <w:r w:rsidR="008C0DB1">
        <w:t xml:space="preserve"> how essential it is to preserve the separation of powers to avoid tyranny </w:t>
      </w:r>
      <w:r w:rsidR="00B54C53">
        <w:t>and</w:t>
      </w:r>
      <w:r w:rsidR="008C0DB1">
        <w:t xml:space="preserve"> again to promote the preservation of liberty. This provides an advantage of the theory of how the design and separation can of course be beneficial due to the </w:t>
      </w:r>
      <w:r w:rsidR="00B54C53">
        <w:t>theorist’s</w:t>
      </w:r>
      <w:r w:rsidR="00BC340F">
        <w:t xml:space="preserve"> findings and how their words have become so vital in the innovation of the theory</w:t>
      </w:r>
      <w:r w:rsidR="0066435D">
        <w:t xml:space="preserve"> with a clear understanding that one universal power can create </w:t>
      </w:r>
      <w:r w:rsidR="009A0A1A">
        <w:t xml:space="preserve">tyranny, and the separated powers </w:t>
      </w:r>
      <w:r w:rsidR="009A0A1A">
        <w:lastRenderedPageBreak/>
        <w:t>are of great importance</w:t>
      </w:r>
      <w:r w:rsidR="00091F5C">
        <w:t>. This leads the assignment on to the development of the theory o</w:t>
      </w:r>
      <w:r w:rsidR="009A0A1A">
        <w:t>ver</w:t>
      </w:r>
      <w:r w:rsidR="00091F5C">
        <w:t xml:space="preserve"> the years with again speculation and debate regarding the</w:t>
      </w:r>
      <w:r w:rsidR="009A0A1A">
        <w:t xml:space="preserve"> separated powers.</w:t>
      </w:r>
      <w:r w:rsidR="00BC340F">
        <w:tab/>
      </w:r>
    </w:p>
    <w:p w14:paraId="6A4E230A" w14:textId="3A110C2A" w:rsidR="00B9639F" w:rsidRPr="00C322A4" w:rsidRDefault="002D303B" w:rsidP="00CE7599">
      <w:r>
        <w:t xml:space="preserve"> </w:t>
      </w:r>
      <w:r w:rsidR="00CE7599">
        <w:t>(</w:t>
      </w:r>
      <w:proofErr w:type="spellStart"/>
      <w:r w:rsidR="00CE7599" w:rsidRPr="00AC4073">
        <w:t>Möller</w:t>
      </w:r>
      <w:r w:rsidR="00CE7599">
        <w:t>s</w:t>
      </w:r>
      <w:proofErr w:type="spellEnd"/>
      <w:r w:rsidR="00CE7599">
        <w:t xml:space="preserve">, 2019, pp. 230 – 257) criticizes that the separation of powers </w:t>
      </w:r>
      <w:r w:rsidR="00EE6D89">
        <w:t>is</w:t>
      </w:r>
      <w:r w:rsidR="00CE7599">
        <w:t xml:space="preserve"> rarely reflected upon and before any discussion can be emphasized there must be a distinctive way to interpret the separation of powers theory informatively</w:t>
      </w:r>
      <w:r w:rsidR="000A1C7E">
        <w:t>.</w:t>
      </w:r>
      <w:r w:rsidR="002F6451">
        <w:t xml:space="preserve"> </w:t>
      </w:r>
      <w:r w:rsidR="0021462B">
        <w:t>Masterman (2011)</w:t>
      </w:r>
      <w:r w:rsidR="00EE6D89">
        <w:t xml:space="preserve"> explains</w:t>
      </w:r>
      <w:r w:rsidR="007763B2">
        <w:t xml:space="preserve"> there is an identification that indicates there is no real clarity</w:t>
      </w:r>
      <w:r w:rsidR="00381733">
        <w:t xml:space="preserve"> innovating contemporary practices</w:t>
      </w:r>
      <w:r w:rsidR="007763B2">
        <w:t xml:space="preserve"> </w:t>
      </w:r>
      <w:r w:rsidR="00A9597C">
        <w:t xml:space="preserve">and </w:t>
      </w:r>
      <w:r w:rsidR="007763B2">
        <w:t>provides an answer that this may be the reason there is no constitution implemented in the UK rather just a timeline of amendments</w:t>
      </w:r>
      <w:r w:rsidR="00EE6D89">
        <w:t xml:space="preserve"> and improvements made along the way</w:t>
      </w:r>
      <w:r w:rsidR="007763B2">
        <w:t xml:space="preserve">. </w:t>
      </w:r>
      <w:r w:rsidR="003D4028">
        <w:t>T</w:t>
      </w:r>
      <w:r w:rsidR="00381733">
        <w:t>his writing makes use to link back to the major shifts in history that includes go</w:t>
      </w:r>
      <w:r w:rsidR="00B9639F">
        <w:t xml:space="preserve">vernment legislation </w:t>
      </w:r>
      <w:r w:rsidR="00381733">
        <w:t xml:space="preserve">and upon </w:t>
      </w:r>
      <w:r w:rsidR="00E50030">
        <w:t xml:space="preserve">evidence </w:t>
      </w:r>
      <w:r w:rsidR="00381733">
        <w:t xml:space="preserve">now </w:t>
      </w:r>
      <w:r w:rsidR="00B9639F">
        <w:t>confirms a solid act of law introducing the (</w:t>
      </w:r>
      <w:r w:rsidR="00B9639F" w:rsidRPr="00116F5B">
        <w:rPr>
          <w:i/>
          <w:iCs/>
        </w:rPr>
        <w:t>Constitutional Reform Act</w:t>
      </w:r>
      <w:r w:rsidR="00B9639F">
        <w:rPr>
          <w:i/>
          <w:iCs/>
        </w:rPr>
        <w:t xml:space="preserve"> 2005</w:t>
      </w:r>
      <w:r w:rsidR="00B9639F">
        <w:t xml:space="preserve">). </w:t>
      </w:r>
      <w:bookmarkStart w:id="5" w:name="_Hlk192070407"/>
      <w:r w:rsidR="00793760">
        <w:t>T</w:t>
      </w:r>
      <w:r w:rsidR="00B9639F">
        <w:t>he Constitutional Reform Act 2005 received ‘Royal Assent’ on the 24</w:t>
      </w:r>
      <w:r w:rsidR="00B9639F" w:rsidRPr="00B9639F">
        <w:rPr>
          <w:vertAlign w:val="superscript"/>
        </w:rPr>
        <w:t>th of</w:t>
      </w:r>
      <w:r w:rsidR="00B9639F">
        <w:t xml:space="preserve"> March 2005</w:t>
      </w:r>
      <w:r w:rsidR="00E50030">
        <w:t xml:space="preserve"> and</w:t>
      </w:r>
      <w:r w:rsidR="00B9639F">
        <w:t xml:space="preserve"> has created contemporary updated functions within the Lord Chancellors office providing responsibilities that no longer involve a ‘judge’ or any ‘judicial functions.</w:t>
      </w:r>
      <w:bookmarkEnd w:id="5"/>
      <w:r w:rsidR="00B9639F">
        <w:t xml:space="preserve"> The act has also</w:t>
      </w:r>
      <w:r w:rsidR="00EE6D89">
        <w:t xml:space="preserve"> led on to the</w:t>
      </w:r>
      <w:r w:rsidR="00B9639F">
        <w:t xml:space="preserve"> creat</w:t>
      </w:r>
      <w:r w:rsidR="00EE6D89">
        <w:t>ion of</w:t>
      </w:r>
      <w:r w:rsidR="00B9639F">
        <w:t xml:space="preserve"> the Supreme Court of the United Kingdom</w:t>
      </w:r>
      <w:r w:rsidR="00EE6D89">
        <w:t xml:space="preserve"> later</w:t>
      </w:r>
      <w:r w:rsidR="00DF5D22">
        <w:t xml:space="preserve"> established</w:t>
      </w:r>
      <w:r w:rsidR="008C7BCF">
        <w:t xml:space="preserve"> in 2009</w:t>
      </w:r>
      <w:r w:rsidR="00B9639F">
        <w:t xml:space="preserve"> with a judicial appointments commission now selecting positions for judicial power in England &amp; Wales</w:t>
      </w:r>
      <w:r w:rsidR="00E50030">
        <w:t xml:space="preserve"> thus furthermore the act focuses on the changes made with another major part of the enactment</w:t>
      </w:r>
      <w:r w:rsidR="00DF5D22">
        <w:t>,</w:t>
      </w:r>
      <w:r w:rsidR="00E50030">
        <w:t xml:space="preserve"> removing law lords to no longer serve as a committee in the ‘House of Lords’ provisionally replaced by a ‘Supreme Court’.</w:t>
      </w:r>
      <w:r w:rsidR="00EE6D89">
        <w:t xml:space="preserve"> This leads on to the understanding that the separation of powers has a rich history of analysis </w:t>
      </w:r>
      <w:r>
        <w:t>and</w:t>
      </w:r>
      <w:r w:rsidR="00EE6D89">
        <w:t xml:space="preserve"> demonstrates the Uk constitution and the development of laws and new ideas surrounding the direction of the UK’s Government.</w:t>
      </w:r>
      <w:r w:rsidR="00EF10F9">
        <w:t xml:space="preserve"> The reasoning for the act itself and the introduction of the Supreme court was to create a separation from the Supreme court, Government and the </w:t>
      </w:r>
      <w:r w:rsidR="00A9597C">
        <w:t>L</w:t>
      </w:r>
      <w:r w:rsidR="00EF10F9">
        <w:t xml:space="preserve">egislature known as the appellate committee. This shows that there are more judges now that can sit in the Supreme court, 12 appointed judges to be exact named ‘justices of the supreme court’, The ‘Constitutional Reform Act 2005’ made </w:t>
      </w:r>
      <w:r w:rsidR="001A3671">
        <w:t>provisions regarding the judges to sit in the new Supreme court with all new judges to not receive peerages, again this provides the evidence of how the new act introduced has created a clear separation of powers within the UK’s functions</w:t>
      </w:r>
      <w:r w:rsidR="00017A6B">
        <w:t xml:space="preserve"> of law making and interpretation of the law</w:t>
      </w:r>
      <w:r w:rsidR="001A3671">
        <w:t xml:space="preserve"> (UK Parliament, 2025). </w:t>
      </w:r>
      <w:r w:rsidR="00C322A4">
        <w:t xml:space="preserve">What the above analysis has demonstrated is the vast debate surrounding this very theory and what needs to be developed further and scrutinised is the actual development </w:t>
      </w:r>
      <w:r w:rsidR="00017A6B">
        <w:t>of the understanding of how the judicial system now operates in the UK with questions arising as to whether there are current risks of there being over-</w:t>
      </w:r>
      <w:proofErr w:type="spellStart"/>
      <w:r w:rsidR="00017A6B">
        <w:t>judicialising</w:t>
      </w:r>
      <w:proofErr w:type="spellEnd"/>
      <w:r w:rsidR="00017A6B">
        <w:t xml:space="preserve"> providing a solid question of reform </w:t>
      </w:r>
      <w:r w:rsidR="00C322A4">
        <w:t>and whether the decisions</w:t>
      </w:r>
      <w:r w:rsidR="00017A6B">
        <w:t xml:space="preserve"> desired to be made</w:t>
      </w:r>
      <w:r w:rsidR="00C322A4">
        <w:t xml:space="preserve"> are of any benefit to the UK’s constitution. Critical analysis by (UK Parliament, 2021) has described the separation of powers as a protection of individual rights with a focus on s.3 and s.4 of the (</w:t>
      </w:r>
      <w:r w:rsidR="00C322A4" w:rsidRPr="00C322A4">
        <w:rPr>
          <w:i/>
          <w:iCs/>
        </w:rPr>
        <w:t>Human Rights Act 1998</w:t>
      </w:r>
      <w:r w:rsidR="00C322A4">
        <w:rPr>
          <w:i/>
          <w:iCs/>
        </w:rPr>
        <w:t xml:space="preserve">) </w:t>
      </w:r>
      <w:r w:rsidR="00C322A4">
        <w:t xml:space="preserve">and how the act itself has created a balance between those individual rights with interest regarding Parliament </w:t>
      </w:r>
      <w:r w:rsidR="00793760">
        <w:t xml:space="preserve">within the </w:t>
      </w:r>
      <w:r w:rsidR="00C322A4">
        <w:t>constitution of this country</w:t>
      </w:r>
      <w:r w:rsidR="00793760">
        <w:t xml:space="preserve"> stating that ‘</w:t>
      </w:r>
      <w:r w:rsidR="00793760" w:rsidRPr="00793760">
        <w:t xml:space="preserve">So far as it is possible to do so, primary legislation and subordinate legislation must be read </w:t>
      </w:r>
      <w:r w:rsidR="00793760" w:rsidRPr="00793760">
        <w:lastRenderedPageBreak/>
        <w:t>and given effect in a way which is compatible with the Convention rights</w:t>
      </w:r>
      <w:r w:rsidR="00793760">
        <w:t>’. This provides law regarding the conventional rights of this country and how the developed powers have created further balance again providing another critical and crucial explanation as</w:t>
      </w:r>
      <w:r w:rsidR="00017A6B">
        <w:t xml:space="preserve"> </w:t>
      </w:r>
      <w:r w:rsidR="00793760">
        <w:t>to how important it is to have the separate arms of the state to ensure advantageous prosperity for the system to innovate furthermore</w:t>
      </w:r>
      <w:r w:rsidR="00017A6B">
        <w:t xml:space="preserve">. However, there </w:t>
      </w:r>
      <w:proofErr w:type="gramStart"/>
      <w:r w:rsidR="00017A6B">
        <w:t>still remains</w:t>
      </w:r>
      <w:proofErr w:type="gramEnd"/>
      <w:r w:rsidR="00017A6B">
        <w:t xml:space="preserve"> focus on s.3 and s.4 of the ‘Human Rights Act 1998’</w:t>
      </w:r>
    </w:p>
    <w:p w14:paraId="329B0BDC" w14:textId="77777777" w:rsidR="00CE7599" w:rsidRDefault="00CE7599" w:rsidP="004E4E56"/>
    <w:p w14:paraId="31084B53" w14:textId="45133FA5" w:rsidR="00CE7599" w:rsidRDefault="00CE7599" w:rsidP="00CE7599">
      <w:r>
        <w:t xml:space="preserve"> </w:t>
      </w:r>
    </w:p>
    <w:p w14:paraId="56F11C70" w14:textId="0E7D8791" w:rsidR="00E75C30" w:rsidRDefault="00E75C30" w:rsidP="004E4E56"/>
    <w:p w14:paraId="76D97DC8" w14:textId="34F7F4EE" w:rsidR="00026334" w:rsidRDefault="00026334" w:rsidP="004E4E56"/>
    <w:p w14:paraId="0153EC1C" w14:textId="1B130856" w:rsidR="0014610D" w:rsidRDefault="0014610D"/>
    <w:p w14:paraId="07EE1D65" w14:textId="77777777" w:rsidR="0014610D" w:rsidRDefault="0014610D"/>
    <w:p w14:paraId="3C78EB91" w14:textId="77777777" w:rsidR="0014610D" w:rsidRDefault="0014610D"/>
    <w:p w14:paraId="33050FEA" w14:textId="77777777" w:rsidR="000E7B0F" w:rsidRDefault="000E7B0F"/>
    <w:p w14:paraId="122C98BA" w14:textId="77777777" w:rsidR="000E7B0F" w:rsidRDefault="000E7B0F"/>
    <w:p w14:paraId="177A814D" w14:textId="77777777" w:rsidR="000E7B0F" w:rsidRDefault="000E7B0F"/>
    <w:p w14:paraId="2E773C25" w14:textId="77777777" w:rsidR="000E7B0F" w:rsidRDefault="000E7B0F"/>
    <w:p w14:paraId="70BD1F33" w14:textId="77777777" w:rsidR="000E7B0F" w:rsidRDefault="000E7B0F"/>
    <w:p w14:paraId="44EB3EEE" w14:textId="77777777" w:rsidR="000E7B0F" w:rsidRDefault="000E7B0F"/>
    <w:p w14:paraId="37FE3DD9" w14:textId="77777777" w:rsidR="000E7B0F" w:rsidRDefault="000E7B0F"/>
    <w:p w14:paraId="61B8949D" w14:textId="77777777" w:rsidR="000E7B0F" w:rsidRDefault="000E7B0F"/>
    <w:p w14:paraId="4BA6F696" w14:textId="77777777" w:rsidR="000E7B0F" w:rsidRDefault="000E7B0F"/>
    <w:p w14:paraId="6941A255" w14:textId="77777777" w:rsidR="000E7B0F" w:rsidRDefault="000E7B0F"/>
    <w:p w14:paraId="390D7B2B" w14:textId="77777777" w:rsidR="000E7B0F" w:rsidRDefault="000E7B0F"/>
    <w:p w14:paraId="524596EF" w14:textId="77777777" w:rsidR="000E7B0F" w:rsidRDefault="000E7B0F"/>
    <w:p w14:paraId="1B1FA903" w14:textId="77777777" w:rsidR="000E7B0F" w:rsidRDefault="000E7B0F"/>
    <w:p w14:paraId="2983996E" w14:textId="77777777" w:rsidR="000E7B0F" w:rsidRDefault="000E7B0F"/>
    <w:p w14:paraId="33FC2BB3" w14:textId="77777777" w:rsidR="000E7B0F" w:rsidRDefault="000E7B0F"/>
    <w:p w14:paraId="15834BE1" w14:textId="77777777" w:rsidR="000E7B0F" w:rsidRDefault="000E7B0F"/>
    <w:p w14:paraId="658BB752" w14:textId="77777777" w:rsidR="008C0DB1" w:rsidRDefault="008C0DB1">
      <w:pPr>
        <w:rPr>
          <w:b/>
          <w:bCs/>
          <w:u w:val="single"/>
        </w:rPr>
      </w:pPr>
    </w:p>
    <w:p w14:paraId="47AB1A54" w14:textId="14358DC0" w:rsidR="000E7B0F" w:rsidRDefault="00482553">
      <w:pPr>
        <w:rPr>
          <w:b/>
          <w:bCs/>
          <w:u w:val="single"/>
        </w:rPr>
      </w:pPr>
      <w:r w:rsidRPr="001D0D1A">
        <w:rPr>
          <w:b/>
          <w:bCs/>
          <w:u w:val="single"/>
        </w:rPr>
        <w:t>Refe</w:t>
      </w:r>
      <w:r w:rsidR="001D0D1A" w:rsidRPr="001D0D1A">
        <w:rPr>
          <w:b/>
          <w:bCs/>
          <w:u w:val="single"/>
        </w:rPr>
        <w:t>rence list.</w:t>
      </w:r>
    </w:p>
    <w:p w14:paraId="73385485" w14:textId="77777777" w:rsidR="008C0DB1" w:rsidRDefault="008C0DB1" w:rsidP="008C0DB1">
      <w:bookmarkStart w:id="6" w:name="_Hlk192069678"/>
      <w:r>
        <w:t xml:space="preserve">Akhtar, Z. (2023) ‘Montesquieu’s theory of the separation of powers, legislative flexibility and judicial restraint in an unwritten constitution’. </w:t>
      </w:r>
      <w:r>
        <w:rPr>
          <w:i/>
          <w:iCs/>
        </w:rPr>
        <w:t xml:space="preserve">Gray’s inn and Coventry University, </w:t>
      </w:r>
      <w:r>
        <w:t xml:space="preserve">article 552-577. Available at: </w:t>
      </w:r>
      <w:hyperlink r:id="rId7" w:history="1">
        <w:r w:rsidRPr="006529B3">
          <w:rPr>
            <w:rStyle w:val="Hyperlink"/>
          </w:rPr>
          <w:t>AC+2.4.3.3+Akhtar.pdf</w:t>
        </w:r>
      </w:hyperlink>
      <w:r>
        <w:t xml:space="preserve"> </w:t>
      </w:r>
    </w:p>
    <w:bookmarkEnd w:id="6"/>
    <w:p w14:paraId="19126EFB" w14:textId="77777777" w:rsidR="008C0DB1" w:rsidRDefault="008C0DB1">
      <w:pPr>
        <w:rPr>
          <w:b/>
          <w:bCs/>
          <w:u w:val="single"/>
        </w:rPr>
      </w:pPr>
    </w:p>
    <w:p w14:paraId="7C16537D" w14:textId="39AC3436" w:rsidR="005839D1" w:rsidRDefault="00B07E15">
      <w:r>
        <w:rPr>
          <w:i/>
          <w:iCs/>
        </w:rPr>
        <w:t xml:space="preserve">Constitutional </w:t>
      </w:r>
      <w:r w:rsidR="00F557BF">
        <w:rPr>
          <w:i/>
          <w:iCs/>
        </w:rPr>
        <w:t>Reform Act 2005</w:t>
      </w:r>
      <w:r w:rsidR="00986BCD">
        <w:rPr>
          <w:i/>
          <w:iCs/>
        </w:rPr>
        <w:t xml:space="preserve">, </w:t>
      </w:r>
      <w:r w:rsidR="00986BCD">
        <w:t>c. 4.</w:t>
      </w:r>
      <w:r w:rsidR="00E50030">
        <w:t xml:space="preserve"> Explanatory notes.</w:t>
      </w:r>
      <w:r w:rsidR="00986BCD">
        <w:t xml:space="preserve"> Available at: </w:t>
      </w:r>
      <w:hyperlink r:id="rId8" w:history="1">
        <w:r w:rsidR="00E50030" w:rsidRPr="00E50030">
          <w:rPr>
            <w:rStyle w:val="Hyperlink"/>
          </w:rPr>
          <w:t>Constitutional Reform Act 2005 - Explanatory Notes</w:t>
        </w:r>
      </w:hyperlink>
      <w:r w:rsidR="00E50030" w:rsidRPr="00E50030">
        <w:t xml:space="preserve"> </w:t>
      </w:r>
      <w:r w:rsidR="00366757">
        <w:t>(Accessed: 2</w:t>
      </w:r>
      <w:r w:rsidR="00E50030">
        <w:t>3</w:t>
      </w:r>
      <w:r w:rsidR="00366757">
        <w:t xml:space="preserve"> February 2025).</w:t>
      </w:r>
    </w:p>
    <w:p w14:paraId="216A255C" w14:textId="77777777" w:rsidR="008C0DB1" w:rsidRPr="00381733" w:rsidRDefault="008C0DB1" w:rsidP="008C0DB1">
      <w:r>
        <w:t xml:space="preserve">Masterman, R. (2011) </w:t>
      </w:r>
      <w:r>
        <w:rPr>
          <w:i/>
          <w:iCs/>
        </w:rPr>
        <w:t xml:space="preserve">‘The Separation of Powers in the Contemporary Constitution: Judicial Competence and Independence in the United Kingdom’. </w:t>
      </w:r>
      <w:r>
        <w:t>Cambridge: Cambridge University Press.</w:t>
      </w:r>
    </w:p>
    <w:p w14:paraId="0FD60AD4" w14:textId="77777777" w:rsidR="008C0DB1" w:rsidRDefault="008C0DB1"/>
    <w:p w14:paraId="179659F4" w14:textId="61D85B4F" w:rsidR="008C0DB1" w:rsidRDefault="008C0DB1">
      <w:proofErr w:type="spellStart"/>
      <w:r>
        <w:t>Maternet</w:t>
      </w:r>
      <w:proofErr w:type="spellEnd"/>
      <w:r>
        <w:t>, V. (2024) Separation of powers and antitrust. Cambridge: Cambridge University Press.</w:t>
      </w:r>
    </w:p>
    <w:p w14:paraId="3F64A5B7" w14:textId="3FDFFE66" w:rsidR="00F440DE" w:rsidRDefault="000400CA">
      <w:r w:rsidRPr="000400CA">
        <w:t>Möller</w:t>
      </w:r>
      <w:r>
        <w:t xml:space="preserve">, C. (2019) ‘Separation of Powers’, in R. Masterman and R. </w:t>
      </w:r>
      <w:r w:rsidR="00787887" w:rsidRPr="00787887">
        <w:t>Schütze</w:t>
      </w:r>
      <w:r w:rsidR="00787887">
        <w:t xml:space="preserve"> (eds.) </w:t>
      </w:r>
      <w:r w:rsidR="00787887">
        <w:rPr>
          <w:i/>
          <w:iCs/>
        </w:rPr>
        <w:t xml:space="preserve">The Cambridge Companion to Comparative Constitutional Law. </w:t>
      </w:r>
      <w:r w:rsidR="00787887">
        <w:t>Cambridge: Cambridge University Press (Cambridge Companions to Law), pp. 230-257.</w:t>
      </w:r>
    </w:p>
    <w:p w14:paraId="265E176B" w14:textId="77777777" w:rsidR="00787887" w:rsidRPr="00787887" w:rsidRDefault="00787887"/>
    <w:p w14:paraId="7FDEED81" w14:textId="3BB078C8" w:rsidR="003C0DFD" w:rsidRDefault="00A867A2">
      <w:bookmarkStart w:id="7" w:name="_Hlk192068390"/>
      <w:r>
        <w:t>We</w:t>
      </w:r>
      <w:r w:rsidR="00CE396E">
        <w:t xml:space="preserve">bley, L. </w:t>
      </w:r>
      <w:r w:rsidR="0095757E">
        <w:t xml:space="preserve">(2015) </w:t>
      </w:r>
      <w:r w:rsidR="0095757E">
        <w:rPr>
          <w:i/>
          <w:iCs/>
        </w:rPr>
        <w:t>Public law</w:t>
      </w:r>
      <w:r w:rsidR="0065574F">
        <w:rPr>
          <w:i/>
          <w:iCs/>
        </w:rPr>
        <w:t xml:space="preserve">, text, cases and materials. </w:t>
      </w:r>
      <w:r w:rsidR="0065574F">
        <w:t>3</w:t>
      </w:r>
      <w:r w:rsidR="0065574F" w:rsidRPr="0065574F">
        <w:rPr>
          <w:vertAlign w:val="superscript"/>
        </w:rPr>
        <w:t>rd</w:t>
      </w:r>
      <w:r w:rsidR="0065574F">
        <w:t xml:space="preserve"> </w:t>
      </w:r>
      <w:proofErr w:type="spellStart"/>
      <w:r w:rsidR="002D7C71">
        <w:t>edn</w:t>
      </w:r>
      <w:proofErr w:type="spellEnd"/>
      <w:r w:rsidR="002D7C71">
        <w:t xml:space="preserve">. Oxford: </w:t>
      </w:r>
      <w:r w:rsidR="005839D1">
        <w:t>Oxford University Press.</w:t>
      </w:r>
    </w:p>
    <w:bookmarkEnd w:id="7"/>
    <w:p w14:paraId="20D5A365" w14:textId="77777777" w:rsidR="00F440DE" w:rsidRDefault="00F440DE"/>
    <w:p w14:paraId="79BF60B9" w14:textId="77CE8C2A" w:rsidR="006B172A" w:rsidRDefault="006B172A">
      <w:r>
        <w:t xml:space="preserve">UK Government (2015). </w:t>
      </w:r>
      <w:r w:rsidR="004950F0">
        <w:rPr>
          <w:i/>
          <w:iCs/>
        </w:rPr>
        <w:t xml:space="preserve">The </w:t>
      </w:r>
      <w:proofErr w:type="spellStart"/>
      <w:r w:rsidR="004950F0">
        <w:rPr>
          <w:i/>
          <w:iCs/>
        </w:rPr>
        <w:t>uk</w:t>
      </w:r>
      <w:proofErr w:type="spellEnd"/>
      <w:r w:rsidR="004950F0">
        <w:rPr>
          <w:i/>
          <w:iCs/>
        </w:rPr>
        <w:t xml:space="preserve"> constitution: A summary, with options for reform. </w:t>
      </w:r>
      <w:r w:rsidR="004950F0">
        <w:t xml:space="preserve">Available at: </w:t>
      </w:r>
      <w:hyperlink r:id="rId9" w:history="1">
        <w:r w:rsidR="004950F0" w:rsidRPr="000D03A0">
          <w:rPr>
            <w:rStyle w:val="Hyperlink"/>
          </w:rPr>
          <w:t>https://www.parliament.uk/globalassets/documents/commons-committees/political-and-co</w:t>
        </w:r>
        <w:r w:rsidR="004950F0" w:rsidRPr="000D03A0">
          <w:rPr>
            <w:rStyle w:val="Hyperlink"/>
          </w:rPr>
          <w:t>nstitutional-re</w:t>
        </w:r>
        <w:r w:rsidR="004950F0" w:rsidRPr="000D03A0">
          <w:rPr>
            <w:rStyle w:val="Hyperlink"/>
          </w:rPr>
          <w:t>form/The-UK-Constitution.pdf</w:t>
        </w:r>
      </w:hyperlink>
      <w:r w:rsidR="004950F0">
        <w:t xml:space="preserve"> (Accessed 23 February 2025).</w:t>
      </w:r>
    </w:p>
    <w:p w14:paraId="7338D317" w14:textId="77777777" w:rsidR="00220760" w:rsidRDefault="00220760"/>
    <w:p w14:paraId="5F18491F" w14:textId="77777777" w:rsidR="001A3671" w:rsidRDefault="001A3671"/>
    <w:p w14:paraId="70F39DE7" w14:textId="59990FBB" w:rsidR="00A9597C" w:rsidRPr="00A9597C" w:rsidRDefault="00A9597C" w:rsidP="00A9597C">
      <w:r>
        <w:t xml:space="preserve">UK Parliament (2021). </w:t>
      </w:r>
      <w:r w:rsidRPr="00A9597C">
        <w:rPr>
          <w:i/>
          <w:iCs/>
        </w:rPr>
        <w:t>The Government’s Independent Review of the Human Rights Act</w:t>
      </w:r>
      <w:r>
        <w:t xml:space="preserve">: </w:t>
      </w:r>
      <w:r w:rsidRPr="00A9597C">
        <w:rPr>
          <w:i/>
          <w:iCs/>
        </w:rPr>
        <w:t>The separation of powers: sections 3 and 4 Human Rights Act</w:t>
      </w:r>
      <w:r>
        <w:t xml:space="preserve">. Available at: </w:t>
      </w:r>
      <w:hyperlink r:id="rId10" w:history="1">
        <w:r w:rsidRPr="00A9597C">
          <w:rPr>
            <w:rStyle w:val="Hyperlink"/>
          </w:rPr>
          <w:t>The Government’s Independent Review of the Human Rights Act - Joint Committee on Human Rights - House of Commons</w:t>
        </w:r>
      </w:hyperlink>
      <w:r>
        <w:t xml:space="preserve"> (Accessed: 3 March 2025).</w:t>
      </w:r>
    </w:p>
    <w:p w14:paraId="67126CA9" w14:textId="4CFD9B22" w:rsidR="00A9597C" w:rsidRPr="00A9597C" w:rsidRDefault="00A9597C"/>
    <w:p w14:paraId="358914B7" w14:textId="7040D726" w:rsidR="001A3671" w:rsidRPr="001A3671" w:rsidRDefault="001A3671" w:rsidP="001A3671">
      <w:r>
        <w:lastRenderedPageBreak/>
        <w:t>UK Parliament (2025).</w:t>
      </w:r>
      <w:r w:rsidR="00A9597C">
        <w:t xml:space="preserve"> </w:t>
      </w:r>
      <w:r w:rsidRPr="001A3671">
        <w:rPr>
          <w:i/>
          <w:iCs/>
        </w:rPr>
        <w:t>The Supreme Court 2009</w:t>
      </w:r>
      <w:r>
        <w:t xml:space="preserve">. Available at: </w:t>
      </w:r>
      <w:hyperlink r:id="rId11" w:history="1">
        <w:r w:rsidRPr="001A3671">
          <w:rPr>
            <w:rStyle w:val="Hyperlink"/>
          </w:rPr>
          <w:t>The Supreme Court 2009 - UK Parliament</w:t>
        </w:r>
      </w:hyperlink>
      <w:r>
        <w:t xml:space="preserve"> (Accessed: 3 March 2025).</w:t>
      </w:r>
    </w:p>
    <w:p w14:paraId="1A1C3586" w14:textId="66EC8A78" w:rsidR="001A3671" w:rsidRPr="001A3671" w:rsidRDefault="001A3671">
      <w:pPr>
        <w:rPr>
          <w:i/>
          <w:iCs/>
        </w:rPr>
      </w:pPr>
    </w:p>
    <w:p w14:paraId="383B0BED" w14:textId="0F28526B" w:rsidR="00F440DE" w:rsidRPr="00381733" w:rsidRDefault="00F440DE"/>
    <w:sectPr w:rsidR="00F440DE" w:rsidRPr="003817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EC0"/>
    <w:rsid w:val="00000B9F"/>
    <w:rsid w:val="00007D20"/>
    <w:rsid w:val="00011B47"/>
    <w:rsid w:val="00017A6B"/>
    <w:rsid w:val="00017E89"/>
    <w:rsid w:val="00026334"/>
    <w:rsid w:val="000400CA"/>
    <w:rsid w:val="0004376D"/>
    <w:rsid w:val="000451EB"/>
    <w:rsid w:val="0004632D"/>
    <w:rsid w:val="000635AC"/>
    <w:rsid w:val="00064344"/>
    <w:rsid w:val="000651ED"/>
    <w:rsid w:val="00066B01"/>
    <w:rsid w:val="00074E57"/>
    <w:rsid w:val="00091744"/>
    <w:rsid w:val="00091F5C"/>
    <w:rsid w:val="000A1C7E"/>
    <w:rsid w:val="000B2D47"/>
    <w:rsid w:val="000C4973"/>
    <w:rsid w:val="000D1BB6"/>
    <w:rsid w:val="000D4A3E"/>
    <w:rsid w:val="000D4BB2"/>
    <w:rsid w:val="000D7998"/>
    <w:rsid w:val="000E387C"/>
    <w:rsid w:val="000E49AE"/>
    <w:rsid w:val="000E7B0F"/>
    <w:rsid w:val="000F0F56"/>
    <w:rsid w:val="0011161E"/>
    <w:rsid w:val="001118F1"/>
    <w:rsid w:val="00116F5B"/>
    <w:rsid w:val="00121D7E"/>
    <w:rsid w:val="001230E3"/>
    <w:rsid w:val="00131D01"/>
    <w:rsid w:val="00132272"/>
    <w:rsid w:val="00137968"/>
    <w:rsid w:val="0014610D"/>
    <w:rsid w:val="00150654"/>
    <w:rsid w:val="00157F27"/>
    <w:rsid w:val="001810A3"/>
    <w:rsid w:val="001811A2"/>
    <w:rsid w:val="00182126"/>
    <w:rsid w:val="0018656E"/>
    <w:rsid w:val="00190B08"/>
    <w:rsid w:val="001934D3"/>
    <w:rsid w:val="001A3671"/>
    <w:rsid w:val="001C3DC5"/>
    <w:rsid w:val="001C7C6E"/>
    <w:rsid w:val="001D0D1A"/>
    <w:rsid w:val="001E3654"/>
    <w:rsid w:val="001F270A"/>
    <w:rsid w:val="001F2A1F"/>
    <w:rsid w:val="0021462B"/>
    <w:rsid w:val="00220760"/>
    <w:rsid w:val="002276A0"/>
    <w:rsid w:val="0023359D"/>
    <w:rsid w:val="00235DB7"/>
    <w:rsid w:val="002405DA"/>
    <w:rsid w:val="00241400"/>
    <w:rsid w:val="00251001"/>
    <w:rsid w:val="00253D33"/>
    <w:rsid w:val="00263337"/>
    <w:rsid w:val="00264A1D"/>
    <w:rsid w:val="00264B18"/>
    <w:rsid w:val="00292FFA"/>
    <w:rsid w:val="00297DD0"/>
    <w:rsid w:val="002A389A"/>
    <w:rsid w:val="002B1D93"/>
    <w:rsid w:val="002C1D4F"/>
    <w:rsid w:val="002D303B"/>
    <w:rsid w:val="002D4C77"/>
    <w:rsid w:val="002D7C71"/>
    <w:rsid w:val="002F610C"/>
    <w:rsid w:val="002F6451"/>
    <w:rsid w:val="00301864"/>
    <w:rsid w:val="00301975"/>
    <w:rsid w:val="00302A5C"/>
    <w:rsid w:val="003118D0"/>
    <w:rsid w:val="00311F82"/>
    <w:rsid w:val="00324129"/>
    <w:rsid w:val="003379FD"/>
    <w:rsid w:val="00341CF1"/>
    <w:rsid w:val="0034270D"/>
    <w:rsid w:val="00366757"/>
    <w:rsid w:val="00375E05"/>
    <w:rsid w:val="00381733"/>
    <w:rsid w:val="00387A7C"/>
    <w:rsid w:val="00397D41"/>
    <w:rsid w:val="003A4803"/>
    <w:rsid w:val="003C0DFD"/>
    <w:rsid w:val="003C5A77"/>
    <w:rsid w:val="003D4028"/>
    <w:rsid w:val="003D6A3E"/>
    <w:rsid w:val="003E6F48"/>
    <w:rsid w:val="003F01AA"/>
    <w:rsid w:val="003F33C2"/>
    <w:rsid w:val="003F79FF"/>
    <w:rsid w:val="00407493"/>
    <w:rsid w:val="0041093F"/>
    <w:rsid w:val="00415AF6"/>
    <w:rsid w:val="00417146"/>
    <w:rsid w:val="004310A2"/>
    <w:rsid w:val="00432541"/>
    <w:rsid w:val="00445D93"/>
    <w:rsid w:val="00455CAB"/>
    <w:rsid w:val="004619E8"/>
    <w:rsid w:val="00472A25"/>
    <w:rsid w:val="00475758"/>
    <w:rsid w:val="00482553"/>
    <w:rsid w:val="00483261"/>
    <w:rsid w:val="004950F0"/>
    <w:rsid w:val="004A484B"/>
    <w:rsid w:val="004A51F6"/>
    <w:rsid w:val="004A5B12"/>
    <w:rsid w:val="004B7647"/>
    <w:rsid w:val="004D7756"/>
    <w:rsid w:val="004E4E56"/>
    <w:rsid w:val="004E7A91"/>
    <w:rsid w:val="004F0395"/>
    <w:rsid w:val="004F3D60"/>
    <w:rsid w:val="004F6B13"/>
    <w:rsid w:val="005067BA"/>
    <w:rsid w:val="00512C5A"/>
    <w:rsid w:val="00512FA7"/>
    <w:rsid w:val="005134C6"/>
    <w:rsid w:val="00520962"/>
    <w:rsid w:val="005228C1"/>
    <w:rsid w:val="00530EE6"/>
    <w:rsid w:val="00534700"/>
    <w:rsid w:val="00537C12"/>
    <w:rsid w:val="00567999"/>
    <w:rsid w:val="00572E42"/>
    <w:rsid w:val="005839D1"/>
    <w:rsid w:val="005A24F8"/>
    <w:rsid w:val="005A656C"/>
    <w:rsid w:val="005A779B"/>
    <w:rsid w:val="005B2AB2"/>
    <w:rsid w:val="005B3C20"/>
    <w:rsid w:val="005B4462"/>
    <w:rsid w:val="005C1988"/>
    <w:rsid w:val="005D361E"/>
    <w:rsid w:val="005E2848"/>
    <w:rsid w:val="005E31F5"/>
    <w:rsid w:val="005F668B"/>
    <w:rsid w:val="005F7414"/>
    <w:rsid w:val="0060158B"/>
    <w:rsid w:val="00613518"/>
    <w:rsid w:val="00621BEF"/>
    <w:rsid w:val="00627E45"/>
    <w:rsid w:val="00634522"/>
    <w:rsid w:val="00634882"/>
    <w:rsid w:val="00634AAF"/>
    <w:rsid w:val="0064279B"/>
    <w:rsid w:val="006529B3"/>
    <w:rsid w:val="00653CE0"/>
    <w:rsid w:val="0065574F"/>
    <w:rsid w:val="0066298F"/>
    <w:rsid w:val="0066435D"/>
    <w:rsid w:val="00667EBD"/>
    <w:rsid w:val="00672283"/>
    <w:rsid w:val="00673C18"/>
    <w:rsid w:val="0068447F"/>
    <w:rsid w:val="00684F53"/>
    <w:rsid w:val="00685317"/>
    <w:rsid w:val="00686BCC"/>
    <w:rsid w:val="00693117"/>
    <w:rsid w:val="006A2013"/>
    <w:rsid w:val="006A6AC9"/>
    <w:rsid w:val="006B172A"/>
    <w:rsid w:val="006B63CE"/>
    <w:rsid w:val="006C2906"/>
    <w:rsid w:val="006C4163"/>
    <w:rsid w:val="006D3A7F"/>
    <w:rsid w:val="006D591A"/>
    <w:rsid w:val="006E16FA"/>
    <w:rsid w:val="00715DFF"/>
    <w:rsid w:val="0071772C"/>
    <w:rsid w:val="007343B1"/>
    <w:rsid w:val="00735E86"/>
    <w:rsid w:val="00742972"/>
    <w:rsid w:val="00757114"/>
    <w:rsid w:val="00762502"/>
    <w:rsid w:val="00771152"/>
    <w:rsid w:val="0077622F"/>
    <w:rsid w:val="007763B2"/>
    <w:rsid w:val="00776AC9"/>
    <w:rsid w:val="0077775F"/>
    <w:rsid w:val="00784393"/>
    <w:rsid w:val="00787887"/>
    <w:rsid w:val="00791E38"/>
    <w:rsid w:val="00793760"/>
    <w:rsid w:val="00795F0D"/>
    <w:rsid w:val="007A2CBC"/>
    <w:rsid w:val="007A4186"/>
    <w:rsid w:val="007C5A83"/>
    <w:rsid w:val="007C7166"/>
    <w:rsid w:val="007E3543"/>
    <w:rsid w:val="007F2F11"/>
    <w:rsid w:val="007F52D3"/>
    <w:rsid w:val="007F7BD3"/>
    <w:rsid w:val="00804142"/>
    <w:rsid w:val="0080497E"/>
    <w:rsid w:val="00807260"/>
    <w:rsid w:val="00817568"/>
    <w:rsid w:val="0082273C"/>
    <w:rsid w:val="00832ED8"/>
    <w:rsid w:val="008331B1"/>
    <w:rsid w:val="00833679"/>
    <w:rsid w:val="00834E37"/>
    <w:rsid w:val="0085522A"/>
    <w:rsid w:val="00884471"/>
    <w:rsid w:val="008853FF"/>
    <w:rsid w:val="00893611"/>
    <w:rsid w:val="008B01E3"/>
    <w:rsid w:val="008B72B8"/>
    <w:rsid w:val="008C0DB1"/>
    <w:rsid w:val="008C3C21"/>
    <w:rsid w:val="008C7BCF"/>
    <w:rsid w:val="008D2501"/>
    <w:rsid w:val="008D2630"/>
    <w:rsid w:val="008D273A"/>
    <w:rsid w:val="008D5D0A"/>
    <w:rsid w:val="008D623A"/>
    <w:rsid w:val="008D66DC"/>
    <w:rsid w:val="008F5482"/>
    <w:rsid w:val="00906C0D"/>
    <w:rsid w:val="00910BA0"/>
    <w:rsid w:val="00921B90"/>
    <w:rsid w:val="00921E6F"/>
    <w:rsid w:val="009320EA"/>
    <w:rsid w:val="00933356"/>
    <w:rsid w:val="00935662"/>
    <w:rsid w:val="00935861"/>
    <w:rsid w:val="00940F29"/>
    <w:rsid w:val="00954489"/>
    <w:rsid w:val="009560E4"/>
    <w:rsid w:val="0095757E"/>
    <w:rsid w:val="00965829"/>
    <w:rsid w:val="00966BF0"/>
    <w:rsid w:val="00971BB2"/>
    <w:rsid w:val="009757E9"/>
    <w:rsid w:val="00984827"/>
    <w:rsid w:val="00985F09"/>
    <w:rsid w:val="00986BCD"/>
    <w:rsid w:val="00995B03"/>
    <w:rsid w:val="009A08C3"/>
    <w:rsid w:val="009A0A1A"/>
    <w:rsid w:val="009A51C6"/>
    <w:rsid w:val="009B52A1"/>
    <w:rsid w:val="009C2F1F"/>
    <w:rsid w:val="009C68B3"/>
    <w:rsid w:val="009C7F45"/>
    <w:rsid w:val="009D1A20"/>
    <w:rsid w:val="00A00DC4"/>
    <w:rsid w:val="00A0462C"/>
    <w:rsid w:val="00A10FFA"/>
    <w:rsid w:val="00A11B3F"/>
    <w:rsid w:val="00A16971"/>
    <w:rsid w:val="00A2336D"/>
    <w:rsid w:val="00A318A6"/>
    <w:rsid w:val="00A422B6"/>
    <w:rsid w:val="00A44DAB"/>
    <w:rsid w:val="00A45810"/>
    <w:rsid w:val="00A463DD"/>
    <w:rsid w:val="00A50A1C"/>
    <w:rsid w:val="00A7113B"/>
    <w:rsid w:val="00A867A2"/>
    <w:rsid w:val="00A92B00"/>
    <w:rsid w:val="00A9597C"/>
    <w:rsid w:val="00AA083E"/>
    <w:rsid w:val="00AB5990"/>
    <w:rsid w:val="00AC4073"/>
    <w:rsid w:val="00AE6C53"/>
    <w:rsid w:val="00AE7B37"/>
    <w:rsid w:val="00AF320C"/>
    <w:rsid w:val="00B07E15"/>
    <w:rsid w:val="00B3141D"/>
    <w:rsid w:val="00B326EF"/>
    <w:rsid w:val="00B3329E"/>
    <w:rsid w:val="00B365FF"/>
    <w:rsid w:val="00B378E2"/>
    <w:rsid w:val="00B41D55"/>
    <w:rsid w:val="00B42775"/>
    <w:rsid w:val="00B43B1F"/>
    <w:rsid w:val="00B461D3"/>
    <w:rsid w:val="00B46E23"/>
    <w:rsid w:val="00B53EC3"/>
    <w:rsid w:val="00B54C53"/>
    <w:rsid w:val="00B55B16"/>
    <w:rsid w:val="00B9639F"/>
    <w:rsid w:val="00B97C4D"/>
    <w:rsid w:val="00BA1D66"/>
    <w:rsid w:val="00BA4A0F"/>
    <w:rsid w:val="00BA5A0A"/>
    <w:rsid w:val="00BB2CBB"/>
    <w:rsid w:val="00BC340F"/>
    <w:rsid w:val="00BC6250"/>
    <w:rsid w:val="00BC7C11"/>
    <w:rsid w:val="00BF0AF9"/>
    <w:rsid w:val="00BF1FDA"/>
    <w:rsid w:val="00C0345D"/>
    <w:rsid w:val="00C16329"/>
    <w:rsid w:val="00C27451"/>
    <w:rsid w:val="00C27933"/>
    <w:rsid w:val="00C322A4"/>
    <w:rsid w:val="00C347E0"/>
    <w:rsid w:val="00C4019F"/>
    <w:rsid w:val="00C47329"/>
    <w:rsid w:val="00C47A04"/>
    <w:rsid w:val="00C64681"/>
    <w:rsid w:val="00C71F04"/>
    <w:rsid w:val="00C74D40"/>
    <w:rsid w:val="00C8466E"/>
    <w:rsid w:val="00C86083"/>
    <w:rsid w:val="00C86988"/>
    <w:rsid w:val="00C90DB8"/>
    <w:rsid w:val="00CB1A37"/>
    <w:rsid w:val="00CC00F8"/>
    <w:rsid w:val="00CD0AA5"/>
    <w:rsid w:val="00CD0D3B"/>
    <w:rsid w:val="00CD2520"/>
    <w:rsid w:val="00CE396E"/>
    <w:rsid w:val="00CE7599"/>
    <w:rsid w:val="00CF787B"/>
    <w:rsid w:val="00D240BF"/>
    <w:rsid w:val="00D26315"/>
    <w:rsid w:val="00D36B3C"/>
    <w:rsid w:val="00D52DE8"/>
    <w:rsid w:val="00D57057"/>
    <w:rsid w:val="00D65E2A"/>
    <w:rsid w:val="00D75D2E"/>
    <w:rsid w:val="00D85111"/>
    <w:rsid w:val="00D91A98"/>
    <w:rsid w:val="00DA6C65"/>
    <w:rsid w:val="00DB2071"/>
    <w:rsid w:val="00DC1140"/>
    <w:rsid w:val="00DC2F5D"/>
    <w:rsid w:val="00DC33F2"/>
    <w:rsid w:val="00DC3E95"/>
    <w:rsid w:val="00DC7592"/>
    <w:rsid w:val="00DD10C6"/>
    <w:rsid w:val="00DD4482"/>
    <w:rsid w:val="00DD7A76"/>
    <w:rsid w:val="00DE3F78"/>
    <w:rsid w:val="00DE41A1"/>
    <w:rsid w:val="00DF5D22"/>
    <w:rsid w:val="00DF5E1D"/>
    <w:rsid w:val="00DF689A"/>
    <w:rsid w:val="00DF7428"/>
    <w:rsid w:val="00E10919"/>
    <w:rsid w:val="00E11491"/>
    <w:rsid w:val="00E1211B"/>
    <w:rsid w:val="00E15142"/>
    <w:rsid w:val="00E15B40"/>
    <w:rsid w:val="00E24E37"/>
    <w:rsid w:val="00E26371"/>
    <w:rsid w:val="00E27079"/>
    <w:rsid w:val="00E43258"/>
    <w:rsid w:val="00E50030"/>
    <w:rsid w:val="00E57495"/>
    <w:rsid w:val="00E74F39"/>
    <w:rsid w:val="00E75C30"/>
    <w:rsid w:val="00E84344"/>
    <w:rsid w:val="00EA5D91"/>
    <w:rsid w:val="00EB1E7F"/>
    <w:rsid w:val="00EC02F1"/>
    <w:rsid w:val="00EC17D0"/>
    <w:rsid w:val="00EC6C3A"/>
    <w:rsid w:val="00ED03D0"/>
    <w:rsid w:val="00EE6D89"/>
    <w:rsid w:val="00EF10F9"/>
    <w:rsid w:val="00F10719"/>
    <w:rsid w:val="00F108BB"/>
    <w:rsid w:val="00F16172"/>
    <w:rsid w:val="00F31EB1"/>
    <w:rsid w:val="00F344F7"/>
    <w:rsid w:val="00F401B6"/>
    <w:rsid w:val="00F404E6"/>
    <w:rsid w:val="00F43317"/>
    <w:rsid w:val="00F43AD5"/>
    <w:rsid w:val="00F440DE"/>
    <w:rsid w:val="00F452B4"/>
    <w:rsid w:val="00F46A0C"/>
    <w:rsid w:val="00F47894"/>
    <w:rsid w:val="00F50D37"/>
    <w:rsid w:val="00F557BF"/>
    <w:rsid w:val="00F55FE5"/>
    <w:rsid w:val="00F6614B"/>
    <w:rsid w:val="00F73907"/>
    <w:rsid w:val="00F75001"/>
    <w:rsid w:val="00F85EBC"/>
    <w:rsid w:val="00F90635"/>
    <w:rsid w:val="00F94939"/>
    <w:rsid w:val="00FB5AC2"/>
    <w:rsid w:val="00FD0356"/>
    <w:rsid w:val="00FD7EC0"/>
    <w:rsid w:val="00FE5A66"/>
    <w:rsid w:val="00FF5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F6BC4"/>
  <w15:chartTrackingRefBased/>
  <w15:docId w15:val="{8E1FA02F-AD48-4BCC-8999-9AB28BEF3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EC0"/>
  </w:style>
  <w:style w:type="paragraph" w:styleId="Heading1">
    <w:name w:val="heading 1"/>
    <w:basedOn w:val="Normal"/>
    <w:next w:val="Normal"/>
    <w:link w:val="Heading1Char"/>
    <w:uiPriority w:val="9"/>
    <w:qFormat/>
    <w:rsid w:val="00FD7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7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7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7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7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7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7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7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7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7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7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EC0"/>
    <w:rPr>
      <w:rFonts w:eastAsiaTheme="majorEastAsia" w:cstheme="majorBidi"/>
      <w:color w:val="272727" w:themeColor="text1" w:themeTint="D8"/>
    </w:rPr>
  </w:style>
  <w:style w:type="paragraph" w:styleId="Title">
    <w:name w:val="Title"/>
    <w:basedOn w:val="Normal"/>
    <w:next w:val="Normal"/>
    <w:link w:val="TitleChar"/>
    <w:uiPriority w:val="10"/>
    <w:qFormat/>
    <w:rsid w:val="00FD7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EC0"/>
    <w:pPr>
      <w:spacing w:before="160"/>
      <w:jc w:val="center"/>
    </w:pPr>
    <w:rPr>
      <w:i/>
      <w:iCs/>
      <w:color w:val="404040" w:themeColor="text1" w:themeTint="BF"/>
    </w:rPr>
  </w:style>
  <w:style w:type="character" w:customStyle="1" w:styleId="QuoteChar">
    <w:name w:val="Quote Char"/>
    <w:basedOn w:val="DefaultParagraphFont"/>
    <w:link w:val="Quote"/>
    <w:uiPriority w:val="29"/>
    <w:rsid w:val="00FD7EC0"/>
    <w:rPr>
      <w:i/>
      <w:iCs/>
      <w:color w:val="404040" w:themeColor="text1" w:themeTint="BF"/>
    </w:rPr>
  </w:style>
  <w:style w:type="paragraph" w:styleId="ListParagraph">
    <w:name w:val="List Paragraph"/>
    <w:basedOn w:val="Normal"/>
    <w:uiPriority w:val="34"/>
    <w:qFormat/>
    <w:rsid w:val="00FD7EC0"/>
    <w:pPr>
      <w:ind w:left="720"/>
      <w:contextualSpacing/>
    </w:pPr>
  </w:style>
  <w:style w:type="character" w:styleId="IntenseEmphasis">
    <w:name w:val="Intense Emphasis"/>
    <w:basedOn w:val="DefaultParagraphFont"/>
    <w:uiPriority w:val="21"/>
    <w:qFormat/>
    <w:rsid w:val="00FD7EC0"/>
    <w:rPr>
      <w:i/>
      <w:iCs/>
      <w:color w:val="0F4761" w:themeColor="accent1" w:themeShade="BF"/>
    </w:rPr>
  </w:style>
  <w:style w:type="paragraph" w:styleId="IntenseQuote">
    <w:name w:val="Intense Quote"/>
    <w:basedOn w:val="Normal"/>
    <w:next w:val="Normal"/>
    <w:link w:val="IntenseQuoteChar"/>
    <w:uiPriority w:val="30"/>
    <w:qFormat/>
    <w:rsid w:val="00FD7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7EC0"/>
    <w:rPr>
      <w:i/>
      <w:iCs/>
      <w:color w:val="0F4761" w:themeColor="accent1" w:themeShade="BF"/>
    </w:rPr>
  </w:style>
  <w:style w:type="character" w:styleId="IntenseReference">
    <w:name w:val="Intense Reference"/>
    <w:basedOn w:val="DefaultParagraphFont"/>
    <w:uiPriority w:val="32"/>
    <w:qFormat/>
    <w:rsid w:val="00FD7EC0"/>
    <w:rPr>
      <w:b/>
      <w:bCs/>
      <w:smallCaps/>
      <w:color w:val="0F4761" w:themeColor="accent1" w:themeShade="BF"/>
      <w:spacing w:val="5"/>
    </w:rPr>
  </w:style>
  <w:style w:type="character" w:styleId="Hyperlink">
    <w:name w:val="Hyperlink"/>
    <w:basedOn w:val="DefaultParagraphFont"/>
    <w:uiPriority w:val="99"/>
    <w:unhideWhenUsed/>
    <w:rsid w:val="006529B3"/>
    <w:rPr>
      <w:color w:val="467886" w:themeColor="hyperlink"/>
      <w:u w:val="single"/>
    </w:rPr>
  </w:style>
  <w:style w:type="character" w:styleId="UnresolvedMention">
    <w:name w:val="Unresolved Mention"/>
    <w:basedOn w:val="DefaultParagraphFont"/>
    <w:uiPriority w:val="99"/>
    <w:semiHidden/>
    <w:unhideWhenUsed/>
    <w:rsid w:val="006529B3"/>
    <w:rPr>
      <w:color w:val="605E5C"/>
      <w:shd w:val="clear" w:color="auto" w:fill="E1DFDD"/>
    </w:rPr>
  </w:style>
  <w:style w:type="character" w:styleId="FollowedHyperlink">
    <w:name w:val="FollowedHyperlink"/>
    <w:basedOn w:val="DefaultParagraphFont"/>
    <w:uiPriority w:val="99"/>
    <w:semiHidden/>
    <w:unhideWhenUsed/>
    <w:rsid w:val="00AE7B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11370">
      <w:bodyDiv w:val="1"/>
      <w:marLeft w:val="0"/>
      <w:marRight w:val="0"/>
      <w:marTop w:val="0"/>
      <w:marBottom w:val="0"/>
      <w:divBdr>
        <w:top w:val="none" w:sz="0" w:space="0" w:color="auto"/>
        <w:left w:val="none" w:sz="0" w:space="0" w:color="auto"/>
        <w:bottom w:val="none" w:sz="0" w:space="0" w:color="auto"/>
        <w:right w:val="none" w:sz="0" w:space="0" w:color="auto"/>
      </w:divBdr>
    </w:div>
    <w:div w:id="233977472">
      <w:bodyDiv w:val="1"/>
      <w:marLeft w:val="0"/>
      <w:marRight w:val="0"/>
      <w:marTop w:val="0"/>
      <w:marBottom w:val="0"/>
      <w:divBdr>
        <w:top w:val="none" w:sz="0" w:space="0" w:color="auto"/>
        <w:left w:val="none" w:sz="0" w:space="0" w:color="auto"/>
        <w:bottom w:val="none" w:sz="0" w:space="0" w:color="auto"/>
        <w:right w:val="none" w:sz="0" w:space="0" w:color="auto"/>
      </w:divBdr>
    </w:div>
    <w:div w:id="471678330">
      <w:bodyDiv w:val="1"/>
      <w:marLeft w:val="0"/>
      <w:marRight w:val="0"/>
      <w:marTop w:val="0"/>
      <w:marBottom w:val="0"/>
      <w:divBdr>
        <w:top w:val="none" w:sz="0" w:space="0" w:color="auto"/>
        <w:left w:val="none" w:sz="0" w:space="0" w:color="auto"/>
        <w:bottom w:val="none" w:sz="0" w:space="0" w:color="auto"/>
        <w:right w:val="none" w:sz="0" w:space="0" w:color="auto"/>
      </w:divBdr>
    </w:div>
    <w:div w:id="836766579">
      <w:bodyDiv w:val="1"/>
      <w:marLeft w:val="0"/>
      <w:marRight w:val="0"/>
      <w:marTop w:val="0"/>
      <w:marBottom w:val="0"/>
      <w:divBdr>
        <w:top w:val="none" w:sz="0" w:space="0" w:color="auto"/>
        <w:left w:val="none" w:sz="0" w:space="0" w:color="auto"/>
        <w:bottom w:val="none" w:sz="0" w:space="0" w:color="auto"/>
        <w:right w:val="none" w:sz="0" w:space="0" w:color="auto"/>
      </w:divBdr>
    </w:div>
    <w:div w:id="1003312869">
      <w:bodyDiv w:val="1"/>
      <w:marLeft w:val="0"/>
      <w:marRight w:val="0"/>
      <w:marTop w:val="0"/>
      <w:marBottom w:val="0"/>
      <w:divBdr>
        <w:top w:val="none" w:sz="0" w:space="0" w:color="auto"/>
        <w:left w:val="none" w:sz="0" w:space="0" w:color="auto"/>
        <w:bottom w:val="none" w:sz="0" w:space="0" w:color="auto"/>
        <w:right w:val="none" w:sz="0" w:space="0" w:color="auto"/>
      </w:divBdr>
    </w:div>
    <w:div w:id="1232889787">
      <w:bodyDiv w:val="1"/>
      <w:marLeft w:val="0"/>
      <w:marRight w:val="0"/>
      <w:marTop w:val="0"/>
      <w:marBottom w:val="0"/>
      <w:divBdr>
        <w:top w:val="none" w:sz="0" w:space="0" w:color="auto"/>
        <w:left w:val="none" w:sz="0" w:space="0" w:color="auto"/>
        <w:bottom w:val="none" w:sz="0" w:space="0" w:color="auto"/>
        <w:right w:val="none" w:sz="0" w:space="0" w:color="auto"/>
      </w:divBdr>
    </w:div>
    <w:div w:id="1366059464">
      <w:bodyDiv w:val="1"/>
      <w:marLeft w:val="0"/>
      <w:marRight w:val="0"/>
      <w:marTop w:val="0"/>
      <w:marBottom w:val="0"/>
      <w:divBdr>
        <w:top w:val="none" w:sz="0" w:space="0" w:color="auto"/>
        <w:left w:val="none" w:sz="0" w:space="0" w:color="auto"/>
        <w:bottom w:val="none" w:sz="0" w:space="0" w:color="auto"/>
        <w:right w:val="none" w:sz="0" w:space="0" w:color="auto"/>
      </w:divBdr>
    </w:div>
    <w:div w:id="1955400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4/notes"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file:///C:\Users\Owner\Downloads\AC+2.4.3.3+Akhtar.pdf"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arliament.uk/about/living-heritage/evolutionofparliament/houseoflords/judicialrole/overview/supremecourt/" TargetMode="External"/><Relationship Id="rId5" Type="http://schemas.openxmlformats.org/officeDocument/2006/relationships/settings" Target="settings.xml"/><Relationship Id="rId10" Type="http://schemas.openxmlformats.org/officeDocument/2006/relationships/hyperlink" Target="https://publications.parliament.uk/pa/jt5802/jtselect/jtrights/89/8907.htm" TargetMode="External"/><Relationship Id="rId4" Type="http://schemas.openxmlformats.org/officeDocument/2006/relationships/styles" Target="styles.xml"/><Relationship Id="rId9" Type="http://schemas.openxmlformats.org/officeDocument/2006/relationships/hyperlink" Target="https://www.parliament.uk/globalassets/documents/commons-committees/political-and-constitutional-reform/The-UK-Constitu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4f0b244161c8422abc9b8d63f0134bd">
  <xsd:schema xmlns:xsd="http://www.w3.org/2001/XMLSchema" xmlns:xs="http://www.w3.org/2001/XMLSchema" xmlns:p="http://schemas.microsoft.com/office/2006/metadata/properties" xmlns:ns3="0085e1a2-9cbf-4b92-866b-21f3c89040b6" targetNamespace="http://schemas.microsoft.com/office/2006/metadata/properties" ma:root="true" ma:fieldsID="e32310e450c9c0d6937daaf3ec3d8aa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B6439C-AD3E-42B0-9BC2-4CF13F0A6F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7B8628-E82C-4DA3-99C5-F79B74A9F445}">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59727DA3-8200-4788-A332-6943A1AEF27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6</Pages>
  <Words>1812</Words>
  <Characters>10331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Perugini (2404394)</dc:creator>
  <cp:keywords/>
  <dc:description/>
  <cp:lastModifiedBy>Claudio Perugini (2404394)</cp:lastModifiedBy>
  <cp:revision>3</cp:revision>
  <dcterms:created xsi:type="dcterms:W3CDTF">2025-03-03T10:01:00Z</dcterms:created>
  <dcterms:modified xsi:type="dcterms:W3CDTF">2025-03-05T12:43:00Z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