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CBE658" w14:textId="459A7611" w:rsidR="00EB29B1" w:rsidRPr="00B03FF7" w:rsidRDefault="00B03FF7" w:rsidP="003D4DFC">
      <w:pPr>
        <w:jc w:val="both"/>
        <w:rPr>
          <w:b/>
          <w:bCs/>
          <w:color w:val="EE0000"/>
          <w:sz w:val="36"/>
          <w:szCs w:val="36"/>
        </w:rPr>
      </w:pPr>
      <w:r w:rsidRPr="00B03FF7">
        <w:rPr>
          <w:b/>
          <w:bCs/>
          <w:color w:val="EE0000"/>
          <w:sz w:val="36"/>
          <w:szCs w:val="36"/>
        </w:rPr>
        <w:t>Title Page</w:t>
      </w:r>
    </w:p>
    <w:p w14:paraId="7264BCAA" w14:textId="3484BC17" w:rsidR="00B03FF7" w:rsidRPr="00B03FF7" w:rsidRDefault="00B03FF7" w:rsidP="003D4DFC">
      <w:pPr>
        <w:jc w:val="both"/>
        <w:rPr>
          <w:b/>
          <w:bCs/>
          <w:sz w:val="28"/>
          <w:szCs w:val="28"/>
        </w:rPr>
      </w:pPr>
      <w:r w:rsidRPr="00B03FF7">
        <w:rPr>
          <w:b/>
          <w:bCs/>
          <w:sz w:val="28"/>
          <w:szCs w:val="28"/>
        </w:rPr>
        <w:t xml:space="preserve">Student name: Kingsley Adu </w:t>
      </w:r>
      <w:proofErr w:type="spellStart"/>
      <w:r w:rsidRPr="00B03FF7">
        <w:rPr>
          <w:b/>
          <w:bCs/>
          <w:sz w:val="28"/>
          <w:szCs w:val="28"/>
        </w:rPr>
        <w:t>Brefo</w:t>
      </w:r>
      <w:proofErr w:type="spellEnd"/>
    </w:p>
    <w:p w14:paraId="172020F3" w14:textId="357D2A55" w:rsidR="00EB29B1" w:rsidRPr="00B03FF7" w:rsidRDefault="00B03FF7" w:rsidP="003D4DFC">
      <w:pPr>
        <w:jc w:val="both"/>
        <w:rPr>
          <w:b/>
          <w:bCs/>
          <w:sz w:val="28"/>
          <w:szCs w:val="28"/>
        </w:rPr>
      </w:pPr>
      <w:r w:rsidRPr="00B03FF7">
        <w:rPr>
          <w:b/>
          <w:bCs/>
          <w:sz w:val="28"/>
          <w:szCs w:val="28"/>
        </w:rPr>
        <w:t>Student ID:2424521</w:t>
      </w:r>
    </w:p>
    <w:p w14:paraId="06BB0031" w14:textId="77777777" w:rsidR="00EB29B1" w:rsidRPr="00B03FF7" w:rsidRDefault="00EB29B1" w:rsidP="003D4DFC">
      <w:pPr>
        <w:jc w:val="both"/>
        <w:rPr>
          <w:b/>
          <w:bCs/>
          <w:sz w:val="28"/>
          <w:szCs w:val="28"/>
        </w:rPr>
      </w:pPr>
      <w:r w:rsidRPr="00B03FF7">
        <w:rPr>
          <w:b/>
          <w:bCs/>
          <w:sz w:val="28"/>
          <w:szCs w:val="28"/>
        </w:rPr>
        <w:t xml:space="preserve">Module: Protecting and Supporting Families in Health and Care </w:t>
      </w:r>
    </w:p>
    <w:p w14:paraId="2C58CED7" w14:textId="469CC193" w:rsidR="00EB29B1" w:rsidRPr="00B03FF7" w:rsidRDefault="00EB29B1" w:rsidP="003D4DFC">
      <w:pPr>
        <w:jc w:val="both"/>
        <w:rPr>
          <w:b/>
          <w:bCs/>
          <w:sz w:val="28"/>
          <w:szCs w:val="28"/>
        </w:rPr>
      </w:pPr>
      <w:r w:rsidRPr="00B03FF7">
        <w:rPr>
          <w:b/>
          <w:bCs/>
          <w:sz w:val="28"/>
          <w:szCs w:val="28"/>
        </w:rPr>
        <w:t>Module code: BMHP5021</w:t>
      </w:r>
    </w:p>
    <w:p w14:paraId="7B2591DA" w14:textId="3DFD54C5" w:rsidR="00B03FF7" w:rsidRPr="00B03FF7" w:rsidRDefault="00B03FF7" w:rsidP="003D4DFC">
      <w:pPr>
        <w:jc w:val="both"/>
        <w:rPr>
          <w:b/>
          <w:bCs/>
          <w:sz w:val="28"/>
          <w:szCs w:val="28"/>
        </w:rPr>
      </w:pPr>
      <w:r w:rsidRPr="00B03FF7">
        <w:rPr>
          <w:b/>
          <w:bCs/>
          <w:sz w:val="28"/>
          <w:szCs w:val="28"/>
        </w:rPr>
        <w:t>Assignment title: Written report</w:t>
      </w:r>
    </w:p>
    <w:p w14:paraId="3F30CB9C" w14:textId="77777777" w:rsidR="00EB29B1" w:rsidRDefault="00EB29B1" w:rsidP="003D4DFC">
      <w:pPr>
        <w:jc w:val="both"/>
        <w:rPr>
          <w:b/>
          <w:bCs/>
        </w:rPr>
      </w:pPr>
    </w:p>
    <w:p w14:paraId="707B639A" w14:textId="77777777" w:rsidR="00EB29B1" w:rsidRDefault="00EB29B1" w:rsidP="003D4DFC">
      <w:pPr>
        <w:jc w:val="both"/>
        <w:rPr>
          <w:b/>
          <w:bCs/>
        </w:rPr>
      </w:pPr>
    </w:p>
    <w:p w14:paraId="3E43E1BC" w14:textId="77777777" w:rsidR="00B03FF7" w:rsidRDefault="00B03FF7" w:rsidP="003D4DFC">
      <w:pPr>
        <w:jc w:val="both"/>
        <w:rPr>
          <w:b/>
          <w:bCs/>
        </w:rPr>
      </w:pPr>
    </w:p>
    <w:p w14:paraId="0F471AA0" w14:textId="77777777" w:rsidR="00EB29B1" w:rsidRDefault="00EB29B1" w:rsidP="003D4DFC">
      <w:pPr>
        <w:jc w:val="both"/>
        <w:rPr>
          <w:b/>
          <w:bCs/>
        </w:rPr>
      </w:pPr>
    </w:p>
    <w:p w14:paraId="4F6BC31D" w14:textId="77777777" w:rsidR="00EB29B1" w:rsidRDefault="00EB29B1" w:rsidP="003D4DFC">
      <w:pPr>
        <w:jc w:val="both"/>
        <w:rPr>
          <w:b/>
          <w:bCs/>
        </w:rPr>
      </w:pPr>
    </w:p>
    <w:p w14:paraId="64680469" w14:textId="77777777" w:rsidR="00EB29B1" w:rsidRDefault="00EB29B1" w:rsidP="003D4DFC">
      <w:pPr>
        <w:jc w:val="both"/>
        <w:rPr>
          <w:b/>
          <w:bCs/>
        </w:rPr>
      </w:pPr>
    </w:p>
    <w:p w14:paraId="4F68D92F" w14:textId="77777777" w:rsidR="00EB29B1" w:rsidRDefault="00EB29B1" w:rsidP="003D4DFC">
      <w:pPr>
        <w:jc w:val="both"/>
        <w:rPr>
          <w:b/>
          <w:bCs/>
        </w:rPr>
      </w:pPr>
    </w:p>
    <w:p w14:paraId="0E86CF26" w14:textId="77777777" w:rsidR="00EB29B1" w:rsidRDefault="00EB29B1" w:rsidP="003D4DFC">
      <w:pPr>
        <w:jc w:val="both"/>
        <w:rPr>
          <w:b/>
          <w:bCs/>
        </w:rPr>
      </w:pPr>
    </w:p>
    <w:p w14:paraId="0ADA5A8E" w14:textId="77777777" w:rsidR="00EB29B1" w:rsidRDefault="00EB29B1" w:rsidP="003D4DFC">
      <w:pPr>
        <w:jc w:val="both"/>
        <w:rPr>
          <w:b/>
          <w:bCs/>
        </w:rPr>
      </w:pPr>
    </w:p>
    <w:p w14:paraId="64D92A76" w14:textId="77777777" w:rsidR="00EB29B1" w:rsidRDefault="00EB29B1" w:rsidP="003D4DFC">
      <w:pPr>
        <w:jc w:val="both"/>
        <w:rPr>
          <w:b/>
          <w:bCs/>
        </w:rPr>
      </w:pPr>
    </w:p>
    <w:p w14:paraId="58493886" w14:textId="77777777" w:rsidR="00EB29B1" w:rsidRDefault="00EB29B1" w:rsidP="003D4DFC">
      <w:pPr>
        <w:jc w:val="both"/>
        <w:rPr>
          <w:b/>
          <w:bCs/>
        </w:rPr>
      </w:pPr>
    </w:p>
    <w:p w14:paraId="04FA830E" w14:textId="77777777" w:rsidR="00EB29B1" w:rsidRDefault="00EB29B1" w:rsidP="003D4DFC">
      <w:pPr>
        <w:jc w:val="both"/>
        <w:rPr>
          <w:b/>
          <w:bCs/>
        </w:rPr>
      </w:pPr>
    </w:p>
    <w:p w14:paraId="3C0F8784" w14:textId="77777777" w:rsidR="00EB29B1" w:rsidRDefault="00EB29B1" w:rsidP="003D4DFC">
      <w:pPr>
        <w:jc w:val="both"/>
        <w:rPr>
          <w:b/>
          <w:bCs/>
        </w:rPr>
      </w:pPr>
    </w:p>
    <w:p w14:paraId="26ADAF13" w14:textId="77777777" w:rsidR="00EB29B1" w:rsidRDefault="00EB29B1" w:rsidP="003D4DFC">
      <w:pPr>
        <w:jc w:val="both"/>
        <w:rPr>
          <w:b/>
          <w:bCs/>
        </w:rPr>
      </w:pPr>
    </w:p>
    <w:p w14:paraId="6A5F43C9" w14:textId="77777777" w:rsidR="00EB29B1" w:rsidRDefault="00EB29B1" w:rsidP="003D4DFC">
      <w:pPr>
        <w:jc w:val="both"/>
        <w:rPr>
          <w:b/>
          <w:bCs/>
        </w:rPr>
      </w:pPr>
    </w:p>
    <w:p w14:paraId="3285E974" w14:textId="77777777" w:rsidR="00EB29B1" w:rsidRDefault="00EB29B1" w:rsidP="003D4DFC">
      <w:pPr>
        <w:jc w:val="both"/>
        <w:rPr>
          <w:b/>
          <w:bCs/>
        </w:rPr>
      </w:pPr>
    </w:p>
    <w:p w14:paraId="519D08E8" w14:textId="77777777" w:rsidR="00EB29B1" w:rsidRDefault="00EB29B1" w:rsidP="003D4DFC">
      <w:pPr>
        <w:jc w:val="both"/>
        <w:rPr>
          <w:b/>
          <w:bCs/>
        </w:rPr>
      </w:pPr>
    </w:p>
    <w:p w14:paraId="084A21D5" w14:textId="77777777" w:rsidR="00EB29B1" w:rsidRDefault="00EB29B1" w:rsidP="003D4DFC">
      <w:pPr>
        <w:jc w:val="both"/>
        <w:rPr>
          <w:b/>
          <w:bCs/>
        </w:rPr>
      </w:pPr>
    </w:p>
    <w:p w14:paraId="77C39712" w14:textId="77777777" w:rsidR="00EB29B1" w:rsidRDefault="00EB29B1" w:rsidP="003D4DFC">
      <w:pPr>
        <w:jc w:val="both"/>
        <w:rPr>
          <w:b/>
          <w:bCs/>
        </w:rPr>
      </w:pPr>
    </w:p>
    <w:p w14:paraId="590E2988" w14:textId="77777777" w:rsidR="00EB29B1" w:rsidRDefault="00EB29B1" w:rsidP="003D4DFC">
      <w:pPr>
        <w:jc w:val="both"/>
        <w:rPr>
          <w:b/>
          <w:bCs/>
        </w:rPr>
      </w:pPr>
    </w:p>
    <w:p w14:paraId="5F645EFE" w14:textId="77777777" w:rsidR="00EB29B1" w:rsidRDefault="00EB29B1" w:rsidP="003D4DFC">
      <w:pPr>
        <w:jc w:val="both"/>
        <w:rPr>
          <w:b/>
          <w:bCs/>
        </w:rPr>
      </w:pPr>
    </w:p>
    <w:p w14:paraId="2F123C98" w14:textId="77777777" w:rsidR="00EB29B1" w:rsidRDefault="00EB29B1" w:rsidP="003D4DFC">
      <w:pPr>
        <w:jc w:val="both"/>
        <w:rPr>
          <w:b/>
          <w:bCs/>
        </w:rPr>
      </w:pPr>
    </w:p>
    <w:p w14:paraId="6CFFF299" w14:textId="77777777" w:rsidR="00EB29B1" w:rsidRDefault="00EB29B1" w:rsidP="003D4DFC">
      <w:pPr>
        <w:jc w:val="both"/>
        <w:rPr>
          <w:b/>
          <w:bCs/>
        </w:rPr>
      </w:pPr>
    </w:p>
    <w:p w14:paraId="62C9056D" w14:textId="77777777" w:rsidR="00EB29B1" w:rsidRDefault="00EB29B1" w:rsidP="003D4DFC">
      <w:pPr>
        <w:jc w:val="both"/>
        <w:rPr>
          <w:b/>
          <w:bCs/>
        </w:rPr>
      </w:pPr>
    </w:p>
    <w:p w14:paraId="5A414A65" w14:textId="320AC8E0" w:rsidR="003D4DFC" w:rsidRPr="003D4DFC" w:rsidRDefault="003D4DFC" w:rsidP="003D4DFC">
      <w:pPr>
        <w:jc w:val="both"/>
        <w:rPr>
          <w:b/>
          <w:bCs/>
        </w:rPr>
      </w:pPr>
      <w:r w:rsidRPr="003D4DFC">
        <w:rPr>
          <w:b/>
          <w:bCs/>
        </w:rPr>
        <w:t>An Examination and Analysis of How the ‘Early Help’ System is Signposted to UK Families by Their Local Authority Website</w:t>
      </w:r>
    </w:p>
    <w:p w14:paraId="15CFDD7C" w14:textId="77777777" w:rsidR="003D4DFC" w:rsidRPr="003D4DFC" w:rsidRDefault="003D4DFC" w:rsidP="003D4DFC">
      <w:pPr>
        <w:jc w:val="both"/>
        <w:rPr>
          <w:b/>
          <w:bCs/>
        </w:rPr>
      </w:pPr>
      <w:r w:rsidRPr="003D4DFC">
        <w:rPr>
          <w:b/>
          <w:bCs/>
        </w:rPr>
        <w:t>Introduction</w:t>
      </w:r>
    </w:p>
    <w:p w14:paraId="62709AE3" w14:textId="77777777" w:rsidR="003D4DFC" w:rsidRPr="003D4DFC" w:rsidRDefault="003D4DFC" w:rsidP="003D4DFC">
      <w:pPr>
        <w:jc w:val="both"/>
      </w:pPr>
      <w:r w:rsidRPr="003D4DFC">
        <w:t>Early Help is a preventative approach designed to support children, young people and families before problems escalate into more serious difficulties requiring statutory intervention. The Department for Education (DfE, 2023) defines Early Help as support provided as soon as a concern emerges at any stage of a child’s life. This approach recognises that timely intervention can improve outcomes for children while reducing the likelihood of long-term social, educational and health-related difficulties.</w:t>
      </w:r>
    </w:p>
    <w:p w14:paraId="14F2E330" w14:textId="77777777" w:rsidR="003D4DFC" w:rsidRPr="003D4DFC" w:rsidRDefault="003D4DFC" w:rsidP="003D4DFC">
      <w:pPr>
        <w:jc w:val="both"/>
      </w:pPr>
      <w:r w:rsidRPr="003D4DFC">
        <w:t>In recent years, increasing levels of child poverty, mental health concerns, domestic abuse and family instability have placed significant pressure on health and social care services across the United Kingdom (Marmot et al., 2020). As a result, Early Help has become a key component of safeguarding and family support policy. Local authorities play a central role in delivering and coordinating Early Help services, and their websites often represent the first point of contact for families seeking support.</w:t>
      </w:r>
    </w:p>
    <w:p w14:paraId="4502716B" w14:textId="77777777" w:rsidR="003D4DFC" w:rsidRPr="003D4DFC" w:rsidRDefault="003D4DFC" w:rsidP="003D4DFC">
      <w:pPr>
        <w:jc w:val="both"/>
      </w:pPr>
      <w:r w:rsidRPr="003D4DFC">
        <w:t>The accessibility and effectiveness of local authority websites can significantly influence whether families engage with available services. Therefore, it is important that websites clearly communicate information regarding support services, referral processes and partnership arrangements. This report examines how the Early Help system is signposted through the websites of Leeds City Council, Norfolk County Council and Tower Hamlets Council. The report will explore the principles of Early Help, the importance of multi-agency working, evaluate each website, compare their strengths and weaknesses, and provide recommendations for improvement.</w:t>
      </w:r>
    </w:p>
    <w:p w14:paraId="09C5EC91" w14:textId="77777777" w:rsidR="003D4DFC" w:rsidRPr="003D4DFC" w:rsidRDefault="003D4DFC" w:rsidP="003D4DFC">
      <w:pPr>
        <w:jc w:val="both"/>
        <w:rPr>
          <w:b/>
          <w:bCs/>
        </w:rPr>
      </w:pPr>
      <w:r w:rsidRPr="003D4DFC">
        <w:rPr>
          <w:b/>
          <w:bCs/>
        </w:rPr>
        <w:t>Explanation of the Early Help System</w:t>
      </w:r>
    </w:p>
    <w:p w14:paraId="09113039" w14:textId="77777777" w:rsidR="003D4DFC" w:rsidRPr="003D4DFC" w:rsidRDefault="003D4DFC" w:rsidP="003D4DFC">
      <w:pPr>
        <w:jc w:val="both"/>
      </w:pPr>
      <w:r w:rsidRPr="003D4DFC">
        <w:t>Early Help is a fundamental aspect of modern child and family support services. It aims to identify needs at the earliest opportunity and provide intervention before concerns escalate into safeguarding issues or crises. According to the Early Help System Guide (Department for Education, 2023), Early Help is most effective when support is provided promptly and tailored to the specific needs of children and families.</w:t>
      </w:r>
    </w:p>
    <w:p w14:paraId="7373C15D" w14:textId="77777777" w:rsidR="003D4DFC" w:rsidRPr="003D4DFC" w:rsidRDefault="003D4DFC" w:rsidP="003D4DFC">
      <w:pPr>
        <w:jc w:val="both"/>
      </w:pPr>
      <w:r w:rsidRPr="003D4DFC">
        <w:t xml:space="preserve">The concept is based upon prevention rather than reaction. Instead of waiting until problems become severe, professionals work collaboratively with families to address concerns at an early stage. These concerns may include poor school attendance, emotional wellbeing difficulties, parental mental health problems, domestic abuse, </w:t>
      </w:r>
      <w:r w:rsidRPr="003D4DFC">
        <w:lastRenderedPageBreak/>
        <w:t>financial hardship, housing difficulties or substance misuse. By addressing these issues early, services can prevent negative outcomes and promote long-term wellbeing.</w:t>
      </w:r>
    </w:p>
    <w:p w14:paraId="3ACDF1A4" w14:textId="77777777" w:rsidR="003D4DFC" w:rsidRPr="003D4DFC" w:rsidRDefault="003D4DFC" w:rsidP="003D4DFC">
      <w:pPr>
        <w:jc w:val="both"/>
      </w:pPr>
      <w:r w:rsidRPr="003D4DFC">
        <w:t>Research demonstrates that early intervention can significantly improve outcomes for children and families. The Early Intervention Foundation (2023) argues that preventative support contributes to better educational achievement, improved family relationships and enhanced emotional wellbeing. Furthermore, Bywaters et al. (2024) suggest that effective Early Help can reduce inequalities by ensuring vulnerable families receive support before problems intensify.</w:t>
      </w:r>
    </w:p>
    <w:p w14:paraId="09BBE6F0" w14:textId="77777777" w:rsidR="003D4DFC" w:rsidRPr="003D4DFC" w:rsidRDefault="003D4DFC" w:rsidP="003D4DFC">
      <w:pPr>
        <w:jc w:val="both"/>
      </w:pPr>
      <w:r w:rsidRPr="003D4DFC">
        <w:t>Contemporary Early Help practice is strongly influenced by strengths-based approaches. Rather than focusing solely on risks and deficits, practitioners work alongside families to identify strengths, resources and protective factors that can support positive change. Morris et al. (2020) argue that strengths-based practice promotes empowerment and encourages families to become active participants in decision-making processes.</w:t>
      </w:r>
    </w:p>
    <w:p w14:paraId="08974E2C" w14:textId="77777777" w:rsidR="003D4DFC" w:rsidRPr="003D4DFC" w:rsidRDefault="003D4DFC" w:rsidP="003D4DFC">
      <w:pPr>
        <w:jc w:val="both"/>
      </w:pPr>
      <w:r w:rsidRPr="003D4DFC">
        <w:t>A significant development within Early Help has been the introduction of Family Hubs. Family Hubs provide a central location where families can access a range of services including parenting support, health advice, emotional wellbeing services and practical assistance. The Department for Education (2024) identifies Family Hubs as a key mechanism for improving service accessibility and promoting integrated support.</w:t>
      </w:r>
    </w:p>
    <w:p w14:paraId="2F9E9E51" w14:textId="77777777" w:rsidR="003D4DFC" w:rsidRPr="003D4DFC" w:rsidRDefault="003D4DFC" w:rsidP="003D4DFC">
      <w:pPr>
        <w:jc w:val="both"/>
      </w:pPr>
      <w:r w:rsidRPr="003D4DFC">
        <w:t>Therefore, Early Help is not simply a service but a coordinated system of support that seeks to improve outcomes through early intervention, prevention and partnership working.</w:t>
      </w:r>
    </w:p>
    <w:p w14:paraId="732C42F8" w14:textId="77777777" w:rsidR="003D4DFC" w:rsidRPr="003D4DFC" w:rsidRDefault="003D4DFC" w:rsidP="003D4DFC">
      <w:pPr>
        <w:jc w:val="both"/>
        <w:rPr>
          <w:b/>
          <w:bCs/>
        </w:rPr>
      </w:pPr>
      <w:r w:rsidRPr="003D4DFC">
        <w:rPr>
          <w:b/>
          <w:bCs/>
        </w:rPr>
        <w:t>Explanation of Multi-Agency Working</w:t>
      </w:r>
    </w:p>
    <w:p w14:paraId="0412111E" w14:textId="77777777" w:rsidR="003D4DFC" w:rsidRPr="003D4DFC" w:rsidRDefault="003D4DFC" w:rsidP="003D4DFC">
      <w:pPr>
        <w:jc w:val="both"/>
      </w:pPr>
      <w:r w:rsidRPr="003D4DFC">
        <w:t>Multi-agency working refers to collaboration between different organisations and professionals to support children, young people and families. It is widely recognised as an essential component of effective Early Help provision because family difficulties are often complex and require expertise from multiple sectors.</w:t>
      </w:r>
    </w:p>
    <w:p w14:paraId="44276A77" w14:textId="77777777" w:rsidR="003D4DFC" w:rsidRPr="003D4DFC" w:rsidRDefault="003D4DFC" w:rsidP="003D4DFC">
      <w:pPr>
        <w:jc w:val="both"/>
      </w:pPr>
      <w:r w:rsidRPr="003D4DFC">
        <w:t>Working Together to Safeguard Children (Department for Education, 2023) emphasises that safeguarding and promoting the welfare of children is a shared responsibility. Consequently, professionals from education, health, social care, police services, housing providers and voluntary organisations must work together to identify needs and provide coordinated support.</w:t>
      </w:r>
    </w:p>
    <w:p w14:paraId="372C2468" w14:textId="77777777" w:rsidR="003D4DFC" w:rsidRPr="003D4DFC" w:rsidRDefault="003D4DFC" w:rsidP="003D4DFC">
      <w:pPr>
        <w:jc w:val="both"/>
      </w:pPr>
      <w:r w:rsidRPr="003D4DFC">
        <w:t>The importance of multi-agency working is supported by contemporary research. Care Quality Commission et al. (2024) found that effective partnership working improves early identification of need, enhances safeguarding arrangements and reduces duplication of services. Similarly, the Local Government Association (2023) argues that integrated approaches enable professionals to develop a more holistic understanding of family circumstances.</w:t>
      </w:r>
    </w:p>
    <w:p w14:paraId="337D8711" w14:textId="77777777" w:rsidR="003D4DFC" w:rsidRPr="003D4DFC" w:rsidRDefault="003D4DFC" w:rsidP="003D4DFC">
      <w:pPr>
        <w:jc w:val="both"/>
      </w:pPr>
      <w:r w:rsidRPr="003D4DFC">
        <w:lastRenderedPageBreak/>
        <w:t>Multi-agency working benefits families by providing coordinated support rather than fragmented interventions. For example, a child experiencing poor school attendance may also be affected by parental mental health concerns, financial hardship or housing instability. Through collaborative working, professionals can address these interconnected issues more effectively than individual agencies working independently.</w:t>
      </w:r>
    </w:p>
    <w:p w14:paraId="71B3767B" w14:textId="17A39B0D" w:rsidR="003D4DFC" w:rsidRPr="003D4DFC" w:rsidRDefault="003D4DFC" w:rsidP="003D4DFC">
      <w:pPr>
        <w:jc w:val="both"/>
      </w:pPr>
      <w:r w:rsidRPr="003D4DFC">
        <w:t>Within Early Help systems, professionals such as social workers, health visitors, teachers, police officers, family support workers and youth workers contribute specialist knowledge while working towards shared goals. This collaborative approach reflects integrated care principles and acknowledges the impact of wider social determinants on health and wellbeing (</w:t>
      </w:r>
      <w:r w:rsidR="00EB29B1">
        <w:t>White</w:t>
      </w:r>
      <w:r w:rsidRPr="003D4DFC">
        <w:t xml:space="preserve"> et al., 202</w:t>
      </w:r>
      <w:r w:rsidR="00EB29B1">
        <w:t>1</w:t>
      </w:r>
      <w:r w:rsidRPr="003D4DFC">
        <w:t>).</w:t>
      </w:r>
    </w:p>
    <w:p w14:paraId="0CD54EB0" w14:textId="77777777" w:rsidR="003D4DFC" w:rsidRPr="003D4DFC" w:rsidRDefault="003D4DFC" w:rsidP="003D4DFC">
      <w:pPr>
        <w:jc w:val="both"/>
      </w:pPr>
      <w:r w:rsidRPr="003D4DFC">
        <w:t>Although multi-agency working offers significant benefits, challenges remain. Differences in organisational priorities, communication systems and professional cultures can sometimes create barriers to effective collaboration. Consequently, local authorities must ensure that partnership arrangements are clearly structured and communicated. The extent to which this is visible through local authority websites forms an important part of evaluating the effectiveness of Early Help signposting.</w:t>
      </w:r>
    </w:p>
    <w:p w14:paraId="08CCE6EA" w14:textId="77777777" w:rsidR="003D4DFC" w:rsidRPr="003D4DFC" w:rsidRDefault="003D4DFC" w:rsidP="003D4DFC">
      <w:pPr>
        <w:jc w:val="both"/>
        <w:rPr>
          <w:b/>
          <w:bCs/>
        </w:rPr>
      </w:pPr>
      <w:r w:rsidRPr="003D4DFC">
        <w:rPr>
          <w:b/>
          <w:bCs/>
        </w:rPr>
        <w:t>Evaluation of Leeds City Council Website</w:t>
      </w:r>
    </w:p>
    <w:p w14:paraId="37C356E8" w14:textId="77777777" w:rsidR="003D4DFC" w:rsidRPr="003D4DFC" w:rsidRDefault="003D4DFC" w:rsidP="003D4DFC">
      <w:pPr>
        <w:jc w:val="both"/>
      </w:pPr>
      <w:r w:rsidRPr="003D4DFC">
        <w:t>Leeds City Council provides a comprehensive and detailed Early Help website that clearly reflects the authority’s commitment to preventative intervention and family-centred practice. One of the website’s greatest strengths is the amount of information available to both families and professionals. The website clearly explains the purpose of Early Help and promotes the principle of providing “the right conversation with the right person at the right time,” demonstrating a proactive approach to supporting children and families before concerns escalate.</w:t>
      </w:r>
    </w:p>
    <w:p w14:paraId="5BE9C916" w14:textId="7A06FE91" w:rsidR="003D4DFC" w:rsidRPr="003D4DFC" w:rsidRDefault="003D4DFC" w:rsidP="003D4DFC">
      <w:pPr>
        <w:jc w:val="both"/>
      </w:pPr>
      <w:r w:rsidRPr="003D4DFC">
        <w:t>A significant strength of the Leeds website is its emphasis on strengths-based and family-led practice. Information throughout the website encourages collaborative working between professionals and families, reflecting contemporary approaches to social care that prioritise empowerment, participation and resilience (Morris et al., 2020). This aligns with national policy guidance which highlights the importance of involving families in decision-making and support planning (</w:t>
      </w:r>
      <w:r w:rsidR="00EB29B1" w:rsidRPr="00EB29B1">
        <w:t>Lonne, Harries and Featherstone</w:t>
      </w:r>
      <w:r w:rsidRPr="003D4DFC">
        <w:t>, 202</w:t>
      </w:r>
      <w:r w:rsidR="00EB29B1">
        <w:t>2</w:t>
      </w:r>
      <w:r w:rsidRPr="003D4DFC">
        <w:t>).</w:t>
      </w:r>
    </w:p>
    <w:p w14:paraId="32D443C9" w14:textId="77777777" w:rsidR="003D4DFC" w:rsidRPr="003D4DFC" w:rsidRDefault="003D4DFC" w:rsidP="003D4DFC">
      <w:pPr>
        <w:jc w:val="both"/>
      </w:pPr>
      <w:r w:rsidRPr="003D4DFC">
        <w:t>The website also provides extensive information regarding Family Hubs, Early Help assessments, referral pathways and safeguarding arrangements. This level of detail enables users to gain a clear understanding of available services and how support can be accessed. Furthermore, evidence of partnership working is highly visible. The website highlights collaboration between schools, health services, social care teams and community organisations, demonstrating an integrated approach to supporting families.</w:t>
      </w:r>
    </w:p>
    <w:p w14:paraId="143933FD" w14:textId="0B72584F" w:rsidR="003D4DFC" w:rsidRPr="003D4DFC" w:rsidRDefault="003D4DFC" w:rsidP="003D4DFC">
      <w:pPr>
        <w:jc w:val="both"/>
      </w:pPr>
      <w:r w:rsidRPr="003D4DFC">
        <w:lastRenderedPageBreak/>
        <w:t>However, despite its strengths, the website’s extensive content can also be viewed as a weakness. Families experiencing immediate difficulties may find the volume of information overwhelming. Several sections appear primarily aimed at professionals and contain terminology that may not be easily understood by members of the public. Research suggests that complicated digital information can create barriers to service access, particularly for vulnerable families or individuals with lower levels of digital literacy (</w:t>
      </w:r>
      <w:r w:rsidR="00EB29B1" w:rsidRPr="00EB29B1">
        <w:t>Featherstone</w:t>
      </w:r>
      <w:r w:rsidR="00EB29B1">
        <w:t xml:space="preserve"> et al.</w:t>
      </w:r>
      <w:r w:rsidRPr="003D4DFC">
        <w:t>, 20</w:t>
      </w:r>
      <w:r w:rsidR="00EB29B1">
        <w:t>18</w:t>
      </w:r>
      <w:r w:rsidRPr="003D4DFC">
        <w:t>).</w:t>
      </w:r>
    </w:p>
    <w:p w14:paraId="718C2CB3" w14:textId="77777777" w:rsidR="003D4DFC" w:rsidRPr="003D4DFC" w:rsidRDefault="003D4DFC" w:rsidP="003D4DFC">
      <w:pPr>
        <w:jc w:val="both"/>
      </w:pPr>
      <w:r w:rsidRPr="003D4DFC">
        <w:t>Additionally, although the website contains a large amount of useful information, users often need to navigate across multiple pages to locate specific services. This may reduce efficiency and potentially discourage engagement. Therefore, while Leeds provides one of the most comprehensive Early Help websites examined, improvements to navigation and simplification of language could enhance accessibility for families.</w:t>
      </w:r>
    </w:p>
    <w:p w14:paraId="299BCD49" w14:textId="77777777" w:rsidR="003D4DFC" w:rsidRPr="003D4DFC" w:rsidRDefault="003D4DFC" w:rsidP="003D4DFC">
      <w:pPr>
        <w:jc w:val="both"/>
      </w:pPr>
      <w:r w:rsidRPr="003D4DFC">
        <w:t>Overall, Leeds demonstrates excellent commitment to Early Help principles and partnership working, but its effectiveness could be strengthened through a more user-friendly design focused on family accessibility.</w:t>
      </w:r>
    </w:p>
    <w:p w14:paraId="591F1F8B" w14:textId="77777777" w:rsidR="003D4DFC" w:rsidRPr="003D4DFC" w:rsidRDefault="003D4DFC" w:rsidP="003D4DFC">
      <w:pPr>
        <w:jc w:val="both"/>
        <w:rPr>
          <w:b/>
          <w:bCs/>
        </w:rPr>
      </w:pPr>
      <w:r w:rsidRPr="003D4DFC">
        <w:rPr>
          <w:b/>
          <w:bCs/>
        </w:rPr>
        <w:t>Evaluation of Norfolk County Council Website</w:t>
      </w:r>
    </w:p>
    <w:p w14:paraId="1A09EFEA" w14:textId="77777777" w:rsidR="003D4DFC" w:rsidRPr="003D4DFC" w:rsidRDefault="003D4DFC" w:rsidP="003D4DFC">
      <w:pPr>
        <w:jc w:val="both"/>
      </w:pPr>
      <w:r w:rsidRPr="003D4DFC">
        <w:t>Norfolk County Council presents Early Help information through its Best Start Family Hub model, creating a highly accessible and family-focused online experience. Compared with the Leeds website, Norfolk adopts a simpler and more user-centred approach, making it easier for families to identify available support and understand how to access services.</w:t>
      </w:r>
    </w:p>
    <w:p w14:paraId="0A45A460" w14:textId="77777777" w:rsidR="003D4DFC" w:rsidRPr="003D4DFC" w:rsidRDefault="003D4DFC" w:rsidP="003D4DFC">
      <w:pPr>
        <w:jc w:val="both"/>
      </w:pPr>
      <w:r w:rsidRPr="003D4DFC">
        <w:t>One of the website’s greatest strengths is its accessibility. Information is presented using clear and straightforward language, reducing the likelihood of confusion among service users. This reflects best practice in public communication, which emphasises the importance of presenting information in ways that are understandable to diverse audiences (Local Government Association, 2023). The website clearly outlines the purpose of Early Help, who can access support and how referrals can be made.</w:t>
      </w:r>
    </w:p>
    <w:p w14:paraId="2CBFAB7A" w14:textId="77777777" w:rsidR="003D4DFC" w:rsidRPr="003D4DFC" w:rsidRDefault="003D4DFC" w:rsidP="003D4DFC">
      <w:pPr>
        <w:jc w:val="both"/>
      </w:pPr>
      <w:r w:rsidRPr="003D4DFC">
        <w:t>The Family Hub model is particularly effective because it provides a single point of access to multiple services. Families can access information regarding parenting support, emotional wellbeing, child development and practical assistance without navigating through numerous disconnected webpages. The Department for Education (2024) identifies Family Hubs as an important mechanism for improving service accessibility and strengthening early intervention systems.</w:t>
      </w:r>
    </w:p>
    <w:p w14:paraId="50222E6D" w14:textId="77777777" w:rsidR="003D4DFC" w:rsidRPr="003D4DFC" w:rsidRDefault="003D4DFC" w:rsidP="003D4DFC">
      <w:pPr>
        <w:jc w:val="both"/>
      </w:pPr>
      <w:r w:rsidRPr="003D4DFC">
        <w:t xml:space="preserve">Norfolk also demonstrates strong evidence of partnership working. Information on the website highlights collaboration between schools, health professionals, social care services and community organisations. This reflects the multi-agency approach promoted within Working Together to Safeguard Children (Department for Education, </w:t>
      </w:r>
      <w:r w:rsidRPr="003D4DFC">
        <w:lastRenderedPageBreak/>
        <w:t>2023). Furthermore, separate information is available for both families and professionals, ensuring that different user groups can easily access relevant resources.</w:t>
      </w:r>
    </w:p>
    <w:p w14:paraId="4A5BF3E6" w14:textId="77777777" w:rsidR="003D4DFC" w:rsidRPr="003D4DFC" w:rsidRDefault="003D4DFC" w:rsidP="003D4DFC">
      <w:pPr>
        <w:jc w:val="both"/>
      </w:pPr>
      <w:r w:rsidRPr="003D4DFC">
        <w:t>Despite these strengths, Norfolk provides less professional detail than Leeds. Practitioners seeking detailed information regarding assessment processes and operational guidance may need to access additional documents or resources. Some specialist services are also accessed through external links, which can occasionally interrupt the user experience.</w:t>
      </w:r>
    </w:p>
    <w:p w14:paraId="44A89266" w14:textId="77777777" w:rsidR="003D4DFC" w:rsidRPr="003D4DFC" w:rsidRDefault="003D4DFC" w:rsidP="003D4DFC">
      <w:pPr>
        <w:jc w:val="both"/>
      </w:pPr>
      <w:r w:rsidRPr="003D4DFC">
        <w:t>Nevertheless, Norfolk successfully balances accessibility, clarity and service information. Its straightforward design and family-centred communication style make it highly effective in supporting families to identify and access Early Help services. Consequently, it can be argued that Norfolk provides the most accessible website of the three local authorities examined.</w:t>
      </w:r>
    </w:p>
    <w:p w14:paraId="120536B6" w14:textId="77777777" w:rsidR="003D4DFC" w:rsidRPr="003D4DFC" w:rsidRDefault="003D4DFC" w:rsidP="003D4DFC">
      <w:pPr>
        <w:jc w:val="both"/>
        <w:rPr>
          <w:b/>
          <w:bCs/>
        </w:rPr>
      </w:pPr>
      <w:r w:rsidRPr="003D4DFC">
        <w:rPr>
          <w:b/>
          <w:bCs/>
        </w:rPr>
        <w:t>Evaluation of Tower Hamlets Council Website</w:t>
      </w:r>
    </w:p>
    <w:p w14:paraId="6D10ADEB" w14:textId="77777777" w:rsidR="003D4DFC" w:rsidRPr="003D4DFC" w:rsidRDefault="003D4DFC" w:rsidP="003D4DFC">
      <w:pPr>
        <w:jc w:val="both"/>
      </w:pPr>
      <w:r w:rsidRPr="003D4DFC">
        <w:t>Tower Hamlets Council delivers Early Help services through a strongly integrated framework centred on the Multi-Agency Support Team (MAST). This approach is clearly reflected throughout the website and represents one of its most significant strengths. The website communicates a clear commitment to partnership working and demonstrates how multiple agencies collaborate to support children and families.</w:t>
      </w:r>
    </w:p>
    <w:p w14:paraId="33ED0D5A" w14:textId="4BBEC8D9" w:rsidR="003D4DFC" w:rsidRPr="003D4DFC" w:rsidRDefault="003D4DFC" w:rsidP="003D4DFC">
      <w:pPr>
        <w:jc w:val="both"/>
      </w:pPr>
      <w:r w:rsidRPr="003D4DFC">
        <w:t>A notable strength of the website is the visibility of referral pathways. Families and professionals can easily identify how to access support, who is eligible and which services are available. The website explains the role of the MAST in coordinating referrals and ensuring that families receive support from the most appropriate services. This integrated approach aligns closely with contemporary safeguarding guidance, which highlights the importance of coordinated intervention and information sharing (</w:t>
      </w:r>
      <w:proofErr w:type="spellStart"/>
      <w:r w:rsidR="00EB29B1" w:rsidRPr="00EB29B1">
        <w:t>Baginsky</w:t>
      </w:r>
      <w:proofErr w:type="spellEnd"/>
      <w:r w:rsidR="00EB29B1">
        <w:t xml:space="preserve"> et al.</w:t>
      </w:r>
      <w:r w:rsidRPr="003D4DFC">
        <w:t>, 202</w:t>
      </w:r>
      <w:r w:rsidR="00EB29B1">
        <w:t>1</w:t>
      </w:r>
      <w:r w:rsidRPr="003D4DFC">
        <w:t>).</w:t>
      </w:r>
    </w:p>
    <w:p w14:paraId="28260EA3" w14:textId="77777777" w:rsidR="003D4DFC" w:rsidRPr="003D4DFC" w:rsidRDefault="003D4DFC" w:rsidP="003D4DFC">
      <w:pPr>
        <w:jc w:val="both"/>
      </w:pPr>
      <w:r w:rsidRPr="003D4DFC">
        <w:t>The website also demonstrates strong evidence of multi-agency collaboration. Information is provided regarding partnerships between education services, health providers, social care teams, police services, housing organisations and voluntary sector agencies. Recent inspections have highlighted the importance of such integrated approaches in improving outcomes for children and reducing service fragmentation (Care Quality Commission et al., 2024).</w:t>
      </w:r>
    </w:p>
    <w:p w14:paraId="570C4DFE" w14:textId="77777777" w:rsidR="003D4DFC" w:rsidRPr="003D4DFC" w:rsidRDefault="003D4DFC" w:rsidP="003D4DFC">
      <w:pPr>
        <w:jc w:val="both"/>
      </w:pPr>
      <w:r w:rsidRPr="003D4DFC">
        <w:t>Tower Hamlets further benefits from its focus on Family Hubs and community-based support services. The website promotes prevention and early intervention while emphasising the importance of addressing wider factors that affect family wellbeing. This reflects contemporary understanding of the social determinants of health and child development (Marmot et al., 2020).</w:t>
      </w:r>
    </w:p>
    <w:p w14:paraId="0E18EDC1" w14:textId="77777777" w:rsidR="003D4DFC" w:rsidRPr="003D4DFC" w:rsidRDefault="003D4DFC" w:rsidP="003D4DFC">
      <w:pPr>
        <w:jc w:val="both"/>
      </w:pPr>
      <w:r w:rsidRPr="003D4DFC">
        <w:lastRenderedPageBreak/>
        <w:t>However, compared with Leeds and Norfolk, the website provides less detailed information regarding specific Early Help interventions. While referral processes are clearly explained, some families may require more information regarding what support will involve following referral. Furthermore, the website contains fewer visual resources and interactive features that could improve engagement and accessibility.</w:t>
      </w:r>
    </w:p>
    <w:p w14:paraId="6D65CED7" w14:textId="77777777" w:rsidR="003D4DFC" w:rsidRPr="003D4DFC" w:rsidRDefault="003D4DFC" w:rsidP="003D4DFC">
      <w:pPr>
        <w:jc w:val="both"/>
      </w:pPr>
      <w:r w:rsidRPr="003D4DFC">
        <w:t>Despite these limitations, Tower Hamlets effectively communicates the importance of partnership working and provides clear pathways for accessing support. Its greatest strength lies in its strong emphasis on integrated service delivery and multi-agency collaboration.</w:t>
      </w:r>
    </w:p>
    <w:p w14:paraId="75BD041D" w14:textId="77777777" w:rsidR="003D4DFC" w:rsidRPr="003D4DFC" w:rsidRDefault="003D4DFC" w:rsidP="003D4DFC">
      <w:pPr>
        <w:jc w:val="both"/>
        <w:rPr>
          <w:b/>
          <w:bCs/>
        </w:rPr>
      </w:pPr>
      <w:r w:rsidRPr="003D4DFC">
        <w:rPr>
          <w:b/>
          <w:bCs/>
        </w:rPr>
        <w:t>Comparative Analysis of the Main Strengths and Weaknesses of How the Local Authority Websites Communicate the Early Help and Other Support Services Available to Families</w:t>
      </w:r>
    </w:p>
    <w:p w14:paraId="6F53D008" w14:textId="77777777" w:rsidR="003D4DFC" w:rsidRPr="003D4DFC" w:rsidRDefault="003D4DFC" w:rsidP="003D4DFC">
      <w:pPr>
        <w:jc w:val="both"/>
      </w:pPr>
      <w:r w:rsidRPr="003D4DFC">
        <w:t>The analysis of Leeds, Norfolk and Tower Hamlets demonstrates that all three local authorities are committed to promoting Early Help and supporting children and families through preventative intervention. However, important differences exist in relation to accessibility, communication style, navigation and evidence of partnership working.</w:t>
      </w:r>
    </w:p>
    <w:p w14:paraId="7D60BAB7" w14:textId="77777777" w:rsidR="003D4DFC" w:rsidRPr="003D4DFC" w:rsidRDefault="003D4DFC" w:rsidP="003D4DFC">
      <w:pPr>
        <w:jc w:val="both"/>
      </w:pPr>
      <w:r w:rsidRPr="003D4DFC">
        <w:t>Leeds provides the most comprehensive information. The website offers extensive guidance regarding Family Hubs, Early Help assessments, safeguarding procedures and family-led practice. This level of detail is beneficial for professionals and demonstrates a strong commitment to transparency. However, the volume of information can reduce accessibility for families seeking immediate support. While comprehensive, the website occasionally prioritises professional language over user-friendly communication.</w:t>
      </w:r>
    </w:p>
    <w:p w14:paraId="02E7E968" w14:textId="77777777" w:rsidR="003D4DFC" w:rsidRPr="003D4DFC" w:rsidRDefault="003D4DFC" w:rsidP="003D4DFC">
      <w:pPr>
        <w:jc w:val="both"/>
      </w:pPr>
      <w:r w:rsidRPr="003D4DFC">
        <w:t>Norfolk adopts a markedly different approach by prioritising accessibility and simplicity. The Family Hub model creates a clear structure through which families can access support, while the use of straightforward language reduces barriers to engagement. Contemporary research suggests that accessible communication is crucial in encouraging early help-seeking behaviour (Office for Health Improvement and Disparities, 2023). Although Norfolk provides less detailed professional guidance than Leeds, its user-centred design makes it particularly effective for families accessing support for the first time.</w:t>
      </w:r>
    </w:p>
    <w:p w14:paraId="15F1F60D" w14:textId="77777777" w:rsidR="003D4DFC" w:rsidRPr="003D4DFC" w:rsidRDefault="003D4DFC" w:rsidP="003D4DFC">
      <w:pPr>
        <w:jc w:val="both"/>
      </w:pPr>
      <w:r w:rsidRPr="003D4DFC">
        <w:t>Tower Hamlets distinguishes itself through its strong emphasis on multi-agency working. The MAST model provides a clear example of integrated service delivery and demonstrates how agencies collaborate to support families. This reflects recommendations within Working Together to Safeguard Children (Department for Education, 2023) and aligns with current policy priorities regarding integrated care. However, the website provides less information regarding the practical nature of support interventions compared with Leeds and Norfolk.</w:t>
      </w:r>
    </w:p>
    <w:p w14:paraId="7E791E33" w14:textId="77777777" w:rsidR="003D4DFC" w:rsidRPr="003D4DFC" w:rsidRDefault="003D4DFC" w:rsidP="003D4DFC">
      <w:pPr>
        <w:jc w:val="both"/>
      </w:pPr>
      <w:r w:rsidRPr="003D4DFC">
        <w:lastRenderedPageBreak/>
        <w:t xml:space="preserve">When considering the primary purpose of local authority websites, </w:t>
      </w:r>
      <w:proofErr w:type="gramStart"/>
      <w:r w:rsidRPr="003D4DFC">
        <w:t>namely</w:t>
      </w:r>
      <w:proofErr w:type="gramEnd"/>
      <w:r w:rsidRPr="003D4DFC">
        <w:t xml:space="preserve"> to help families identify and access support, Norfolk appears to perform most effectively. While Leeds provides the greatest depth of information and Tower Hamlets demonstrates the strongest partnership model, Norfolk achieves the most successful balance between accessibility, clarity and user experience. Families can quickly identify available services, understand referral pathways and access support without being overwhelmed by complex information.</w:t>
      </w:r>
    </w:p>
    <w:p w14:paraId="07887454" w14:textId="77777777" w:rsidR="003D4DFC" w:rsidRPr="003D4DFC" w:rsidRDefault="003D4DFC" w:rsidP="003D4DFC">
      <w:pPr>
        <w:jc w:val="both"/>
      </w:pPr>
      <w:r w:rsidRPr="003D4DFC">
        <w:t>Therefore, Norfolk can be considered the most effective website overall, while Leeds provides the strongest professional resource and Tower Hamlets offers the clearest example of integrated multi-agency working.</w:t>
      </w:r>
    </w:p>
    <w:p w14:paraId="18E38047" w14:textId="013290C2" w:rsidR="003D4DFC" w:rsidRPr="003D4DFC" w:rsidRDefault="003D4DFC" w:rsidP="003D4DFC">
      <w:pPr>
        <w:jc w:val="both"/>
        <w:rPr>
          <w:b/>
          <w:bCs/>
        </w:rPr>
      </w:pPr>
      <w:r w:rsidRPr="003D4DFC">
        <w:rPr>
          <w:b/>
          <w:bCs/>
        </w:rPr>
        <w:t xml:space="preserve">Conclusion with Recommendations </w:t>
      </w:r>
    </w:p>
    <w:p w14:paraId="6ABCDB63" w14:textId="77777777" w:rsidR="003D4DFC" w:rsidRPr="003D4DFC" w:rsidRDefault="003D4DFC" w:rsidP="003D4DFC">
      <w:pPr>
        <w:jc w:val="both"/>
      </w:pPr>
      <w:r w:rsidRPr="003D4DFC">
        <w:t>Early Help plays a crucial role in supporting children, young people and families before difficulties escalate into more serious concerns. Effective online signposting is therefore essential to ensure families can access support quickly and confidently. The findings of this report indicate that Leeds, Norfolk and Tower Hamlets all demonstrate strong commitment to Early Help, Family Hubs and multi-agency collaboration.</w:t>
      </w:r>
    </w:p>
    <w:p w14:paraId="6A395CA0" w14:textId="77777777" w:rsidR="003D4DFC" w:rsidRPr="003D4DFC" w:rsidRDefault="003D4DFC" w:rsidP="003D4DFC">
      <w:pPr>
        <w:jc w:val="both"/>
      </w:pPr>
      <w:r w:rsidRPr="003D4DFC">
        <w:t>Among the three authorities, Norfolk provides the most effective overall website due to its accessible language, clear navigation, family-centred approach and straightforward referral pathways. Leeds offers the most comprehensive information but could improve accessibility by simplifying content and reducing information overload. Tower Hamlets demonstrates excellent partnership working through its MAST model but could strengthen its website by providing more detailed information regarding available interventions and support services.</w:t>
      </w:r>
    </w:p>
    <w:p w14:paraId="35A34309" w14:textId="77777777" w:rsidR="003D4DFC" w:rsidRDefault="003D4DFC" w:rsidP="003D4DFC">
      <w:pPr>
        <w:jc w:val="both"/>
      </w:pPr>
      <w:r w:rsidRPr="003D4DFC">
        <w:t>To improve online signposting, local authorities should consider increasing the use of visual resources such as videos and infographics, simplifying professional terminology, improving mobile accessibility and providing multilingual content to support diverse communities. Clearer referral pathways and more interactive guidance tools could also enhance user engagement.</w:t>
      </w:r>
    </w:p>
    <w:p w14:paraId="640BE761" w14:textId="77777777" w:rsidR="003D4DFC" w:rsidRDefault="003D4DFC" w:rsidP="003D4DFC">
      <w:pPr>
        <w:jc w:val="both"/>
      </w:pPr>
    </w:p>
    <w:p w14:paraId="3515315A" w14:textId="77777777" w:rsidR="003D4DFC" w:rsidRDefault="003D4DFC" w:rsidP="003D4DFC">
      <w:pPr>
        <w:jc w:val="both"/>
      </w:pPr>
    </w:p>
    <w:p w14:paraId="3ADD37C2" w14:textId="77777777" w:rsidR="003D4DFC" w:rsidRDefault="003D4DFC" w:rsidP="003D4DFC">
      <w:pPr>
        <w:jc w:val="both"/>
      </w:pPr>
    </w:p>
    <w:p w14:paraId="429BB7A3" w14:textId="77777777" w:rsidR="003D4DFC" w:rsidRDefault="003D4DFC" w:rsidP="003D4DFC">
      <w:pPr>
        <w:jc w:val="both"/>
      </w:pPr>
    </w:p>
    <w:p w14:paraId="48DB0347" w14:textId="77777777" w:rsidR="003D4DFC" w:rsidRDefault="003D4DFC" w:rsidP="003D4DFC">
      <w:pPr>
        <w:jc w:val="both"/>
      </w:pPr>
    </w:p>
    <w:p w14:paraId="1361C5C4" w14:textId="77777777" w:rsidR="003D4DFC" w:rsidRDefault="003D4DFC" w:rsidP="003D4DFC">
      <w:pPr>
        <w:jc w:val="both"/>
      </w:pPr>
    </w:p>
    <w:p w14:paraId="19C8D674" w14:textId="77777777" w:rsidR="003D4DFC" w:rsidRDefault="003D4DFC" w:rsidP="003D4DFC">
      <w:pPr>
        <w:jc w:val="both"/>
      </w:pPr>
    </w:p>
    <w:p w14:paraId="1D9B8684" w14:textId="77777777" w:rsidR="003D4DFC" w:rsidRDefault="003D4DFC" w:rsidP="003D4DFC">
      <w:pPr>
        <w:jc w:val="both"/>
      </w:pPr>
    </w:p>
    <w:p w14:paraId="57AE3F29" w14:textId="77777777" w:rsidR="003D4DFC" w:rsidRDefault="003D4DFC" w:rsidP="003D4DFC">
      <w:pPr>
        <w:jc w:val="both"/>
      </w:pPr>
    </w:p>
    <w:p w14:paraId="416EAB73" w14:textId="77777777" w:rsidR="003D4DFC" w:rsidRDefault="003D4DFC" w:rsidP="003D4DFC">
      <w:pPr>
        <w:jc w:val="both"/>
      </w:pPr>
    </w:p>
    <w:p w14:paraId="15E31C9B" w14:textId="4303A696" w:rsidR="003D4DFC" w:rsidRPr="003D4DFC" w:rsidRDefault="003D4DFC" w:rsidP="003D4DFC">
      <w:pPr>
        <w:jc w:val="both"/>
        <w:rPr>
          <w:b/>
          <w:bCs/>
        </w:rPr>
      </w:pPr>
      <w:r w:rsidRPr="003D4DFC">
        <w:rPr>
          <w:b/>
          <w:bCs/>
        </w:rPr>
        <w:t>References:</w:t>
      </w:r>
    </w:p>
    <w:p w14:paraId="290FE920" w14:textId="77777777" w:rsidR="003D4DFC" w:rsidRPr="003D4DFC" w:rsidRDefault="003D4DFC" w:rsidP="003D4DFC">
      <w:pPr>
        <w:jc w:val="both"/>
      </w:pPr>
      <w:r w:rsidRPr="003D4DFC">
        <w:t xml:space="preserve">Age UK (2024) </w:t>
      </w:r>
      <w:r w:rsidRPr="003D4DFC">
        <w:rPr>
          <w:i/>
          <w:iCs/>
        </w:rPr>
        <w:t>Later Life in the United Kingdom 2024</w:t>
      </w:r>
      <w:r w:rsidRPr="003D4DFC">
        <w:t>. London: Age UK. Available at: Age UK Research and Statistics (Accessed: 8 June 2026).</w:t>
      </w:r>
    </w:p>
    <w:p w14:paraId="626F37E1" w14:textId="77777777" w:rsidR="003D4DFC" w:rsidRPr="003D4DFC" w:rsidRDefault="003D4DFC" w:rsidP="003D4DFC">
      <w:pPr>
        <w:jc w:val="both"/>
      </w:pPr>
      <w:r w:rsidRPr="003D4DFC">
        <w:t>Baginsky, M., Moriarty, J., Manthorpe, J., Beecham, J. and Hickman, B. (2021)</w:t>
      </w:r>
      <w:r w:rsidRPr="003D4DFC">
        <w:br/>
        <w:t xml:space="preserve">‘Working together to support children and families: Multi-agency practice in children's services’, </w:t>
      </w:r>
      <w:r w:rsidRPr="003D4DFC">
        <w:rPr>
          <w:i/>
          <w:iCs/>
        </w:rPr>
        <w:t>Child &amp; Family Social Work</w:t>
      </w:r>
      <w:r w:rsidRPr="003D4DFC">
        <w:t>, 26(3), pp. 412–421.</w:t>
      </w:r>
    </w:p>
    <w:p w14:paraId="5FBFA8F9" w14:textId="77777777" w:rsidR="003D4DFC" w:rsidRPr="003D4DFC" w:rsidRDefault="003D4DFC" w:rsidP="003D4DFC">
      <w:pPr>
        <w:jc w:val="both"/>
      </w:pPr>
      <w:r w:rsidRPr="003D4DFC">
        <w:t xml:space="preserve">Bywaters, P., Brady, G., Sparks, T. and Bos, E. (2024) </w:t>
      </w:r>
      <w:r w:rsidRPr="003D4DFC">
        <w:rPr>
          <w:i/>
          <w:iCs/>
        </w:rPr>
        <w:t>Inequalities in children's social care intervention rates in England</w:t>
      </w:r>
      <w:r w:rsidRPr="003D4DFC">
        <w:t>. London: Nuffield Foundation.</w:t>
      </w:r>
    </w:p>
    <w:p w14:paraId="56C24A6C" w14:textId="77777777" w:rsidR="003D4DFC" w:rsidRPr="003D4DFC" w:rsidRDefault="003D4DFC" w:rsidP="003D4DFC">
      <w:pPr>
        <w:jc w:val="both"/>
      </w:pPr>
      <w:r w:rsidRPr="003D4DFC">
        <w:t xml:space="preserve">Care Quality Commission, HM Inspectorate of Constabulary and Fire &amp; Rescue Services, Ofsted and HM Inspectorate of Probation (2024) </w:t>
      </w:r>
      <w:r w:rsidRPr="003D4DFC">
        <w:rPr>
          <w:i/>
          <w:iCs/>
        </w:rPr>
        <w:t>Joint Targeted Area Inspections: Multi-agency responses to children and families</w:t>
      </w:r>
      <w:r w:rsidRPr="003D4DFC">
        <w:t>. London: CQC.</w:t>
      </w:r>
    </w:p>
    <w:p w14:paraId="76ADF5A3" w14:textId="77777777" w:rsidR="003D4DFC" w:rsidRPr="003D4DFC" w:rsidRDefault="003D4DFC" w:rsidP="003D4DFC">
      <w:pPr>
        <w:jc w:val="both"/>
      </w:pPr>
      <w:r w:rsidRPr="003D4DFC">
        <w:t xml:space="preserve">Department for Education (2022) </w:t>
      </w:r>
      <w:r w:rsidRPr="003D4DFC">
        <w:rPr>
          <w:i/>
          <w:iCs/>
        </w:rPr>
        <w:t>Supporting Families: Early Help System Guide</w:t>
      </w:r>
      <w:r w:rsidRPr="003D4DFC">
        <w:t xml:space="preserve">. London: Department for Education. Available at: </w:t>
      </w:r>
      <w:hyperlink r:id="rId4" w:tgtFrame="_blank" w:history="1">
        <w:r w:rsidRPr="003D4DFC">
          <w:rPr>
            <w:rStyle w:val="Hyperlink"/>
          </w:rPr>
          <w:t>Early Help System Guide</w:t>
        </w:r>
      </w:hyperlink>
      <w:r w:rsidRPr="003D4DFC">
        <w:t xml:space="preserve"> (Accessed: 8 June 2026). </w:t>
      </w:r>
    </w:p>
    <w:p w14:paraId="0AB55758" w14:textId="77777777" w:rsidR="003D4DFC" w:rsidRPr="003D4DFC" w:rsidRDefault="003D4DFC" w:rsidP="003D4DFC">
      <w:pPr>
        <w:jc w:val="both"/>
      </w:pPr>
      <w:r w:rsidRPr="003D4DFC">
        <w:t xml:space="preserve">Department for Education (2023) </w:t>
      </w:r>
      <w:r w:rsidRPr="003D4DFC">
        <w:rPr>
          <w:i/>
          <w:iCs/>
        </w:rPr>
        <w:t>Working Together to Safeguard Children: A guide to multi-agency working to help, protect and promote the welfare of children</w:t>
      </w:r>
      <w:r w:rsidRPr="003D4DFC">
        <w:t xml:space="preserve">. London: Department for Education. Available at: </w:t>
      </w:r>
      <w:hyperlink r:id="rId5" w:tgtFrame="_blank" w:history="1">
        <w:r w:rsidRPr="003D4DFC">
          <w:rPr>
            <w:rStyle w:val="Hyperlink"/>
          </w:rPr>
          <w:t>Working Together to Safeguard Children</w:t>
        </w:r>
      </w:hyperlink>
      <w:r w:rsidRPr="003D4DFC">
        <w:t xml:space="preserve"> (Accessed: 8 June 2026). </w:t>
      </w:r>
    </w:p>
    <w:p w14:paraId="69E47873" w14:textId="77777777" w:rsidR="003D4DFC" w:rsidRPr="003D4DFC" w:rsidRDefault="003D4DFC" w:rsidP="003D4DFC">
      <w:pPr>
        <w:jc w:val="both"/>
      </w:pPr>
      <w:r w:rsidRPr="003D4DFC">
        <w:t xml:space="preserve">Department for Education (2024) </w:t>
      </w:r>
      <w:r w:rsidRPr="003D4DFC">
        <w:rPr>
          <w:i/>
          <w:iCs/>
        </w:rPr>
        <w:t>Family Hubs and Start for Life Programme Guide</w:t>
      </w:r>
      <w:r w:rsidRPr="003D4DFC">
        <w:t>. London: Department for Education.</w:t>
      </w:r>
    </w:p>
    <w:p w14:paraId="7CEDB76E" w14:textId="77777777" w:rsidR="003D4DFC" w:rsidRPr="003D4DFC" w:rsidRDefault="003D4DFC" w:rsidP="003D4DFC">
      <w:pPr>
        <w:jc w:val="both"/>
      </w:pPr>
      <w:r w:rsidRPr="003D4DFC">
        <w:t xml:space="preserve">Early Intervention Foundation (2023) </w:t>
      </w:r>
      <w:r w:rsidRPr="003D4DFC">
        <w:rPr>
          <w:i/>
          <w:iCs/>
        </w:rPr>
        <w:t>Early Intervention Foundation Guide to Effective Early Intervention</w:t>
      </w:r>
      <w:r w:rsidRPr="003D4DFC">
        <w:t>. London: EIF.</w:t>
      </w:r>
    </w:p>
    <w:p w14:paraId="46A2E721" w14:textId="77777777" w:rsidR="003D4DFC" w:rsidRPr="003D4DFC" w:rsidRDefault="003D4DFC" w:rsidP="003D4DFC">
      <w:pPr>
        <w:jc w:val="both"/>
      </w:pPr>
      <w:r w:rsidRPr="003D4DFC">
        <w:t>Featherstone, B., Gupta, A., Morris, K. and Warner, J. (2018)</w:t>
      </w:r>
      <w:r w:rsidRPr="003D4DFC">
        <w:br/>
      </w:r>
      <w:r w:rsidRPr="003D4DFC">
        <w:rPr>
          <w:i/>
          <w:iCs/>
        </w:rPr>
        <w:t>Protecting Children: A Social Model</w:t>
      </w:r>
      <w:r w:rsidRPr="003D4DFC">
        <w:t>. Bristol: Policy Press.</w:t>
      </w:r>
    </w:p>
    <w:p w14:paraId="7289B3AD" w14:textId="77777777" w:rsidR="003D4DFC" w:rsidRPr="003D4DFC" w:rsidRDefault="003D4DFC" w:rsidP="003D4DFC">
      <w:pPr>
        <w:jc w:val="both"/>
      </w:pPr>
      <w:r w:rsidRPr="003D4DFC">
        <w:t xml:space="preserve">Leeds City Council (2026) </w:t>
      </w:r>
      <w:r w:rsidRPr="003D4DFC">
        <w:rPr>
          <w:i/>
          <w:iCs/>
        </w:rPr>
        <w:t>One Minute Guide: Early Help</w:t>
      </w:r>
      <w:r w:rsidRPr="003D4DFC">
        <w:t xml:space="preserve">. Available at: </w:t>
      </w:r>
      <w:hyperlink r:id="rId6" w:tgtFrame="_blank" w:history="1">
        <w:r w:rsidRPr="003D4DFC">
          <w:rPr>
            <w:rStyle w:val="Hyperlink"/>
          </w:rPr>
          <w:t>Leeds Early Help Guide</w:t>
        </w:r>
      </w:hyperlink>
      <w:r w:rsidRPr="003D4DFC">
        <w:t xml:space="preserve"> (Accessed: 8 June 2026). </w:t>
      </w:r>
    </w:p>
    <w:p w14:paraId="27BEFA1F" w14:textId="77777777" w:rsidR="003D4DFC" w:rsidRPr="003D4DFC" w:rsidRDefault="003D4DFC" w:rsidP="003D4DFC">
      <w:pPr>
        <w:jc w:val="both"/>
      </w:pPr>
      <w:r w:rsidRPr="003D4DFC">
        <w:t xml:space="preserve">Local Government Association (2023) </w:t>
      </w:r>
      <w:r w:rsidRPr="003D4DFC">
        <w:rPr>
          <w:i/>
          <w:iCs/>
        </w:rPr>
        <w:t>Improving Accessibility and Digital Engagement in Local Government Services</w:t>
      </w:r>
      <w:r w:rsidRPr="003D4DFC">
        <w:t>. London: LGA.</w:t>
      </w:r>
    </w:p>
    <w:p w14:paraId="648E3DEB" w14:textId="77777777" w:rsidR="003D4DFC" w:rsidRPr="003D4DFC" w:rsidRDefault="003D4DFC" w:rsidP="003D4DFC">
      <w:pPr>
        <w:jc w:val="both"/>
      </w:pPr>
      <w:r w:rsidRPr="003D4DFC">
        <w:t>Lonne, B., Harries, M. and Featherstone, B. (2022)</w:t>
      </w:r>
      <w:r w:rsidRPr="003D4DFC">
        <w:br/>
      </w:r>
      <w:proofErr w:type="spellStart"/>
      <w:r w:rsidRPr="003D4DFC">
        <w:t>‘Re</w:t>
      </w:r>
      <w:proofErr w:type="spellEnd"/>
      <w:r w:rsidRPr="003D4DFC">
        <w:t xml:space="preserve">-imagining early intervention and family support services’, </w:t>
      </w:r>
      <w:r w:rsidRPr="003D4DFC">
        <w:rPr>
          <w:i/>
          <w:iCs/>
        </w:rPr>
        <w:t>British Journal of Social Work</w:t>
      </w:r>
      <w:r w:rsidRPr="003D4DFC">
        <w:t>, 52(5), pp. 2843–2861.</w:t>
      </w:r>
    </w:p>
    <w:p w14:paraId="3FEA453A" w14:textId="77777777" w:rsidR="003D4DFC" w:rsidRPr="003D4DFC" w:rsidRDefault="003D4DFC" w:rsidP="003D4DFC">
      <w:pPr>
        <w:jc w:val="both"/>
      </w:pPr>
      <w:r w:rsidRPr="003D4DFC">
        <w:lastRenderedPageBreak/>
        <w:t xml:space="preserve">Marmot, M., Allen, J., Boyce, T., Goldblatt, P. and Morrison, J. (2020) </w:t>
      </w:r>
      <w:r w:rsidRPr="003D4DFC">
        <w:rPr>
          <w:i/>
          <w:iCs/>
        </w:rPr>
        <w:t>Health Equity in England: The Marmot Review 10 Years On</w:t>
      </w:r>
      <w:r w:rsidRPr="003D4DFC">
        <w:t>. London: Institute of Health Equity.</w:t>
      </w:r>
    </w:p>
    <w:p w14:paraId="196E8848" w14:textId="77777777" w:rsidR="003D4DFC" w:rsidRPr="003D4DFC" w:rsidRDefault="003D4DFC" w:rsidP="003D4DFC">
      <w:pPr>
        <w:jc w:val="both"/>
      </w:pPr>
      <w:r w:rsidRPr="003D4DFC">
        <w:t xml:space="preserve">Morris, D., Wright, N., Hunt, A., Milligan, C., Adamson, J., Clark, J., Ridge, D. and </w:t>
      </w:r>
      <w:proofErr w:type="spellStart"/>
      <w:r w:rsidRPr="003D4DFC">
        <w:t>Boneham</w:t>
      </w:r>
      <w:proofErr w:type="spellEnd"/>
      <w:r w:rsidRPr="003D4DFC">
        <w:t xml:space="preserve">, M. (2020) ‘Community-enhanced social prescribing: Integrating community in policy and practice’, </w:t>
      </w:r>
      <w:r w:rsidRPr="003D4DFC">
        <w:rPr>
          <w:i/>
          <w:iCs/>
        </w:rPr>
        <w:t>International Journal of Environmental Research and Public Health</w:t>
      </w:r>
      <w:r w:rsidRPr="003D4DFC">
        <w:t>, 17(22), pp. 1–17.</w:t>
      </w:r>
    </w:p>
    <w:p w14:paraId="406EED33" w14:textId="77777777" w:rsidR="003D4DFC" w:rsidRPr="003D4DFC" w:rsidRDefault="003D4DFC" w:rsidP="003D4DFC">
      <w:pPr>
        <w:jc w:val="both"/>
      </w:pPr>
      <w:r w:rsidRPr="003D4DFC">
        <w:t>Morris, K., White, S., Featherstone, B. and Daniels, H. (2021)</w:t>
      </w:r>
      <w:r w:rsidRPr="003D4DFC">
        <w:br/>
        <w:t xml:space="preserve">‘Family support and early help in England: Evidence, challenges and future directions’, </w:t>
      </w:r>
      <w:r w:rsidRPr="003D4DFC">
        <w:rPr>
          <w:i/>
          <w:iCs/>
        </w:rPr>
        <w:t>Children and Youth Services Review</w:t>
      </w:r>
      <w:r w:rsidRPr="003D4DFC">
        <w:t>, 126, 106040.</w:t>
      </w:r>
    </w:p>
    <w:p w14:paraId="7A8E9C75" w14:textId="77777777" w:rsidR="003D4DFC" w:rsidRPr="003D4DFC" w:rsidRDefault="003D4DFC" w:rsidP="003D4DFC">
      <w:pPr>
        <w:jc w:val="both"/>
      </w:pPr>
      <w:r w:rsidRPr="003D4DFC">
        <w:t xml:space="preserve">Norfolk County Council (2026) </w:t>
      </w:r>
      <w:r w:rsidRPr="003D4DFC">
        <w:rPr>
          <w:i/>
          <w:iCs/>
        </w:rPr>
        <w:t>Early Help for Children and Families</w:t>
      </w:r>
      <w:r w:rsidRPr="003D4DFC">
        <w:t xml:space="preserve">. Available at: </w:t>
      </w:r>
      <w:hyperlink r:id="rId7" w:tgtFrame="_blank" w:history="1">
        <w:r w:rsidRPr="003D4DFC">
          <w:rPr>
            <w:rStyle w:val="Hyperlink"/>
          </w:rPr>
          <w:t>Norfolk Early Help for Children and Families</w:t>
        </w:r>
      </w:hyperlink>
      <w:r w:rsidRPr="003D4DFC">
        <w:t xml:space="preserve"> (Accessed: 8 June 2026).</w:t>
      </w:r>
    </w:p>
    <w:p w14:paraId="4C153A07" w14:textId="77777777" w:rsidR="003D4DFC" w:rsidRPr="003D4DFC" w:rsidRDefault="003D4DFC" w:rsidP="003D4DFC">
      <w:pPr>
        <w:jc w:val="both"/>
      </w:pPr>
      <w:r w:rsidRPr="003D4DFC">
        <w:t xml:space="preserve">Office for Health Improvement and Disparities (2023) </w:t>
      </w:r>
      <w:r w:rsidRPr="003D4DFC">
        <w:rPr>
          <w:i/>
          <w:iCs/>
        </w:rPr>
        <w:t>Improving Health Literacy and Reducing Health Inequalities</w:t>
      </w:r>
      <w:r w:rsidRPr="003D4DFC">
        <w:t>. London: Department of Health and Social Care.</w:t>
      </w:r>
    </w:p>
    <w:p w14:paraId="655FEC64" w14:textId="77777777" w:rsidR="003D4DFC" w:rsidRPr="003D4DFC" w:rsidRDefault="003D4DFC" w:rsidP="003D4DFC">
      <w:pPr>
        <w:jc w:val="both"/>
      </w:pPr>
      <w:r w:rsidRPr="003D4DFC">
        <w:t xml:space="preserve">Tower Hamlets Council (2026) </w:t>
      </w:r>
      <w:r w:rsidRPr="003D4DFC">
        <w:rPr>
          <w:i/>
          <w:iCs/>
        </w:rPr>
        <w:t>Early Help and Children and Family Services</w:t>
      </w:r>
      <w:r w:rsidRPr="003D4DFC">
        <w:t xml:space="preserve">. Available at: </w:t>
      </w:r>
      <w:hyperlink r:id="rId8" w:tgtFrame="_blank" w:history="1">
        <w:r w:rsidRPr="003D4DFC">
          <w:rPr>
            <w:rStyle w:val="Hyperlink"/>
          </w:rPr>
          <w:t>Tower Hamlets Early Help and Family Services</w:t>
        </w:r>
      </w:hyperlink>
      <w:r w:rsidRPr="003D4DFC">
        <w:t xml:space="preserve"> (Accessed: 8 June 2026).</w:t>
      </w:r>
    </w:p>
    <w:p w14:paraId="2BFCADF8" w14:textId="77777777" w:rsidR="003D4DFC" w:rsidRPr="003D4DFC" w:rsidRDefault="003D4DFC" w:rsidP="003D4DFC">
      <w:pPr>
        <w:jc w:val="both"/>
      </w:pPr>
      <w:r w:rsidRPr="003D4DFC">
        <w:t xml:space="preserve">Tower Hamlets Council (2026) </w:t>
      </w:r>
      <w:r w:rsidRPr="003D4DFC">
        <w:rPr>
          <w:i/>
          <w:iCs/>
        </w:rPr>
        <w:t>Multi-Agency Support Team (MAST)</w:t>
      </w:r>
      <w:r w:rsidRPr="003D4DFC">
        <w:t xml:space="preserve">. Available at: </w:t>
      </w:r>
      <w:hyperlink r:id="rId9" w:tgtFrame="_blank" w:history="1">
        <w:r w:rsidRPr="003D4DFC">
          <w:rPr>
            <w:rStyle w:val="Hyperlink"/>
          </w:rPr>
          <w:t>Tower Hamlets MAST Information</w:t>
        </w:r>
      </w:hyperlink>
      <w:r w:rsidRPr="003D4DFC">
        <w:t xml:space="preserve"> (Accessed: 8 June 2026).</w:t>
      </w:r>
    </w:p>
    <w:p w14:paraId="17AABD51" w14:textId="77777777" w:rsidR="003D4DFC" w:rsidRPr="003D4DFC" w:rsidRDefault="003D4DFC" w:rsidP="003D4DFC">
      <w:pPr>
        <w:jc w:val="both"/>
      </w:pPr>
      <w:r w:rsidRPr="003D4DFC">
        <w:t>White, S., Morris, K., Featherstone, B. and Daniels, H. (2021)</w:t>
      </w:r>
      <w:r w:rsidRPr="003D4DFC">
        <w:br/>
        <w:t xml:space="preserve">‘The complexity of early help and family support in contemporary England’, </w:t>
      </w:r>
      <w:r w:rsidRPr="003D4DFC">
        <w:rPr>
          <w:i/>
          <w:iCs/>
        </w:rPr>
        <w:t>Child Abuse Review</w:t>
      </w:r>
      <w:r w:rsidRPr="003D4DFC">
        <w:t>, 30(6), pp. 567–581.</w:t>
      </w:r>
    </w:p>
    <w:p w14:paraId="5D5419C0" w14:textId="77777777" w:rsidR="003D4DFC" w:rsidRPr="003D4DFC" w:rsidRDefault="003D4DFC" w:rsidP="003D4DFC">
      <w:pPr>
        <w:jc w:val="both"/>
      </w:pPr>
    </w:p>
    <w:p w14:paraId="2D9C5178" w14:textId="77777777" w:rsidR="00ED23D0" w:rsidRPr="003D4DFC" w:rsidRDefault="00ED23D0" w:rsidP="003D4DFC">
      <w:pPr>
        <w:jc w:val="both"/>
      </w:pPr>
    </w:p>
    <w:sectPr w:rsidR="00ED23D0" w:rsidRPr="003D4D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3D0"/>
    <w:rsid w:val="0008365F"/>
    <w:rsid w:val="00303603"/>
    <w:rsid w:val="003D4DFC"/>
    <w:rsid w:val="0042218A"/>
    <w:rsid w:val="0047566F"/>
    <w:rsid w:val="00B03FF7"/>
    <w:rsid w:val="00EB29B1"/>
    <w:rsid w:val="00ED23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228FC"/>
  <w15:chartTrackingRefBased/>
  <w15:docId w15:val="{753C81C5-3FBF-4090-ABA6-9C86A9BA4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23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23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23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23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23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23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23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23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23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23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23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23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23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23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23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23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23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23D0"/>
    <w:rPr>
      <w:rFonts w:eastAsiaTheme="majorEastAsia" w:cstheme="majorBidi"/>
      <w:color w:val="272727" w:themeColor="text1" w:themeTint="D8"/>
    </w:rPr>
  </w:style>
  <w:style w:type="paragraph" w:styleId="Title">
    <w:name w:val="Title"/>
    <w:basedOn w:val="Normal"/>
    <w:next w:val="Normal"/>
    <w:link w:val="TitleChar"/>
    <w:uiPriority w:val="10"/>
    <w:qFormat/>
    <w:rsid w:val="00ED23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23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23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23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23D0"/>
    <w:pPr>
      <w:spacing w:before="160"/>
      <w:jc w:val="center"/>
    </w:pPr>
    <w:rPr>
      <w:i/>
      <w:iCs/>
      <w:color w:val="404040" w:themeColor="text1" w:themeTint="BF"/>
    </w:rPr>
  </w:style>
  <w:style w:type="character" w:customStyle="1" w:styleId="QuoteChar">
    <w:name w:val="Quote Char"/>
    <w:basedOn w:val="DefaultParagraphFont"/>
    <w:link w:val="Quote"/>
    <w:uiPriority w:val="29"/>
    <w:rsid w:val="00ED23D0"/>
    <w:rPr>
      <w:i/>
      <w:iCs/>
      <w:color w:val="404040" w:themeColor="text1" w:themeTint="BF"/>
    </w:rPr>
  </w:style>
  <w:style w:type="paragraph" w:styleId="ListParagraph">
    <w:name w:val="List Paragraph"/>
    <w:basedOn w:val="Normal"/>
    <w:uiPriority w:val="34"/>
    <w:qFormat/>
    <w:rsid w:val="00ED23D0"/>
    <w:pPr>
      <w:ind w:left="720"/>
      <w:contextualSpacing/>
    </w:pPr>
  </w:style>
  <w:style w:type="character" w:styleId="IntenseEmphasis">
    <w:name w:val="Intense Emphasis"/>
    <w:basedOn w:val="DefaultParagraphFont"/>
    <w:uiPriority w:val="21"/>
    <w:qFormat/>
    <w:rsid w:val="00ED23D0"/>
    <w:rPr>
      <w:i/>
      <w:iCs/>
      <w:color w:val="0F4761" w:themeColor="accent1" w:themeShade="BF"/>
    </w:rPr>
  </w:style>
  <w:style w:type="paragraph" w:styleId="IntenseQuote">
    <w:name w:val="Intense Quote"/>
    <w:basedOn w:val="Normal"/>
    <w:next w:val="Normal"/>
    <w:link w:val="IntenseQuoteChar"/>
    <w:uiPriority w:val="30"/>
    <w:qFormat/>
    <w:rsid w:val="00ED23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23D0"/>
    <w:rPr>
      <w:i/>
      <w:iCs/>
      <w:color w:val="0F4761" w:themeColor="accent1" w:themeShade="BF"/>
    </w:rPr>
  </w:style>
  <w:style w:type="character" w:styleId="IntenseReference">
    <w:name w:val="Intense Reference"/>
    <w:basedOn w:val="DefaultParagraphFont"/>
    <w:uiPriority w:val="32"/>
    <w:qFormat/>
    <w:rsid w:val="00ED23D0"/>
    <w:rPr>
      <w:b/>
      <w:bCs/>
      <w:smallCaps/>
      <w:color w:val="0F4761" w:themeColor="accent1" w:themeShade="BF"/>
      <w:spacing w:val="5"/>
    </w:rPr>
  </w:style>
  <w:style w:type="character" w:styleId="Hyperlink">
    <w:name w:val="Hyperlink"/>
    <w:basedOn w:val="DefaultParagraphFont"/>
    <w:uiPriority w:val="99"/>
    <w:unhideWhenUsed/>
    <w:rsid w:val="003D4DFC"/>
    <w:rPr>
      <w:color w:val="467886" w:themeColor="hyperlink"/>
      <w:u w:val="single"/>
    </w:rPr>
  </w:style>
  <w:style w:type="character" w:styleId="UnresolvedMention">
    <w:name w:val="Unresolved Mention"/>
    <w:basedOn w:val="DefaultParagraphFont"/>
    <w:uiPriority w:val="99"/>
    <w:semiHidden/>
    <w:unhideWhenUsed/>
    <w:rsid w:val="003D4D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werhamlets.gov.uk/lgnl/health__social_care/children_and_family_care/Early_Help/Early-Help-and-Children-and-Family-Service.aspx?utm_source=chatgpt.com" TargetMode="External"/><Relationship Id="rId3" Type="http://schemas.openxmlformats.org/officeDocument/2006/relationships/webSettings" Target="webSettings.xml"/><Relationship Id="rId7" Type="http://schemas.openxmlformats.org/officeDocument/2006/relationships/hyperlink" Target="https://www.norfolk.gov.uk/article/40407/Early-help-for-children-and-families?utm_source=chatgpt.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edsscp.org.uk/practitioners/approaches/early-help/approach?utm_source=chatgpt.com" TargetMode="External"/><Relationship Id="rId11" Type="http://schemas.openxmlformats.org/officeDocument/2006/relationships/theme" Target="theme/theme1.xml"/><Relationship Id="rId5" Type="http://schemas.openxmlformats.org/officeDocument/2006/relationships/hyperlink" Target="https://www.gov.uk/government/publications/working-together-to-safeguard-children--2?utm_source=chatgpt.com" TargetMode="External"/><Relationship Id="rId10" Type="http://schemas.openxmlformats.org/officeDocument/2006/relationships/fontTable" Target="fontTable.xml"/><Relationship Id="rId4" Type="http://schemas.openxmlformats.org/officeDocument/2006/relationships/hyperlink" Target="https://www.gov.uk/government/publications/supporting-families-early-help-system-guide?utm_source=chatgpt.com" TargetMode="External"/><Relationship Id="rId9" Type="http://schemas.openxmlformats.org/officeDocument/2006/relationships/hyperlink" Target="https://www.towerhamlets.gov.uk/lgnl/health__social_care/children_and_family_care/Multi-Agency-Support-Team-MAST.aspx?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10</Pages>
  <Words>3477</Words>
  <Characters>19825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addo</dc:creator>
  <cp:keywords/>
  <dc:description/>
  <cp:lastModifiedBy>LINDA TEKYI</cp:lastModifiedBy>
  <cp:revision>3</cp:revision>
  <dcterms:created xsi:type="dcterms:W3CDTF">2026-07-18T23:46:00Z</dcterms:created>
  <dcterms:modified xsi:type="dcterms:W3CDTF">2026-07-19T01:07:00Z</dcterms:modified>
</cp:coreProperties>
</file>