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7084265" w:rsidP="12896CFD" w:rsidRDefault="17084265" w14:paraId="0FD8F9C5" w14:textId="73A2A5FD">
      <w:pPr>
        <w:pStyle w:val="Normal"/>
        <w:jc w:val="center"/>
        <w:rPr>
          <w:rFonts w:ascii="Calibri Light" w:hAnsi="Calibri Light" w:eastAsia="Calibri Light" w:cs="Calibri Light" w:asciiTheme="majorAscii" w:hAnsiTheme="majorAscii" w:eastAsiaTheme="majorAscii" w:cstheme="majorAscii"/>
          <w:b w:val="1"/>
          <w:bCs w:val="1"/>
          <w:sz w:val="24"/>
          <w:szCs w:val="24"/>
          <w:u w:val="single"/>
        </w:rPr>
      </w:pPr>
      <w:r w:rsidRPr="12896CFD" w:rsidR="12896CFD">
        <w:rPr>
          <w:rFonts w:ascii="Calibri Light" w:hAnsi="Calibri Light" w:eastAsia="Calibri Light" w:cs="Calibri Light" w:asciiTheme="majorAscii" w:hAnsiTheme="majorAscii" w:eastAsiaTheme="majorAscii" w:cstheme="majorAscii"/>
          <w:b w:val="1"/>
          <w:bCs w:val="1"/>
          <w:sz w:val="24"/>
          <w:szCs w:val="24"/>
          <w:u w:val="single"/>
        </w:rPr>
        <w:t>Evaluate the powers provided to police under the Police and Criminal Evidence Act 1984 and the guidance to it provided in the ‘Codes of Practice’</w:t>
      </w:r>
    </w:p>
    <w:p w:rsidR="17084265" w:rsidP="12896CFD" w:rsidRDefault="17084265" w14:paraId="0482F47E" w14:textId="53A2B45E">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u w:val="single"/>
          <w:lang w:val="en-GB"/>
        </w:rPr>
      </w:pPr>
    </w:p>
    <w:p w:rsidR="17084265" w:rsidP="12896CFD" w:rsidRDefault="17084265" w14:paraId="2744700E" w14:textId="28285C21">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pPr>
      <w:r w:rsidRPr="12896CFD" w:rsidR="12896CFD">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t xml:space="preserve">Assignment title: </w:t>
      </w:r>
      <w:r w:rsidRPr="12896CFD" w:rsidR="12896CFD">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t>Police Legitimacy</w:t>
      </w:r>
    </w:p>
    <w:p w:rsidR="17084265" w:rsidP="12896CFD" w:rsidRDefault="17084265" w14:paraId="2134C6DD" w14:textId="29115047">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pPr>
    </w:p>
    <w:p w:rsidR="17084265" w:rsidP="12896CFD" w:rsidRDefault="17084265" w14:paraId="3A7C01CA" w14:textId="2AF431A3">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pPr>
      <w:r w:rsidRPr="12896CFD" w:rsidR="12896CFD">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t xml:space="preserve">Module: Understanding Policing </w:t>
      </w:r>
    </w:p>
    <w:p w:rsidR="17084265" w:rsidP="12896CFD" w:rsidRDefault="17084265" w14:paraId="6AEB81B8" w14:textId="7BE17B0B">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pPr>
    </w:p>
    <w:p w:rsidR="17084265" w:rsidP="12896CFD" w:rsidRDefault="17084265" w14:paraId="6BA47FDB" w14:textId="15E4F8AB">
      <w:pPr>
        <w:pStyle w:val="Normal"/>
        <w:jc w:val="center"/>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pPr>
      <w:r w:rsidRPr="12896CFD" w:rsidR="12896CFD">
        <w:rPr>
          <w:rFonts w:ascii="Calibri Light" w:hAnsi="Calibri Light" w:eastAsia="Calibri Light" w:cs="Calibri Light" w:asciiTheme="majorAscii" w:hAnsiTheme="majorAscii" w:eastAsiaTheme="majorAscii" w:cstheme="majorAscii"/>
          <w:b w:val="1"/>
          <w:bCs w:val="1"/>
          <w:noProof w:val="0"/>
          <w:color w:val="000000" w:themeColor="text1" w:themeTint="FF" w:themeShade="FF"/>
          <w:sz w:val="24"/>
          <w:szCs w:val="24"/>
          <w:lang w:val="en-GB"/>
        </w:rPr>
        <w:t>Module Code: BMPS5008</w:t>
      </w:r>
    </w:p>
    <w:p w:rsidR="17084265" w:rsidP="12896CFD" w:rsidRDefault="17084265" w14:paraId="68D3AAC5" w14:textId="727A68FB">
      <w:pPr>
        <w:pStyle w:val="Normal"/>
        <w:jc w:val="center"/>
        <w:rPr>
          <w:rFonts w:ascii="Calibri Light" w:hAnsi="Calibri Light" w:eastAsia="Calibri Light" w:cs="Calibri Light" w:asciiTheme="majorAscii" w:hAnsiTheme="majorAscii" w:eastAsiaTheme="majorAscii" w:cstheme="majorAscii"/>
          <w:b w:val="1"/>
          <w:bCs w:val="1"/>
          <w:sz w:val="24"/>
          <w:szCs w:val="24"/>
        </w:rPr>
      </w:pPr>
    </w:p>
    <w:p w:rsidR="17084265" w:rsidP="12896CFD" w:rsidRDefault="17084265" w14:paraId="0E3DA0F3" w14:textId="46AAFC90">
      <w:pPr>
        <w:pStyle w:val="Normal"/>
        <w:jc w:val="center"/>
        <w:rPr>
          <w:rFonts w:ascii="Calibri Light" w:hAnsi="Calibri Light" w:eastAsia="Calibri Light" w:cs="Calibri Light" w:asciiTheme="majorAscii" w:hAnsiTheme="majorAscii" w:eastAsiaTheme="majorAscii" w:cstheme="majorAscii"/>
          <w:b w:val="1"/>
          <w:bCs w:val="1"/>
          <w:sz w:val="24"/>
          <w:szCs w:val="24"/>
        </w:rPr>
      </w:pPr>
      <w:r w:rsidRPr="12896CFD" w:rsidR="12896CFD">
        <w:rPr>
          <w:rFonts w:ascii="Calibri Light" w:hAnsi="Calibri Light" w:eastAsia="Calibri Light" w:cs="Calibri Light" w:asciiTheme="majorAscii" w:hAnsiTheme="majorAscii" w:eastAsiaTheme="majorAscii" w:cstheme="majorAscii"/>
          <w:b w:val="1"/>
          <w:bCs w:val="1"/>
          <w:sz w:val="24"/>
          <w:szCs w:val="24"/>
        </w:rPr>
        <w:t xml:space="preserve">Student number: </w:t>
      </w:r>
      <w:r w:rsidRPr="12896CFD" w:rsidR="12896CFD">
        <w:rPr>
          <w:rFonts w:ascii="Calibri Light" w:hAnsi="Calibri Light" w:eastAsia="Calibri Light" w:cs="Calibri Light" w:asciiTheme="majorAscii" w:hAnsiTheme="majorAscii" w:eastAsiaTheme="majorAscii" w:cstheme="majorAscii"/>
          <w:b w:val="1"/>
          <w:bCs w:val="1"/>
          <w:sz w:val="24"/>
          <w:szCs w:val="24"/>
        </w:rPr>
        <w:t>1805244</w:t>
      </w:r>
    </w:p>
    <w:p w:rsidR="17084265" w:rsidP="12896CFD" w:rsidRDefault="17084265" w14:paraId="3F48E133" w14:textId="23F2D112">
      <w:pPr>
        <w:pStyle w:val="Normal"/>
        <w:jc w:val="center"/>
        <w:rPr>
          <w:rFonts w:ascii="Calibri Light" w:hAnsi="Calibri Light" w:eastAsia="Calibri Light" w:cs="Calibri Light" w:asciiTheme="majorAscii" w:hAnsiTheme="majorAscii" w:eastAsiaTheme="majorAscii" w:cstheme="majorAscii"/>
          <w:b w:val="1"/>
          <w:bCs w:val="1"/>
          <w:sz w:val="24"/>
          <w:szCs w:val="24"/>
        </w:rPr>
      </w:pPr>
    </w:p>
    <w:p w:rsidR="17084265" w:rsidP="12896CFD" w:rsidRDefault="17084265" w14:paraId="04A09EB6" w14:textId="3914A188">
      <w:pPr>
        <w:pStyle w:val="Normal"/>
        <w:jc w:val="center"/>
        <w:rPr>
          <w:rFonts w:ascii="Calibri Light" w:hAnsi="Calibri Light" w:eastAsia="Calibri Light" w:cs="Calibri Light" w:asciiTheme="majorAscii" w:hAnsiTheme="majorAscii" w:eastAsiaTheme="majorAscii" w:cstheme="majorAscii"/>
          <w:b w:val="1"/>
          <w:bCs w:val="1"/>
          <w:sz w:val="24"/>
          <w:szCs w:val="24"/>
        </w:rPr>
      </w:pPr>
      <w:r w:rsidRPr="12896CFD" w:rsidR="12896CFD">
        <w:rPr>
          <w:rFonts w:ascii="Calibri Light" w:hAnsi="Calibri Light" w:eastAsia="Calibri Light" w:cs="Calibri Light" w:asciiTheme="majorAscii" w:hAnsiTheme="majorAscii" w:eastAsiaTheme="majorAscii" w:cstheme="majorAscii"/>
          <w:b w:val="1"/>
          <w:bCs w:val="1"/>
          <w:sz w:val="24"/>
          <w:szCs w:val="24"/>
        </w:rPr>
        <w:t xml:space="preserve">Jac Conor Williams </w:t>
      </w:r>
    </w:p>
    <w:p w:rsidR="32A89821" w:rsidP="12896CFD" w:rsidRDefault="32A89821" w14:paraId="5CF385C4" w14:textId="1C3F9D81">
      <w:pPr>
        <w:pStyle w:val="Normal"/>
        <w:jc w:val="center"/>
        <w:rPr>
          <w:rFonts w:ascii="Calibri Light" w:hAnsi="Calibri Light" w:eastAsia="Calibri Light" w:cs="Calibri Light" w:asciiTheme="majorAscii" w:hAnsiTheme="majorAscii" w:eastAsiaTheme="majorAscii" w:cstheme="majorAscii"/>
          <w:b w:val="1"/>
          <w:bCs w:val="1"/>
          <w:sz w:val="24"/>
          <w:szCs w:val="24"/>
        </w:rPr>
      </w:pPr>
      <w:proofErr w:type="gramStart"/>
      <w:proofErr w:type="gramEnd"/>
      <w:proofErr w:type="gramStart"/>
      <w:proofErr w:type="gramEnd"/>
    </w:p>
    <w:p w:rsidR="32A89821" w:rsidP="12896CFD" w:rsidRDefault="32A89821" w14:paraId="4F1FFB56" w14:textId="5BBFFFFB">
      <w:pPr>
        <w:pStyle w:val="Normal"/>
        <w:jc w:val="center"/>
        <w:rPr>
          <w:rFonts w:ascii="Calibri Light" w:hAnsi="Calibri Light" w:eastAsia="Calibri Light" w:cs="Calibri Light" w:asciiTheme="majorAscii" w:hAnsiTheme="majorAscii" w:eastAsiaTheme="majorAscii" w:cstheme="majorAscii"/>
          <w:b w:val="1"/>
          <w:bCs w:val="1"/>
          <w:sz w:val="24"/>
          <w:szCs w:val="24"/>
        </w:rPr>
      </w:pPr>
    </w:p>
    <w:p w:rsidR="32A89821" w:rsidP="12896CFD" w:rsidRDefault="32A89821" w14:paraId="27BE64DA" w14:textId="68A7F81E">
      <w:pPr>
        <w:pStyle w:val="Normal"/>
        <w:rPr>
          <w:sz w:val="24"/>
          <w:szCs w:val="24"/>
        </w:rPr>
      </w:pPr>
    </w:p>
    <w:p w:rsidR="32A89821" w:rsidP="12896CFD" w:rsidRDefault="32A89821" w14:paraId="14474EF3" w14:textId="5EFD1D62">
      <w:pPr>
        <w:pStyle w:val="Normal"/>
        <w:rPr>
          <w:sz w:val="24"/>
          <w:szCs w:val="24"/>
        </w:rPr>
      </w:pPr>
    </w:p>
    <w:p w:rsidR="32A89821" w:rsidP="12896CFD" w:rsidRDefault="32A89821" w14:paraId="3C418848" w14:textId="19472D05">
      <w:pPr>
        <w:pStyle w:val="Normal"/>
        <w:rPr>
          <w:sz w:val="24"/>
          <w:szCs w:val="24"/>
        </w:rPr>
      </w:pPr>
    </w:p>
    <w:p w:rsidR="32A89821" w:rsidP="12896CFD" w:rsidRDefault="32A89821" w14:paraId="2FA70FEA" w14:textId="0B7DE03B">
      <w:pPr>
        <w:pStyle w:val="Normal"/>
        <w:rPr>
          <w:sz w:val="24"/>
          <w:szCs w:val="24"/>
        </w:rPr>
      </w:pPr>
    </w:p>
    <w:p w:rsidR="32A89821" w:rsidP="12896CFD" w:rsidRDefault="32A89821" w14:paraId="13F19F68" w14:textId="6B4917FD">
      <w:pPr>
        <w:pStyle w:val="Normal"/>
        <w:rPr>
          <w:sz w:val="24"/>
          <w:szCs w:val="24"/>
        </w:rPr>
      </w:pPr>
    </w:p>
    <w:p w:rsidR="32A89821" w:rsidP="12896CFD" w:rsidRDefault="32A89821" w14:paraId="0893DF6D" w14:textId="3EFC88C0">
      <w:pPr>
        <w:pStyle w:val="Normal"/>
        <w:rPr>
          <w:sz w:val="24"/>
          <w:szCs w:val="24"/>
        </w:rPr>
      </w:pPr>
    </w:p>
    <w:p w:rsidR="32A89821" w:rsidP="12896CFD" w:rsidRDefault="32A89821" w14:paraId="46293FC6" w14:textId="0A673DEE">
      <w:pPr>
        <w:pStyle w:val="Normal"/>
        <w:rPr>
          <w:sz w:val="24"/>
          <w:szCs w:val="24"/>
        </w:rPr>
      </w:pPr>
    </w:p>
    <w:p w:rsidR="32A89821" w:rsidP="12896CFD" w:rsidRDefault="32A89821" w14:paraId="0062EFB5" w14:textId="02B807ED">
      <w:pPr>
        <w:pStyle w:val="Normal"/>
        <w:rPr>
          <w:sz w:val="24"/>
          <w:szCs w:val="24"/>
        </w:rPr>
      </w:pPr>
    </w:p>
    <w:p w:rsidR="32A89821" w:rsidP="12896CFD" w:rsidRDefault="32A89821" w14:paraId="1D585102" w14:textId="681069F9">
      <w:pPr>
        <w:pStyle w:val="Normal"/>
        <w:rPr>
          <w:sz w:val="24"/>
          <w:szCs w:val="24"/>
        </w:rPr>
      </w:pPr>
    </w:p>
    <w:p w:rsidR="32A89821" w:rsidP="12896CFD" w:rsidRDefault="32A89821" w14:paraId="3A5071E2" w14:textId="61D5E45A">
      <w:pPr>
        <w:pStyle w:val="Normal"/>
        <w:rPr>
          <w:sz w:val="24"/>
          <w:szCs w:val="24"/>
        </w:rPr>
      </w:pPr>
    </w:p>
    <w:p w:rsidR="32A89821" w:rsidP="12896CFD" w:rsidRDefault="32A89821" w14:paraId="43A1F104" w14:textId="48EE11F5">
      <w:pPr>
        <w:pStyle w:val="Normal"/>
        <w:rPr>
          <w:sz w:val="24"/>
          <w:szCs w:val="24"/>
        </w:rPr>
      </w:pPr>
    </w:p>
    <w:p w:rsidR="32A89821" w:rsidP="12896CFD" w:rsidRDefault="32A89821" w14:paraId="167F14B8" w14:textId="71732BE3">
      <w:pPr>
        <w:pStyle w:val="Normal"/>
        <w:rPr>
          <w:sz w:val="24"/>
          <w:szCs w:val="24"/>
        </w:rPr>
      </w:pPr>
    </w:p>
    <w:p w:rsidR="32A89821" w:rsidP="12896CFD" w:rsidRDefault="32A89821" w14:paraId="07F1CDD1" w14:textId="2A92E1CF">
      <w:pPr>
        <w:pStyle w:val="Normal"/>
        <w:rPr>
          <w:sz w:val="24"/>
          <w:szCs w:val="24"/>
        </w:rPr>
      </w:pPr>
    </w:p>
    <w:p w:rsidR="32A89821" w:rsidP="12896CFD" w:rsidRDefault="32A89821" w14:paraId="1840E132" w14:textId="0247604F">
      <w:pPr>
        <w:pStyle w:val="Normal"/>
        <w:rPr>
          <w:sz w:val="24"/>
          <w:szCs w:val="24"/>
        </w:rPr>
      </w:pPr>
    </w:p>
    <w:p w:rsidR="32A89821" w:rsidP="12896CFD" w:rsidRDefault="32A89821" w14:paraId="1FCF9A59" w14:textId="4E674407">
      <w:pPr>
        <w:pStyle w:val="Normal"/>
        <w:rPr>
          <w:sz w:val="24"/>
          <w:szCs w:val="24"/>
        </w:rPr>
      </w:pPr>
    </w:p>
    <w:p w:rsidR="32A89821" w:rsidP="12896CFD" w:rsidRDefault="32A89821" w14:paraId="765D623F" w14:textId="3B72FF40">
      <w:pPr>
        <w:pStyle w:val="Normal"/>
        <w:rPr>
          <w:sz w:val="24"/>
          <w:szCs w:val="24"/>
        </w:rPr>
      </w:pPr>
    </w:p>
    <w:p w:rsidR="32A89821" w:rsidP="63EB1B3A" w:rsidRDefault="32A89821" w14:paraId="2D929922" w14:textId="4D41ABD1">
      <w:pPr>
        <w:pStyle w:val="Normal"/>
        <w:rPr>
          <w:rFonts w:ascii="Calibri" w:hAnsi="Calibri" w:eastAsia="Calibri" w:cs="Calibri"/>
          <w:noProof w:val="0"/>
          <w:sz w:val="24"/>
          <w:szCs w:val="24"/>
          <w:lang w:val="en-GB"/>
        </w:rPr>
      </w:pPr>
      <w:r w:rsidRPr="63EB1B3A" w:rsidR="63EB1B3A">
        <w:rPr>
          <w:sz w:val="24"/>
          <w:szCs w:val="24"/>
        </w:rPr>
        <w:t xml:space="preserve">This assignment will </w:t>
      </w:r>
      <w:r w:rsidRPr="63EB1B3A" w:rsidR="63EB1B3A">
        <w:rPr>
          <w:sz w:val="24"/>
          <w:szCs w:val="24"/>
        </w:rPr>
        <w:t xml:space="preserve">identify and </w:t>
      </w:r>
      <w:r w:rsidRPr="63EB1B3A" w:rsidR="63EB1B3A">
        <w:rPr>
          <w:sz w:val="24"/>
          <w:szCs w:val="24"/>
        </w:rPr>
        <w:t>evaluate the success and limitations of the Police and Criminal Evidence Act 1984 in preventing Miscarriages of Justice and the guidance provided in the codes of practice. Also, discussion will be made</w:t>
      </w:r>
      <w:r w:rsidRPr="63EB1B3A" w:rsidR="63EB1B3A">
        <w:rPr>
          <w:sz w:val="24"/>
          <w:szCs w:val="24"/>
        </w:rPr>
        <w:t xml:space="preserve"> on case studies before </w:t>
      </w:r>
      <w:r w:rsidRPr="63EB1B3A" w:rsidR="63EB1B3A">
        <w:rPr>
          <w:sz w:val="24"/>
          <w:szCs w:val="24"/>
        </w:rPr>
        <w:t xml:space="preserve">the introduction to PACE codes and how with PACE codes in place it is </w:t>
      </w:r>
      <w:proofErr w:type="gramStart"/>
      <w:r w:rsidRPr="63EB1B3A" w:rsidR="63EB1B3A">
        <w:rPr>
          <w:sz w:val="24"/>
          <w:szCs w:val="24"/>
        </w:rPr>
        <w:t>a valuable asset</w:t>
      </w:r>
      <w:proofErr w:type="gramEnd"/>
      <w:r w:rsidRPr="63EB1B3A" w:rsidR="63EB1B3A">
        <w:rPr>
          <w:sz w:val="24"/>
          <w:szCs w:val="24"/>
        </w:rPr>
        <w:t xml:space="preserve"> to prevent miscarriages of justice.</w:t>
      </w:r>
      <w:r w:rsidRPr="63EB1B3A" w:rsidR="63EB1B3A">
        <w:rPr>
          <w:rFonts w:ascii="Calibri" w:hAnsi="Calibri" w:eastAsia="Calibri" w:cs="Calibri"/>
          <w:noProof w:val="0"/>
          <w:sz w:val="24"/>
          <w:szCs w:val="24"/>
          <w:lang w:val="en-GB"/>
        </w:rPr>
        <w:t xml:space="preserve"> In addition, this assignment will use case studies and credible academic sources throughout to support my work and conclude my main findings to draw this assignment to an end.</w:t>
      </w:r>
    </w:p>
    <w:p w:rsidR="32A89821" w:rsidP="35F650ED" w:rsidRDefault="32A89821" w14:paraId="720DF282" w14:textId="01765100">
      <w:pPr>
        <w:pStyle w:val="Normal"/>
        <w:rPr>
          <w:rFonts w:ascii="Calibri" w:hAnsi="Calibri" w:eastAsia="Calibri" w:cs="Calibri"/>
          <w:noProof w:val="0"/>
          <w:color w:val="000000" w:themeColor="text1" w:themeTint="FF" w:themeShade="FF"/>
          <w:sz w:val="24"/>
          <w:szCs w:val="24"/>
          <w:lang w:val="en-GB"/>
        </w:rPr>
      </w:pPr>
      <w:r w:rsidRPr="35F650ED" w:rsidR="35F650ED">
        <w:rPr>
          <w:sz w:val="24"/>
          <w:szCs w:val="24"/>
        </w:rPr>
        <w:t xml:space="preserve">The Police and Criminal Evidence Act 1984 is an Act that was installed by parliament to institute a legislative structure on powers within the police departments in England and Wales. The Act helps to tackle a variety of crimes and provides </w:t>
      </w:r>
      <w:proofErr w:type="gramStart"/>
      <w:r w:rsidRPr="35F650ED" w:rsidR="35F650ED">
        <w:rPr>
          <w:sz w:val="24"/>
          <w:szCs w:val="24"/>
        </w:rPr>
        <w:t>a number of</w:t>
      </w:r>
      <w:proofErr w:type="gramEnd"/>
      <w:r w:rsidRPr="35F650ED" w:rsidR="35F650ED">
        <w:rPr>
          <w:sz w:val="24"/>
          <w:szCs w:val="24"/>
        </w:rPr>
        <w:t xml:space="preserve"> codes of practice to exercise these powers. The definition of a miscarriage of justice is the court or judicial system failing to guarantee a just result, principally this entails the conviction of an innocent party (UK Government, 2019). A book by McConville and Wilson (2002) agrees with this definition as they state that ‘a miscarriage of justice happens whenever suspects, defendants or convicts are treated wrongly by the state, meaning that their rights are breached’ this occurs when laws which are applied to them are unjust or there is no actual justification of the applied treatment or punishment, an example of this would be mistaken identity. Whereas Robert M (2005) states that a miscarriage of justice isn't a fair result in a judicial proceeding as this happens when a defendant is convicted despite little evidence of the crime being conducted. PACE codes of practice are essential part of the justice system, they were set out to create the ‘right balance between the powers of the police and the rights and freedom of the public’, the PACE codes were established so that the police were able to rely on tools to help them maintain the perfect balance, this is a central element in PACE </w:t>
      </w:r>
      <w:r w:rsidRPr="35F650ED" w:rsidR="35F650ED">
        <w:rPr>
          <w:rFonts w:ascii="Calibri" w:hAnsi="Calibri" w:eastAsia="Calibri" w:cs="Calibri"/>
          <w:noProof w:val="0"/>
          <w:sz w:val="24"/>
          <w:szCs w:val="24"/>
          <w:lang w:val="en-GB"/>
        </w:rPr>
        <w:t>(UK Government 2019)</w:t>
      </w:r>
      <w:r w:rsidRPr="35F650ED" w:rsidR="35F650ED">
        <w:rPr>
          <w:sz w:val="24"/>
          <w:szCs w:val="24"/>
        </w:rPr>
        <w:t>.</w:t>
      </w:r>
      <w:r w:rsidRPr="35F650ED" w:rsidR="35F650ED">
        <w:rPr>
          <w:rFonts w:ascii="Calibri" w:hAnsi="Calibri" w:eastAsia="Calibri" w:cs="Calibri"/>
          <w:noProof w:val="0"/>
          <w:sz w:val="24"/>
          <w:szCs w:val="24"/>
          <w:lang w:val="en-GB"/>
        </w:rPr>
        <w:t xml:space="preserve"> The introduction of the PACE codes has replaced the Judges’ ruling in England and Wales.</w:t>
      </w:r>
      <w:r w:rsidRPr="35F650ED" w:rsidR="35F650ED">
        <w:rPr>
          <w:sz w:val="24"/>
          <w:szCs w:val="24"/>
        </w:rPr>
        <w:t xml:space="preserve"> </w:t>
      </w:r>
      <w:r w:rsidRPr="35F650ED" w:rsidR="35F650ED">
        <w:rPr>
          <w:rFonts w:ascii="Calibri" w:hAnsi="Calibri" w:eastAsia="Calibri" w:cs="Calibri"/>
          <w:noProof w:val="0"/>
          <w:sz w:val="24"/>
          <w:szCs w:val="24"/>
          <w:lang w:val="en-GB"/>
        </w:rPr>
        <w:t xml:space="preserve">The Judges Rule did not have the power to reinforce the law, this meant that the act was reissued in 1964 for realising police power needed to be questioned. By the 1970’s the police powers were looked at with no complaints or restraint. No requirements for legal advice were offered and no effective limits on periods of detention, </w:t>
      </w:r>
      <w:proofErr w:type="gramStart"/>
      <w:r w:rsidRPr="35F650ED" w:rsidR="35F650ED">
        <w:rPr>
          <w:rFonts w:ascii="Calibri" w:hAnsi="Calibri" w:eastAsia="Calibri" w:cs="Calibri"/>
          <w:noProof w:val="0"/>
          <w:sz w:val="24"/>
          <w:szCs w:val="24"/>
          <w:lang w:val="en-GB"/>
        </w:rPr>
        <w:t>a large number of</w:t>
      </w:r>
      <w:proofErr w:type="gramEnd"/>
      <w:r w:rsidRPr="35F650ED" w:rsidR="35F650ED">
        <w:rPr>
          <w:rFonts w:ascii="Calibri" w:hAnsi="Calibri" w:eastAsia="Calibri" w:cs="Calibri"/>
          <w:noProof w:val="0"/>
          <w:sz w:val="24"/>
          <w:szCs w:val="24"/>
          <w:lang w:val="en-GB"/>
        </w:rPr>
        <w:t xml:space="preserve"> miscarriages of justice go back to this period (Parliament, 2019). </w:t>
      </w:r>
      <w:r w:rsidRPr="35F650ED" w:rsidR="35F650ED">
        <w:rPr>
          <w:rFonts w:ascii="Calibri" w:hAnsi="Calibri" w:eastAsia="Calibri" w:cs="Calibri"/>
          <w:noProof w:val="0"/>
          <w:color w:val="000000" w:themeColor="text1" w:themeTint="FF" w:themeShade="FF"/>
          <w:sz w:val="24"/>
          <w:szCs w:val="24"/>
          <w:lang w:val="en-GB"/>
        </w:rPr>
        <w:t xml:space="preserve">Establishing the PACE codes also brought changes to policy, operational policing practice, </w:t>
      </w:r>
      <w:r w:rsidRPr="35F650ED" w:rsidR="35F650ED">
        <w:rPr>
          <w:rFonts w:ascii="Calibri" w:hAnsi="Calibri" w:eastAsia="Calibri" w:cs="Calibri"/>
          <w:noProof w:val="0"/>
          <w:color w:val="000000" w:themeColor="text1" w:themeTint="FF" w:themeShade="FF"/>
          <w:sz w:val="24"/>
          <w:szCs w:val="24"/>
          <w:lang w:val="en-GB"/>
        </w:rPr>
        <w:t xml:space="preserve">legislation </w:t>
      </w:r>
      <w:r w:rsidRPr="35F650ED" w:rsidR="35F650ED">
        <w:rPr>
          <w:rFonts w:ascii="Calibri" w:hAnsi="Calibri" w:eastAsia="Calibri" w:cs="Calibri"/>
          <w:noProof w:val="0"/>
          <w:color w:val="000000" w:themeColor="text1" w:themeTint="FF" w:themeShade="FF"/>
          <w:sz w:val="24"/>
          <w:szCs w:val="24"/>
          <w:lang w:val="en-GB"/>
        </w:rPr>
        <w:t xml:space="preserve">and </w:t>
      </w:r>
      <w:r w:rsidRPr="35F650ED" w:rsidR="35F650ED">
        <w:rPr>
          <w:rFonts w:ascii="Calibri" w:hAnsi="Calibri" w:eastAsia="Calibri" w:cs="Calibri"/>
          <w:noProof w:val="0"/>
          <w:color w:val="000000" w:themeColor="text1" w:themeTint="FF" w:themeShade="FF"/>
          <w:sz w:val="24"/>
          <w:szCs w:val="24"/>
          <w:lang w:val="en-GB"/>
        </w:rPr>
        <w:t xml:space="preserve">even </w:t>
      </w:r>
      <w:r w:rsidRPr="35F650ED" w:rsidR="35F650ED">
        <w:rPr>
          <w:rFonts w:ascii="Calibri" w:hAnsi="Calibri" w:eastAsia="Calibri" w:cs="Calibri"/>
          <w:noProof w:val="0"/>
          <w:color w:val="000000" w:themeColor="text1" w:themeTint="FF" w:themeShade="FF"/>
          <w:sz w:val="24"/>
          <w:szCs w:val="24"/>
          <w:lang w:val="en-GB"/>
        </w:rPr>
        <w:t>case law (Parliament, 2019).</w:t>
      </w:r>
    </w:p>
    <w:p w:rsidR="32A89821" w:rsidP="35F650ED" w:rsidRDefault="32A89821" w14:paraId="48488531" w14:textId="56AB3D1B">
      <w:pPr>
        <w:pStyle w:val="Normal"/>
        <w:rPr>
          <w:sz w:val="24"/>
          <w:szCs w:val="24"/>
        </w:rPr>
      </w:pPr>
      <w:r w:rsidRPr="35F650ED" w:rsidR="35F650ED">
        <w:rPr>
          <w:sz w:val="24"/>
          <w:szCs w:val="24"/>
        </w:rPr>
        <w:t xml:space="preserve">    A case study which occurred </w:t>
      </w:r>
      <w:r w:rsidRPr="35F650ED" w:rsidR="35F650ED">
        <w:rPr>
          <w:sz w:val="24"/>
          <w:szCs w:val="24"/>
        </w:rPr>
        <w:t>earlier than</w:t>
      </w:r>
      <w:r w:rsidRPr="35F650ED" w:rsidR="35F650ED">
        <w:rPr>
          <w:sz w:val="24"/>
          <w:szCs w:val="24"/>
        </w:rPr>
        <w:t xml:space="preserve"> the Police and Criminal Evidence Act 1984</w:t>
      </w:r>
      <w:r w:rsidRPr="35F650ED" w:rsidR="35F650ED">
        <w:rPr>
          <w:sz w:val="24"/>
          <w:szCs w:val="24"/>
        </w:rPr>
        <w:t xml:space="preserve"> was</w:t>
      </w:r>
      <w:r w:rsidRPr="35F650ED" w:rsidR="35F650ED">
        <w:rPr>
          <w:sz w:val="24"/>
          <w:szCs w:val="24"/>
        </w:rPr>
        <w:t xml:space="preserve"> established was a recorded study which involves a man called Stefan Kiszko who served 16 years in jail for homicide and rape of a girl called Lesley </w:t>
      </w:r>
      <w:proofErr w:type="spellStart"/>
      <w:r w:rsidRPr="35F650ED" w:rsidR="35F650ED">
        <w:rPr>
          <w:sz w:val="24"/>
          <w:szCs w:val="24"/>
        </w:rPr>
        <w:t>Molseed</w:t>
      </w:r>
      <w:proofErr w:type="spellEnd"/>
      <w:r w:rsidRPr="35F650ED" w:rsidR="35F650ED">
        <w:rPr>
          <w:sz w:val="24"/>
          <w:szCs w:val="24"/>
        </w:rPr>
        <w:t xml:space="preserve"> in 1975. Unfortunately for Stefan Kiszko he did not commit the said charges, he wa</w:t>
      </w:r>
      <w:r w:rsidRPr="35F650ED" w:rsidR="35F650ED">
        <w:rPr>
          <w:sz w:val="24"/>
          <w:szCs w:val="24"/>
        </w:rPr>
        <w:t>s</w:t>
      </w:r>
      <w:r w:rsidRPr="35F650ED" w:rsidR="35F650ED">
        <w:rPr>
          <w:sz w:val="24"/>
          <w:szCs w:val="24"/>
        </w:rPr>
        <w:t xml:space="preserve"> </w:t>
      </w:r>
      <w:r w:rsidRPr="35F650ED" w:rsidR="35F650ED">
        <w:rPr>
          <w:sz w:val="24"/>
          <w:szCs w:val="24"/>
        </w:rPr>
        <w:t xml:space="preserve">later </w:t>
      </w:r>
      <w:r w:rsidRPr="35F650ED" w:rsidR="35F650ED">
        <w:rPr>
          <w:sz w:val="24"/>
          <w:szCs w:val="24"/>
        </w:rPr>
        <w:t>freed on appeal in 1992 after new evidence was discovered that he could not have killed the little girl. Originally, he was convicted following a confession which he later claimed was bullied out of him. Also, the case was relooked at when DNA evidence emerged to show that there was semen found on the little schoolgirl which indeed belonged to the ‘real murderer’. Stefan sadly died a year later after being released a free and falsely accused man at the age of 41 years old, a month later when his mother wanted his case reviewed, she suspiciously died (INNOCENT, 2019). This case study shows that prior to the introduction of the Police and Criminal Evidence 1984 Act convicts were able to arrest and prosecute people easier as substantial evidence or authority wasn’t needed to make an arrest, through the establishment of the Act it has ensured that everyone gets a fair trial and miscarriages of justice do not occur.</w:t>
      </w:r>
    </w:p>
    <w:p w:rsidR="12896CFD" w:rsidP="12896CFD" w:rsidRDefault="12896CFD" w14:paraId="75E23412" w14:textId="124B00DB">
      <w:pPr>
        <w:pStyle w:val="Normal"/>
        <w:rPr>
          <w:sz w:val="24"/>
          <w:szCs w:val="24"/>
        </w:rPr>
      </w:pPr>
    </w:p>
    <w:p w:rsidR="32A89821" w:rsidP="35F650ED" w:rsidRDefault="32A89821" w14:paraId="134099D0" w14:textId="000DD769">
      <w:pPr>
        <w:pStyle w:val="Normal"/>
        <w:rPr>
          <w:rFonts w:ascii="Calibri" w:hAnsi="Calibri" w:eastAsia="Calibri" w:cs="Calibri"/>
          <w:noProof w:val="0"/>
          <w:sz w:val="24"/>
          <w:szCs w:val="24"/>
          <w:lang w:val="en-GB"/>
        </w:rPr>
      </w:pPr>
      <w:r w:rsidRPr="35F650ED" w:rsidR="35F650ED">
        <w:rPr>
          <w:sz w:val="24"/>
          <w:szCs w:val="24"/>
        </w:rPr>
        <w:t xml:space="preserve">    Current versions of the PACE Codes include Code A </w:t>
      </w:r>
      <w:r w:rsidRPr="35F650ED" w:rsidR="35F650ED">
        <w:rPr>
          <w:sz w:val="24"/>
          <w:szCs w:val="24"/>
        </w:rPr>
        <w:t>which has to deal with</w:t>
      </w:r>
      <w:r w:rsidRPr="35F650ED" w:rsidR="35F650ED">
        <w:rPr>
          <w:sz w:val="24"/>
          <w:szCs w:val="24"/>
        </w:rPr>
        <w:t xml:space="preserve"> the </w:t>
      </w:r>
      <w:r w:rsidRPr="35F650ED" w:rsidR="35F650ED">
        <w:rPr>
          <w:sz w:val="24"/>
          <w:szCs w:val="24"/>
        </w:rPr>
        <w:t>police forces exercise of ‘</w:t>
      </w:r>
      <w:r w:rsidRPr="35F650ED" w:rsidR="35F650ED">
        <w:rPr>
          <w:sz w:val="24"/>
          <w:szCs w:val="24"/>
        </w:rPr>
        <w:t xml:space="preserve">statutory powers to search a person’ or ‘vehicle without first making an arrest and the need for a police officer to make record of a stop or encounter’ </w:t>
      </w:r>
      <w:r w:rsidRPr="35F650ED" w:rsidR="35F650ED">
        <w:rPr>
          <w:rFonts w:ascii="Calibri" w:hAnsi="Calibri" w:eastAsia="Calibri" w:cs="Calibri"/>
          <w:noProof w:val="0"/>
          <w:sz w:val="24"/>
          <w:szCs w:val="24"/>
          <w:lang w:val="en-GB"/>
        </w:rPr>
        <w:t xml:space="preserve">(UK Government 2019). PACE Code B entails </w:t>
      </w:r>
      <w:r w:rsidRPr="35F650ED" w:rsidR="35F650ED">
        <w:rPr>
          <w:rFonts w:ascii="Calibri" w:hAnsi="Calibri" w:eastAsia="Calibri" w:cs="Calibri"/>
          <w:noProof w:val="0"/>
          <w:sz w:val="24"/>
          <w:szCs w:val="24"/>
          <w:lang w:val="en-GB"/>
        </w:rPr>
        <w:t>the</w:t>
      </w:r>
      <w:r w:rsidRPr="35F650ED" w:rsidR="35F650ED">
        <w:rPr>
          <w:rFonts w:ascii="Calibri" w:hAnsi="Calibri" w:eastAsia="Calibri" w:cs="Calibri"/>
          <w:noProof w:val="0"/>
          <w:sz w:val="24"/>
          <w:szCs w:val="24"/>
          <w:lang w:val="en-GB"/>
        </w:rPr>
        <w:t xml:space="preserve"> </w:t>
      </w:r>
      <w:r w:rsidRPr="35F650ED" w:rsidR="35F650ED">
        <w:rPr>
          <w:rFonts w:ascii="Calibri" w:hAnsi="Calibri" w:eastAsia="Calibri" w:cs="Calibri"/>
          <w:noProof w:val="0"/>
          <w:sz w:val="24"/>
          <w:szCs w:val="24"/>
          <w:lang w:val="en-GB"/>
        </w:rPr>
        <w:t xml:space="preserve">ability </w:t>
      </w:r>
      <w:r w:rsidRPr="35F650ED" w:rsidR="35F650ED">
        <w:rPr>
          <w:rFonts w:ascii="Calibri" w:hAnsi="Calibri" w:eastAsia="Calibri" w:cs="Calibri"/>
          <w:noProof w:val="0"/>
          <w:sz w:val="24"/>
          <w:szCs w:val="24"/>
          <w:lang w:val="en-GB"/>
        </w:rPr>
        <w:t xml:space="preserve">to ‘search premises and to seize and retain property found on premises and persons’ (UK Government 2019). Code C appoints ‘requirements for the detention, treatment and questioning of suspects’ in police custody by police officers (UK Government 2019).  Another PACE code which is commonly used today is Code D </w:t>
      </w:r>
      <w:r w:rsidRPr="35F650ED" w:rsidR="35F650ED">
        <w:rPr>
          <w:rFonts w:ascii="Calibri" w:hAnsi="Calibri" w:eastAsia="Calibri" w:cs="Calibri"/>
          <w:noProof w:val="0"/>
          <w:sz w:val="24"/>
          <w:szCs w:val="24"/>
          <w:lang w:val="en-GB"/>
        </w:rPr>
        <w:t xml:space="preserve">which </w:t>
      </w:r>
      <w:r w:rsidRPr="35F650ED" w:rsidR="35F650ED">
        <w:rPr>
          <w:rFonts w:ascii="Calibri" w:hAnsi="Calibri" w:eastAsia="Calibri" w:cs="Calibri"/>
          <w:noProof w:val="0"/>
          <w:sz w:val="24"/>
          <w:szCs w:val="24"/>
          <w:lang w:val="en-GB"/>
        </w:rPr>
        <w:t xml:space="preserve">implements the ‘main methods used by the police to identify people in connection with the investigation of offences and the keeping of accurate and reliable criminal records’ (UK Government 2019). Lastly Code E was put in place to </w:t>
      </w:r>
      <w:r w:rsidRPr="35F650ED" w:rsidR="35F650ED">
        <w:rPr>
          <w:rFonts w:ascii="Calibri" w:hAnsi="Calibri" w:eastAsia="Calibri" w:cs="Calibri"/>
          <w:noProof w:val="0"/>
          <w:sz w:val="24"/>
          <w:szCs w:val="24"/>
          <w:lang w:val="en-GB"/>
        </w:rPr>
        <w:t xml:space="preserve">make account and record tapings of interviews of suspects in custody </w:t>
      </w:r>
      <w:r w:rsidRPr="35F650ED" w:rsidR="35F650ED">
        <w:rPr>
          <w:rFonts w:ascii="Calibri" w:hAnsi="Calibri" w:eastAsia="Calibri" w:cs="Calibri"/>
          <w:noProof w:val="0"/>
          <w:sz w:val="24"/>
          <w:szCs w:val="24"/>
          <w:lang w:val="en-GB"/>
        </w:rPr>
        <w:t xml:space="preserve">(UK Government 2019). In addition to the PACE codes listed there are a few others that have been put into place to cover identification and interviewing detainees. These PACE codes were all put in place in England and Wales to establish the core powers of the police to help neutralize, to detect and investigate crime. PACE codes were designed to create balance between the need for the police to have powers to tackle many crimes and the need for safeguarding members of the public, even suspects. The codes allow the public services to recognise what category detainees are placed under and then they </w:t>
      </w:r>
      <w:proofErr w:type="gramStart"/>
      <w:r w:rsidRPr="35F650ED" w:rsidR="35F650ED">
        <w:rPr>
          <w:rFonts w:ascii="Calibri" w:hAnsi="Calibri" w:eastAsia="Calibri" w:cs="Calibri"/>
          <w:noProof w:val="0"/>
          <w:sz w:val="24"/>
          <w:szCs w:val="24"/>
          <w:lang w:val="en-GB"/>
        </w:rPr>
        <w:t>are able to</w:t>
      </w:r>
      <w:proofErr w:type="gramEnd"/>
      <w:r w:rsidRPr="35F650ED" w:rsidR="35F650ED">
        <w:rPr>
          <w:rFonts w:ascii="Calibri" w:hAnsi="Calibri" w:eastAsia="Calibri" w:cs="Calibri"/>
          <w:noProof w:val="0"/>
          <w:sz w:val="24"/>
          <w:szCs w:val="24"/>
          <w:lang w:val="en-GB"/>
        </w:rPr>
        <w:t xml:space="preserve"> place them under the right code so that a miscarriage of justice does not occur.   </w:t>
      </w:r>
    </w:p>
    <w:p w:rsidR="13505FE4" w:rsidP="42CF022A" w:rsidRDefault="13505FE4" w14:paraId="312A2ECF" w14:textId="130F9A3F">
      <w:pPr>
        <w:pStyle w:val="Normal"/>
        <w:rPr>
          <w:sz w:val="24"/>
          <w:szCs w:val="24"/>
        </w:rPr>
      </w:pPr>
      <w:r w:rsidRPr="42CF022A" w:rsidR="42CF022A">
        <w:rPr>
          <w:sz w:val="24"/>
          <w:szCs w:val="24"/>
        </w:rPr>
        <w:t xml:space="preserve">    There are many concerns and disadvantages to PACE for example PACE helped to increase police powers at the expense of civil liberties and would create bureaucracy and impede police effectiveness. PACE Codes have dealt with high amounts of criticism. However, it does have some limitations and could be vastly improved on for example a custody officer cannot be independent or by-law being unable to outweigh culture and the resourceful approach being institutional. PACE can also be improved on by a process equipped towards case construction and informal access for suspects.</w:t>
      </w:r>
      <w:r w:rsidRPr="42CF022A" w:rsidR="42CF022A">
        <w:rPr>
          <w:sz w:val="24"/>
          <w:szCs w:val="24"/>
        </w:rPr>
        <w:t xml:space="preserve"> </w:t>
      </w:r>
      <w:r w:rsidRPr="42CF022A" w:rsidR="42CF022A">
        <w:rPr>
          <w:sz w:val="24"/>
          <w:szCs w:val="24"/>
        </w:rPr>
        <w:t xml:space="preserve">Sources by the UK Government (2019) states various responses of the public to the PACE Codes, a total figure of eighteen responses from separate organisations and people which are from various police forces, as well as many other organisations and a member of the public. In response the police force actually support the revisions an example of this is ‘the ability to use live-link for interpreter’s’. Also, a few individuals asked for ‘clarification and some proposed’ for ‘further changes to support operational implementation’. These responses caused continuous change to most of these complaints. In addition to this ‘some responses from the legal profession’ state that additional safeguards are needed, and others argue that amendments concerning ‘live-link interpretation, electronic recording devices and witness identification procedures’ should all be changed and modified to their liking. This shows that police and organisations may agree with the PACE codes and others may not and will emphasize for change to some of the Codes for example they may not think that some are acceptable and will argue for amendments to be made so that its fair. </w:t>
      </w:r>
    </w:p>
    <w:p w:rsidR="13505FE4" w:rsidP="63EB1B3A" w:rsidRDefault="13505FE4" w14:paraId="0B16B4DB" w14:textId="694B7A64">
      <w:pPr>
        <w:pStyle w:val="Normal"/>
        <w:rPr>
          <w:sz w:val="24"/>
          <w:szCs w:val="24"/>
        </w:rPr>
      </w:pPr>
      <w:r w:rsidRPr="63EB1B3A" w:rsidR="63EB1B3A">
        <w:rPr>
          <w:sz w:val="24"/>
          <w:szCs w:val="24"/>
        </w:rPr>
        <w:t xml:space="preserve">    A source by Equalityhumanrights (2019) states that black individuals are six times more likely to be ‘stopped and searched by police in England and Wales’ rather than a white person would. Many conducted stops and searches in the UK are carried under the Police and Criminal Evidence Act 1984. </w:t>
      </w:r>
      <w:r w:rsidRPr="63EB1B3A" w:rsidR="63EB1B3A">
        <w:rPr>
          <w:sz w:val="24"/>
          <w:szCs w:val="24"/>
        </w:rPr>
        <w:t xml:space="preserve">Vast amounts of </w:t>
      </w:r>
      <w:r w:rsidRPr="63EB1B3A" w:rsidR="63EB1B3A">
        <w:rPr>
          <w:sz w:val="24"/>
          <w:szCs w:val="24"/>
        </w:rPr>
        <w:t xml:space="preserve">individuals think that the current police force uses of the PACE Codes whilst conducting stop and searches is ‘unlawful, disproportionate, discriminatory’ also it is being seen as damaging the relations inside communities </w:t>
      </w:r>
      <w:r w:rsidRPr="63EB1B3A" w:rsidR="63EB1B3A">
        <w:rPr>
          <w:rFonts w:ascii="Calibri" w:hAnsi="Calibri" w:eastAsia="Calibri" w:cs="Calibri"/>
          <w:noProof w:val="0"/>
          <w:sz w:val="24"/>
          <w:szCs w:val="24"/>
          <w:lang w:val="en-GB"/>
        </w:rPr>
        <w:t>(Equalityhumanrights, 2019)</w:t>
      </w:r>
      <w:r w:rsidRPr="63EB1B3A" w:rsidR="63EB1B3A">
        <w:rPr>
          <w:sz w:val="24"/>
          <w:szCs w:val="24"/>
        </w:rPr>
        <w:t xml:space="preserve">. This source shows that there is still signs of concern with the use of PACE Codes which are being used to combat crime in the UK today.  </w:t>
      </w:r>
    </w:p>
    <w:p w:rsidR="3C7F2F20" w:rsidP="3C3AB686" w:rsidRDefault="3C7F2F20" w14:paraId="5B3F2747" w14:textId="2A895C8F">
      <w:pPr>
        <w:pStyle w:val="Normal"/>
        <w:rPr>
          <w:sz w:val="24"/>
          <w:szCs w:val="24"/>
        </w:rPr>
      </w:pPr>
      <w:r w:rsidRPr="3C3AB686" w:rsidR="3C3AB686">
        <w:rPr>
          <w:sz w:val="24"/>
          <w:szCs w:val="24"/>
        </w:rPr>
        <w:t xml:space="preserve">    But, a book by Easton, (2014) argues that PACE codes have improved the position of suspects in the UK within England and Wales. However, PACE was </w:t>
      </w:r>
      <w:r w:rsidRPr="3C3AB686" w:rsidR="3C3AB686">
        <w:rPr>
          <w:sz w:val="24"/>
          <w:szCs w:val="24"/>
        </w:rPr>
        <w:t xml:space="preserve">built </w:t>
      </w:r>
      <w:r w:rsidRPr="3C3AB686" w:rsidR="3C3AB686">
        <w:rPr>
          <w:sz w:val="24"/>
          <w:szCs w:val="24"/>
        </w:rPr>
        <w:t xml:space="preserve">to </w:t>
      </w:r>
      <w:r w:rsidRPr="3C3AB686" w:rsidR="3C3AB686">
        <w:rPr>
          <w:sz w:val="24"/>
          <w:szCs w:val="24"/>
        </w:rPr>
        <w:t xml:space="preserve">enhance </w:t>
      </w:r>
      <w:r w:rsidRPr="3C3AB686" w:rsidR="3C3AB686">
        <w:rPr>
          <w:sz w:val="24"/>
          <w:szCs w:val="24"/>
        </w:rPr>
        <w:t xml:space="preserve">the protection of the suspect </w:t>
      </w:r>
      <w:r w:rsidRPr="3C3AB686" w:rsidR="3C3AB686">
        <w:rPr>
          <w:sz w:val="24"/>
          <w:szCs w:val="24"/>
        </w:rPr>
        <w:t xml:space="preserve">whilst in custody </w:t>
      </w:r>
      <w:r w:rsidRPr="3C3AB686" w:rsidR="3C3AB686">
        <w:rPr>
          <w:sz w:val="24"/>
          <w:szCs w:val="24"/>
        </w:rPr>
        <w:t xml:space="preserve">and to </w:t>
      </w:r>
      <w:r w:rsidRPr="3C3AB686" w:rsidR="3C3AB686">
        <w:rPr>
          <w:sz w:val="24"/>
          <w:szCs w:val="24"/>
        </w:rPr>
        <w:t>improve the p</w:t>
      </w:r>
      <w:r w:rsidRPr="3C3AB686" w:rsidR="3C3AB686">
        <w:rPr>
          <w:sz w:val="24"/>
          <w:szCs w:val="24"/>
        </w:rPr>
        <w:t>ublic’s confidence</w:t>
      </w:r>
      <w:r w:rsidRPr="3C3AB686" w:rsidR="3C3AB686">
        <w:rPr>
          <w:sz w:val="24"/>
          <w:szCs w:val="24"/>
        </w:rPr>
        <w:t xml:space="preserve"> </w:t>
      </w:r>
      <w:r w:rsidRPr="3C3AB686" w:rsidR="3C3AB686">
        <w:rPr>
          <w:sz w:val="24"/>
          <w:szCs w:val="24"/>
        </w:rPr>
        <w:t>in the police force</w:t>
      </w:r>
      <w:r w:rsidRPr="3C3AB686" w:rsidR="3C3AB686">
        <w:rPr>
          <w:sz w:val="24"/>
          <w:szCs w:val="24"/>
        </w:rPr>
        <w:t xml:space="preserve">, although </w:t>
      </w:r>
      <w:r w:rsidRPr="3C3AB686" w:rsidR="3C3AB686">
        <w:rPr>
          <w:sz w:val="24"/>
          <w:szCs w:val="24"/>
        </w:rPr>
        <w:t xml:space="preserve">there still is ‘some evidence’ that suggests that ‘strategies and tactics’ used by the police at first </w:t>
      </w:r>
      <w:r w:rsidRPr="3C3AB686" w:rsidR="3C3AB686">
        <w:rPr>
          <w:sz w:val="24"/>
          <w:szCs w:val="24"/>
        </w:rPr>
        <w:t>seek</w:t>
      </w:r>
      <w:r w:rsidRPr="3C3AB686" w:rsidR="3C3AB686">
        <w:rPr>
          <w:sz w:val="24"/>
          <w:szCs w:val="24"/>
        </w:rPr>
        <w:t xml:space="preserve"> to </w:t>
      </w:r>
      <w:r w:rsidRPr="3C3AB686" w:rsidR="3C3AB686">
        <w:rPr>
          <w:sz w:val="24"/>
          <w:szCs w:val="24"/>
        </w:rPr>
        <w:t>‘</w:t>
      </w:r>
      <w:r w:rsidRPr="3C3AB686" w:rsidR="3C3AB686">
        <w:rPr>
          <w:sz w:val="24"/>
          <w:szCs w:val="24"/>
        </w:rPr>
        <w:t>maintain the position prior to PACE’.</w:t>
      </w:r>
      <w:r w:rsidRPr="3C3AB686" w:rsidR="3C3AB686">
        <w:rPr>
          <w:sz w:val="24"/>
          <w:szCs w:val="24"/>
        </w:rPr>
        <w:t xml:space="preserve"> In general, this </w:t>
      </w:r>
      <w:r w:rsidRPr="3C3AB686" w:rsidR="3C3AB686">
        <w:rPr>
          <w:sz w:val="24"/>
          <w:szCs w:val="24"/>
        </w:rPr>
        <w:t xml:space="preserve">has increased the </w:t>
      </w:r>
      <w:r w:rsidRPr="3C3AB686" w:rsidR="3C3AB686">
        <w:rPr>
          <w:sz w:val="24"/>
          <w:szCs w:val="24"/>
        </w:rPr>
        <w:t>management</w:t>
      </w:r>
      <w:r w:rsidRPr="3C3AB686" w:rsidR="3C3AB686">
        <w:rPr>
          <w:sz w:val="24"/>
          <w:szCs w:val="24"/>
        </w:rPr>
        <w:t xml:space="preserve"> of </w:t>
      </w:r>
      <w:r w:rsidRPr="3C3AB686" w:rsidR="3C3AB686">
        <w:rPr>
          <w:sz w:val="24"/>
          <w:szCs w:val="24"/>
        </w:rPr>
        <w:t>‘</w:t>
      </w:r>
      <w:r w:rsidRPr="3C3AB686" w:rsidR="3C3AB686">
        <w:rPr>
          <w:sz w:val="24"/>
          <w:szCs w:val="24"/>
        </w:rPr>
        <w:t xml:space="preserve">the interrogation process’ and the </w:t>
      </w:r>
      <w:r w:rsidRPr="3C3AB686" w:rsidR="3C3AB686">
        <w:rPr>
          <w:sz w:val="24"/>
          <w:szCs w:val="24"/>
        </w:rPr>
        <w:t xml:space="preserve">liability </w:t>
      </w:r>
      <w:r w:rsidRPr="3C3AB686" w:rsidR="3C3AB686">
        <w:rPr>
          <w:sz w:val="24"/>
          <w:szCs w:val="24"/>
        </w:rPr>
        <w:t xml:space="preserve">of the police and has </w:t>
      </w:r>
      <w:r w:rsidRPr="3C3AB686" w:rsidR="3C3AB686">
        <w:rPr>
          <w:sz w:val="24"/>
          <w:szCs w:val="24"/>
        </w:rPr>
        <w:t>enhanced</w:t>
      </w:r>
      <w:r w:rsidRPr="3C3AB686" w:rsidR="3C3AB686">
        <w:rPr>
          <w:sz w:val="24"/>
          <w:szCs w:val="24"/>
        </w:rPr>
        <w:t xml:space="preserve"> the </w:t>
      </w:r>
      <w:r w:rsidRPr="3C3AB686" w:rsidR="3C3AB686">
        <w:rPr>
          <w:sz w:val="24"/>
          <w:szCs w:val="24"/>
        </w:rPr>
        <w:t xml:space="preserve">stability </w:t>
      </w:r>
      <w:r w:rsidRPr="3C3AB686" w:rsidR="3C3AB686">
        <w:rPr>
          <w:sz w:val="24"/>
          <w:szCs w:val="24"/>
        </w:rPr>
        <w:t xml:space="preserve">between state and </w:t>
      </w:r>
      <w:r w:rsidRPr="3C3AB686" w:rsidR="3C3AB686">
        <w:rPr>
          <w:sz w:val="24"/>
          <w:szCs w:val="24"/>
        </w:rPr>
        <w:t>citizen</w:t>
      </w:r>
      <w:r w:rsidRPr="3C3AB686" w:rsidR="3C3AB686">
        <w:rPr>
          <w:sz w:val="24"/>
          <w:szCs w:val="24"/>
        </w:rPr>
        <w:t xml:space="preserve">. </w:t>
      </w:r>
      <w:r w:rsidRPr="3C3AB686" w:rsidR="3C3AB686">
        <w:rPr>
          <w:sz w:val="24"/>
          <w:szCs w:val="24"/>
        </w:rPr>
        <w:t xml:space="preserve">The police force </w:t>
      </w:r>
      <w:r w:rsidRPr="3C3AB686" w:rsidR="3C3AB686">
        <w:rPr>
          <w:sz w:val="24"/>
          <w:szCs w:val="24"/>
        </w:rPr>
        <w:t xml:space="preserve">has </w:t>
      </w:r>
      <w:r w:rsidRPr="3C3AB686" w:rsidR="3C3AB686">
        <w:rPr>
          <w:sz w:val="24"/>
          <w:szCs w:val="24"/>
        </w:rPr>
        <w:t xml:space="preserve">looked for many ways of recovering their diminished powers an example of this is </w:t>
      </w:r>
      <w:r w:rsidRPr="3C3AB686" w:rsidR="3C3AB686">
        <w:rPr>
          <w:sz w:val="24"/>
          <w:szCs w:val="24"/>
        </w:rPr>
        <w:t xml:space="preserve">influencing </w:t>
      </w:r>
      <w:r w:rsidRPr="3C3AB686" w:rsidR="3C3AB686">
        <w:rPr>
          <w:sz w:val="24"/>
          <w:szCs w:val="24"/>
        </w:rPr>
        <w:t xml:space="preserve">suspects they believe to be guilty at the time (Easton, 2014). In addition to this the book by Easton (2014) also states that while overtly </w:t>
      </w:r>
      <w:r w:rsidRPr="3C3AB686" w:rsidR="3C3AB686">
        <w:rPr>
          <w:sz w:val="24"/>
          <w:szCs w:val="24"/>
        </w:rPr>
        <w:t>brutal</w:t>
      </w:r>
      <w:r w:rsidRPr="3C3AB686" w:rsidR="3C3AB686">
        <w:rPr>
          <w:sz w:val="24"/>
          <w:szCs w:val="24"/>
        </w:rPr>
        <w:t xml:space="preserve"> behaviour is controlled by PACE, it has been argued that it does not </w:t>
      </w:r>
      <w:r w:rsidRPr="3C3AB686" w:rsidR="3C3AB686">
        <w:rPr>
          <w:sz w:val="24"/>
          <w:szCs w:val="24"/>
        </w:rPr>
        <w:t xml:space="preserve">adequately </w:t>
      </w:r>
      <w:r w:rsidRPr="3C3AB686" w:rsidR="3C3AB686">
        <w:rPr>
          <w:sz w:val="24"/>
          <w:szCs w:val="24"/>
        </w:rPr>
        <w:t>protect those</w:t>
      </w:r>
      <w:r w:rsidRPr="3C3AB686" w:rsidR="3C3AB686">
        <w:rPr>
          <w:sz w:val="24"/>
          <w:szCs w:val="24"/>
        </w:rPr>
        <w:t xml:space="preserve"> </w:t>
      </w:r>
      <w:r w:rsidRPr="3C3AB686" w:rsidR="3C3AB686">
        <w:rPr>
          <w:sz w:val="24"/>
          <w:szCs w:val="24"/>
        </w:rPr>
        <w:t>who are</w:t>
      </w:r>
      <w:r w:rsidRPr="3C3AB686" w:rsidR="3C3AB686">
        <w:rPr>
          <w:sz w:val="24"/>
          <w:szCs w:val="24"/>
        </w:rPr>
        <w:t xml:space="preserve"> in danger </w:t>
      </w:r>
      <w:r w:rsidRPr="3C3AB686" w:rsidR="3C3AB686">
        <w:rPr>
          <w:sz w:val="24"/>
          <w:szCs w:val="24"/>
        </w:rPr>
        <w:t xml:space="preserve">of false confessions. This book shows that PACE has some advantages to it by maintaining balance but on the other hand doesn’t fully protect those who are innocent and are at risk of false confessions. </w:t>
      </w:r>
    </w:p>
    <w:p w:rsidR="3C7F2F20" w:rsidP="3C3AB686" w:rsidRDefault="3C7F2F20" w14:paraId="7DA7DF3F" w14:textId="4089132B">
      <w:pPr>
        <w:pStyle w:val="Normal"/>
        <w:rPr>
          <w:sz w:val="24"/>
          <w:szCs w:val="24"/>
        </w:rPr>
      </w:pPr>
      <w:r w:rsidRPr="3C3AB686" w:rsidR="3C3AB686">
        <w:rPr>
          <w:sz w:val="24"/>
          <w:szCs w:val="24"/>
        </w:rPr>
        <w:t xml:space="preserve">    There are many high-profile cases which are under questioning, an example of this is the IRA terrorist attacks</w:t>
      </w:r>
      <w:r w:rsidRPr="3C3AB686" w:rsidR="3C3AB686">
        <w:rPr>
          <w:sz w:val="24"/>
          <w:szCs w:val="24"/>
        </w:rPr>
        <w:t>, the</w:t>
      </w:r>
      <w:r w:rsidRPr="3C3AB686" w:rsidR="3C3AB686">
        <w:rPr>
          <w:sz w:val="24"/>
          <w:szCs w:val="24"/>
        </w:rPr>
        <w:t xml:space="preserve"> convictions</w:t>
      </w:r>
      <w:r w:rsidRPr="3C3AB686" w:rsidR="3C3AB686">
        <w:rPr>
          <w:sz w:val="24"/>
          <w:szCs w:val="24"/>
        </w:rPr>
        <w:t xml:space="preserve"> </w:t>
      </w:r>
      <w:r w:rsidRPr="3C3AB686" w:rsidR="3C3AB686">
        <w:rPr>
          <w:sz w:val="24"/>
          <w:szCs w:val="24"/>
        </w:rPr>
        <w:t xml:space="preserve">were mainly based upon </w:t>
      </w:r>
      <w:r w:rsidRPr="3C3AB686" w:rsidR="3C3AB686">
        <w:rPr>
          <w:sz w:val="24"/>
          <w:szCs w:val="24"/>
        </w:rPr>
        <w:t xml:space="preserve">unreliable </w:t>
      </w:r>
      <w:r w:rsidRPr="3C3AB686" w:rsidR="3C3AB686">
        <w:rPr>
          <w:sz w:val="24"/>
          <w:szCs w:val="24"/>
        </w:rPr>
        <w:t xml:space="preserve">confessions made under police interrogation and </w:t>
      </w:r>
      <w:r w:rsidRPr="3C3AB686" w:rsidR="3C3AB686">
        <w:rPr>
          <w:sz w:val="24"/>
          <w:szCs w:val="24"/>
        </w:rPr>
        <w:t xml:space="preserve">untrustworthy </w:t>
      </w:r>
      <w:r w:rsidRPr="3C3AB686" w:rsidR="3C3AB686">
        <w:rPr>
          <w:sz w:val="24"/>
          <w:szCs w:val="24"/>
        </w:rPr>
        <w:t xml:space="preserve">forensic evidence. </w:t>
      </w:r>
      <w:r w:rsidRPr="3C3AB686" w:rsidR="3C3AB686">
        <w:rPr>
          <w:sz w:val="24"/>
          <w:szCs w:val="24"/>
        </w:rPr>
        <w:t xml:space="preserve">The victims of these cases </w:t>
      </w:r>
      <w:r w:rsidRPr="3C3AB686" w:rsidR="3C3AB686">
        <w:rPr>
          <w:sz w:val="24"/>
          <w:szCs w:val="24"/>
        </w:rPr>
        <w:t>were</w:t>
      </w:r>
      <w:r w:rsidRPr="3C3AB686" w:rsidR="3C3AB686">
        <w:rPr>
          <w:sz w:val="24"/>
          <w:szCs w:val="24"/>
        </w:rPr>
        <w:t xml:space="preserve"> declared of being a </w:t>
      </w:r>
      <w:r w:rsidRPr="3C3AB686" w:rsidR="3C3AB686">
        <w:rPr>
          <w:sz w:val="24"/>
          <w:szCs w:val="24"/>
        </w:rPr>
        <w:t xml:space="preserve">miscarriage of justice with all convictions being quashed (Oliver, 2019). An example of cases like this is a major case study which involved the Guilford Four which were </w:t>
      </w:r>
      <w:r w:rsidRPr="3C3AB686" w:rsidR="3C3AB686">
        <w:rPr>
          <w:sz w:val="24"/>
          <w:szCs w:val="24"/>
        </w:rPr>
        <w:t xml:space="preserve">unfairly </w:t>
      </w:r>
      <w:r w:rsidRPr="3C3AB686" w:rsidR="3C3AB686">
        <w:rPr>
          <w:sz w:val="24"/>
          <w:szCs w:val="24"/>
        </w:rPr>
        <w:t>convicted over the bombings</w:t>
      </w:r>
      <w:r w:rsidRPr="3C3AB686" w:rsidR="3C3AB686">
        <w:rPr>
          <w:sz w:val="24"/>
          <w:szCs w:val="24"/>
        </w:rPr>
        <w:t xml:space="preserve">. This case was </w:t>
      </w:r>
      <w:r w:rsidRPr="3C3AB686" w:rsidR="3C3AB686">
        <w:rPr>
          <w:sz w:val="24"/>
          <w:szCs w:val="24"/>
        </w:rPr>
        <w:t>one of the United Kingdom's worst miscarriage of justice.</w:t>
      </w:r>
      <w:r w:rsidRPr="3C3AB686" w:rsidR="3C3AB686">
        <w:rPr>
          <w:sz w:val="24"/>
          <w:szCs w:val="24"/>
        </w:rPr>
        <w:t xml:space="preserve"> </w:t>
      </w:r>
      <w:r w:rsidRPr="3C3AB686" w:rsidR="3C3AB686">
        <w:rPr>
          <w:sz w:val="24"/>
          <w:szCs w:val="24"/>
        </w:rPr>
        <w:t xml:space="preserve">In </w:t>
      </w:r>
      <w:r w:rsidRPr="3C3AB686" w:rsidR="3C3AB686">
        <w:rPr>
          <w:sz w:val="24"/>
          <w:szCs w:val="24"/>
        </w:rPr>
        <w:t xml:space="preserve">the year </w:t>
      </w:r>
      <w:r w:rsidRPr="3C3AB686" w:rsidR="3C3AB686">
        <w:rPr>
          <w:sz w:val="24"/>
          <w:szCs w:val="24"/>
        </w:rPr>
        <w:t xml:space="preserve">1974 </w:t>
      </w:r>
      <w:r w:rsidRPr="3C3AB686" w:rsidR="3C3AB686">
        <w:rPr>
          <w:sz w:val="24"/>
          <w:szCs w:val="24"/>
        </w:rPr>
        <w:t>a</w:t>
      </w:r>
      <w:r w:rsidRPr="3C3AB686" w:rsidR="3C3AB686">
        <w:rPr>
          <w:sz w:val="24"/>
          <w:szCs w:val="24"/>
        </w:rPr>
        <w:t xml:space="preserve"> Belfast born Gerry Conlon w</w:t>
      </w:r>
      <w:r w:rsidRPr="3C3AB686" w:rsidR="3C3AB686">
        <w:rPr>
          <w:sz w:val="24"/>
          <w:szCs w:val="24"/>
        </w:rPr>
        <w:t>ho was 21 years old w</w:t>
      </w:r>
      <w:r w:rsidRPr="3C3AB686" w:rsidR="3C3AB686">
        <w:rPr>
          <w:sz w:val="24"/>
          <w:szCs w:val="24"/>
        </w:rPr>
        <w:t xml:space="preserve">as arrested over an IRA pub bombing in Guildford which had killed </w:t>
      </w:r>
      <w:r w:rsidRPr="3C3AB686" w:rsidR="3C3AB686">
        <w:rPr>
          <w:sz w:val="24"/>
          <w:szCs w:val="24"/>
        </w:rPr>
        <w:t xml:space="preserve">5 </w:t>
      </w:r>
      <w:r w:rsidRPr="3C3AB686" w:rsidR="3C3AB686">
        <w:rPr>
          <w:sz w:val="24"/>
          <w:szCs w:val="24"/>
        </w:rPr>
        <w:t xml:space="preserve">individuals, even though he </w:t>
      </w:r>
      <w:r w:rsidRPr="3C3AB686" w:rsidR="3C3AB686">
        <w:rPr>
          <w:sz w:val="24"/>
          <w:szCs w:val="24"/>
        </w:rPr>
        <w:t xml:space="preserve">admittedly said that he's never even been </w:t>
      </w:r>
      <w:r w:rsidRPr="3C3AB686" w:rsidR="3C3AB686">
        <w:rPr>
          <w:sz w:val="24"/>
          <w:szCs w:val="24"/>
        </w:rPr>
        <w:t xml:space="preserve">to Guildford before. Himself and 3 others of the group were better known as the ‘Guildford Four’. Gerry Conlon was </w:t>
      </w:r>
      <w:r w:rsidRPr="3C3AB686" w:rsidR="3C3AB686">
        <w:rPr>
          <w:sz w:val="24"/>
          <w:szCs w:val="24"/>
        </w:rPr>
        <w:t xml:space="preserve">then </w:t>
      </w:r>
      <w:r w:rsidRPr="3C3AB686" w:rsidR="3C3AB686">
        <w:rPr>
          <w:sz w:val="24"/>
          <w:szCs w:val="24"/>
        </w:rPr>
        <w:t xml:space="preserve">sentenced to life in prison based on </w:t>
      </w:r>
      <w:r w:rsidRPr="3C3AB686" w:rsidR="3C3AB686">
        <w:rPr>
          <w:sz w:val="24"/>
          <w:szCs w:val="24"/>
        </w:rPr>
        <w:t xml:space="preserve">untrue </w:t>
      </w:r>
      <w:r w:rsidRPr="3C3AB686" w:rsidR="3C3AB686">
        <w:rPr>
          <w:sz w:val="24"/>
          <w:szCs w:val="24"/>
        </w:rPr>
        <w:t xml:space="preserve">confessions made days </w:t>
      </w:r>
      <w:r w:rsidRPr="3C3AB686" w:rsidR="3C3AB686">
        <w:rPr>
          <w:sz w:val="24"/>
          <w:szCs w:val="24"/>
        </w:rPr>
        <w:t xml:space="preserve">after of being </w:t>
      </w:r>
      <w:r w:rsidRPr="3C3AB686" w:rsidR="3C3AB686">
        <w:rPr>
          <w:sz w:val="24"/>
          <w:szCs w:val="24"/>
        </w:rPr>
        <w:t>mistreat</w:t>
      </w:r>
      <w:r w:rsidRPr="3C3AB686" w:rsidR="3C3AB686">
        <w:rPr>
          <w:sz w:val="24"/>
          <w:szCs w:val="24"/>
        </w:rPr>
        <w:t>ed b</w:t>
      </w:r>
      <w:r w:rsidRPr="3C3AB686" w:rsidR="3C3AB686">
        <w:rPr>
          <w:sz w:val="24"/>
          <w:szCs w:val="24"/>
        </w:rPr>
        <w:t>y Surrey police</w:t>
      </w:r>
      <w:r w:rsidRPr="3C3AB686" w:rsidR="3C3AB686">
        <w:rPr>
          <w:sz w:val="24"/>
          <w:szCs w:val="24"/>
        </w:rPr>
        <w:t xml:space="preserve"> </w:t>
      </w:r>
      <w:r w:rsidRPr="3C3AB686" w:rsidR="3C3AB686">
        <w:rPr>
          <w:sz w:val="24"/>
          <w:szCs w:val="24"/>
        </w:rPr>
        <w:t xml:space="preserve">(Holt, 2019). This case study shows that miscarriage of justice occurred vastly more before the police and criminal evidence act 1984 was in place, as there are many other case studies involving miscarriage of justice back then to now. The establishment of the PACE codes would have prevented these victims from being wrongly evicted if they were established sooner. The PACE codes would have allowed the police to have the right tools to prosecute correctly.     </w:t>
      </w:r>
    </w:p>
    <w:p w:rsidR="13505FE4" w:rsidP="3C3AB686" w:rsidRDefault="13505FE4" w14:paraId="22AE51C8" w14:textId="20EFE61B">
      <w:pPr>
        <w:pStyle w:val="Normal"/>
        <w:rPr>
          <w:rFonts w:ascii="Calibri" w:hAnsi="Calibri" w:eastAsia="Calibri" w:cs="Calibri"/>
          <w:noProof w:val="0"/>
          <w:color w:val="121212"/>
          <w:sz w:val="24"/>
          <w:szCs w:val="24"/>
          <w:lang w:val="en-GB"/>
        </w:rPr>
      </w:pPr>
      <w:r w:rsidRPr="3C3AB686" w:rsidR="3C3AB686">
        <w:rPr>
          <w:sz w:val="24"/>
          <w:szCs w:val="24"/>
        </w:rPr>
        <w:t xml:space="preserve">    </w:t>
      </w:r>
      <w:r w:rsidRPr="3C3AB686" w:rsidR="3C3AB686">
        <w:rPr>
          <w:sz w:val="24"/>
          <w:szCs w:val="24"/>
        </w:rPr>
        <w:t xml:space="preserve"> </w:t>
      </w:r>
    </w:p>
    <w:p w:rsidR="13505FE4" w:rsidP="12896CFD" w:rsidRDefault="13505FE4" w14:paraId="494C89D6" w14:textId="3A761A0C">
      <w:pPr>
        <w:pStyle w:val="Normal"/>
        <w:rPr>
          <w:sz w:val="24"/>
          <w:szCs w:val="24"/>
        </w:rPr>
      </w:pPr>
    </w:p>
    <w:p w:rsidR="13505FE4" w:rsidP="12896CFD" w:rsidRDefault="13505FE4" w14:paraId="0C8E7DFD" w14:textId="1C471F44">
      <w:pPr>
        <w:pStyle w:val="Normal"/>
        <w:rPr>
          <w:sz w:val="24"/>
          <w:szCs w:val="24"/>
        </w:rPr>
      </w:pPr>
    </w:p>
    <w:p w:rsidR="13505FE4" w:rsidP="3C3AB686" w:rsidRDefault="13505FE4" w14:paraId="3545A389" w14:textId="4226E0A8">
      <w:pPr>
        <w:pStyle w:val="Normal"/>
        <w:rPr>
          <w:rFonts w:ascii="Calibri" w:hAnsi="Calibri" w:eastAsia="Calibri" w:cs="Calibri"/>
          <w:noProof w:val="0"/>
          <w:color w:val="121212"/>
          <w:sz w:val="24"/>
          <w:szCs w:val="24"/>
          <w:lang w:val="en-GB"/>
        </w:rPr>
      </w:pPr>
      <w:r w:rsidRPr="3C3AB686" w:rsidR="3C3AB686">
        <w:rPr>
          <w:sz w:val="24"/>
          <w:szCs w:val="24"/>
        </w:rPr>
        <w:t>When police fail to stick to PACE codes it does not provide them being responsible for criminal or civil proceedings. When failed to follow what the Codes clearly state will be seen as ‘evidence in civil and criminal proceedings’</w:t>
      </w:r>
      <w:r w:rsidRPr="3C3AB686" w:rsidR="3C3AB686">
        <w:rPr>
          <w:sz w:val="24"/>
          <w:szCs w:val="24"/>
        </w:rPr>
        <w:t xml:space="preserve"> (</w:t>
      </w:r>
      <w:proofErr w:type="spellStart"/>
      <w:r w:rsidRPr="3C3AB686" w:rsidR="3C3AB686">
        <w:rPr>
          <w:sz w:val="24"/>
          <w:szCs w:val="24"/>
        </w:rPr>
        <w:t>InBrief</w:t>
      </w:r>
      <w:proofErr w:type="spellEnd"/>
      <w:r w:rsidRPr="3C3AB686" w:rsidR="3C3AB686">
        <w:rPr>
          <w:sz w:val="24"/>
          <w:szCs w:val="24"/>
        </w:rPr>
        <w:t>, 2019)</w:t>
      </w:r>
      <w:r w:rsidRPr="3C3AB686" w:rsidR="3C3AB686">
        <w:rPr>
          <w:sz w:val="24"/>
          <w:szCs w:val="24"/>
        </w:rPr>
        <w:t>. In addition to this evidence found by the police related to the ‘investigation of any criminal offence</w:t>
      </w:r>
      <w:r w:rsidRPr="3C3AB686" w:rsidR="3C3AB686">
        <w:rPr>
          <w:sz w:val="24"/>
          <w:szCs w:val="24"/>
        </w:rPr>
        <w:t>’</w:t>
      </w:r>
      <w:r w:rsidRPr="3C3AB686" w:rsidR="3C3AB686">
        <w:rPr>
          <w:sz w:val="24"/>
          <w:szCs w:val="24"/>
        </w:rPr>
        <w:t xml:space="preserve"> </w:t>
      </w:r>
      <w:r w:rsidRPr="3C3AB686" w:rsidR="3C3AB686">
        <w:rPr>
          <w:sz w:val="24"/>
          <w:szCs w:val="24"/>
        </w:rPr>
        <w:t>where they didn’t f</w:t>
      </w:r>
      <w:r w:rsidRPr="3C3AB686" w:rsidR="3C3AB686">
        <w:rPr>
          <w:sz w:val="24"/>
          <w:szCs w:val="24"/>
        </w:rPr>
        <w:t xml:space="preserve">ollow </w:t>
      </w:r>
      <w:r w:rsidRPr="3C3AB686" w:rsidR="3C3AB686">
        <w:rPr>
          <w:sz w:val="24"/>
          <w:szCs w:val="24"/>
        </w:rPr>
        <w:t xml:space="preserve">the </w:t>
      </w:r>
      <w:r w:rsidRPr="3C3AB686" w:rsidR="3C3AB686">
        <w:rPr>
          <w:sz w:val="24"/>
          <w:szCs w:val="24"/>
        </w:rPr>
        <w:t xml:space="preserve">PACE </w:t>
      </w:r>
      <w:r w:rsidRPr="3C3AB686" w:rsidR="3C3AB686">
        <w:rPr>
          <w:sz w:val="24"/>
          <w:szCs w:val="24"/>
        </w:rPr>
        <w:t xml:space="preserve">Codes can be seen as being </w:t>
      </w:r>
      <w:r w:rsidRPr="3C3AB686" w:rsidR="3C3AB686">
        <w:rPr>
          <w:sz w:val="24"/>
          <w:szCs w:val="24"/>
        </w:rPr>
        <w:t>‘deemed inadmissible in court’ consequently this can harm the case which is against the defendant (</w:t>
      </w:r>
      <w:proofErr w:type="spellStart"/>
      <w:r w:rsidRPr="3C3AB686" w:rsidR="3C3AB686">
        <w:rPr>
          <w:sz w:val="24"/>
          <w:szCs w:val="24"/>
        </w:rPr>
        <w:t>InBrief</w:t>
      </w:r>
      <w:proofErr w:type="spellEnd"/>
      <w:r w:rsidRPr="3C3AB686" w:rsidR="3C3AB686">
        <w:rPr>
          <w:sz w:val="24"/>
          <w:szCs w:val="24"/>
        </w:rPr>
        <w:t>, 2019). This news article by the BBC (2019) states that PACE came into being to ‘regulate interviews and improve the treatment of suspects</w:t>
      </w:r>
      <w:r w:rsidRPr="3C3AB686" w:rsidR="3C3AB686">
        <w:rPr>
          <w:sz w:val="24"/>
          <w:szCs w:val="24"/>
        </w:rPr>
        <w:t xml:space="preserve">’ and to record all interrogations for cases </w:t>
      </w:r>
      <w:r w:rsidRPr="3C3AB686" w:rsidR="3C3AB686">
        <w:rPr>
          <w:sz w:val="24"/>
          <w:szCs w:val="24"/>
        </w:rPr>
        <w:t xml:space="preserve">but most importantly those who have fallen victim to miscarriage of justice have somewhere to go considering that before they didn’t (BBC, 2019). This article shows the successes of PACE Codes being used in the UK alone and what they can provide for those being victimized. Also, there are numerous miscarriages of justice that still occur today. A recent account of this is of a </w:t>
      </w:r>
      <w:r w:rsidRPr="3C3AB686" w:rsidR="3C3AB686">
        <w:rPr>
          <w:rFonts w:ascii="Calibri" w:hAnsi="Calibri" w:eastAsia="Calibri" w:cs="Calibri"/>
          <w:noProof w:val="0"/>
          <w:color w:val="121212"/>
          <w:sz w:val="24"/>
          <w:szCs w:val="24"/>
          <w:lang w:val="en-GB"/>
        </w:rPr>
        <w:t xml:space="preserve">male named Sam Hallam who is 24 years old, who spent over 7 years in prison for a gang related murder, which he then denied being involved in. The case was eventually classed as a miss carriage of justice due to Sam not committing the crime and being falsely prosecuted for his actions. The case brought media attention due to its high-profile casing (Robins, 2019).  </w:t>
      </w:r>
    </w:p>
    <w:p w:rsidR="13505FE4" w:rsidP="3C3AB686" w:rsidRDefault="13505FE4" w14:paraId="182D8381" w14:textId="3A2ECAAE">
      <w:pPr>
        <w:pStyle w:val="Normal"/>
        <w:rPr>
          <w:rFonts w:ascii="Calibri" w:hAnsi="Calibri" w:eastAsia="Calibri" w:cs="Calibri"/>
          <w:noProof w:val="0"/>
          <w:color w:val="121212"/>
          <w:sz w:val="24"/>
          <w:szCs w:val="24"/>
          <w:lang w:val="en-GB"/>
        </w:rPr>
      </w:pPr>
      <w:r w:rsidRPr="3C3AB686" w:rsidR="3C3AB686">
        <w:rPr>
          <w:rFonts w:ascii="Calibri" w:hAnsi="Calibri" w:eastAsia="Calibri" w:cs="Calibri"/>
          <w:noProof w:val="0"/>
          <w:color w:val="121212"/>
          <w:sz w:val="24"/>
          <w:szCs w:val="24"/>
          <w:lang w:val="en-GB"/>
        </w:rPr>
        <w:t xml:space="preserve">  </w:t>
      </w:r>
    </w:p>
    <w:p w:rsidR="13505FE4" w:rsidP="63EB1B3A" w:rsidRDefault="13505FE4" w14:paraId="0EE2910E" w14:textId="5D608FB0">
      <w:pPr>
        <w:pStyle w:val="Normal"/>
        <w:rPr>
          <w:rFonts w:ascii="Calibri" w:hAnsi="Calibri" w:eastAsia="Calibri" w:cs="Calibri"/>
          <w:noProof w:val="0"/>
          <w:color w:val="121212"/>
          <w:sz w:val="24"/>
          <w:szCs w:val="24"/>
          <w:lang w:val="en-GB"/>
        </w:rPr>
      </w:pPr>
      <w:r w:rsidRPr="63EB1B3A" w:rsidR="63EB1B3A">
        <w:rPr>
          <w:rFonts w:ascii="Calibri" w:hAnsi="Calibri" w:eastAsia="Calibri" w:cs="Calibri"/>
          <w:noProof w:val="0"/>
          <w:color w:val="121212"/>
          <w:sz w:val="24"/>
          <w:szCs w:val="24"/>
          <w:lang w:val="en-GB"/>
        </w:rPr>
        <w:t xml:space="preserve">Overall, to conclude there are many case studies </w:t>
      </w:r>
      <w:r w:rsidRPr="63EB1B3A" w:rsidR="63EB1B3A">
        <w:rPr>
          <w:rFonts w:ascii="Calibri" w:hAnsi="Calibri" w:eastAsia="Calibri" w:cs="Calibri"/>
          <w:noProof w:val="0"/>
          <w:color w:val="121212"/>
          <w:sz w:val="24"/>
          <w:szCs w:val="24"/>
          <w:lang w:val="en-GB"/>
        </w:rPr>
        <w:t>that deal with</w:t>
      </w:r>
      <w:r w:rsidRPr="63EB1B3A" w:rsidR="63EB1B3A">
        <w:rPr>
          <w:rFonts w:ascii="Calibri" w:hAnsi="Calibri" w:eastAsia="Calibri" w:cs="Calibri"/>
          <w:noProof w:val="0"/>
          <w:color w:val="121212"/>
          <w:sz w:val="24"/>
          <w:szCs w:val="24"/>
          <w:lang w:val="en-GB"/>
        </w:rPr>
        <w:t xml:space="preserve"> miscarriage</w:t>
      </w:r>
      <w:r w:rsidRPr="63EB1B3A" w:rsidR="63EB1B3A">
        <w:rPr>
          <w:rFonts w:ascii="Calibri" w:hAnsi="Calibri" w:eastAsia="Calibri" w:cs="Calibri"/>
          <w:noProof w:val="0"/>
          <w:color w:val="121212"/>
          <w:sz w:val="24"/>
          <w:szCs w:val="24"/>
          <w:lang w:val="en-GB"/>
        </w:rPr>
        <w:t>s</w:t>
      </w:r>
      <w:r w:rsidRPr="63EB1B3A" w:rsidR="63EB1B3A">
        <w:rPr>
          <w:rFonts w:ascii="Calibri" w:hAnsi="Calibri" w:eastAsia="Calibri" w:cs="Calibri"/>
          <w:noProof w:val="0"/>
          <w:color w:val="121212"/>
          <w:sz w:val="24"/>
          <w:szCs w:val="24"/>
          <w:lang w:val="en-GB"/>
        </w:rPr>
        <w:t xml:space="preserve"> of justice before and after the Police and Criminal Evidence Act 1984 was instituted. Therefore, the PACE Codes </w:t>
      </w:r>
      <w:r w:rsidRPr="63EB1B3A" w:rsidR="63EB1B3A">
        <w:rPr>
          <w:rFonts w:ascii="Calibri" w:hAnsi="Calibri" w:eastAsia="Calibri" w:cs="Calibri"/>
          <w:noProof w:val="0"/>
          <w:color w:val="121212"/>
          <w:sz w:val="24"/>
          <w:szCs w:val="24"/>
          <w:lang w:val="en-GB"/>
        </w:rPr>
        <w:t xml:space="preserve">do not </w:t>
      </w:r>
      <w:r w:rsidRPr="63EB1B3A" w:rsidR="63EB1B3A">
        <w:rPr>
          <w:rFonts w:ascii="Calibri" w:hAnsi="Calibri" w:eastAsia="Calibri" w:cs="Calibri"/>
          <w:noProof w:val="0"/>
          <w:color w:val="121212"/>
          <w:sz w:val="24"/>
          <w:szCs w:val="24"/>
          <w:lang w:val="en-GB"/>
        </w:rPr>
        <w:t>exactly prevent all Miscarriage of justice cases but does help by providing those convicted with safeguarding</w:t>
      </w:r>
      <w:r w:rsidRPr="63EB1B3A" w:rsidR="63EB1B3A">
        <w:rPr>
          <w:rFonts w:ascii="Calibri" w:hAnsi="Calibri" w:eastAsia="Calibri" w:cs="Calibri"/>
          <w:noProof w:val="0"/>
          <w:color w:val="121212"/>
          <w:sz w:val="24"/>
          <w:szCs w:val="24"/>
          <w:lang w:val="en-GB"/>
        </w:rPr>
        <w:t xml:space="preserve">. It also helps to </w:t>
      </w:r>
      <w:r w:rsidRPr="63EB1B3A" w:rsidR="63EB1B3A">
        <w:rPr>
          <w:rFonts w:ascii="Calibri" w:hAnsi="Calibri" w:eastAsia="Calibri" w:cs="Calibri"/>
          <w:noProof w:val="0"/>
          <w:color w:val="121212"/>
          <w:sz w:val="24"/>
          <w:szCs w:val="24"/>
          <w:lang w:val="en-GB"/>
        </w:rPr>
        <w:t>strike</w:t>
      </w:r>
      <w:r w:rsidRPr="63EB1B3A" w:rsidR="63EB1B3A">
        <w:rPr>
          <w:rFonts w:ascii="Calibri" w:hAnsi="Calibri" w:eastAsia="Calibri" w:cs="Calibri"/>
          <w:noProof w:val="0"/>
          <w:color w:val="121212"/>
          <w:sz w:val="24"/>
          <w:szCs w:val="24"/>
          <w:lang w:val="en-GB"/>
        </w:rPr>
        <w:t xml:space="preserve"> </w:t>
      </w:r>
      <w:r w:rsidRPr="63EB1B3A" w:rsidR="63EB1B3A">
        <w:rPr>
          <w:rFonts w:ascii="Calibri" w:hAnsi="Calibri" w:eastAsia="Calibri" w:cs="Calibri"/>
          <w:noProof w:val="0"/>
          <w:color w:val="121212"/>
          <w:sz w:val="24"/>
          <w:szCs w:val="24"/>
          <w:lang w:val="en-GB"/>
        </w:rPr>
        <w:t>balance between the need for the police to have powers to tackle crime. Moreover, PACE allows all public services to recognise what category detainees are placed in, so this can benefit the public. PACE codes may have individuals who agree with them</w:t>
      </w:r>
      <w:r w:rsidRPr="63EB1B3A" w:rsidR="63EB1B3A">
        <w:rPr>
          <w:rFonts w:ascii="Calibri" w:hAnsi="Calibri" w:eastAsia="Calibri" w:cs="Calibri"/>
          <w:noProof w:val="0"/>
          <w:color w:val="121212"/>
          <w:sz w:val="24"/>
          <w:szCs w:val="24"/>
          <w:lang w:val="en-GB"/>
        </w:rPr>
        <w:t>,</w:t>
      </w:r>
      <w:r w:rsidRPr="63EB1B3A" w:rsidR="63EB1B3A">
        <w:rPr>
          <w:rFonts w:ascii="Calibri" w:hAnsi="Calibri" w:eastAsia="Calibri" w:cs="Calibri"/>
          <w:noProof w:val="0"/>
          <w:color w:val="121212"/>
          <w:sz w:val="24"/>
          <w:szCs w:val="24"/>
          <w:lang w:val="en-GB"/>
        </w:rPr>
        <w:t xml:space="preserve"> but </w:t>
      </w:r>
      <w:r w:rsidRPr="63EB1B3A" w:rsidR="63EB1B3A">
        <w:rPr>
          <w:rFonts w:ascii="Calibri" w:hAnsi="Calibri" w:eastAsia="Calibri" w:cs="Calibri"/>
          <w:noProof w:val="0"/>
          <w:color w:val="121212"/>
          <w:sz w:val="24"/>
          <w:szCs w:val="24"/>
          <w:lang w:val="en-GB"/>
        </w:rPr>
        <w:t xml:space="preserve">it also has many disadvantages </w:t>
      </w:r>
      <w:r w:rsidRPr="63EB1B3A" w:rsidR="63EB1B3A">
        <w:rPr>
          <w:rFonts w:ascii="Calibri" w:hAnsi="Calibri" w:eastAsia="Calibri" w:cs="Calibri"/>
          <w:noProof w:val="0"/>
          <w:color w:val="121212"/>
          <w:sz w:val="24"/>
          <w:szCs w:val="24"/>
          <w:lang w:val="en-GB"/>
        </w:rPr>
        <w:t xml:space="preserve">involving the use of PACE Codes today. To tackle this change could be made to satisfy those who are not happy with the Codes being used. Also, from using credible academic sources research shows that before PACE codes there were extreme amount of cases involving miscarriages of justice and those accused of crime were pressured into false confessions which wasn’t fair on them as they were not responsible for this crime. Additionally, PACE Codes was set up not only to benefit the police but to also benefit the public, evidently </w:t>
      </w:r>
      <w:r w:rsidRPr="63EB1B3A" w:rsidR="63EB1B3A">
        <w:rPr>
          <w:rFonts w:ascii="Calibri" w:hAnsi="Calibri" w:eastAsia="Calibri" w:cs="Calibri"/>
          <w:noProof w:val="0"/>
          <w:color w:val="121212"/>
          <w:sz w:val="24"/>
          <w:szCs w:val="24"/>
          <w:lang w:val="en-GB"/>
        </w:rPr>
        <w:t>the use of PACE</w:t>
      </w:r>
      <w:r w:rsidRPr="63EB1B3A" w:rsidR="63EB1B3A">
        <w:rPr>
          <w:rFonts w:ascii="Calibri" w:hAnsi="Calibri" w:eastAsia="Calibri" w:cs="Calibri"/>
          <w:noProof w:val="0"/>
          <w:color w:val="121212"/>
          <w:sz w:val="24"/>
          <w:szCs w:val="24"/>
          <w:lang w:val="en-GB"/>
        </w:rPr>
        <w:t xml:space="preserve"> is an advantage in my opinion because it </w:t>
      </w:r>
      <w:r w:rsidRPr="63EB1B3A" w:rsidR="63EB1B3A">
        <w:rPr>
          <w:rFonts w:ascii="Calibri" w:hAnsi="Calibri" w:eastAsia="Calibri" w:cs="Calibri"/>
          <w:noProof w:val="0"/>
          <w:color w:val="121212"/>
          <w:sz w:val="24"/>
          <w:szCs w:val="24"/>
          <w:lang w:val="en-GB"/>
        </w:rPr>
        <w:t xml:space="preserve">provides tools for the police to arrest detainees, and through using different codes it allows us to be able to recognise types of crime and how to tackle crime when it occurs. </w:t>
      </w:r>
    </w:p>
    <w:p w:rsidR="17084265" w:rsidP="13505FE4" w:rsidRDefault="17084265" w14:paraId="6B965192" w14:textId="1547F17B">
      <w:pPr>
        <w:pStyle w:val="Normal"/>
        <w:rPr>
          <w:sz w:val="24"/>
          <w:szCs w:val="24"/>
        </w:rPr>
      </w:pPr>
    </w:p>
    <w:p w:rsidR="17084265" w:rsidP="32A89821" w:rsidRDefault="17084265" w14:paraId="7A7F4809" w14:textId="5E907748">
      <w:pPr>
        <w:pStyle w:val="Normal"/>
        <w:rPr>
          <w:sz w:val="24"/>
          <w:szCs w:val="24"/>
        </w:rPr>
      </w:pPr>
    </w:p>
    <w:p w:rsidR="17084265" w:rsidP="3C7F2F20" w:rsidRDefault="17084265" w14:paraId="3AF41DF0" w14:textId="6C9BFF01">
      <w:pPr>
        <w:pStyle w:val="Normal"/>
        <w:rPr>
          <w:b w:val="1"/>
          <w:bCs w:val="1"/>
          <w:sz w:val="24"/>
          <w:szCs w:val="24"/>
          <w:u w:val="single"/>
        </w:rPr>
      </w:pPr>
    </w:p>
    <w:p w:rsidR="12896CFD" w:rsidP="12896CFD" w:rsidRDefault="12896CFD" w14:paraId="251C82C5" w14:textId="02C7DF9E">
      <w:pPr>
        <w:pStyle w:val="Normal"/>
        <w:rPr>
          <w:b w:val="1"/>
          <w:bCs w:val="1"/>
          <w:sz w:val="24"/>
          <w:szCs w:val="24"/>
          <w:u w:val="single"/>
        </w:rPr>
      </w:pPr>
    </w:p>
    <w:p w:rsidR="12896CFD" w:rsidP="12896CFD" w:rsidRDefault="12896CFD" w14:paraId="31162CA5" w14:textId="6B2F7C3A">
      <w:pPr>
        <w:pStyle w:val="Normal"/>
        <w:rPr>
          <w:b w:val="1"/>
          <w:bCs w:val="1"/>
          <w:sz w:val="24"/>
          <w:szCs w:val="24"/>
          <w:u w:val="single"/>
        </w:rPr>
      </w:pPr>
    </w:p>
    <w:p w:rsidR="12896CFD" w:rsidP="63EB1B3A" w:rsidRDefault="12896CFD" w14:paraId="66FF8A20" w14:textId="03874A30">
      <w:pPr>
        <w:pStyle w:val="Normal"/>
        <w:rPr>
          <w:b w:val="1"/>
          <w:bCs w:val="1"/>
          <w:sz w:val="24"/>
          <w:szCs w:val="24"/>
          <w:u w:val="single"/>
        </w:rPr>
      </w:pPr>
    </w:p>
    <w:p w:rsidR="63EB1B3A" w:rsidP="63EB1B3A" w:rsidRDefault="63EB1B3A" w14:paraId="66DFC4E0" w14:textId="65715BAC">
      <w:pPr>
        <w:pStyle w:val="Normal"/>
        <w:rPr>
          <w:b w:val="1"/>
          <w:bCs w:val="1"/>
          <w:sz w:val="24"/>
          <w:szCs w:val="24"/>
          <w:u w:val="single"/>
        </w:rPr>
      </w:pPr>
    </w:p>
    <w:p w:rsidR="17084265" w:rsidP="3C7F2F20" w:rsidRDefault="17084265" w14:paraId="01CF4A3C" w14:textId="5D128418">
      <w:pPr>
        <w:pStyle w:val="Normal"/>
        <w:rPr>
          <w:b w:val="1"/>
          <w:bCs w:val="1"/>
          <w:sz w:val="24"/>
          <w:szCs w:val="24"/>
          <w:u w:val="single"/>
        </w:rPr>
      </w:pPr>
      <w:r w:rsidRPr="13505FE4" w:rsidR="13505FE4">
        <w:rPr>
          <w:b w:val="1"/>
          <w:bCs w:val="1"/>
          <w:sz w:val="24"/>
          <w:szCs w:val="24"/>
          <w:u w:val="single"/>
        </w:rPr>
        <w:t>Reference list:</w:t>
      </w:r>
    </w:p>
    <w:p w:rsidR="13505FE4" w:rsidP="35F650ED" w:rsidRDefault="13505FE4" w14:paraId="0631531A" w14:textId="12A35DEF">
      <w:pPr>
        <w:pStyle w:val="Normal"/>
        <w:rPr>
          <w:sz w:val="24"/>
          <w:szCs w:val="24"/>
        </w:rPr>
      </w:pPr>
      <w:r w:rsidRPr="35F650ED" w:rsidR="35F650ED">
        <w:rPr>
          <w:sz w:val="24"/>
          <w:szCs w:val="24"/>
        </w:rPr>
        <w:t>Api.parliament.uk. (2019). Judges' Rules (Hansard, 27 February 1964). [online] Available at: https://api.parliament.uk/historic-hansard/commons/1964/feb/27/judges-rules [Accesse</w:t>
      </w:r>
      <w:r w:rsidRPr="35F650ED" w:rsidR="35F650ED">
        <w:rPr>
          <w:sz w:val="24"/>
          <w:szCs w:val="24"/>
        </w:rPr>
        <w:t>d</w:t>
      </w:r>
      <w:r w:rsidRPr="35F650ED" w:rsidR="35F650ED">
        <w:rPr>
          <w:sz w:val="24"/>
          <w:szCs w:val="24"/>
        </w:rPr>
        <w:t xml:space="preserve"> November </w:t>
      </w:r>
      <w:r w:rsidRPr="35F650ED" w:rsidR="35F650ED">
        <w:rPr>
          <w:sz w:val="24"/>
          <w:szCs w:val="24"/>
        </w:rPr>
        <w:t>5</w:t>
      </w:r>
      <w:r w:rsidRPr="35F650ED" w:rsidR="35F650ED">
        <w:rPr>
          <w:sz w:val="24"/>
          <w:szCs w:val="24"/>
          <w:vertAlign w:val="superscript"/>
        </w:rPr>
        <w:t>th</w:t>
      </w:r>
      <w:r w:rsidRPr="35F650ED" w:rsidR="35F650ED">
        <w:rPr>
          <w:sz w:val="24"/>
          <w:szCs w:val="24"/>
        </w:rPr>
        <w:t xml:space="preserve">, </w:t>
      </w:r>
      <w:r w:rsidRPr="35F650ED" w:rsidR="35F650ED">
        <w:rPr>
          <w:sz w:val="24"/>
          <w:szCs w:val="24"/>
        </w:rPr>
        <w:t>2019].</w:t>
      </w:r>
    </w:p>
    <w:p w:rsidR="32A89821" w:rsidP="35F650ED" w:rsidRDefault="32A89821" w14:paraId="64048CF8" w14:textId="64046340">
      <w:pPr>
        <w:pStyle w:val="Normal"/>
        <w:rPr>
          <w:sz w:val="24"/>
          <w:szCs w:val="24"/>
        </w:rPr>
      </w:pPr>
      <w:r w:rsidRPr="35F650ED" w:rsidR="35F650ED">
        <w:rPr>
          <w:sz w:val="24"/>
          <w:szCs w:val="24"/>
        </w:rPr>
        <w:t>GOV.UK. (2019). Police and Criminal Evidence Act 1984 (PACE) codes of practice. [online] Available at: https://www.gov.uk/guidance/police-and-criminal-evidence-act-1984-pace-codes-of-practice [Accessed</w:t>
      </w:r>
      <w:r w:rsidRPr="35F650ED" w:rsidR="35F650ED">
        <w:rPr>
          <w:sz w:val="24"/>
          <w:szCs w:val="24"/>
        </w:rPr>
        <w:t xml:space="preserve"> </w:t>
      </w:r>
      <w:r w:rsidRPr="35F650ED" w:rsidR="35F650ED">
        <w:rPr>
          <w:sz w:val="24"/>
          <w:szCs w:val="24"/>
        </w:rPr>
        <w:t>Nov</w:t>
      </w:r>
      <w:r w:rsidRPr="35F650ED" w:rsidR="35F650ED">
        <w:rPr>
          <w:sz w:val="24"/>
          <w:szCs w:val="24"/>
        </w:rPr>
        <w:t>ember 2</w:t>
      </w:r>
      <w:r w:rsidRPr="35F650ED" w:rsidR="35F650ED">
        <w:rPr>
          <w:sz w:val="24"/>
          <w:szCs w:val="24"/>
          <w:vertAlign w:val="superscript"/>
        </w:rPr>
        <w:t>nd</w:t>
      </w:r>
      <w:r w:rsidRPr="35F650ED" w:rsidR="35F650ED">
        <w:rPr>
          <w:sz w:val="24"/>
          <w:szCs w:val="24"/>
        </w:rPr>
        <w:t xml:space="preserve">, </w:t>
      </w:r>
      <w:r w:rsidRPr="35F650ED" w:rsidR="35F650ED">
        <w:rPr>
          <w:sz w:val="24"/>
          <w:szCs w:val="24"/>
        </w:rPr>
        <w:t>2019].</w:t>
      </w:r>
    </w:p>
    <w:p w:rsidR="32A89821" w:rsidP="13505FE4" w:rsidRDefault="32A89821" w14:paraId="53029896" w14:textId="2BB108F6">
      <w:pPr>
        <w:pStyle w:val="Normal"/>
        <w:rPr>
          <w:sz w:val="24"/>
          <w:szCs w:val="24"/>
        </w:rPr>
      </w:pPr>
      <w:r w:rsidRPr="13505FE4" w:rsidR="13505FE4">
        <w:rPr>
          <w:sz w:val="24"/>
          <w:szCs w:val="24"/>
        </w:rPr>
        <w:t>McConville, M. and Wilson, G. (2002). The handbook of the criminal justice process. Oxford: Oxford University Press.</w:t>
      </w:r>
    </w:p>
    <w:p w:rsidR="32A89821" w:rsidP="35F650ED" w:rsidRDefault="32A89821" w14:paraId="739C8AB6" w14:textId="3A940902">
      <w:pPr>
        <w:pStyle w:val="Normal"/>
        <w:rPr>
          <w:sz w:val="24"/>
          <w:szCs w:val="24"/>
        </w:rPr>
      </w:pPr>
      <w:r w:rsidRPr="35F650ED" w:rsidR="35F650ED">
        <w:rPr>
          <w:sz w:val="24"/>
          <w:szCs w:val="24"/>
        </w:rPr>
        <w:t>INNOCENT. (2019). Miscarriage of justice cases. [online] Available at: https://innocent.org.uk/miscarriage-of-justice-cases/ [Accessed November 2</w:t>
      </w:r>
      <w:r w:rsidRPr="35F650ED" w:rsidR="35F650ED">
        <w:rPr>
          <w:sz w:val="24"/>
          <w:szCs w:val="24"/>
          <w:vertAlign w:val="superscript"/>
        </w:rPr>
        <w:t>nd,</w:t>
      </w:r>
      <w:r w:rsidRPr="35F650ED" w:rsidR="35F650ED">
        <w:rPr>
          <w:sz w:val="24"/>
          <w:szCs w:val="24"/>
        </w:rPr>
        <w:t xml:space="preserve"> 2019]. </w:t>
      </w:r>
    </w:p>
    <w:p w:rsidR="32A89821" w:rsidP="13505FE4" w:rsidRDefault="32A89821" w14:paraId="45A335A9" w14:textId="62C4D0FD">
      <w:pPr>
        <w:pStyle w:val="Normal"/>
        <w:rPr>
          <w:sz w:val="24"/>
          <w:szCs w:val="24"/>
        </w:rPr>
      </w:pPr>
      <w:r w:rsidRPr="13505FE4" w:rsidR="13505FE4">
        <w:rPr>
          <w:sz w:val="24"/>
          <w:szCs w:val="24"/>
        </w:rPr>
        <w:t xml:space="preserve">Robert. M. (2005), </w:t>
      </w:r>
      <w:r w:rsidRPr="13505FE4" w:rsidR="13505FE4">
        <w:rPr>
          <w:i w:val="1"/>
          <w:iCs w:val="1"/>
          <w:sz w:val="24"/>
          <w:szCs w:val="24"/>
        </w:rPr>
        <w:t>Miscarriages of Criminal Justice</w:t>
      </w:r>
      <w:r w:rsidRPr="13505FE4" w:rsidR="13505FE4">
        <w:rPr>
          <w:sz w:val="24"/>
          <w:szCs w:val="24"/>
        </w:rPr>
        <w:t xml:space="preserve">: An introduction. </w:t>
      </w:r>
    </w:p>
    <w:p w:rsidR="3C7F2F20" w:rsidP="35F650ED" w:rsidRDefault="3C7F2F20" w14:paraId="34BC7853" w14:textId="7F91B8EE">
      <w:pPr>
        <w:pStyle w:val="Normal"/>
        <w:rPr>
          <w:sz w:val="24"/>
          <w:szCs w:val="24"/>
        </w:rPr>
      </w:pPr>
      <w:r w:rsidRPr="35F650ED" w:rsidR="35F650ED">
        <w:rPr>
          <w:sz w:val="24"/>
          <w:szCs w:val="24"/>
        </w:rPr>
        <w:t>Assets.publishing.service.gov.uk. (2019). [online] Available at: https://assets.publishing.service.gov.uk [Accessed November 3</w:t>
      </w:r>
      <w:r w:rsidRPr="35F650ED" w:rsidR="35F650ED">
        <w:rPr>
          <w:sz w:val="24"/>
          <w:szCs w:val="24"/>
          <w:vertAlign w:val="superscript"/>
        </w:rPr>
        <w:t>rd,</w:t>
      </w:r>
      <w:r w:rsidRPr="35F650ED" w:rsidR="35F650ED">
        <w:rPr>
          <w:sz w:val="24"/>
          <w:szCs w:val="24"/>
        </w:rPr>
        <w:t xml:space="preserve"> 2019].</w:t>
      </w:r>
    </w:p>
    <w:p w:rsidR="3C7F2F20" w:rsidP="13505FE4" w:rsidRDefault="3C7F2F20" w14:paraId="55521E41" w14:textId="15FDF250">
      <w:pPr>
        <w:pStyle w:val="Normal"/>
        <w:rPr>
          <w:sz w:val="24"/>
          <w:szCs w:val="24"/>
        </w:rPr>
      </w:pPr>
      <w:r w:rsidRPr="13505FE4" w:rsidR="13505FE4">
        <w:rPr>
          <w:sz w:val="24"/>
          <w:szCs w:val="24"/>
        </w:rPr>
        <w:t xml:space="preserve">Easton, S. (2014). Silence and confessions: The suspect as the source of evidence </w:t>
      </w:r>
    </w:p>
    <w:p w:rsidR="3C7F2F20" w:rsidP="35F650ED" w:rsidRDefault="3C7F2F20" w14:paraId="1B0098B4" w14:textId="447B35E7">
      <w:pPr>
        <w:pStyle w:val="Normal"/>
        <w:rPr>
          <w:sz w:val="24"/>
          <w:szCs w:val="24"/>
        </w:rPr>
      </w:pPr>
      <w:r w:rsidRPr="35F650ED" w:rsidR="35F650ED">
        <w:rPr>
          <w:sz w:val="24"/>
          <w:szCs w:val="24"/>
        </w:rPr>
        <w:t>Oliver, M. (2019). Miscarriages of justice. [online] the Guardian. Available at: https://www.theguardian.com/uk/2002/jan/15/ukcrime.markoliver [Accessed November 3</w:t>
      </w:r>
      <w:r w:rsidRPr="35F650ED" w:rsidR="35F650ED">
        <w:rPr>
          <w:sz w:val="24"/>
          <w:szCs w:val="24"/>
          <w:vertAlign w:val="superscript"/>
        </w:rPr>
        <w:t>rd</w:t>
      </w:r>
      <w:r w:rsidRPr="35F650ED" w:rsidR="35F650ED">
        <w:rPr>
          <w:sz w:val="24"/>
          <w:szCs w:val="24"/>
        </w:rPr>
        <w:t>,</w:t>
      </w:r>
      <w:r w:rsidRPr="35F650ED" w:rsidR="35F650ED">
        <w:rPr>
          <w:sz w:val="24"/>
          <w:szCs w:val="24"/>
        </w:rPr>
        <w:t xml:space="preserve"> 2019].</w:t>
      </w:r>
    </w:p>
    <w:p w:rsidR="3C7F2F20" w:rsidP="35F650ED" w:rsidRDefault="3C7F2F20" w14:paraId="54229692" w14:textId="2B3864B7">
      <w:pPr>
        <w:pStyle w:val="Normal"/>
        <w:rPr>
          <w:sz w:val="24"/>
          <w:szCs w:val="24"/>
          <w:u w:val="none"/>
        </w:rPr>
      </w:pPr>
      <w:r w:rsidRPr="35F650ED" w:rsidR="35F650ED">
        <w:rPr>
          <w:sz w:val="24"/>
          <w:szCs w:val="24"/>
          <w:u w:val="none"/>
        </w:rPr>
        <w:t xml:space="preserve">Holt, R. (2019). The Guildford Four: in the name of justice. [online] Telegraph.co.uk. Available at: </w:t>
      </w:r>
      <w:hyperlink r:id="R898e770781484969">
        <w:r w:rsidRPr="35F650ED" w:rsidR="35F650ED">
          <w:rPr>
            <w:rStyle w:val="Hyperlink"/>
            <w:color w:val="auto"/>
            <w:sz w:val="24"/>
            <w:szCs w:val="24"/>
            <w:u w:val="none"/>
          </w:rPr>
          <w:t>https://www.telegraph.co.uk/news/uknews/crime</w:t>
        </w:r>
      </w:hyperlink>
      <w:r w:rsidRPr="35F650ED" w:rsidR="35F650ED">
        <w:rPr>
          <w:color w:val="auto"/>
          <w:sz w:val="24"/>
          <w:szCs w:val="24"/>
          <w:u w:val="none"/>
        </w:rPr>
        <w:t xml:space="preserve"> [Accessed Nov</w:t>
      </w:r>
      <w:r w:rsidRPr="35F650ED" w:rsidR="35F650ED">
        <w:rPr>
          <w:color w:val="auto"/>
          <w:sz w:val="24"/>
          <w:szCs w:val="24"/>
          <w:u w:val="none"/>
        </w:rPr>
        <w:t>ember 3</w:t>
      </w:r>
      <w:r w:rsidRPr="35F650ED" w:rsidR="35F650ED">
        <w:rPr>
          <w:color w:val="auto"/>
          <w:sz w:val="24"/>
          <w:szCs w:val="24"/>
          <w:u w:val="none"/>
          <w:vertAlign w:val="superscript"/>
        </w:rPr>
        <w:t xml:space="preserve">rd, </w:t>
      </w:r>
      <w:r w:rsidRPr="35F650ED" w:rsidR="35F650ED">
        <w:rPr>
          <w:color w:val="auto"/>
          <w:sz w:val="24"/>
          <w:szCs w:val="24"/>
          <w:u w:val="none"/>
        </w:rPr>
        <w:t>2019].</w:t>
      </w:r>
    </w:p>
    <w:p w:rsidR="3C7F2F20" w:rsidP="35F650ED" w:rsidRDefault="3C7F2F20" w14:paraId="0BBA771B" w14:textId="6C7C349B">
      <w:pPr>
        <w:pStyle w:val="Normal"/>
        <w:rPr>
          <w:sz w:val="24"/>
          <w:szCs w:val="24"/>
        </w:rPr>
      </w:pPr>
      <w:r w:rsidRPr="35F650ED" w:rsidR="35F650ED">
        <w:rPr>
          <w:b w:val="0"/>
          <w:bCs w:val="0"/>
          <w:sz w:val="24"/>
          <w:szCs w:val="24"/>
          <w:u w:val="none"/>
        </w:rPr>
        <w:t xml:space="preserve">Equalityhumanrights.com. (2019). [online] Available at: </w:t>
      </w:r>
      <w:hyperlink r:id="R07c8ba34deeb47ae">
        <w:r w:rsidRPr="35F650ED" w:rsidR="35F650ED">
          <w:rPr>
            <w:rStyle w:val="Hyperlink"/>
            <w:b w:val="0"/>
            <w:bCs w:val="0"/>
            <w:color w:val="auto"/>
            <w:sz w:val="24"/>
            <w:szCs w:val="24"/>
            <w:u w:val="none"/>
          </w:rPr>
          <w:t>www.equalityhumanrights.com</w:t>
        </w:r>
      </w:hyperlink>
      <w:r w:rsidRPr="35F650ED" w:rsidR="35F650ED">
        <w:rPr>
          <w:b w:val="0"/>
          <w:bCs w:val="0"/>
          <w:color w:val="auto"/>
          <w:sz w:val="24"/>
          <w:szCs w:val="24"/>
          <w:u w:val="none"/>
        </w:rPr>
        <w:t xml:space="preserve"> [Accessed Nov</w:t>
      </w:r>
      <w:r w:rsidRPr="35F650ED" w:rsidR="35F650ED">
        <w:rPr>
          <w:b w:val="0"/>
          <w:bCs w:val="0"/>
          <w:color w:val="auto"/>
          <w:sz w:val="24"/>
          <w:szCs w:val="24"/>
          <w:u w:val="none"/>
        </w:rPr>
        <w:t>ember 3</w:t>
      </w:r>
      <w:r w:rsidRPr="35F650ED" w:rsidR="35F650ED">
        <w:rPr>
          <w:b w:val="0"/>
          <w:bCs w:val="0"/>
          <w:color w:val="auto"/>
          <w:sz w:val="24"/>
          <w:szCs w:val="24"/>
          <w:u w:val="none"/>
          <w:vertAlign w:val="superscript"/>
        </w:rPr>
        <w:t xml:space="preserve">rd, </w:t>
      </w:r>
      <w:r w:rsidRPr="35F650ED" w:rsidR="35F650ED">
        <w:rPr>
          <w:b w:val="0"/>
          <w:bCs w:val="0"/>
          <w:color w:val="auto"/>
          <w:sz w:val="24"/>
          <w:szCs w:val="24"/>
          <w:u w:val="none"/>
        </w:rPr>
        <w:t>2019].</w:t>
      </w:r>
    </w:p>
    <w:p w:rsidR="1FC21B39" w:rsidP="35F650ED" w:rsidRDefault="1FC21B39" w14:paraId="564B686A" w14:textId="3DFCDE1C">
      <w:pPr>
        <w:pStyle w:val="Normal"/>
        <w:rPr>
          <w:sz w:val="24"/>
          <w:szCs w:val="24"/>
        </w:rPr>
      </w:pPr>
      <w:r w:rsidRPr="35F650ED" w:rsidR="35F650ED">
        <w:rPr>
          <w:sz w:val="24"/>
          <w:szCs w:val="24"/>
        </w:rPr>
        <w:t>InBrief.co.uk. (2019). PACE: Police and Criminal Evidence Act 1984 - InBrief.co.uk. [online] Available at: www.inbrief.co.</w:t>
      </w:r>
      <w:proofErr w:type="spellStart"/>
      <w:r w:rsidRPr="35F650ED" w:rsidR="35F650ED">
        <w:rPr>
          <w:sz w:val="24"/>
          <w:szCs w:val="24"/>
        </w:rPr>
        <w:t>uk</w:t>
      </w:r>
      <w:proofErr w:type="spellEnd"/>
      <w:r w:rsidRPr="35F650ED" w:rsidR="35F650ED">
        <w:rPr>
          <w:sz w:val="24"/>
          <w:szCs w:val="24"/>
        </w:rPr>
        <w:t xml:space="preserve"> [Accessed November </w:t>
      </w:r>
      <w:r w:rsidRPr="35F650ED" w:rsidR="35F650ED">
        <w:rPr>
          <w:sz w:val="24"/>
          <w:szCs w:val="24"/>
        </w:rPr>
        <w:t>4</w:t>
      </w:r>
      <w:r w:rsidRPr="35F650ED" w:rsidR="35F650ED">
        <w:rPr>
          <w:sz w:val="24"/>
          <w:szCs w:val="24"/>
          <w:vertAlign w:val="superscript"/>
        </w:rPr>
        <w:t>th</w:t>
      </w:r>
      <w:r w:rsidRPr="35F650ED" w:rsidR="35F650ED">
        <w:rPr>
          <w:sz w:val="24"/>
          <w:szCs w:val="24"/>
        </w:rPr>
        <w:t xml:space="preserve">, </w:t>
      </w:r>
      <w:r w:rsidRPr="35F650ED" w:rsidR="35F650ED">
        <w:rPr>
          <w:sz w:val="24"/>
          <w:szCs w:val="24"/>
        </w:rPr>
        <w:t>2019].</w:t>
      </w:r>
    </w:p>
    <w:p w:rsidR="13505FE4" w:rsidP="35F650ED" w:rsidRDefault="13505FE4" w14:paraId="27BE95B2" w14:textId="2DA3C486">
      <w:pPr>
        <w:pStyle w:val="Normal"/>
        <w:bidi w:val="0"/>
        <w:spacing w:before="0" w:beforeAutospacing="off" w:after="160" w:afterAutospacing="off" w:line="259" w:lineRule="auto"/>
        <w:ind w:left="0" w:right="0"/>
        <w:jc w:val="left"/>
        <w:rPr>
          <w:sz w:val="24"/>
          <w:szCs w:val="24"/>
        </w:rPr>
      </w:pPr>
      <w:r w:rsidRPr="35F650ED" w:rsidR="35F650ED">
        <w:rPr>
          <w:sz w:val="24"/>
          <w:szCs w:val="24"/>
        </w:rPr>
        <w:t xml:space="preserve">Robins, J. (2019). Miscarriage of justice victims are cast aside in the UK. The details are shocking | Jon Robins. [online] the Guardian. Available at: </w:t>
      </w:r>
      <w:hyperlink r:id="R9405b8c6d9bc432c">
        <w:r w:rsidRPr="35F650ED" w:rsidR="35F650ED">
          <w:rPr>
            <w:rStyle w:val="Hyperlink"/>
            <w:color w:val="auto"/>
            <w:sz w:val="24"/>
            <w:szCs w:val="24"/>
            <w:u w:val="none"/>
          </w:rPr>
          <w:t>www.theguardian.com</w:t>
        </w:r>
      </w:hyperlink>
      <w:r w:rsidRPr="35F650ED" w:rsidR="35F650ED">
        <w:rPr>
          <w:sz w:val="24"/>
          <w:szCs w:val="24"/>
          <w:u w:val="none"/>
        </w:rPr>
        <w:t xml:space="preserve">  [Accessed November</w:t>
      </w:r>
      <w:r w:rsidRPr="35F650ED" w:rsidR="35F650ED">
        <w:rPr>
          <w:sz w:val="24"/>
          <w:szCs w:val="24"/>
          <w:u w:val="none"/>
        </w:rPr>
        <w:t xml:space="preserve"> </w:t>
      </w:r>
      <w:r w:rsidRPr="35F650ED" w:rsidR="35F650ED">
        <w:rPr>
          <w:sz w:val="24"/>
          <w:szCs w:val="24"/>
          <w:u w:val="none"/>
        </w:rPr>
        <w:t>5</w:t>
      </w:r>
      <w:r w:rsidRPr="35F650ED" w:rsidR="35F650ED">
        <w:rPr>
          <w:sz w:val="24"/>
          <w:szCs w:val="24"/>
          <w:u w:val="none"/>
          <w:vertAlign w:val="superscript"/>
        </w:rPr>
        <w:t>th</w:t>
      </w:r>
      <w:r w:rsidRPr="35F650ED" w:rsidR="35F650ED">
        <w:rPr>
          <w:sz w:val="24"/>
          <w:szCs w:val="24"/>
          <w:u w:val="none"/>
        </w:rPr>
        <w:t>,</w:t>
      </w:r>
      <w:r w:rsidRPr="35F650ED" w:rsidR="35F650ED">
        <w:rPr>
          <w:sz w:val="24"/>
          <w:szCs w:val="24"/>
          <w:u w:val="none"/>
        </w:rPr>
        <w:t xml:space="preserve"> 2019].</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9421332"/>
  <w15:docId w15:val="{2b58f76c-ecad-46e5-839b-ace5e940bec9}"/>
  <w:rsids>
    <w:rsidRoot w:val="19421332"/>
    <w:rsid w:val="12896CFD"/>
    <w:rsid w:val="13505FE4"/>
    <w:rsid w:val="17084265"/>
    <w:rsid w:val="19421332"/>
    <w:rsid w:val="1FC21B39"/>
    <w:rsid w:val="2DBAE0F6"/>
    <w:rsid w:val="32A89821"/>
    <w:rsid w:val="35F650ED"/>
    <w:rsid w:val="38F0C1CC"/>
    <w:rsid w:val="3C3AB686"/>
    <w:rsid w:val="3C7F2F20"/>
    <w:rsid w:val="410B7B0A"/>
    <w:rsid w:val="42CF022A"/>
    <w:rsid w:val="4BB92589"/>
    <w:rsid w:val="63EB1B3A"/>
    <w:rsid w:val="6D57D761"/>
    <w:rsid w:val="7CBFF34C"/>
    <w:rsid w:val="7E4FB18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b2a180c51904b62" /><Relationship Type="http://schemas.openxmlformats.org/officeDocument/2006/relationships/hyperlink" Target="https://www.telegraph.co.uk/news/uknews/crime" TargetMode="External" Id="R898e770781484969" /><Relationship Type="http://schemas.openxmlformats.org/officeDocument/2006/relationships/hyperlink" Target="https://www.equalityhumanrights.com" TargetMode="External" Id="R07c8ba34deeb47ae" /><Relationship Type="http://schemas.openxmlformats.org/officeDocument/2006/relationships/hyperlink" Target="https://www.theguardian.com" TargetMode="External" Id="R9405b8c6d9bc43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Williams (1805244)</dc:creator>
  <keywords/>
  <dc:description/>
  <lastModifiedBy>Jac Williams (1805244)</lastModifiedBy>
  <revision>18</revision>
  <dcterms:created xsi:type="dcterms:W3CDTF">2019-10-12T15:31:00.6938443Z</dcterms:created>
  <dcterms:modified xsi:type="dcterms:W3CDTF">2019-11-08T17:22:06.2778655Z</dcterms:modified>
</coreProperties>
</file>