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 Generated by Aspose.Words for Java 24.11.0 -->
  <w:body>
    <w:p w:rsidR="001F3CA7" w:rsidP="001F3CA7">
      <w:pPr>
        <w:pStyle w:val="Title"/>
        <w:jc w:val="center"/>
        <w:rPr>
          <w:rFonts w:ascii="Times New Roman" w:hAnsi="Times New Roman" w:cs="Times New Roman"/>
          <w:b/>
          <w:shd w:val="clear" w:color="auto" w:fill="FFFFFF"/>
        </w:rPr>
      </w:pPr>
    </w:p>
    <w:p w:rsidR="001F3CA7" w:rsidP="001F3CA7">
      <w:pPr>
        <w:pStyle w:val="Title"/>
        <w:jc w:val="center"/>
        <w:rPr>
          <w:rFonts w:ascii="Times New Roman" w:hAnsi="Times New Roman" w:cs="Times New Roman"/>
          <w:b/>
          <w:shd w:val="clear" w:color="auto" w:fill="FFFFFF"/>
        </w:rPr>
      </w:pPr>
    </w:p>
    <w:p w:rsidR="001F3CA7" w:rsidP="001F3CA7">
      <w:pPr>
        <w:pStyle w:val="Title"/>
        <w:jc w:val="center"/>
        <w:rPr>
          <w:rFonts w:ascii="Times New Roman" w:hAnsi="Times New Roman" w:cs="Times New Roman"/>
          <w:b/>
          <w:shd w:val="clear" w:color="auto" w:fill="FFFFFF"/>
        </w:rPr>
      </w:pPr>
    </w:p>
    <w:p w:rsidR="001F3CA7" w:rsidP="001F3CA7">
      <w:pPr>
        <w:pStyle w:val="Title"/>
        <w:jc w:val="center"/>
        <w:rPr>
          <w:rFonts w:ascii="Times New Roman" w:hAnsi="Times New Roman" w:cs="Times New Roman"/>
          <w:b/>
          <w:shd w:val="clear" w:color="auto" w:fill="FFFFFF"/>
        </w:rPr>
      </w:pPr>
    </w:p>
    <w:p w:rsidR="001F3CA7" w:rsidP="001F3CA7">
      <w:pPr>
        <w:pStyle w:val="Title"/>
        <w:jc w:val="center"/>
        <w:rPr>
          <w:rFonts w:ascii="Times New Roman" w:hAnsi="Times New Roman" w:cs="Times New Roman"/>
          <w:b/>
          <w:shd w:val="clear" w:color="auto" w:fill="FFFFFF"/>
        </w:rPr>
      </w:pPr>
    </w:p>
    <w:p w:rsidR="001F3CA7" w:rsidP="001F3CA7">
      <w:pPr>
        <w:pStyle w:val="Title"/>
        <w:jc w:val="center"/>
        <w:rPr>
          <w:rFonts w:ascii="Times New Roman" w:hAnsi="Times New Roman" w:cs="Times New Roman"/>
          <w:b/>
          <w:shd w:val="clear" w:color="auto" w:fill="FFFFFF"/>
        </w:rPr>
      </w:pPr>
    </w:p>
    <w:p w:rsidR="001F3CA7" w:rsidP="001F3CA7">
      <w:pPr>
        <w:pStyle w:val="Title"/>
        <w:jc w:val="center"/>
        <w:rPr>
          <w:rFonts w:ascii="Times New Roman" w:hAnsi="Times New Roman" w:cs="Times New Roman"/>
          <w:b/>
          <w:shd w:val="clear" w:color="auto" w:fill="FFFFFF"/>
        </w:rPr>
      </w:pPr>
    </w:p>
    <w:p w:rsidR="001F3CA7" w:rsidP="001F3CA7">
      <w:pPr>
        <w:pStyle w:val="Title"/>
        <w:jc w:val="center"/>
        <w:rPr>
          <w:rFonts w:ascii="Times New Roman" w:hAnsi="Times New Roman" w:cs="Times New Roman"/>
          <w:b/>
          <w:shd w:val="clear" w:color="auto" w:fill="FFFFFF"/>
        </w:rPr>
      </w:pPr>
    </w:p>
    <w:p w:rsidR="001F3CA7" w:rsidP="001F3CA7">
      <w:pPr>
        <w:pStyle w:val="Title"/>
        <w:jc w:val="center"/>
        <w:rPr>
          <w:rFonts w:ascii="Times New Roman" w:hAnsi="Times New Roman" w:cs="Times New Roman"/>
          <w:b/>
          <w:shd w:val="clear" w:color="auto" w:fill="FFFFFF"/>
        </w:rPr>
      </w:pPr>
      <w:r w:rsidRPr="001F3CA7">
        <w:rPr>
          <w:rFonts w:ascii="Times New Roman" w:hAnsi="Times New Roman" w:cs="Times New Roman"/>
          <w:b/>
          <w:shd w:val="clear" w:color="auto" w:fill="FFFFFF"/>
        </w:rPr>
        <w:t>BMHP5023</w:t>
      </w:r>
    </w:p>
    <w:p w:rsidR="001F3CA7" w:rsidP="001F3CA7">
      <w:pPr>
        <w:pStyle w:val="Title"/>
        <w:jc w:val="center"/>
        <w:rPr>
          <w:rFonts w:ascii="Times New Roman" w:hAnsi="Times New Roman" w:cs="Times New Roman"/>
          <w:b/>
          <w:shd w:val="clear" w:color="auto" w:fill="FFFFFF"/>
        </w:rPr>
      </w:pPr>
    </w:p>
    <w:p w:rsidR="001F3CA7" w:rsidP="001F3CA7">
      <w:pPr>
        <w:pStyle w:val="Title"/>
        <w:jc w:val="center"/>
        <w:rPr>
          <w:rFonts w:ascii="Times New Roman" w:hAnsi="Times New Roman" w:cs="Times New Roman"/>
          <w:b/>
          <w:shd w:val="clear" w:color="auto" w:fill="FFFFFF"/>
        </w:rPr>
      </w:pPr>
      <w:r w:rsidRPr="001F3CA7">
        <w:rPr>
          <w:rFonts w:ascii="Times New Roman" w:hAnsi="Times New Roman" w:cs="Times New Roman"/>
          <w:b/>
          <w:shd w:val="clear" w:color="auto" w:fill="FFFFFF"/>
        </w:rPr>
        <w:t xml:space="preserve">Introduction to Physiology </w:t>
      </w:r>
    </w:p>
    <w:p w:rsidR="001F3CA7" w:rsidRPr="001F3CA7" w:rsidP="001F3CA7">
      <w:pPr>
        <w:pStyle w:val="Title"/>
        <w:jc w:val="center"/>
        <w:rPr>
          <w:rFonts w:ascii="Times New Roman" w:hAnsi="Times New Roman" w:cs="Times New Roman"/>
          <w:b/>
          <w:color w:val="000000" w:themeColor="text1"/>
          <w:sz w:val="28"/>
          <w:szCs w:val="40"/>
        </w:rPr>
      </w:pPr>
      <w:r w:rsidRPr="001F3CA7">
        <w:rPr>
          <w:rFonts w:ascii="Times New Roman" w:hAnsi="Times New Roman" w:cs="Times New Roman"/>
          <w:b/>
          <w:shd w:val="clear" w:color="auto" w:fill="FFFFFF"/>
        </w:rPr>
        <w:t>(</w:t>
      </w:r>
      <w:r w:rsidRPr="001F3CA7">
        <w:rPr>
          <w:rFonts w:ascii="Times New Roman" w:hAnsi="Times New Roman" w:cs="Times New Roman"/>
          <w:b/>
          <w:color w:val="222222"/>
          <w:shd w:val="clear" w:color="auto" w:fill="FFFFFF"/>
        </w:rPr>
        <w:t>Written report)</w:t>
      </w:r>
    </w:p>
    <w:p w:rsidR="001F3CA7" w:rsidRPr="001F3CA7" w:rsidP="001F3CA7">
      <w:pPr>
        <w:pStyle w:val="Title"/>
        <w:jc w:val="center"/>
        <w:rPr>
          <w:rFonts w:ascii="Times New Roman" w:hAnsi="Times New Roman" w:cs="Times New Roman"/>
          <w:b/>
          <w:color w:val="000000" w:themeColor="text1"/>
          <w:sz w:val="28"/>
          <w:szCs w:val="40"/>
        </w:rPr>
      </w:pPr>
      <w:r w:rsidRPr="001F3CA7">
        <w:rPr>
          <w:rFonts w:ascii="Times New Roman" w:hAnsi="Times New Roman" w:cs="Times New Roman"/>
          <w:b/>
        </w:rPr>
        <w:br w:type="page"/>
      </w:r>
    </w:p>
    <w:p w:rsidR="001F3CA7">
      <w:pPr>
        <w:pStyle w:val="TOCHeading"/>
      </w:pPr>
    </w:p>
    <w:sdt>
      <w:sdtPr>
        <w:id w:val="6063433"/>
        <w:docPartObj>
          <w:docPartGallery w:val="Table of Contents"/>
          <w:docPartUnique/>
        </w:docPartObj>
      </w:sdtPr>
      <w:sdtEndPr>
        <w:rPr>
          <w:rFonts w:ascii="Times New Roman" w:hAnsi="Times New Roman" w:eastAsiaTheme="minorHAnsi" w:cstheme="minorBidi"/>
          <w:b w:val="0"/>
          <w:bCs w:val="0"/>
          <w:color w:val="auto"/>
          <w:kern w:val="2"/>
          <w:sz w:val="24"/>
          <w:szCs w:val="24"/>
        </w:rPr>
      </w:sdtEndPr>
      <w:sdtContent>
        <w:p w:rsidR="001F3CA7" w:rsidP="001F3CA7">
          <w:pPr>
            <w:pStyle w:val="TOCHeading"/>
            <w:jc w:val="center"/>
          </w:pPr>
          <w:r w:rsidRPr="001F3CA7">
            <w:rPr>
              <w:rFonts w:ascii="Times New Roman" w:hAnsi="Times New Roman" w:cs="Times New Roman"/>
              <w:color w:val="auto"/>
              <w:sz w:val="32"/>
              <w:szCs w:val="32"/>
            </w:rPr>
            <w:t>Table of Contents</w:t>
          </w:r>
        </w:p>
        <w:p w:rsidR="00396F9F">
          <w:pPr>
            <w:pStyle w:val="TOC1"/>
            <w:tabs>
              <w:tab w:val="right" w:leader="dot" w:pos="9350"/>
            </w:tabs>
            <w:rPr>
              <w:rFonts w:asciiTheme="minorHAnsi" w:eastAsiaTheme="minorEastAsia" w:hAnsiTheme="minorHAnsi"/>
              <w:noProof/>
              <w:kern w:val="0"/>
              <w:sz w:val="22"/>
              <w:szCs w:val="22"/>
            </w:rPr>
          </w:pPr>
          <w:r>
            <w:fldChar w:fldCharType="begin"/>
          </w:r>
          <w:r>
            <w:instrText xml:space="preserve"> TOC \o "1-3" \h \z \u </w:instrText>
          </w:r>
          <w:r>
            <w:fldChar w:fldCharType="separate"/>
          </w:r>
          <w:hyperlink w:anchor="_Toc233458383" w:history="1">
            <w:r w:rsidRPr="00F33E2A">
              <w:rPr>
                <w:rStyle w:val="Hyperlink"/>
                <w:noProof/>
              </w:rPr>
              <w:t>Introduction</w:t>
            </w:r>
            <w:r>
              <w:rPr>
                <w:noProof/>
                <w:webHidden/>
              </w:rPr>
              <w:tab/>
            </w:r>
            <w:r>
              <w:rPr>
                <w:noProof/>
                <w:webHidden/>
              </w:rPr>
              <w:fldChar w:fldCharType="begin"/>
            </w:r>
            <w:r>
              <w:rPr>
                <w:noProof/>
                <w:webHidden/>
              </w:rPr>
              <w:instrText xml:space="preserve"> PAGEREF _Toc233458383 \h </w:instrText>
            </w:r>
            <w:r>
              <w:rPr>
                <w:noProof/>
                <w:webHidden/>
              </w:rPr>
              <w:fldChar w:fldCharType="separate"/>
            </w:r>
            <w:r>
              <w:rPr>
                <w:noProof/>
                <w:webHidden/>
              </w:rPr>
              <w:t>3</w:t>
            </w:r>
            <w:r>
              <w:rPr>
                <w:noProof/>
                <w:webHidden/>
              </w:rPr>
              <w:fldChar w:fldCharType="end"/>
            </w:r>
          </w:hyperlink>
        </w:p>
        <w:p w:rsidR="00396F9F">
          <w:pPr>
            <w:pStyle w:val="TOC1"/>
            <w:tabs>
              <w:tab w:val="right" w:leader="dot" w:pos="9350"/>
            </w:tabs>
            <w:rPr>
              <w:rFonts w:asciiTheme="minorHAnsi" w:eastAsiaTheme="minorEastAsia" w:hAnsiTheme="minorHAnsi"/>
              <w:noProof/>
              <w:kern w:val="0"/>
              <w:sz w:val="22"/>
              <w:szCs w:val="22"/>
            </w:rPr>
          </w:pPr>
          <w:hyperlink w:anchor="_Toc233458384" w:history="1">
            <w:r w:rsidRPr="00F33E2A">
              <w:rPr>
                <w:rStyle w:val="Hyperlink"/>
                <w:noProof/>
              </w:rPr>
              <w:t>Way blood sugar levels are maintained</w:t>
            </w:r>
            <w:r>
              <w:rPr>
                <w:noProof/>
                <w:webHidden/>
              </w:rPr>
              <w:tab/>
            </w:r>
            <w:r>
              <w:rPr>
                <w:noProof/>
                <w:webHidden/>
              </w:rPr>
              <w:fldChar w:fldCharType="begin"/>
            </w:r>
            <w:r>
              <w:rPr>
                <w:noProof/>
                <w:webHidden/>
              </w:rPr>
              <w:instrText xml:space="preserve"> PAGEREF _Toc233458384 \h </w:instrText>
            </w:r>
            <w:r>
              <w:rPr>
                <w:noProof/>
                <w:webHidden/>
              </w:rPr>
              <w:fldChar w:fldCharType="separate"/>
            </w:r>
            <w:r>
              <w:rPr>
                <w:noProof/>
                <w:webHidden/>
              </w:rPr>
              <w:t>3</w:t>
            </w:r>
            <w:r>
              <w:rPr>
                <w:noProof/>
                <w:webHidden/>
              </w:rPr>
              <w:fldChar w:fldCharType="end"/>
            </w:r>
          </w:hyperlink>
        </w:p>
        <w:p w:rsidR="00396F9F">
          <w:pPr>
            <w:pStyle w:val="TOC1"/>
            <w:tabs>
              <w:tab w:val="right" w:leader="dot" w:pos="9350"/>
            </w:tabs>
            <w:rPr>
              <w:rFonts w:asciiTheme="minorHAnsi" w:eastAsiaTheme="minorEastAsia" w:hAnsiTheme="minorHAnsi"/>
              <w:noProof/>
              <w:kern w:val="0"/>
              <w:sz w:val="22"/>
              <w:szCs w:val="22"/>
            </w:rPr>
          </w:pPr>
          <w:hyperlink w:anchor="_Toc233458385" w:history="1">
            <w:r w:rsidRPr="00F33E2A">
              <w:rPr>
                <w:rStyle w:val="Hyperlink"/>
                <w:noProof/>
              </w:rPr>
              <w:t>Way oxygen and glucose produce energy</w:t>
            </w:r>
            <w:r>
              <w:rPr>
                <w:noProof/>
                <w:webHidden/>
              </w:rPr>
              <w:tab/>
            </w:r>
            <w:r>
              <w:rPr>
                <w:noProof/>
                <w:webHidden/>
              </w:rPr>
              <w:fldChar w:fldCharType="begin"/>
            </w:r>
            <w:r>
              <w:rPr>
                <w:noProof/>
                <w:webHidden/>
              </w:rPr>
              <w:instrText xml:space="preserve"> PAGEREF _Toc233458385 \h </w:instrText>
            </w:r>
            <w:r>
              <w:rPr>
                <w:noProof/>
                <w:webHidden/>
              </w:rPr>
              <w:fldChar w:fldCharType="separate"/>
            </w:r>
            <w:r>
              <w:rPr>
                <w:noProof/>
                <w:webHidden/>
              </w:rPr>
              <w:t>4</w:t>
            </w:r>
            <w:r>
              <w:rPr>
                <w:noProof/>
                <w:webHidden/>
              </w:rPr>
              <w:fldChar w:fldCharType="end"/>
            </w:r>
          </w:hyperlink>
        </w:p>
        <w:p w:rsidR="00396F9F">
          <w:pPr>
            <w:pStyle w:val="TOC1"/>
            <w:tabs>
              <w:tab w:val="right" w:leader="dot" w:pos="9350"/>
            </w:tabs>
            <w:rPr>
              <w:rFonts w:asciiTheme="minorHAnsi" w:eastAsiaTheme="minorEastAsia" w:hAnsiTheme="minorHAnsi"/>
              <w:noProof/>
              <w:kern w:val="0"/>
              <w:sz w:val="22"/>
              <w:szCs w:val="22"/>
            </w:rPr>
          </w:pPr>
          <w:hyperlink w:anchor="_Toc233458386" w:history="1">
            <w:r w:rsidRPr="00F33E2A">
              <w:rPr>
                <w:rStyle w:val="Hyperlink"/>
                <w:noProof/>
              </w:rPr>
              <w:t>Recording and tracking blood sugar levels</w:t>
            </w:r>
            <w:r>
              <w:rPr>
                <w:noProof/>
                <w:webHidden/>
              </w:rPr>
              <w:tab/>
            </w:r>
            <w:r>
              <w:rPr>
                <w:noProof/>
                <w:webHidden/>
              </w:rPr>
              <w:fldChar w:fldCharType="begin"/>
            </w:r>
            <w:r>
              <w:rPr>
                <w:noProof/>
                <w:webHidden/>
              </w:rPr>
              <w:instrText xml:space="preserve"> PAGEREF _Toc233458386 \h </w:instrText>
            </w:r>
            <w:r>
              <w:rPr>
                <w:noProof/>
                <w:webHidden/>
              </w:rPr>
              <w:fldChar w:fldCharType="separate"/>
            </w:r>
            <w:r>
              <w:rPr>
                <w:noProof/>
                <w:webHidden/>
              </w:rPr>
              <w:t>5</w:t>
            </w:r>
            <w:r>
              <w:rPr>
                <w:noProof/>
                <w:webHidden/>
              </w:rPr>
              <w:fldChar w:fldCharType="end"/>
            </w:r>
          </w:hyperlink>
        </w:p>
        <w:p w:rsidR="00396F9F">
          <w:pPr>
            <w:pStyle w:val="TOC1"/>
            <w:tabs>
              <w:tab w:val="right" w:leader="dot" w:pos="9350"/>
            </w:tabs>
            <w:rPr>
              <w:rFonts w:asciiTheme="minorHAnsi" w:eastAsiaTheme="minorEastAsia" w:hAnsiTheme="minorHAnsi"/>
              <w:noProof/>
              <w:kern w:val="0"/>
              <w:sz w:val="22"/>
              <w:szCs w:val="22"/>
            </w:rPr>
          </w:pPr>
          <w:hyperlink w:anchor="_Toc233458387" w:history="1">
            <w:r w:rsidRPr="00F33E2A">
              <w:rPr>
                <w:rStyle w:val="Hyperlink"/>
                <w:noProof/>
              </w:rPr>
              <w:t>Evidence-based lifestyle recommendations</w:t>
            </w:r>
            <w:r>
              <w:rPr>
                <w:noProof/>
                <w:webHidden/>
              </w:rPr>
              <w:tab/>
            </w:r>
            <w:r>
              <w:rPr>
                <w:noProof/>
                <w:webHidden/>
              </w:rPr>
              <w:fldChar w:fldCharType="begin"/>
            </w:r>
            <w:r>
              <w:rPr>
                <w:noProof/>
                <w:webHidden/>
              </w:rPr>
              <w:instrText xml:space="preserve"> PAGEREF _Toc233458387 \h </w:instrText>
            </w:r>
            <w:r>
              <w:rPr>
                <w:noProof/>
                <w:webHidden/>
              </w:rPr>
              <w:fldChar w:fldCharType="separate"/>
            </w:r>
            <w:r>
              <w:rPr>
                <w:noProof/>
                <w:webHidden/>
              </w:rPr>
              <w:t>6</w:t>
            </w:r>
            <w:r>
              <w:rPr>
                <w:noProof/>
                <w:webHidden/>
              </w:rPr>
              <w:fldChar w:fldCharType="end"/>
            </w:r>
          </w:hyperlink>
        </w:p>
        <w:p w:rsidR="00396F9F">
          <w:pPr>
            <w:pStyle w:val="TOC2"/>
            <w:tabs>
              <w:tab w:val="right" w:leader="dot" w:pos="9350"/>
            </w:tabs>
            <w:rPr>
              <w:rFonts w:asciiTheme="minorHAnsi" w:eastAsiaTheme="minorEastAsia" w:hAnsiTheme="minorHAnsi"/>
              <w:noProof/>
              <w:kern w:val="0"/>
              <w:sz w:val="22"/>
              <w:szCs w:val="22"/>
            </w:rPr>
          </w:pPr>
          <w:hyperlink w:anchor="_Toc233458388" w:history="1">
            <w:r w:rsidRPr="00F33E2A">
              <w:rPr>
                <w:rStyle w:val="Hyperlink"/>
                <w:noProof/>
              </w:rPr>
              <w:t>Healthy diet</w:t>
            </w:r>
            <w:r>
              <w:rPr>
                <w:noProof/>
                <w:webHidden/>
              </w:rPr>
              <w:tab/>
            </w:r>
            <w:r>
              <w:rPr>
                <w:noProof/>
                <w:webHidden/>
              </w:rPr>
              <w:fldChar w:fldCharType="begin"/>
            </w:r>
            <w:r>
              <w:rPr>
                <w:noProof/>
                <w:webHidden/>
              </w:rPr>
              <w:instrText xml:space="preserve"> PAGEREF _Toc233458388 \h </w:instrText>
            </w:r>
            <w:r>
              <w:rPr>
                <w:noProof/>
                <w:webHidden/>
              </w:rPr>
              <w:fldChar w:fldCharType="separate"/>
            </w:r>
            <w:r>
              <w:rPr>
                <w:noProof/>
                <w:webHidden/>
              </w:rPr>
              <w:t>6</w:t>
            </w:r>
            <w:r>
              <w:rPr>
                <w:noProof/>
                <w:webHidden/>
              </w:rPr>
              <w:fldChar w:fldCharType="end"/>
            </w:r>
          </w:hyperlink>
        </w:p>
        <w:p w:rsidR="00396F9F">
          <w:pPr>
            <w:pStyle w:val="TOC2"/>
            <w:tabs>
              <w:tab w:val="right" w:leader="dot" w:pos="9350"/>
            </w:tabs>
            <w:rPr>
              <w:rFonts w:asciiTheme="minorHAnsi" w:eastAsiaTheme="minorEastAsia" w:hAnsiTheme="minorHAnsi"/>
              <w:noProof/>
              <w:kern w:val="0"/>
              <w:sz w:val="22"/>
              <w:szCs w:val="22"/>
            </w:rPr>
          </w:pPr>
          <w:hyperlink w:anchor="_Toc233458389" w:history="1">
            <w:r w:rsidRPr="00F33E2A">
              <w:rPr>
                <w:rStyle w:val="Hyperlink"/>
                <w:noProof/>
              </w:rPr>
              <w:t>Regular physical activity</w:t>
            </w:r>
            <w:r>
              <w:rPr>
                <w:noProof/>
                <w:webHidden/>
              </w:rPr>
              <w:tab/>
            </w:r>
            <w:r>
              <w:rPr>
                <w:noProof/>
                <w:webHidden/>
              </w:rPr>
              <w:fldChar w:fldCharType="begin"/>
            </w:r>
            <w:r>
              <w:rPr>
                <w:noProof/>
                <w:webHidden/>
              </w:rPr>
              <w:instrText xml:space="preserve"> PAGEREF _Toc233458389 \h </w:instrText>
            </w:r>
            <w:r>
              <w:rPr>
                <w:noProof/>
                <w:webHidden/>
              </w:rPr>
              <w:fldChar w:fldCharType="separate"/>
            </w:r>
            <w:r>
              <w:rPr>
                <w:noProof/>
                <w:webHidden/>
              </w:rPr>
              <w:t>6</w:t>
            </w:r>
            <w:r>
              <w:rPr>
                <w:noProof/>
                <w:webHidden/>
              </w:rPr>
              <w:fldChar w:fldCharType="end"/>
            </w:r>
          </w:hyperlink>
        </w:p>
        <w:p w:rsidR="00396F9F">
          <w:pPr>
            <w:pStyle w:val="TOC2"/>
            <w:tabs>
              <w:tab w:val="right" w:leader="dot" w:pos="9350"/>
            </w:tabs>
            <w:rPr>
              <w:rFonts w:asciiTheme="minorHAnsi" w:eastAsiaTheme="minorEastAsia" w:hAnsiTheme="minorHAnsi"/>
              <w:noProof/>
              <w:kern w:val="0"/>
              <w:sz w:val="22"/>
              <w:szCs w:val="22"/>
            </w:rPr>
          </w:pPr>
          <w:hyperlink w:anchor="_Toc233458390" w:history="1">
            <w:r w:rsidRPr="00F33E2A">
              <w:rPr>
                <w:rStyle w:val="Hyperlink"/>
                <w:noProof/>
              </w:rPr>
              <w:t>Smoking cessation</w:t>
            </w:r>
            <w:r>
              <w:rPr>
                <w:noProof/>
                <w:webHidden/>
              </w:rPr>
              <w:tab/>
            </w:r>
            <w:r>
              <w:rPr>
                <w:noProof/>
                <w:webHidden/>
              </w:rPr>
              <w:fldChar w:fldCharType="begin"/>
            </w:r>
            <w:r>
              <w:rPr>
                <w:noProof/>
                <w:webHidden/>
              </w:rPr>
              <w:instrText xml:space="preserve"> PAGEREF _Toc233458390 \h </w:instrText>
            </w:r>
            <w:r>
              <w:rPr>
                <w:noProof/>
                <w:webHidden/>
              </w:rPr>
              <w:fldChar w:fldCharType="separate"/>
            </w:r>
            <w:r>
              <w:rPr>
                <w:noProof/>
                <w:webHidden/>
              </w:rPr>
              <w:t>7</w:t>
            </w:r>
            <w:r>
              <w:rPr>
                <w:noProof/>
                <w:webHidden/>
              </w:rPr>
              <w:fldChar w:fldCharType="end"/>
            </w:r>
          </w:hyperlink>
        </w:p>
        <w:p w:rsidR="00396F9F">
          <w:pPr>
            <w:pStyle w:val="TOC2"/>
            <w:tabs>
              <w:tab w:val="right" w:leader="dot" w:pos="9350"/>
            </w:tabs>
            <w:rPr>
              <w:rFonts w:asciiTheme="minorHAnsi" w:eastAsiaTheme="minorEastAsia" w:hAnsiTheme="minorHAnsi"/>
              <w:noProof/>
              <w:kern w:val="0"/>
              <w:sz w:val="22"/>
              <w:szCs w:val="22"/>
            </w:rPr>
          </w:pPr>
          <w:hyperlink w:anchor="_Toc233458391" w:history="1">
            <w:r w:rsidRPr="00F33E2A">
              <w:rPr>
                <w:rStyle w:val="Hyperlink"/>
                <w:noProof/>
              </w:rPr>
              <w:t>Weight management</w:t>
            </w:r>
            <w:r>
              <w:rPr>
                <w:noProof/>
                <w:webHidden/>
              </w:rPr>
              <w:tab/>
            </w:r>
            <w:r>
              <w:rPr>
                <w:noProof/>
                <w:webHidden/>
              </w:rPr>
              <w:fldChar w:fldCharType="begin"/>
            </w:r>
            <w:r>
              <w:rPr>
                <w:noProof/>
                <w:webHidden/>
              </w:rPr>
              <w:instrText xml:space="preserve"> PAGEREF _Toc233458391 \h </w:instrText>
            </w:r>
            <w:r>
              <w:rPr>
                <w:noProof/>
                <w:webHidden/>
              </w:rPr>
              <w:fldChar w:fldCharType="separate"/>
            </w:r>
            <w:r>
              <w:rPr>
                <w:noProof/>
                <w:webHidden/>
              </w:rPr>
              <w:t>7</w:t>
            </w:r>
            <w:r>
              <w:rPr>
                <w:noProof/>
                <w:webHidden/>
              </w:rPr>
              <w:fldChar w:fldCharType="end"/>
            </w:r>
          </w:hyperlink>
        </w:p>
        <w:p w:rsidR="00396F9F">
          <w:pPr>
            <w:pStyle w:val="TOC2"/>
            <w:tabs>
              <w:tab w:val="right" w:leader="dot" w:pos="9350"/>
            </w:tabs>
            <w:rPr>
              <w:rFonts w:asciiTheme="minorHAnsi" w:eastAsiaTheme="minorEastAsia" w:hAnsiTheme="minorHAnsi"/>
              <w:noProof/>
              <w:kern w:val="0"/>
              <w:sz w:val="22"/>
              <w:szCs w:val="22"/>
            </w:rPr>
          </w:pPr>
          <w:hyperlink w:anchor="_Toc233458392" w:history="1">
            <w:r w:rsidRPr="00F33E2A">
              <w:rPr>
                <w:rStyle w:val="Hyperlink"/>
                <w:noProof/>
              </w:rPr>
              <w:t>Alcohol use and stress control</w:t>
            </w:r>
            <w:r>
              <w:rPr>
                <w:noProof/>
                <w:webHidden/>
              </w:rPr>
              <w:tab/>
            </w:r>
            <w:r>
              <w:rPr>
                <w:noProof/>
                <w:webHidden/>
              </w:rPr>
              <w:fldChar w:fldCharType="begin"/>
            </w:r>
            <w:r>
              <w:rPr>
                <w:noProof/>
                <w:webHidden/>
              </w:rPr>
              <w:instrText xml:space="preserve"> PAGEREF _Toc233458392 \h </w:instrText>
            </w:r>
            <w:r>
              <w:rPr>
                <w:noProof/>
                <w:webHidden/>
              </w:rPr>
              <w:fldChar w:fldCharType="separate"/>
            </w:r>
            <w:r>
              <w:rPr>
                <w:noProof/>
                <w:webHidden/>
              </w:rPr>
              <w:t>7</w:t>
            </w:r>
            <w:r>
              <w:rPr>
                <w:noProof/>
                <w:webHidden/>
              </w:rPr>
              <w:fldChar w:fldCharType="end"/>
            </w:r>
          </w:hyperlink>
        </w:p>
        <w:p w:rsidR="00396F9F">
          <w:pPr>
            <w:pStyle w:val="TOC1"/>
            <w:tabs>
              <w:tab w:val="right" w:leader="dot" w:pos="9350"/>
            </w:tabs>
            <w:rPr>
              <w:rFonts w:asciiTheme="minorHAnsi" w:eastAsiaTheme="minorEastAsia" w:hAnsiTheme="minorHAnsi"/>
              <w:noProof/>
              <w:kern w:val="0"/>
              <w:sz w:val="22"/>
              <w:szCs w:val="22"/>
            </w:rPr>
          </w:pPr>
          <w:hyperlink w:anchor="_Toc233458393" w:history="1">
            <w:r w:rsidRPr="00F33E2A">
              <w:rPr>
                <w:rStyle w:val="Hyperlink"/>
                <w:noProof/>
              </w:rPr>
              <w:t>Conclusion</w:t>
            </w:r>
            <w:r>
              <w:rPr>
                <w:noProof/>
                <w:webHidden/>
              </w:rPr>
              <w:tab/>
            </w:r>
            <w:r>
              <w:rPr>
                <w:noProof/>
                <w:webHidden/>
              </w:rPr>
              <w:fldChar w:fldCharType="begin"/>
            </w:r>
            <w:r>
              <w:rPr>
                <w:noProof/>
                <w:webHidden/>
              </w:rPr>
              <w:instrText xml:space="preserve"> PAGEREF _Toc233458393 \h </w:instrText>
            </w:r>
            <w:r>
              <w:rPr>
                <w:noProof/>
                <w:webHidden/>
              </w:rPr>
              <w:fldChar w:fldCharType="separate"/>
            </w:r>
            <w:r>
              <w:rPr>
                <w:noProof/>
                <w:webHidden/>
              </w:rPr>
              <w:t>8</w:t>
            </w:r>
            <w:r>
              <w:rPr>
                <w:noProof/>
                <w:webHidden/>
              </w:rPr>
              <w:fldChar w:fldCharType="end"/>
            </w:r>
          </w:hyperlink>
        </w:p>
        <w:p w:rsidR="00396F9F">
          <w:pPr>
            <w:pStyle w:val="TOC1"/>
            <w:tabs>
              <w:tab w:val="right" w:leader="dot" w:pos="9350"/>
            </w:tabs>
            <w:rPr>
              <w:rFonts w:asciiTheme="minorHAnsi" w:eastAsiaTheme="minorEastAsia" w:hAnsiTheme="minorHAnsi"/>
              <w:noProof/>
              <w:kern w:val="0"/>
              <w:sz w:val="22"/>
              <w:szCs w:val="22"/>
            </w:rPr>
          </w:pPr>
          <w:hyperlink w:anchor="_Toc233458394" w:history="1">
            <w:r w:rsidRPr="00F33E2A">
              <w:rPr>
                <w:rStyle w:val="Hyperlink"/>
                <w:noProof/>
              </w:rPr>
              <w:t>References</w:t>
            </w:r>
            <w:r>
              <w:rPr>
                <w:noProof/>
                <w:webHidden/>
              </w:rPr>
              <w:tab/>
            </w:r>
            <w:r>
              <w:rPr>
                <w:noProof/>
                <w:webHidden/>
              </w:rPr>
              <w:fldChar w:fldCharType="begin"/>
            </w:r>
            <w:r>
              <w:rPr>
                <w:noProof/>
                <w:webHidden/>
              </w:rPr>
              <w:instrText xml:space="preserve"> PAGEREF _Toc233458394 \h </w:instrText>
            </w:r>
            <w:r>
              <w:rPr>
                <w:noProof/>
                <w:webHidden/>
              </w:rPr>
              <w:fldChar w:fldCharType="separate"/>
            </w:r>
            <w:r>
              <w:rPr>
                <w:noProof/>
                <w:webHidden/>
              </w:rPr>
              <w:t>9</w:t>
            </w:r>
            <w:r>
              <w:rPr>
                <w:noProof/>
                <w:webHidden/>
              </w:rPr>
              <w:fldChar w:fldCharType="end"/>
            </w:r>
          </w:hyperlink>
        </w:p>
        <w:p w:rsidR="001F3CA7">
          <w:r>
            <w:fldChar w:fldCharType="end"/>
          </w:r>
        </w:p>
      </w:sdtContent>
    </w:sdt>
    <w:p w:rsidR="001F3CA7">
      <w:pPr>
        <w:spacing w:line="278" w:lineRule="auto"/>
        <w:jc w:val="left"/>
        <w:rPr>
          <w:rFonts w:asciiTheme="majorHAnsi" w:eastAsiaTheme="majorEastAsia" w:hAnsiTheme="majorHAnsi" w:cstheme="majorBidi"/>
          <w:b/>
          <w:bCs/>
          <w:color w:val="2F5496" w:themeColor="accent1" w:themeShade="BF"/>
          <w:kern w:val="0"/>
          <w:sz w:val="28"/>
          <w:szCs w:val="28"/>
        </w:rPr>
      </w:pPr>
      <w:r>
        <w:br w:type="page"/>
      </w:r>
    </w:p>
    <w:p w:rsidR="00CE269D" w:rsidP="001F3CA7">
      <w:pPr>
        <w:pStyle w:val="Heading1"/>
      </w:pPr>
      <w:bookmarkStart w:id="0" w:name="_Toc233456248"/>
      <w:bookmarkStart w:id="1" w:name="_Toc233458383"/>
      <w:r>
        <w:t>Introduction</w:t>
      </w:r>
      <w:bookmarkEnd w:id="0"/>
      <w:bookmarkEnd w:id="1"/>
      <w:r>
        <w:t xml:space="preserve"> </w:t>
      </w:r>
    </w:p>
    <w:p w:rsidR="00801635" w:rsidP="00CE269D">
      <w:r w:rsidRPr="00CE269D">
        <w:t xml:space="preserve">Type 2 diabetes </w:t>
      </w:r>
      <w:r>
        <w:t xml:space="preserve">is considered to be a </w:t>
      </w:r>
      <w:r w:rsidR="00CA0E1C">
        <w:t>medical</w:t>
      </w:r>
      <w:r>
        <w:t xml:space="preserve"> condition that has long-term effects in body</w:t>
      </w:r>
      <w:r w:rsidR="00CA0E1C">
        <w:t>, when there is no effective use of insulin</w:t>
      </w:r>
      <w:r w:rsidR="00ED6712">
        <w:t xml:space="preserve"> (Cleveland clinic, 2025)</w:t>
      </w:r>
      <w:r w:rsidR="00CA0E1C">
        <w:t xml:space="preserve">. Over a period of time, pancreas begin to produce </w:t>
      </w:r>
      <w:r w:rsidR="003313B4">
        <w:t xml:space="preserve">less insulin, which further makes the blood sugar control more difficult. </w:t>
      </w:r>
    </w:p>
    <w:p w:rsidR="00CE269D" w:rsidRPr="00CE269D" w:rsidP="00CE269D">
      <w:r w:rsidRPr="00CE269D">
        <w:t>There are various preventable and non-preventable risk factors that cause Type 2 diabetes. The non-modifiable factors are the ones associated with the rise in age, family history and some ethnic backgrounds, whereas the modifiable factors are the ones related to obesity, physical inactivity, unhealthy eating, smoking, and excessive drinking</w:t>
      </w:r>
      <w:r w:rsidR="00ED6712">
        <w:t xml:space="preserve"> (</w:t>
      </w:r>
      <w:r w:rsidRPr="00ED6712" w:rsidR="00ED6712">
        <w:rPr>
          <w:bCs/>
        </w:rPr>
        <w:t>Fabris</w:t>
      </w:r>
      <w:r w:rsidR="00ED6712">
        <w:rPr>
          <w:bCs/>
        </w:rPr>
        <w:t xml:space="preserve"> </w:t>
      </w:r>
      <w:r w:rsidRPr="00ED6712" w:rsidR="00ED6712">
        <w:rPr>
          <w:bCs/>
          <w:i/>
        </w:rPr>
        <w:t>et al</w:t>
      </w:r>
      <w:r w:rsidR="00ED6712">
        <w:rPr>
          <w:bCs/>
        </w:rPr>
        <w:t>. 2025)</w:t>
      </w:r>
      <w:r w:rsidRPr="00CE269D">
        <w:t>. All these lead to mechanisms of insulin resistance and an inability to maintain glucose levels, which is likely to develop the disease. These risk factors can be detected early, and the disease can be prevented or slowed down by designing a proper lifestyle change.</w:t>
      </w:r>
    </w:p>
    <w:p w:rsidR="00CE269D" w:rsidRPr="00CE269D" w:rsidP="00CE269D">
      <w:r w:rsidRPr="00CE269D">
        <w:t>The purpose of this report is to discuss the physiological processes that are required to keep blood glucose levels normal, explain the use of glucose and oxygen to produce cellular energy, review the significance of tracking blood glucose levels, and present evidence-based lifestyle changes that can be used to help patients with Type 2 diabetes cope with the condition successfully.</w:t>
      </w:r>
    </w:p>
    <w:p w:rsidR="001F3CA7" w:rsidP="001F3CA7">
      <w:pPr>
        <w:pStyle w:val="Heading1"/>
      </w:pPr>
      <w:bookmarkStart w:id="2" w:name="_Toc233456249"/>
      <w:bookmarkStart w:id="3" w:name="_Toc233458384"/>
      <w:r>
        <w:t xml:space="preserve">Way </w:t>
      </w:r>
      <w:r w:rsidRPr="001F3CA7">
        <w:t>blood sugar levels are maintained</w:t>
      </w:r>
      <w:bookmarkEnd w:id="2"/>
      <w:bookmarkEnd w:id="3"/>
    </w:p>
    <w:p w:rsidR="003313B4" w:rsidP="00CE269D">
      <w:r w:rsidRPr="00CE269D">
        <w:t xml:space="preserve">The physiological process by which the levels of blood glucose are maintained at normal levels to enable the constant availability of energy to body tissues, especially the brain, is blood glucose homeostasis. </w:t>
      </w:r>
      <w:r w:rsidRPr="003313B4">
        <w:t>The pancreas, liver and insulin and glucagon are the negative feedback mechanism that assists in this regulation</w:t>
      </w:r>
      <w:r w:rsidR="00ED6712">
        <w:t xml:space="preserve"> (</w:t>
      </w:r>
      <w:r w:rsidRPr="00ED6712" w:rsidR="00ED6712">
        <w:rPr>
          <w:bCs/>
        </w:rPr>
        <w:t xml:space="preserve">Habegger, </w:t>
      </w:r>
      <w:r w:rsidR="00ED6712">
        <w:rPr>
          <w:bCs/>
        </w:rPr>
        <w:t xml:space="preserve"> </w:t>
      </w:r>
      <w:r w:rsidRPr="00ED6712" w:rsidR="00ED6712">
        <w:rPr>
          <w:bCs/>
        </w:rPr>
        <w:t>2022)</w:t>
      </w:r>
      <w:r w:rsidRPr="003313B4">
        <w:t>. There is an urgent need to stabilise blood glucose, as hyperglycaemia (high blood glucose) and hypoglycaemia (low blood glucose) can inhibit the proper functioning of the cells, as well as lead to serious health consequences.</w:t>
      </w:r>
    </w:p>
    <w:p w:rsidR="00CE269D" w:rsidRPr="00CE269D" w:rsidP="00CE269D">
      <w:r w:rsidRPr="00CE269D">
        <w:t xml:space="preserve">The Langerhans islets within the pancreas have specialised cells that secrete hormones. </w:t>
      </w:r>
      <w:r w:rsidR="003313B4">
        <w:t>Rise in the</w:t>
      </w:r>
      <w:r w:rsidRPr="00CE269D">
        <w:t xml:space="preserve"> blood glucose level </w:t>
      </w:r>
      <w:r w:rsidR="003313B4">
        <w:t xml:space="preserve">leads the insulin production in </w:t>
      </w:r>
      <w:r w:rsidRPr="00CE269D">
        <w:t>beta cells</w:t>
      </w:r>
      <w:r w:rsidR="003313B4">
        <w:t xml:space="preserve">, for example, </w:t>
      </w:r>
      <w:r w:rsidRPr="00CE269D">
        <w:t xml:space="preserve">after taking a high-carb meal. Insulin </w:t>
      </w:r>
      <w:r w:rsidR="003313B4">
        <w:t>regulates</w:t>
      </w:r>
      <w:r w:rsidRPr="00CE269D">
        <w:t xml:space="preserve"> the uptake of glucose into skeletal muscle and </w:t>
      </w:r>
      <w:r w:rsidRPr="003313B4" w:rsidR="003313B4">
        <w:t>fat</w:t>
      </w:r>
      <w:r w:rsidRPr="00CE269D">
        <w:t xml:space="preserve"> tissue </w:t>
      </w:r>
      <w:r w:rsidR="003313B4">
        <w:t xml:space="preserve">through enabling the </w:t>
      </w:r>
      <w:r w:rsidRPr="00CE269D">
        <w:t>process of translocation of glucose transporters to the cellular membrane</w:t>
      </w:r>
      <w:r w:rsidR="00ED6712">
        <w:t xml:space="preserve"> (</w:t>
      </w:r>
      <w:r w:rsidRPr="00ED6712" w:rsidR="00ED6712">
        <w:rPr>
          <w:bCs/>
        </w:rPr>
        <w:t xml:space="preserve">Hulett, </w:t>
      </w:r>
      <w:r w:rsidRPr="00ED6712" w:rsidR="00ED6712">
        <w:rPr>
          <w:bCs/>
        </w:rPr>
        <w:t>Scalzo</w:t>
      </w:r>
      <w:r w:rsidR="00ED6712">
        <w:rPr>
          <w:bCs/>
        </w:rPr>
        <w:t xml:space="preserve"> and</w:t>
      </w:r>
      <w:r w:rsidRPr="00ED6712" w:rsidR="00ED6712">
        <w:rPr>
          <w:bCs/>
        </w:rPr>
        <w:t xml:space="preserve"> Reusch</w:t>
      </w:r>
      <w:r w:rsidR="00ED6712">
        <w:rPr>
          <w:bCs/>
        </w:rPr>
        <w:t xml:space="preserve">, </w:t>
      </w:r>
      <w:r w:rsidRPr="00ED6712" w:rsidR="00ED6712">
        <w:rPr>
          <w:bCs/>
        </w:rPr>
        <w:t>2022)</w:t>
      </w:r>
      <w:r w:rsidRPr="00CE269D">
        <w:t>. Such measures reduce the concentration of blood glucose and normalise the homeostasis.</w:t>
      </w:r>
    </w:p>
    <w:p w:rsidR="00CE269D" w:rsidRPr="00CE269D" w:rsidP="00CE269D">
      <w:r>
        <w:t>On contrary, the discharge of</w:t>
      </w:r>
      <w:r w:rsidRPr="00CE269D">
        <w:t xml:space="preserve"> glucagon </w:t>
      </w:r>
      <w:r>
        <w:t xml:space="preserve">is through the </w:t>
      </w:r>
      <w:r w:rsidRPr="00CE269D">
        <w:t>alpha cells in the pancreas</w:t>
      </w:r>
      <w:r>
        <w:t>, when the</w:t>
      </w:r>
      <w:r w:rsidRPr="00CE269D">
        <w:t xml:space="preserve"> blood glucose level decreases with intense exercise</w:t>
      </w:r>
      <w:r>
        <w:t xml:space="preserve"> or excercise</w:t>
      </w:r>
      <w:r w:rsidRPr="00CE269D">
        <w:t xml:space="preserve">. Glucagon acts on the liver to </w:t>
      </w:r>
      <w:r w:rsidR="00947F19">
        <w:t>break down</w:t>
      </w:r>
      <w:r w:rsidRPr="00CE269D">
        <w:t xml:space="preserve">glycogen into glucose by glycogenolysis and gluconeogenesis, in which non-carbohydrates </w:t>
      </w:r>
      <w:r w:rsidR="00947F19">
        <w:t xml:space="preserve">comprising of amino acids </w:t>
      </w:r>
      <w:r w:rsidRPr="00CE269D">
        <w:t>are converted to glucose. The emitted glucose becomes a part of the bloodstream, raising the levels of glucose in the blood and providing the important organs with sufficient energy. After normal blood sugar levels have been maintained, the hormone secretion will reduce via a negative feedback system to avoid excessive changes.</w:t>
      </w:r>
    </w:p>
    <w:p w:rsidR="00CE269D" w:rsidP="00CE269D">
      <w:r w:rsidRPr="00CE269D">
        <w:t>This tightly regulated system is impaired in the case of Type 2 diabetes because of insulin resistance in patients. The cells in the body become less sensitive to insulin, causing the body to absorb less glucose, although there is enough or even more insulin produced</w:t>
      </w:r>
      <w:r w:rsidR="00ED6712">
        <w:t xml:space="preserve"> (</w:t>
      </w:r>
      <w:r w:rsidRPr="00ED6712" w:rsidR="00ED6712">
        <w:rPr>
          <w:bCs/>
        </w:rPr>
        <w:t>Piantoni</w:t>
      </w:r>
      <w:r w:rsidR="00ED6712">
        <w:rPr>
          <w:bCs/>
        </w:rPr>
        <w:t xml:space="preserve"> and</w:t>
      </w:r>
      <w:r w:rsidRPr="00ED6712" w:rsidR="00ED6712">
        <w:rPr>
          <w:bCs/>
        </w:rPr>
        <w:t xml:space="preserve"> VandeHaar, 2023)</w:t>
      </w:r>
      <w:r w:rsidRPr="00CE269D">
        <w:t xml:space="preserve">. </w:t>
      </w:r>
      <w:r w:rsidR="003313B4">
        <w:t>With the period of time,</w:t>
      </w:r>
      <w:r w:rsidRPr="003313B4" w:rsidR="003313B4">
        <w:t xml:space="preserve">pancreatic β-cells </w:t>
      </w:r>
      <w:r w:rsidR="003313B4">
        <w:t xml:space="preserve">slowly loose its aptitude </w:t>
      </w:r>
      <w:r w:rsidRPr="003313B4" w:rsidR="003313B4">
        <w:t>to sustain this extra demand</w:t>
      </w:r>
      <w:r w:rsidR="003313B4">
        <w:t xml:space="preserve"> and </w:t>
      </w:r>
      <w:r w:rsidRPr="003313B4" w:rsidR="003313B4">
        <w:t xml:space="preserve">decrease in </w:t>
      </w:r>
      <w:r w:rsidR="003313B4">
        <w:t xml:space="preserve">the release of </w:t>
      </w:r>
      <w:r w:rsidRPr="003313B4" w:rsidR="003313B4">
        <w:t xml:space="preserve">insulin and hyperglycaemia is now </w:t>
      </w:r>
      <w:r w:rsidR="003313B4">
        <w:t xml:space="preserve">considered to be </w:t>
      </w:r>
      <w:r w:rsidRPr="003313B4" w:rsidR="003313B4">
        <w:t>persistent. Unremittingness of high glucose level in the blood causes harm to the vascular system and predisposition to the occurrence of complications, including cardiovascular disease, neuropathy, retinopathy, nephropathy, and diabetic nephropathy.</w:t>
      </w:r>
      <w:r w:rsidR="003313B4">
        <w:t xml:space="preserve"> Knowledge related to b</w:t>
      </w:r>
      <w:r w:rsidRPr="00CE269D">
        <w:t xml:space="preserve">lood glucose </w:t>
      </w:r>
      <w:r w:rsidR="003313B4">
        <w:t>control</w:t>
      </w:r>
      <w:r w:rsidRPr="00CE269D">
        <w:t xml:space="preserve"> mechanisms will </w:t>
      </w:r>
      <w:r w:rsidR="003313B4">
        <w:t>assess the patient</w:t>
      </w:r>
      <w:r w:rsidRPr="00CE269D">
        <w:t xml:space="preserve"> adherence to medication, </w:t>
      </w:r>
      <w:r w:rsidR="003313B4">
        <w:t>often</w:t>
      </w:r>
      <w:r w:rsidRPr="00CE269D">
        <w:t xml:space="preserve"> monitoring and lifestyle. Glycaemic control is assisted by effective management, which lowers the risks of complications associated with diabetes and the chances of normal physiological functioning in the long term.</w:t>
      </w:r>
    </w:p>
    <w:p w:rsidR="00A444F1" w:rsidP="001F3CA7">
      <w:pPr>
        <w:pStyle w:val="Heading1"/>
      </w:pPr>
      <w:bookmarkStart w:id="4" w:name="_Toc233456250"/>
      <w:bookmarkStart w:id="5" w:name="_Toc233458385"/>
      <w:r>
        <w:t xml:space="preserve">Way </w:t>
      </w:r>
      <w:r w:rsidRPr="00A444F1">
        <w:t>oxygen and glucose produce</w:t>
      </w:r>
      <w:r>
        <w:t xml:space="preserve"> energy</w:t>
      </w:r>
      <w:bookmarkEnd w:id="4"/>
      <w:bookmarkEnd w:id="5"/>
      <w:r>
        <w:t xml:space="preserve"> </w:t>
      </w:r>
    </w:p>
    <w:p w:rsidR="00801635" w:rsidP="00801635">
      <w:r>
        <w:t>Glucose</w:t>
      </w:r>
      <w:r>
        <w:t xml:space="preserve"> and oxygen </w:t>
      </w:r>
      <w:r>
        <w:t xml:space="preserve">in the body </w:t>
      </w:r>
      <w:r>
        <w:t xml:space="preserve">are </w:t>
      </w:r>
      <w:r>
        <w:t>essential for the</w:t>
      </w:r>
      <w:r>
        <w:t xml:space="preserve"> </w:t>
      </w:r>
      <w:r>
        <w:t>generation of</w:t>
      </w:r>
      <w:r>
        <w:t xml:space="preserve"> energy. This is </w:t>
      </w:r>
      <w:r>
        <w:t>known</w:t>
      </w:r>
      <w:r>
        <w:t xml:space="preserve"> as cellular respiration, and </w:t>
      </w:r>
      <w:r>
        <w:t>mainly</w:t>
      </w:r>
      <w:r>
        <w:t xml:space="preserve"> occurs in the mitochondria of the cells.</w:t>
      </w:r>
      <w:r>
        <w:t xml:space="preserve"> Carbohydrates in the food generally </w:t>
      </w:r>
      <w:r>
        <w:t xml:space="preserve">contain glucose, which is transported in the blood. Breathing is the process </w:t>
      </w:r>
      <w:r>
        <w:t>through</w:t>
      </w:r>
      <w:r>
        <w:t xml:space="preserve"> which oxygen reaches the body, and the blood carries the oxygen to cells.</w:t>
      </w:r>
    </w:p>
    <w:p w:rsidR="00801635" w:rsidP="00801635">
      <w:r>
        <w:t>The breakdown of glucose into a sequence of chemical reactions occurs in the cells. This is known as the first stage, termed glycolysis, whereby glucose is broken down into smaller molecules with a small portion of energy released. This happens in the cytoplasm of the cell</w:t>
      </w:r>
      <w:r w:rsidR="00ED6712">
        <w:t xml:space="preserve"> </w:t>
      </w:r>
      <w:r w:rsidR="00ED6712">
        <w:t>(</w:t>
      </w:r>
      <w:r w:rsidRPr="00ED6712" w:rsidR="00ED6712">
        <w:t>Chaudhry</w:t>
      </w:r>
      <w:r w:rsidR="00ED6712">
        <w:t xml:space="preserve"> and</w:t>
      </w:r>
      <w:r w:rsidRPr="00ED6712" w:rsidR="00ED6712">
        <w:t xml:space="preserve"> Varacallo, 2023)</w:t>
      </w:r>
      <w:r>
        <w:t>.</w:t>
      </w:r>
      <w:r w:rsidR="00A444F1">
        <w:t xml:space="preserve"> </w:t>
      </w:r>
      <w:r>
        <w:t xml:space="preserve">The second step occurs within the mitochondria. The glucose products are further broken down in a process known as aerobic respiration by the use of oxygen. </w:t>
      </w:r>
      <w:r w:rsidR="00A444F1">
        <w:t xml:space="preserve">This is considered to be the procedure where </w:t>
      </w:r>
      <w:r>
        <w:t>a lot of energy is released.</w:t>
      </w:r>
    </w:p>
    <w:p w:rsidR="00801635" w:rsidP="00801635">
      <w:r>
        <w:t xml:space="preserve">This energy </w:t>
      </w:r>
      <w:r w:rsidR="00A444F1">
        <w:t xml:space="preserve">is </w:t>
      </w:r>
      <w:r>
        <w:t xml:space="preserve">stored </w:t>
      </w:r>
      <w:r w:rsidR="00A444F1">
        <w:t xml:space="preserve">for future </w:t>
      </w:r>
      <w:r>
        <w:t xml:space="preserve">as a molecule </w:t>
      </w:r>
      <w:r w:rsidR="00A444F1">
        <w:t xml:space="preserve">reffered </w:t>
      </w:r>
      <w:r>
        <w:t xml:space="preserve">as ATP (adenosine triphosphate). </w:t>
      </w:r>
      <w:r w:rsidR="00A444F1">
        <w:t>It is an initial form</w:t>
      </w:r>
      <w:r>
        <w:t xml:space="preserve"> of energy that can be </w:t>
      </w:r>
      <w:r w:rsidR="00A444F1">
        <w:t>used</w:t>
      </w:r>
      <w:r>
        <w:t xml:space="preserve"> in the body </w:t>
      </w:r>
      <w:r w:rsidR="00A444F1">
        <w:t>at the time of</w:t>
      </w:r>
      <w:r>
        <w:t xml:space="preserve"> activities like movement, growth and cell repair.</w:t>
      </w:r>
      <w:r w:rsidR="00A444F1">
        <w:t xml:space="preserve"> </w:t>
      </w:r>
      <w:r>
        <w:t>Carbon dioxide and water are the byproducts of this process and are eliminated from the body through sweating, breathing, and other excretory organs</w:t>
      </w:r>
      <w:r w:rsidR="004F1C81">
        <w:t xml:space="preserve"> (</w:t>
      </w:r>
      <w:r w:rsidRPr="00ED6712" w:rsidR="004F1C81">
        <w:t>Gumasta</w:t>
      </w:r>
      <w:r w:rsidR="004F1C81">
        <w:t xml:space="preserve"> et al. 2025)</w:t>
      </w:r>
      <w:r>
        <w:t>.</w:t>
      </w:r>
      <w:r w:rsidR="00A444F1">
        <w:t xml:space="preserve"> </w:t>
      </w:r>
      <w:r>
        <w:t>The total equation of this process is:</w:t>
      </w:r>
    </w:p>
    <w:p w:rsidR="00801635" w:rsidP="00801635">
      <w:r>
        <w:t>Glucose + Oxygen = Carbon dioxide + Water + Energy</w:t>
      </w:r>
    </w:p>
    <w:p w:rsidR="00801635" w:rsidP="00801635">
      <w:r>
        <w:t>For the</w:t>
      </w:r>
      <w:r>
        <w:t xml:space="preserve"> Type 2 diabetes patients, </w:t>
      </w:r>
      <w:r>
        <w:t>resistance to the</w:t>
      </w:r>
      <w:r>
        <w:t xml:space="preserve"> insulin </w:t>
      </w:r>
      <w:r>
        <w:t xml:space="preserve">reduces </w:t>
      </w:r>
      <w:r>
        <w:t xml:space="preserve">the glucose </w:t>
      </w:r>
      <w:r>
        <w:t xml:space="preserve">quantity </w:t>
      </w:r>
      <w:r>
        <w:t>taken up into the cells. This translates to less energy being generated, and glucose is left in the blood, which results in high blood sugar levels.</w:t>
      </w:r>
    </w:p>
    <w:p w:rsidR="00F271B5" w:rsidP="001F3CA7">
      <w:pPr>
        <w:pStyle w:val="Heading1"/>
      </w:pPr>
      <w:bookmarkStart w:id="6" w:name="_Toc233456251"/>
      <w:bookmarkStart w:id="7" w:name="_Toc233458386"/>
      <w:r w:rsidRPr="00F271B5">
        <w:t>Recording</w:t>
      </w:r>
      <w:r>
        <w:t xml:space="preserve"> </w:t>
      </w:r>
      <w:r w:rsidRPr="00F271B5">
        <w:t>and tracking blood sugar levels</w:t>
      </w:r>
      <w:bookmarkEnd w:id="6"/>
      <w:bookmarkEnd w:id="7"/>
    </w:p>
    <w:p w:rsidR="00F271B5" w:rsidP="00F271B5">
      <w:r>
        <w:t>One of the elements of treatment of Type 2 diabetes is regular blood sugar measurements and monitoring. It makes people aware of how prepared their blood sugar levels are and gives them the capability to make good judgments about their health. The blood sugar level changes in the day on the basis of exercise, disease, medicine, food consumption and stress</w:t>
      </w:r>
      <w:r w:rsidR="00FE001A">
        <w:t xml:space="preserve"> (</w:t>
      </w:r>
      <w:r w:rsidRPr="00FE001A" w:rsidR="00FE001A">
        <w:t>Abuzaid</w:t>
      </w:r>
      <w:r w:rsidR="00FE001A">
        <w:t xml:space="preserve"> and</w:t>
      </w:r>
      <w:r w:rsidRPr="00FE001A" w:rsidR="00FE001A">
        <w:t xml:space="preserve"> Hadi, 2024</w:t>
      </w:r>
      <w:r w:rsidR="00FE001A">
        <w:t>)</w:t>
      </w:r>
      <w:r>
        <w:t xml:space="preserve">. This can help the patients, </w:t>
      </w:r>
      <w:r w:rsidRPr="00F271B5">
        <w:t xml:space="preserve">by carefully looking to these changes recognise patterns and </w:t>
      </w:r>
      <w:r>
        <w:t>trying to</w:t>
      </w:r>
      <w:r w:rsidRPr="00F271B5">
        <w:t xml:space="preserve"> keep </w:t>
      </w:r>
      <w:r>
        <w:t xml:space="preserve">level of </w:t>
      </w:r>
      <w:r w:rsidRPr="00F271B5">
        <w:t>blood sugar within a healthy range.</w:t>
      </w:r>
    </w:p>
    <w:p w:rsidR="00F271B5" w:rsidP="00F271B5">
      <w:r w:rsidRPr="00C60769">
        <w:t xml:space="preserve">A blood glucose meter </w:t>
      </w:r>
      <w:r w:rsidRPr="00C60769" w:rsidR="00C60769">
        <w:t>might be utilised</w:t>
      </w:r>
      <w:r w:rsidRPr="00C60769">
        <w:t xml:space="preserve"> to </w:t>
      </w:r>
      <w:r w:rsidRPr="00C60769" w:rsidR="00C60769">
        <w:t>define the level of</w:t>
      </w:r>
      <w:r w:rsidRPr="00C60769">
        <w:t xml:space="preserve"> blood glucose at home, or a </w:t>
      </w:r>
      <w:r w:rsidRPr="00C60769" w:rsidR="00C60769">
        <w:t>constant monitor of</w:t>
      </w:r>
      <w:r w:rsidRPr="00C60769">
        <w:t xml:space="preserve"> glucose can be used. The devices can </w:t>
      </w:r>
      <w:r w:rsidRPr="00C60769" w:rsidR="00C60769">
        <w:t xml:space="preserve">the </w:t>
      </w:r>
      <w:r w:rsidRPr="00C60769">
        <w:t xml:space="preserve">alert users </w:t>
      </w:r>
      <w:r w:rsidRPr="00C60769" w:rsidR="00C60769">
        <w:t>related to the</w:t>
      </w:r>
      <w:r w:rsidRPr="00C60769">
        <w:t xml:space="preserve"> level of current glucose and guide the patient </w:t>
      </w:r>
      <w:r w:rsidRPr="00C60769" w:rsidR="00C60769">
        <w:t>when the level has</w:t>
      </w:r>
      <w:r w:rsidRPr="00C60769">
        <w:t xml:space="preserve"> either become too high or too low.</w:t>
      </w:r>
      <w:r>
        <w:t xml:space="preserve"> With early detection, patients may carry out the right behaviour, which may be to take a healthy snack, change their diets, exercise more, or consult a medical physician when the need arises.</w:t>
      </w:r>
    </w:p>
    <w:p w:rsidR="00F271B5" w:rsidP="00F271B5">
      <w:r>
        <w:t>The history of blood sugar levels also assists caregivers in evaluating the effectiveness of the treatment program that an individual is undergoing</w:t>
      </w:r>
      <w:r w:rsidR="00FE001A">
        <w:t xml:space="preserve"> (</w:t>
      </w:r>
      <w:r w:rsidRPr="00FE001A" w:rsidR="00FE001A">
        <w:t>Rostaminasab</w:t>
      </w:r>
      <w:r w:rsidR="00FE001A">
        <w:t xml:space="preserve"> et al. 2023)</w:t>
      </w:r>
      <w:r>
        <w:t xml:space="preserve">. These records can guide doctors and nurses on the need to implement change in medication, diet, or exercise. The HbA1c test is used to determine the average blood glucose level over the last two or three </w:t>
      </w:r>
      <w:r>
        <w:t>months, in addition to daily monitoring. This test gives a clear image of blood sugar control in the long term and minimises the threat of complications.</w:t>
      </w:r>
    </w:p>
    <w:p w:rsidR="00F271B5" w:rsidRPr="00CE269D" w:rsidP="00F271B5">
      <w:r w:rsidRPr="00C60769">
        <w:t>Employment of</w:t>
      </w:r>
      <w:r w:rsidRPr="00C60769">
        <w:t xml:space="preserve"> regular monitoring also </w:t>
      </w:r>
      <w:r w:rsidRPr="00C60769">
        <w:t>encourages the</w:t>
      </w:r>
      <w:r w:rsidRPr="00C60769">
        <w:t xml:space="preserve"> patients to take more action in </w:t>
      </w:r>
      <w:r w:rsidRPr="00C60769">
        <w:t xml:space="preserve">their condition </w:t>
      </w:r>
      <w:r w:rsidRPr="00C60769">
        <w:t xml:space="preserve">management. It makes them </w:t>
      </w:r>
      <w:r w:rsidRPr="00C60769">
        <w:t xml:space="preserve">consider </w:t>
      </w:r>
      <w:r w:rsidRPr="00C60769">
        <w:t xml:space="preserve">how their way of life </w:t>
      </w:r>
      <w:r w:rsidRPr="00C60769">
        <w:t>influences or motivates</w:t>
      </w:r>
      <w:r w:rsidRPr="00C60769">
        <w:t xml:space="preserve"> them to </w:t>
      </w:r>
      <w:r w:rsidRPr="00C60769">
        <w:t>live a</w:t>
      </w:r>
      <w:r w:rsidRPr="00C60769">
        <w:t xml:space="preserve"> healthy lifestyles. </w:t>
      </w:r>
      <w:r w:rsidRPr="00C60769">
        <w:t>By trying to keep the</w:t>
      </w:r>
      <w:r w:rsidRPr="00C60769">
        <w:t xml:space="preserve"> body sugar </w:t>
      </w:r>
      <w:r w:rsidRPr="00C60769">
        <w:t xml:space="preserve">level </w:t>
      </w:r>
      <w:r w:rsidRPr="00C60769">
        <w:t xml:space="preserve">in the recommended range </w:t>
      </w:r>
      <w:r w:rsidRPr="00C60769">
        <w:t>reduces risk to</w:t>
      </w:r>
      <w:r w:rsidRPr="00C60769">
        <w:t xml:space="preserve"> deadly health complications</w:t>
      </w:r>
      <w:r w:rsidRPr="00C60769">
        <w:t xml:space="preserve">. Therefore, </w:t>
      </w:r>
      <w:r w:rsidRPr="00C60769">
        <w:t xml:space="preserve">recording and monitoring blood sugar levels are </w:t>
      </w:r>
      <w:r w:rsidRPr="00C60769">
        <w:t>essential</w:t>
      </w:r>
      <w:r w:rsidRPr="00C60769">
        <w:t xml:space="preserve"> in safe and effective management of Type 2 diabetes.</w:t>
      </w:r>
    </w:p>
    <w:p w:rsidR="00CE269D" w:rsidRPr="00CE269D" w:rsidP="001F3CA7">
      <w:pPr>
        <w:pStyle w:val="Heading1"/>
      </w:pPr>
      <w:bookmarkStart w:id="8" w:name="_Toc233456252"/>
      <w:bookmarkStart w:id="9" w:name="_Toc233458387"/>
      <w:r w:rsidRPr="00CE269D">
        <w:t>Evidence-</w:t>
      </w:r>
      <w:r w:rsidRPr="00CE269D" w:rsidR="00C60769">
        <w:t>based lifestyle recommendations</w:t>
      </w:r>
      <w:bookmarkEnd w:id="8"/>
      <w:bookmarkEnd w:id="9"/>
      <w:r w:rsidRPr="00CE269D" w:rsidR="00C60769">
        <w:t xml:space="preserve"> </w:t>
      </w:r>
    </w:p>
    <w:p w:rsidR="00CE269D" w:rsidRPr="00CE269D" w:rsidP="00CE269D">
      <w:r w:rsidRPr="00CE269D">
        <w:t>Lifestyle modification deserves the title of the main pillar of Type 2 diabetes management and can be advised to be combined with pharmacological treatment to ensure the best glycaemic values and minimise the risk of long-term complications. There is evidence indicating that the trend towards healthier behaviours can enhance insulin sensitivity, decrease the level of blood glucose, decrease cardiovascular risk and strengthen the overall quality of life</w:t>
      </w:r>
      <w:r w:rsidR="00FE001A">
        <w:t xml:space="preserve"> (</w:t>
      </w:r>
      <w:r w:rsidRPr="00FE001A" w:rsidR="00FE001A">
        <w:t>Małkowska, 2024)</w:t>
      </w:r>
      <w:r w:rsidRPr="00CE269D">
        <w:t>. The healthcare workers are best advised to recommend sustainable lifestyle changes to individuals with Type 2 diabetes, as per their needs and preferences.</w:t>
      </w:r>
    </w:p>
    <w:p w:rsidR="00CE269D" w:rsidRPr="00CE269D" w:rsidP="001F3CA7">
      <w:pPr>
        <w:pStyle w:val="Heading2"/>
      </w:pPr>
      <w:bookmarkStart w:id="10" w:name="_Toc233456253"/>
      <w:bookmarkStart w:id="11" w:name="_Toc233458388"/>
      <w:r w:rsidRPr="00CE269D">
        <w:t xml:space="preserve">Healthy </w:t>
      </w:r>
      <w:r w:rsidRPr="00CE269D" w:rsidR="001F3CA7">
        <w:t>diet</w:t>
      </w:r>
      <w:bookmarkEnd w:id="10"/>
      <w:bookmarkEnd w:id="11"/>
    </w:p>
    <w:p w:rsidR="00CE269D" w:rsidRPr="00CE269D" w:rsidP="00CE269D">
      <w:r w:rsidRPr="001F3CA7">
        <w:t>It is important to maintain the normal blood sugar level by using healthy nutrition. Patients with Type 2 diabetes have to eat high level of whole grains, vegetables, fruits, legumes, lean proteins and healthy fats less diet of foods that comprises of high amounts of refined carbohydrates, added sugar and saturated fats.</w:t>
      </w:r>
      <w:r>
        <w:t xml:space="preserve"> </w:t>
      </w:r>
      <w:r w:rsidRPr="00C742FA">
        <w:t>Low-glycaemic index</w:t>
      </w:r>
      <w:r w:rsidRPr="00C742FA" w:rsidR="00C742FA">
        <w:t xml:space="preserve"> </w:t>
      </w:r>
      <w:r w:rsidRPr="00C742FA">
        <w:t xml:space="preserve">foods </w:t>
      </w:r>
      <w:r w:rsidRPr="00C742FA" w:rsidR="00C742FA">
        <w:t>including</w:t>
      </w:r>
      <w:r w:rsidRPr="00C742FA">
        <w:t xml:space="preserve"> oats, wholemeal bread and pulses are </w:t>
      </w:r>
      <w:r w:rsidRPr="00C742FA" w:rsidR="00C742FA">
        <w:t xml:space="preserve">more slowly </w:t>
      </w:r>
      <w:r w:rsidRPr="00C742FA">
        <w:t>absorbed</w:t>
      </w:r>
      <w:r w:rsidRPr="00C742FA" w:rsidR="00C742FA">
        <w:t xml:space="preserve">, thus </w:t>
      </w:r>
      <w:r w:rsidRPr="00C742FA" w:rsidR="006814B2">
        <w:t>lead to</w:t>
      </w:r>
      <w:r w:rsidRPr="00C742FA">
        <w:t xml:space="preserve"> slow rise in</w:t>
      </w:r>
      <w:r w:rsidRPr="00C742FA" w:rsidR="00C742FA">
        <w:t xml:space="preserve"> the level of </w:t>
      </w:r>
      <w:r w:rsidRPr="00C742FA">
        <w:t xml:space="preserve"> blood glucose </w:t>
      </w:r>
      <w:r w:rsidRPr="00C742FA" w:rsidR="00C742FA">
        <w:t>in comparision</w:t>
      </w:r>
      <w:r w:rsidRPr="00C742FA">
        <w:t xml:space="preserve"> </w:t>
      </w:r>
      <w:r w:rsidRPr="00C742FA" w:rsidR="00C742FA">
        <w:t>with</w:t>
      </w:r>
      <w:r w:rsidRPr="00C742FA">
        <w:t xml:space="preserve"> a sharp rise after a meal. </w:t>
      </w:r>
      <w:r w:rsidRPr="00C60769">
        <w:t>Consumption of more dietary fibres also retards glucose absorption, induces satiety and good weight maintenance</w:t>
      </w:r>
      <w:r w:rsidR="00FE001A">
        <w:t xml:space="preserve"> (</w:t>
      </w:r>
      <w:r w:rsidRPr="00FE001A" w:rsidR="00FE001A">
        <w:t>Akhlaghi, 2024)</w:t>
      </w:r>
      <w:r w:rsidRPr="00C60769">
        <w:t>. Moreover, the regulation of portion quantities and adherence to the regular patterns of meals should prevent a major variation in the range of blood glucose and help manage it better.</w:t>
      </w:r>
    </w:p>
    <w:p w:rsidR="00CE269D" w:rsidRPr="00CE269D" w:rsidP="001F3CA7">
      <w:pPr>
        <w:pStyle w:val="Heading2"/>
      </w:pPr>
      <w:bookmarkStart w:id="12" w:name="_Toc233456254"/>
      <w:bookmarkStart w:id="13" w:name="_Toc233458389"/>
      <w:r w:rsidRPr="00CE269D">
        <w:t xml:space="preserve">Regular </w:t>
      </w:r>
      <w:r w:rsidRPr="00CE269D" w:rsidR="001F3CA7">
        <w:t>physical activity</w:t>
      </w:r>
      <w:bookmarkEnd w:id="12"/>
      <w:bookmarkEnd w:id="13"/>
    </w:p>
    <w:p w:rsidR="00CE269D" w:rsidRPr="00CE269D" w:rsidP="00CE269D">
      <w:r w:rsidRPr="00CE269D">
        <w:t xml:space="preserve">Another vital aspect of diabetes management is regular exercise. </w:t>
      </w:r>
      <w:r w:rsidRPr="006814B2">
        <w:t xml:space="preserve">Exercise </w:t>
      </w:r>
      <w:r w:rsidRPr="006814B2" w:rsidR="006814B2">
        <w:t>increases glucose absorption</w:t>
      </w:r>
      <w:r w:rsidRPr="006814B2">
        <w:t xml:space="preserve"> by skeletal muscles, </w:t>
      </w:r>
      <w:r w:rsidRPr="006814B2" w:rsidR="006814B2">
        <w:t>improved</w:t>
      </w:r>
      <w:r w:rsidRPr="006814B2">
        <w:t xml:space="preserve"> insulin sensitivity and </w:t>
      </w:r>
      <w:r w:rsidRPr="006814B2" w:rsidR="006814B2">
        <w:t>sustaining</w:t>
      </w:r>
      <w:r w:rsidRPr="006814B2">
        <w:t xml:space="preserve"> a healthy </w:t>
      </w:r>
      <w:r w:rsidRPr="006814B2" w:rsidR="006814B2">
        <w:t xml:space="preserve">weight of a </w:t>
      </w:r>
      <w:r w:rsidRPr="006814B2">
        <w:t xml:space="preserve">body weight. </w:t>
      </w:r>
      <w:r w:rsidRPr="006814B2" w:rsidR="006814B2">
        <w:t>All the</w:t>
      </w:r>
      <w:r w:rsidRPr="006814B2">
        <w:t xml:space="preserve"> aerobic physical activities</w:t>
      </w:r>
      <w:r w:rsidRPr="006814B2" w:rsidR="006814B2">
        <w:t xml:space="preserve"> like</w:t>
      </w:r>
      <w:r w:rsidRPr="006814B2">
        <w:t xml:space="preserve"> brisk walking, cycling and swimming and resistance training </w:t>
      </w:r>
      <w:r w:rsidRPr="006814B2" w:rsidR="006814B2">
        <w:t>increase</w:t>
      </w:r>
      <w:r w:rsidRPr="006814B2">
        <w:t xml:space="preserve"> the functioning of the heart and </w:t>
      </w:r>
      <w:r w:rsidRPr="006814B2" w:rsidR="006814B2">
        <w:t xml:space="preserve">reduces </w:t>
      </w:r>
      <w:r w:rsidRPr="006814B2">
        <w:t xml:space="preserve"> insulin sensitivity. There is a general </w:t>
      </w:r>
      <w:r w:rsidRPr="006814B2" w:rsidR="006814B2">
        <w:t>motivation that</w:t>
      </w:r>
      <w:r w:rsidRPr="006814B2">
        <w:t xml:space="preserve"> adults with Type 2 diabetes </w:t>
      </w:r>
      <w:r w:rsidRPr="006814B2" w:rsidR="006814B2">
        <w:t>must involve</w:t>
      </w:r>
      <w:r w:rsidRPr="006814B2">
        <w:t xml:space="preserve"> in moderate-intensity physical activity at least 150 minutes each week</w:t>
      </w:r>
      <w:r w:rsidRPr="006814B2" w:rsidR="006814B2">
        <w:t>. This will lead to reduction in</w:t>
      </w:r>
      <w:r w:rsidRPr="006814B2">
        <w:t xml:space="preserve"> number of hours per week spent in inactive modes. </w:t>
      </w:r>
      <w:r w:rsidRPr="006814B2" w:rsidR="006814B2">
        <w:t>Regular e</w:t>
      </w:r>
      <w:r w:rsidRPr="006814B2">
        <w:t xml:space="preserve">xercise also helps in </w:t>
      </w:r>
      <w:r w:rsidRPr="006814B2" w:rsidR="006814B2">
        <w:t>lessening blood</w:t>
      </w:r>
      <w:r w:rsidRPr="006814B2">
        <w:t xml:space="preserve"> pressure, improving lipid levels and enhancing psychological health.</w:t>
      </w:r>
    </w:p>
    <w:p w:rsidR="00CE269D" w:rsidRPr="00CE269D" w:rsidP="001F3CA7">
      <w:pPr>
        <w:pStyle w:val="Heading2"/>
      </w:pPr>
      <w:bookmarkStart w:id="14" w:name="_Toc233456255"/>
      <w:bookmarkStart w:id="15" w:name="_Toc233458390"/>
      <w:r w:rsidRPr="00CE269D">
        <w:t xml:space="preserve">Smoking </w:t>
      </w:r>
      <w:r w:rsidR="001F3CA7">
        <w:t>c</w:t>
      </w:r>
      <w:r w:rsidRPr="00CE269D">
        <w:t>essation</w:t>
      </w:r>
      <w:bookmarkEnd w:id="14"/>
      <w:bookmarkEnd w:id="15"/>
    </w:p>
    <w:p w:rsidR="001F3CA7" w:rsidP="00CE269D">
      <w:r w:rsidRPr="006814B2">
        <w:t>Through keeping the weak</w:t>
      </w:r>
      <w:r w:rsidRPr="006814B2" w:rsidR="00CE269D">
        <w:t xml:space="preserve"> blood vessels, </w:t>
      </w:r>
      <w:r w:rsidRPr="006814B2">
        <w:t>there will be</w:t>
      </w:r>
      <w:r w:rsidRPr="006814B2" w:rsidR="00CE269D">
        <w:t xml:space="preserve"> more inflammation and aggravation of insulin resistance, </w:t>
      </w:r>
      <w:r w:rsidRPr="006814B2">
        <w:t xml:space="preserve">smoking significantly adds towards </w:t>
      </w:r>
      <w:r w:rsidRPr="006814B2" w:rsidR="00CE269D">
        <w:t xml:space="preserve">the predisposition to diabetes complications. </w:t>
      </w:r>
      <w:r w:rsidRPr="001F3CA7">
        <w:t>Smokers with Type 2 diabetes have an increased risk of cardiovascular disease, stroke, kidney disease and peripheral vascular disease compared with the non-smokers</w:t>
      </w:r>
      <w:r w:rsidR="00FE001A">
        <w:t xml:space="preserve"> (</w:t>
      </w:r>
      <w:r w:rsidRPr="00FE001A" w:rsidR="00FE001A">
        <w:t>Xu</w:t>
      </w:r>
      <w:r w:rsidR="00FE001A">
        <w:t xml:space="preserve"> et al. </w:t>
      </w:r>
      <w:r w:rsidRPr="00FE001A" w:rsidR="00FE001A">
        <w:t>2024)</w:t>
      </w:r>
      <w:r w:rsidRPr="001F3CA7">
        <w:t>. Smoking cessation boosts the circulation, increases the sensitivity of insulin and reduces the dangers of microvascular and macrovascular complexities. Medical care personnel should provide recommendations on smoking quit and refer them to the appropriate support systems where necessary.</w:t>
      </w:r>
    </w:p>
    <w:p w:rsidR="00CE269D" w:rsidRPr="00CE269D" w:rsidP="001F3CA7">
      <w:pPr>
        <w:pStyle w:val="Heading2"/>
      </w:pPr>
      <w:bookmarkStart w:id="16" w:name="_Toc233456256"/>
      <w:bookmarkStart w:id="17" w:name="_Toc233458391"/>
      <w:r w:rsidRPr="00CE269D">
        <w:t xml:space="preserve">Weight </w:t>
      </w:r>
      <w:r w:rsidRPr="00CE269D" w:rsidR="001F3CA7">
        <w:t>management</w:t>
      </w:r>
      <w:bookmarkEnd w:id="16"/>
      <w:bookmarkEnd w:id="17"/>
    </w:p>
    <w:p w:rsidR="00CE269D" w:rsidRPr="00CE269D" w:rsidP="00CE269D">
      <w:r w:rsidRPr="00CE269D">
        <w:t>Overweight and especially central obesity are one of the main predisposing factors to insulin resistance and impaired glycaemic control. A modest reduction of around 5 to 10 per cent of initial body weight has been found to enhance insulin sensitivity, decrease blood glucose levels and decrease the necessity of medication in a significant number of people. The control of weight can be attained by a mixture of eating well, exercising and behaviour intervention</w:t>
      </w:r>
      <w:r w:rsidR="00FE001A">
        <w:t xml:space="preserve"> (</w:t>
      </w:r>
      <w:r w:rsidRPr="00FE001A" w:rsidR="00FE001A">
        <w:t>Yang</w:t>
      </w:r>
      <w:r w:rsidR="00FE001A">
        <w:t xml:space="preserve"> et al.</w:t>
      </w:r>
      <w:r w:rsidRPr="00FE001A" w:rsidR="00FE001A">
        <w:t xml:space="preserve"> 2023)</w:t>
      </w:r>
      <w:r w:rsidRPr="00CE269D">
        <w:t>. Gradual and sustainable weight loss is more realistic and achievable than restrictive diets, which are hard to sustain.</w:t>
      </w:r>
    </w:p>
    <w:p w:rsidR="00CE269D" w:rsidRPr="00CE269D" w:rsidP="001F3CA7">
      <w:pPr>
        <w:pStyle w:val="Heading2"/>
      </w:pPr>
      <w:bookmarkStart w:id="18" w:name="_Toc233456257"/>
      <w:bookmarkStart w:id="19" w:name="_Toc233458392"/>
      <w:r w:rsidRPr="00CE269D">
        <w:t xml:space="preserve">Alcohol </w:t>
      </w:r>
      <w:r w:rsidRPr="00CE269D" w:rsidR="001F3CA7">
        <w:t>use and stress control</w:t>
      </w:r>
      <w:bookmarkEnd w:id="18"/>
      <w:bookmarkEnd w:id="19"/>
    </w:p>
    <w:p w:rsidR="006814B2" w:rsidP="006814B2">
      <w:r w:rsidRPr="00CE269D">
        <w:t>Alcohol ought to be taken at the recommended limits, as too much of it may disrupt the regulation of blood glucose and make one prone to hypoglycaemia, especially in combination with some diabetes drugs</w:t>
      </w:r>
      <w:r w:rsidRPr="006814B2">
        <w:t xml:space="preserve">. Stress management </w:t>
      </w:r>
      <w:r w:rsidRPr="006814B2">
        <w:t>must be</w:t>
      </w:r>
      <w:r w:rsidRPr="006814B2">
        <w:t xml:space="preserve"> effective </w:t>
      </w:r>
      <w:r w:rsidRPr="006814B2">
        <w:t>due to</w:t>
      </w:r>
      <w:r w:rsidRPr="006814B2">
        <w:t xml:space="preserve"> prolonged stress </w:t>
      </w:r>
      <w:r w:rsidRPr="006814B2">
        <w:t xml:space="preserve">which results in </w:t>
      </w:r>
      <w:r w:rsidRPr="006814B2">
        <w:t>more cortisol secretion, causing a rise in blood glucose levels and deteriorating the diabetes</w:t>
      </w:r>
      <w:r w:rsidRPr="006814B2">
        <w:t xml:space="preserve"> management.</w:t>
      </w:r>
      <w:r w:rsidRPr="006814B2">
        <w:t xml:space="preserve"> </w:t>
      </w:r>
      <w:r w:rsidRPr="006814B2">
        <w:t xml:space="preserve">In more cases, a strategy may be based on techniques, such as enough </w:t>
      </w:r>
      <w:r w:rsidRPr="006814B2">
        <w:t>sleep, relaxation, mindfulness or exercise, which will be useful in eliminating the stress and general self-management of diabetes</w:t>
      </w:r>
      <w:r w:rsidR="00396F9F">
        <w:t xml:space="preserve"> (</w:t>
      </w:r>
      <w:r w:rsidRPr="00FE001A" w:rsidR="00396F9F">
        <w:t>Eshete</w:t>
      </w:r>
      <w:r w:rsidR="00396F9F">
        <w:t xml:space="preserve"> et al. 2023)</w:t>
      </w:r>
      <w:r w:rsidRPr="006814B2">
        <w:t>. Together, these evidence-based lifestyle modifications can help people with Type 2 diabetes to control their glycaemic status and decrease the risk of complications in the long term.</w:t>
      </w:r>
    </w:p>
    <w:p w:rsidR="00CE269D" w:rsidRPr="00CE269D" w:rsidP="001F3CA7">
      <w:pPr>
        <w:pStyle w:val="Heading1"/>
      </w:pPr>
      <w:bookmarkStart w:id="20" w:name="_Toc233456258"/>
      <w:bookmarkStart w:id="21" w:name="_Toc233458393"/>
      <w:r w:rsidRPr="00CE269D">
        <w:t>Conclusion</w:t>
      </w:r>
      <w:bookmarkEnd w:id="20"/>
      <w:bookmarkEnd w:id="21"/>
      <w:r w:rsidRPr="00CE269D">
        <w:t xml:space="preserve"> </w:t>
      </w:r>
      <w:r w:rsidR="00C60769">
        <w:tab/>
      </w:r>
    </w:p>
    <w:p w:rsidR="001F3CA7" w:rsidP="00CE269D">
      <w:r w:rsidRPr="00CE269D">
        <w:t>Diabetes type 2 is a long-term metabolic condition that is defined by insulin resistance and unrestricted hyperglycaemia and has to be treated successfully to avoid severe complications. Homeostasis of blood glucose is reliant on the concerted efforts of insulin, glucagon, the pancreas and the liver, whilst cellular respiration illustrates the role of glucose and oxygen in the production of energy required to sustain normal physiological processes. Regular monitoring of the level of sugar in the blood, self-monitoring, and HbA1C tests may provide positive clinical data that would facilitate the decision-making of treatment options, and patients will be motivated to actively participate in the disease management. Additionally, a healthy diet, physical activities, good body weight, smoking avoidance, as well as stress coping have been established to positively influence glycaemic control, reducing risks of complications based on diabetes. By combining the appropriate medical intervention and long-term lifestyle modifications, patients with Type 2 diabetes can manage the condition, improve their quality of life and decrease the chances of devastating adverse health outcomes in the long term.</w:t>
      </w:r>
    </w:p>
    <w:p w:rsidR="001F3CA7">
      <w:pPr>
        <w:spacing w:line="278" w:lineRule="auto"/>
        <w:jc w:val="left"/>
      </w:pPr>
      <w:r>
        <w:br w:type="page"/>
      </w:r>
    </w:p>
    <w:p w:rsidR="00A7439F" w:rsidP="00396F9F">
      <w:pPr>
        <w:pStyle w:val="Heading1"/>
      </w:pPr>
      <w:bookmarkStart w:id="22" w:name="_Toc233458394"/>
      <w:r>
        <w:t>References</w:t>
      </w:r>
      <w:bookmarkEnd w:id="22"/>
      <w:r>
        <w:t xml:space="preserve"> </w:t>
      </w:r>
    </w:p>
    <w:p w:rsidR="00396F9F" w:rsidP="00CE269D">
      <w:r w:rsidRPr="00FE001A">
        <w:t xml:space="preserve">Abuzaid, S. M., </w:t>
      </w:r>
      <w:r>
        <w:t>and</w:t>
      </w:r>
      <w:r w:rsidRPr="00FE001A">
        <w:t xml:space="preserve"> Hadi, L. M. (2024) The Effect of Psychological Stress on The Body's Energy on Blood Sugar Levels. </w:t>
      </w:r>
      <w:r w:rsidRPr="00FE001A">
        <w:rPr>
          <w:i/>
          <w:iCs/>
        </w:rPr>
        <w:t>Journal of Physical Education and Public Health</w:t>
      </w:r>
      <w:r w:rsidRPr="00FE001A">
        <w:t>, </w:t>
      </w:r>
      <w:r w:rsidRPr="00FE001A">
        <w:rPr>
          <w:i/>
          <w:iCs/>
        </w:rPr>
        <w:t>1</w:t>
      </w:r>
      <w:r w:rsidRPr="00FE001A">
        <w:t>(2), 19-25.</w:t>
      </w:r>
      <w:r>
        <w:t xml:space="preserve"> </w:t>
      </w:r>
      <w:hyperlink r:id="rId5" w:history="1">
        <w:r w:rsidRPr="0058182C">
          <w:rPr>
            <w:rStyle w:val="Hyperlink"/>
          </w:rPr>
          <w:t>https://doi.org/10.56961/jpeph.v1i2.657</w:t>
        </w:r>
      </w:hyperlink>
      <w:r>
        <w:t xml:space="preserve"> </w:t>
      </w:r>
    </w:p>
    <w:p w:rsidR="00396F9F" w:rsidP="00CE269D">
      <w:r w:rsidRPr="00FE001A">
        <w:t>Akhlaghi, M. (2024) The role of dietary fibers in regulating appetite, an overview of mechanisms and weight consequences. </w:t>
      </w:r>
      <w:r w:rsidRPr="00FE001A">
        <w:rPr>
          <w:i/>
          <w:iCs/>
        </w:rPr>
        <w:t>Critical Reviews in Food Science and Nutrition</w:t>
      </w:r>
      <w:r w:rsidRPr="00FE001A">
        <w:t>, </w:t>
      </w:r>
      <w:r w:rsidRPr="00FE001A">
        <w:rPr>
          <w:i/>
          <w:iCs/>
        </w:rPr>
        <w:t>64</w:t>
      </w:r>
      <w:r w:rsidRPr="00FE001A">
        <w:t>(10), 3139-3150.</w:t>
      </w:r>
      <w:r>
        <w:t xml:space="preserve"> </w:t>
      </w:r>
      <w:hyperlink r:id="rId6" w:history="1">
        <w:r w:rsidRPr="0058182C">
          <w:rPr>
            <w:rStyle w:val="Hyperlink"/>
          </w:rPr>
          <w:t>https://doi.org/10.1080/10408398.2022.2130160</w:t>
        </w:r>
      </w:hyperlink>
      <w:r>
        <w:t xml:space="preserve"> </w:t>
      </w:r>
    </w:p>
    <w:p w:rsidR="00396F9F" w:rsidP="00CE269D">
      <w:r w:rsidRPr="00ED6712">
        <w:t xml:space="preserve">Chaudhry, R., </w:t>
      </w:r>
      <w:r>
        <w:t>and</w:t>
      </w:r>
      <w:r w:rsidRPr="00ED6712">
        <w:t xml:space="preserve"> Varacallo, M. A. (2023) Biochemistry, glycolysis. In </w:t>
      </w:r>
      <w:r w:rsidRPr="00ED6712">
        <w:rPr>
          <w:i/>
          <w:iCs/>
        </w:rPr>
        <w:t>StatPearls [Internet]</w:t>
      </w:r>
      <w:r w:rsidRPr="00ED6712">
        <w:t>. StatPearls Publishing.</w:t>
      </w:r>
      <w:r>
        <w:t xml:space="preserve"> </w:t>
      </w:r>
      <w:hyperlink r:id="rId7" w:history="1">
        <w:r w:rsidRPr="0058182C">
          <w:rPr>
            <w:rStyle w:val="Hyperlink"/>
          </w:rPr>
          <w:t>https://www.ncbi.nlm.nih.gov/books/NBK482303/</w:t>
        </w:r>
      </w:hyperlink>
      <w:r>
        <w:t xml:space="preserve"> </w:t>
      </w:r>
    </w:p>
    <w:p w:rsidR="00396F9F" w:rsidP="00304593">
      <w:pPr>
        <w:rPr>
          <w:bCs/>
        </w:rPr>
      </w:pPr>
      <w:r>
        <w:t xml:space="preserve">Cleveland clinic, (2025) </w:t>
      </w:r>
      <w:r w:rsidRPr="00304593">
        <w:rPr>
          <w:bCs/>
          <w:i/>
        </w:rPr>
        <w:t>Type 2 Diabetes</w:t>
      </w:r>
      <w:r>
        <w:rPr>
          <w:bCs/>
          <w:i/>
        </w:rPr>
        <w:t xml:space="preserve">. </w:t>
      </w:r>
      <w:r w:rsidRPr="00304593">
        <w:rPr>
          <w:bCs/>
        </w:rPr>
        <w:t>Available</w:t>
      </w:r>
      <w:r>
        <w:rPr>
          <w:bCs/>
        </w:rPr>
        <w:t xml:space="preserve"> at: </w:t>
      </w:r>
      <w:hyperlink r:id="rId8" w:history="1">
        <w:r w:rsidRPr="0058182C">
          <w:rPr>
            <w:rStyle w:val="Hyperlink"/>
            <w:bCs/>
          </w:rPr>
          <w:t>https://my.clevelandclinic.org/health/diseases/21501-type-2-diabetes</w:t>
        </w:r>
      </w:hyperlink>
      <w:r>
        <w:rPr>
          <w:bCs/>
        </w:rPr>
        <w:t xml:space="preserve">  (accessed on: 27 June 2026) </w:t>
      </w:r>
    </w:p>
    <w:p w:rsidR="00396F9F" w:rsidP="00CE269D">
      <w:r w:rsidRPr="00FE001A">
        <w:t xml:space="preserve">Eshete, A., Mohammed, S., Deresse, T., Kifleyohans, T., </w:t>
      </w:r>
      <w:r>
        <w:t>and</w:t>
      </w:r>
      <w:r w:rsidRPr="00FE001A">
        <w:t xml:space="preserve"> Assefa, Y. (2023) Association of stress management behavior and diabetic self-care practice among diabetes type II patients in North Shoa Zone: a cross-sectional study. </w:t>
      </w:r>
      <w:r w:rsidRPr="00FE001A">
        <w:rPr>
          <w:i/>
          <w:iCs/>
        </w:rPr>
        <w:t>BMC health services research</w:t>
      </w:r>
      <w:r w:rsidRPr="00FE001A">
        <w:t>, </w:t>
      </w:r>
      <w:r w:rsidRPr="00FE001A">
        <w:rPr>
          <w:i/>
          <w:iCs/>
        </w:rPr>
        <w:t>23</w:t>
      </w:r>
      <w:r w:rsidRPr="00FE001A">
        <w:t>(1), 767.</w:t>
      </w:r>
      <w:r>
        <w:t xml:space="preserve"> </w:t>
      </w:r>
      <w:hyperlink r:id="rId9" w:history="1">
        <w:r w:rsidRPr="00396F9F">
          <w:rPr>
            <w:rStyle w:val="Hyperlink"/>
            <w:rFonts w:cs="Times New Roman"/>
            <w:shd w:val="clear" w:color="auto" w:fill="FFFFFF"/>
          </w:rPr>
          <w:t>https://doi.org/10.1186/s12913-023-09752-6</w:t>
        </w:r>
      </w:hyperlink>
      <w:r>
        <w:rPr>
          <w:rFonts w:ascii="Helvetica" w:hAnsi="Helvetica"/>
          <w:color w:val="222222"/>
          <w:sz w:val="31"/>
          <w:szCs w:val="31"/>
          <w:shd w:val="clear" w:color="auto" w:fill="FFFFFF"/>
        </w:rPr>
        <w:t xml:space="preserve"> </w:t>
      </w:r>
    </w:p>
    <w:p w:rsidR="00396F9F" w:rsidP="00304593">
      <w:pPr>
        <w:rPr>
          <w:bCs/>
        </w:rPr>
      </w:pPr>
      <w:r w:rsidRPr="00ED6712">
        <w:rPr>
          <w:bCs/>
        </w:rPr>
        <w:t xml:space="preserve">Fabris, C., Rizzo, E., Bertolissi, S., Casatta, L., Pavan, M., </w:t>
      </w:r>
      <w:r>
        <w:rPr>
          <w:bCs/>
        </w:rPr>
        <w:t>and</w:t>
      </w:r>
      <w:r w:rsidRPr="00ED6712">
        <w:rPr>
          <w:bCs/>
        </w:rPr>
        <w:t xml:space="preserve"> Toniutto, P. (2025) Modifiable and Non-Modifiable Risk Factors and Vascular Damage Progression in Type 2 Diabetes: A Primary Care Analysis. </w:t>
      </w:r>
      <w:r w:rsidRPr="00ED6712">
        <w:rPr>
          <w:bCs/>
          <w:i/>
          <w:iCs/>
        </w:rPr>
        <w:t>Journal of Clinical Medicine</w:t>
      </w:r>
      <w:r w:rsidRPr="00ED6712">
        <w:rPr>
          <w:bCs/>
        </w:rPr>
        <w:t>, </w:t>
      </w:r>
      <w:r w:rsidRPr="00ED6712">
        <w:rPr>
          <w:bCs/>
          <w:i/>
          <w:iCs/>
        </w:rPr>
        <w:t>14</w:t>
      </w:r>
      <w:r w:rsidRPr="00ED6712">
        <w:rPr>
          <w:bCs/>
        </w:rPr>
        <w:t>(9), 3155.</w:t>
      </w:r>
      <w:r>
        <w:rPr>
          <w:bCs/>
        </w:rPr>
        <w:t xml:space="preserve"> </w:t>
      </w:r>
      <w:hyperlink r:id="rId10" w:history="1">
        <w:r w:rsidRPr="0058182C">
          <w:rPr>
            <w:rStyle w:val="Hyperlink"/>
            <w:bCs/>
          </w:rPr>
          <w:t>https://doi.org/10.3390/jcm14093155</w:t>
        </w:r>
      </w:hyperlink>
      <w:r>
        <w:rPr>
          <w:bCs/>
        </w:rPr>
        <w:t xml:space="preserve"> </w:t>
      </w:r>
    </w:p>
    <w:p w:rsidR="00396F9F" w:rsidP="00CE269D">
      <w:r w:rsidRPr="00ED6712">
        <w:t xml:space="preserve">Gumasta, P., Kumar, N., Pal, P., </w:t>
      </w:r>
      <w:r>
        <w:t>and</w:t>
      </w:r>
      <w:r w:rsidRPr="00ED6712">
        <w:t xml:space="preserve"> Sharma, R. (2025) Pathophysiology of Excretory System. In </w:t>
      </w:r>
      <w:r w:rsidRPr="00ED6712">
        <w:rPr>
          <w:i/>
          <w:iCs/>
        </w:rPr>
        <w:t>Fundamentals of Veterinary Pathophysiology</w:t>
      </w:r>
      <w:r w:rsidRPr="00ED6712">
        <w:t> (pp. 182-186). CRC Press.</w:t>
      </w:r>
      <w:r>
        <w:t xml:space="preserve"> </w:t>
      </w:r>
      <w:hyperlink r:id="rId11" w:history="1">
        <w:r w:rsidRPr="0058182C">
          <w:rPr>
            <w:rStyle w:val="Hyperlink"/>
          </w:rPr>
          <w:t>https://www.taylorfrancis.com/chapters/edit/10.1201/9781003426837-17/pathophysiology-excretory-system-poornima-gumasta-narendra-kumar-prasanna-pal-rachana-sharma</w:t>
        </w:r>
      </w:hyperlink>
      <w:r>
        <w:t xml:space="preserve"> </w:t>
      </w:r>
    </w:p>
    <w:p w:rsidR="00396F9F" w:rsidP="00304593">
      <w:pPr>
        <w:rPr>
          <w:bCs/>
        </w:rPr>
      </w:pPr>
      <w:r w:rsidRPr="00ED6712">
        <w:rPr>
          <w:bCs/>
        </w:rPr>
        <w:t>Habegger, K. M. (2022) Cross talk between insulin and glucagon receptor signaling in the hepatocyte. Diabetes, 71(9), 1842-1851.</w:t>
      </w:r>
      <w:r>
        <w:rPr>
          <w:bCs/>
        </w:rPr>
        <w:t xml:space="preserve"> </w:t>
      </w:r>
      <w:hyperlink r:id="rId12" w:history="1">
        <w:r w:rsidRPr="0058182C">
          <w:rPr>
            <w:rStyle w:val="Hyperlink"/>
            <w:bCs/>
          </w:rPr>
          <w:t>https://doi.org/10.2337/dbi22-0002</w:t>
        </w:r>
      </w:hyperlink>
      <w:r>
        <w:rPr>
          <w:bCs/>
        </w:rPr>
        <w:t xml:space="preserve"> </w:t>
      </w:r>
    </w:p>
    <w:p w:rsidR="00396F9F" w:rsidP="00304593">
      <w:pPr>
        <w:rPr>
          <w:bCs/>
        </w:rPr>
      </w:pPr>
      <w:r w:rsidRPr="00ED6712">
        <w:rPr>
          <w:bCs/>
        </w:rPr>
        <w:t xml:space="preserve">Hulett, N. A., Scalzo, R. L., </w:t>
      </w:r>
      <w:r>
        <w:rPr>
          <w:bCs/>
        </w:rPr>
        <w:t>and</w:t>
      </w:r>
      <w:r w:rsidRPr="00ED6712">
        <w:rPr>
          <w:bCs/>
        </w:rPr>
        <w:t xml:space="preserve"> Reusch, J. E. (2022) Glucose uptake by skeletal muscle within the contexts of type 2 diabetes and exercise: an integrated approach. </w:t>
      </w:r>
      <w:r w:rsidRPr="00ED6712">
        <w:rPr>
          <w:bCs/>
          <w:i/>
          <w:iCs/>
        </w:rPr>
        <w:t>Nutrients</w:t>
      </w:r>
      <w:r w:rsidRPr="00ED6712">
        <w:rPr>
          <w:bCs/>
        </w:rPr>
        <w:t>, </w:t>
      </w:r>
      <w:r w:rsidRPr="00ED6712">
        <w:rPr>
          <w:bCs/>
          <w:i/>
          <w:iCs/>
        </w:rPr>
        <w:t>14</w:t>
      </w:r>
      <w:r w:rsidRPr="00ED6712">
        <w:rPr>
          <w:bCs/>
        </w:rPr>
        <w:t>(3), 647.</w:t>
      </w:r>
      <w:r>
        <w:rPr>
          <w:bCs/>
        </w:rPr>
        <w:t xml:space="preserve"> </w:t>
      </w:r>
      <w:hyperlink r:id="rId13" w:history="1">
        <w:r w:rsidRPr="0058182C">
          <w:rPr>
            <w:rStyle w:val="Hyperlink"/>
            <w:bCs/>
          </w:rPr>
          <w:t>https://doi.org/10.3390/nu14030647</w:t>
        </w:r>
      </w:hyperlink>
      <w:r>
        <w:rPr>
          <w:bCs/>
        </w:rPr>
        <w:t xml:space="preserve"> </w:t>
      </w:r>
    </w:p>
    <w:p w:rsidR="00396F9F" w:rsidP="00CE269D">
      <w:r w:rsidRPr="00FE001A">
        <w:t>Małkowska, P. (2024) Positive effects of physical activity on insulin signaling. </w:t>
      </w:r>
      <w:r w:rsidRPr="00FE001A">
        <w:rPr>
          <w:i/>
          <w:iCs/>
        </w:rPr>
        <w:t>Current issues in molecular biology</w:t>
      </w:r>
      <w:r w:rsidRPr="00FE001A">
        <w:t>, </w:t>
      </w:r>
      <w:r w:rsidRPr="00FE001A">
        <w:rPr>
          <w:i/>
          <w:iCs/>
        </w:rPr>
        <w:t>46</w:t>
      </w:r>
      <w:r w:rsidRPr="00FE001A">
        <w:t>(6), 5467-5487.</w:t>
      </w:r>
      <w:r>
        <w:t xml:space="preserve"> </w:t>
      </w:r>
      <w:hyperlink r:id="rId14" w:history="1">
        <w:r w:rsidRPr="0058182C">
          <w:rPr>
            <w:rStyle w:val="Hyperlink"/>
          </w:rPr>
          <w:t>https://doi.org/10.3390/cimb46060327</w:t>
        </w:r>
      </w:hyperlink>
      <w:r>
        <w:t xml:space="preserve"> </w:t>
      </w:r>
    </w:p>
    <w:p w:rsidR="00396F9F" w:rsidRPr="00ED6712" w:rsidP="00304593">
      <w:pPr>
        <w:rPr>
          <w:bCs/>
        </w:rPr>
      </w:pPr>
      <w:r w:rsidRPr="00ED6712">
        <w:rPr>
          <w:bCs/>
        </w:rPr>
        <w:t xml:space="preserve">Piantoni, P., </w:t>
      </w:r>
      <w:r>
        <w:rPr>
          <w:bCs/>
        </w:rPr>
        <w:t>and</w:t>
      </w:r>
      <w:r w:rsidRPr="00ED6712">
        <w:rPr>
          <w:bCs/>
        </w:rPr>
        <w:t xml:space="preserve"> VandeHaar, M. J. (2023) Symposium review: The impact of absorbed nutrients on energy partitioning throughout lactation. </w:t>
      </w:r>
      <w:r w:rsidRPr="00ED6712">
        <w:rPr>
          <w:bCs/>
          <w:i/>
          <w:iCs/>
        </w:rPr>
        <w:t>Journal of Dairy Science</w:t>
      </w:r>
      <w:r w:rsidRPr="00ED6712">
        <w:rPr>
          <w:bCs/>
        </w:rPr>
        <w:t>, </w:t>
      </w:r>
      <w:r w:rsidRPr="00ED6712">
        <w:rPr>
          <w:bCs/>
          <w:i/>
          <w:iCs/>
        </w:rPr>
        <w:t>106</w:t>
      </w:r>
      <w:r w:rsidRPr="00ED6712">
        <w:rPr>
          <w:bCs/>
        </w:rPr>
        <w:t>(3), 2167-2180.</w:t>
      </w:r>
      <w:r>
        <w:rPr>
          <w:bCs/>
        </w:rPr>
        <w:t xml:space="preserve"> </w:t>
      </w:r>
      <w:hyperlink r:id="rId15" w:history="1">
        <w:r w:rsidRPr="0058182C">
          <w:rPr>
            <w:rStyle w:val="Hyperlink"/>
            <w:bCs/>
          </w:rPr>
          <w:t>https://doi.org/10.3168/jds.2022-22500</w:t>
        </w:r>
      </w:hyperlink>
      <w:r>
        <w:rPr>
          <w:bCs/>
        </w:rPr>
        <w:t xml:space="preserve"> </w:t>
      </w:r>
    </w:p>
    <w:p w:rsidR="00396F9F" w:rsidP="00CE269D">
      <w:r w:rsidRPr="00FE001A">
        <w:t xml:space="preserve">Rostaminasab, S., Nematollahi, M., Jahani, Y., </w:t>
      </w:r>
      <w:r>
        <w:t>and</w:t>
      </w:r>
      <w:r w:rsidRPr="00FE001A">
        <w:t xml:space="preserve"> Mehdipour-Rabori, R. (2023) The effect of family-centered empowerment model on burden of care in parents and blood glucose level of children with type I diabetes family empowerment on burden of care and HbA1C. </w:t>
      </w:r>
      <w:r w:rsidRPr="00FE001A">
        <w:rPr>
          <w:i/>
          <w:iCs/>
        </w:rPr>
        <w:t>BMC nursing</w:t>
      </w:r>
      <w:r w:rsidRPr="00FE001A">
        <w:t>, </w:t>
      </w:r>
      <w:r w:rsidRPr="00FE001A">
        <w:rPr>
          <w:i/>
          <w:iCs/>
        </w:rPr>
        <w:t>22</w:t>
      </w:r>
      <w:r w:rsidRPr="00FE001A">
        <w:t>(1), 214.</w:t>
      </w:r>
      <w:r>
        <w:t xml:space="preserve"> </w:t>
      </w:r>
      <w:hyperlink r:id="rId16" w:history="1">
        <w:r w:rsidRPr="0058182C">
          <w:rPr>
            <w:rStyle w:val="Hyperlink"/>
          </w:rPr>
          <w:t>https://doi.org/10.1186/s12912-023-01375-w</w:t>
        </w:r>
      </w:hyperlink>
      <w:r>
        <w:t xml:space="preserve"> </w:t>
      </w:r>
    </w:p>
    <w:p w:rsidR="00396F9F" w:rsidP="00CE269D">
      <w:r w:rsidRPr="00FE001A">
        <w:t xml:space="preserve">Xu, Y., Pouncey, A. L., Zhou, Z., Woodward, M., </w:t>
      </w:r>
      <w:r>
        <w:t>and</w:t>
      </w:r>
      <w:r w:rsidRPr="00FE001A">
        <w:t xml:space="preserve"> Harris, K. (2024) Smoking as a risk factor for lower extremity peripheral artery disease in women compared to men: A systematic review and meta-analysis. </w:t>
      </w:r>
      <w:r w:rsidRPr="00FE001A">
        <w:rPr>
          <w:i/>
          <w:iCs/>
        </w:rPr>
        <w:t>Plos one</w:t>
      </w:r>
      <w:r w:rsidRPr="00FE001A">
        <w:t>, </w:t>
      </w:r>
      <w:r w:rsidRPr="00FE001A">
        <w:rPr>
          <w:i/>
          <w:iCs/>
        </w:rPr>
        <w:t>19</w:t>
      </w:r>
      <w:r w:rsidRPr="00FE001A">
        <w:t>(4), e0300963.</w:t>
      </w:r>
      <w:r>
        <w:t xml:space="preserve"> </w:t>
      </w:r>
      <w:hyperlink r:id="rId17" w:history="1">
        <w:r w:rsidRPr="0058182C">
          <w:rPr>
            <w:rStyle w:val="Hyperlink"/>
          </w:rPr>
          <w:t>https://doi.org/10.1371/journal.pone.0300963</w:t>
        </w:r>
      </w:hyperlink>
      <w:r>
        <w:t xml:space="preserve"> </w:t>
      </w:r>
    </w:p>
    <w:p w:rsidR="00396F9F" w:rsidP="00CE269D">
      <w:r w:rsidRPr="00FE001A">
        <w:t xml:space="preserve">Yang, M., Duan, Y., Liang, W., Peiris, D. L. I. H. K., </w:t>
      </w:r>
      <w:r>
        <w:t>and</w:t>
      </w:r>
      <w:r w:rsidRPr="00FE001A">
        <w:t xml:space="preserve"> Baker, J. S. (2023) Effects of face-to-face and ehealth blended interventions on physical activity, diet, and weight-related outcomes among adults: a systematic review and meta-analysis. </w:t>
      </w:r>
      <w:r w:rsidRPr="00FE001A">
        <w:rPr>
          <w:i/>
          <w:iCs/>
        </w:rPr>
        <w:t>International Journal of Environmental Research and Public Health</w:t>
      </w:r>
      <w:r w:rsidRPr="00FE001A">
        <w:t>, </w:t>
      </w:r>
      <w:r w:rsidRPr="00FE001A">
        <w:rPr>
          <w:i/>
          <w:iCs/>
        </w:rPr>
        <w:t>20</w:t>
      </w:r>
      <w:r w:rsidRPr="00FE001A">
        <w:t>(2), 1560.</w:t>
      </w:r>
      <w:r>
        <w:t xml:space="preserve"> </w:t>
      </w:r>
      <w:hyperlink r:id="rId18" w:history="1">
        <w:r w:rsidRPr="0058182C">
          <w:rPr>
            <w:rStyle w:val="Hyperlink"/>
          </w:rPr>
          <w:t>https://doi.org/10.3390/ijerph20021560</w:t>
        </w:r>
      </w:hyperlink>
      <w:r>
        <w:t xml:space="preserve"> </w:t>
      </w:r>
    </w:p>
    <w:p w:rsidR="00304593" w:rsidP="00CE269D"/>
    <w:p w:rsidR="001F3CA7" w:rsidRPr="00CE269D" w:rsidP="00CE269D"/>
    <w:sectPr w:rsidSect="00C574A8">
      <w:footerReference w:type="default" r:id="rId19"/>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063438"/>
      <w:docPartObj>
        <w:docPartGallery w:val="Page Numbers (Bottom of Page)"/>
        <w:docPartUnique/>
      </w:docPartObj>
    </w:sdtPr>
    <w:sdtContent>
      <w:p w:rsidR="00396F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96F9F">
    <w:pPr>
      <w:pStyle w:val="Footer"/>
    </w:pPr>
  </w:p>
</w:ft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8"/>
  <w:defaultTabStop w:val="720"/>
  <w:characterSpacingControl w:val="doNotCompress"/>
  <w:compat/>
  <w:rsids>
    <w:rsidRoot w:val="00CE269D"/>
    <w:rsid w:val="000D44FB"/>
    <w:rsid w:val="000D56FF"/>
    <w:rsid w:val="001F3CA7"/>
    <w:rsid w:val="002723C4"/>
    <w:rsid w:val="00304593"/>
    <w:rsid w:val="00310FCD"/>
    <w:rsid w:val="003313B4"/>
    <w:rsid w:val="00396F9F"/>
    <w:rsid w:val="004F1C81"/>
    <w:rsid w:val="00577027"/>
    <w:rsid w:val="0058182C"/>
    <w:rsid w:val="005F70EF"/>
    <w:rsid w:val="006814B2"/>
    <w:rsid w:val="0075151A"/>
    <w:rsid w:val="00801635"/>
    <w:rsid w:val="00947F19"/>
    <w:rsid w:val="00A444F1"/>
    <w:rsid w:val="00A7439F"/>
    <w:rsid w:val="00B655D1"/>
    <w:rsid w:val="00C40284"/>
    <w:rsid w:val="00C574A8"/>
    <w:rsid w:val="00C60769"/>
    <w:rsid w:val="00C742FA"/>
    <w:rsid w:val="00CA0E1C"/>
    <w:rsid w:val="00CD622C"/>
    <w:rsid w:val="00CE269D"/>
    <w:rsid w:val="00ED6712"/>
    <w:rsid w:val="00F271B5"/>
    <w:rsid w:val="00F33E2A"/>
    <w:rsid w:val="00FB481C"/>
    <w:rsid w:val="00FE001A"/>
  </w:rsids>
  <m:mathPr>
    <m:mathFont m:val="Cambria Math"/>
    <m:smallFrac/>
  </m:mathPr>
  <w:themeFontLang w:val="en-U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56FF"/>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75151A"/>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75151A"/>
    <w:pPr>
      <w:keepNext/>
      <w:keepLines/>
      <w:spacing w:before="160" w:after="80"/>
      <w:outlineLvl w:val="1"/>
    </w:pPr>
    <w:rPr>
      <w:rFonts w:eastAsiaTheme="majorEastAsia" w:cstheme="majorBidi"/>
      <w:color w:val="000000" w:themeColor="text1"/>
      <w:szCs w:val="32"/>
      <w:u w:val="single"/>
    </w:rPr>
  </w:style>
  <w:style w:type="paragraph" w:styleId="Heading3">
    <w:name w:val="heading 3"/>
    <w:basedOn w:val="Normal"/>
    <w:next w:val="Normal"/>
    <w:link w:val="Heading3Char"/>
    <w:uiPriority w:val="9"/>
    <w:semiHidden/>
    <w:unhideWhenUsed/>
    <w:qFormat/>
    <w:rsid w:val="00CE269D"/>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E269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E269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E269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E269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E269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E269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51A"/>
    <w:rPr>
      <w:rFonts w:ascii="Times New Roman" w:hAnsi="Times New Roman" w:eastAsiaTheme="majorEastAsia" w:cstheme="majorBidi"/>
      <w:b/>
      <w:color w:val="000000" w:themeColor="text1"/>
      <w:sz w:val="28"/>
      <w:szCs w:val="40"/>
    </w:rPr>
  </w:style>
  <w:style w:type="character" w:customStyle="1" w:styleId="Heading2Char">
    <w:name w:val="Heading 2 Char"/>
    <w:basedOn w:val="DefaultParagraphFont"/>
    <w:link w:val="Heading2"/>
    <w:uiPriority w:val="9"/>
    <w:rsid w:val="0075151A"/>
    <w:rPr>
      <w:rFonts w:ascii="Times New Roman" w:hAnsi="Times New Roman" w:eastAsiaTheme="majorEastAsia" w:cstheme="majorBidi"/>
      <w:color w:val="000000" w:themeColor="text1"/>
      <w:szCs w:val="32"/>
      <w:u w:val="single"/>
    </w:rPr>
  </w:style>
  <w:style w:type="character" w:customStyle="1" w:styleId="Heading3Char">
    <w:name w:val="Heading 3 Char"/>
    <w:basedOn w:val="DefaultParagraphFont"/>
    <w:link w:val="Heading3"/>
    <w:uiPriority w:val="9"/>
    <w:semiHidden/>
    <w:rsid w:val="00CE269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E269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E269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E26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26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26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269D"/>
    <w:rPr>
      <w:rFonts w:eastAsiaTheme="majorEastAsia" w:cstheme="majorBidi"/>
      <w:color w:val="272727" w:themeColor="text1" w:themeTint="D8"/>
    </w:rPr>
  </w:style>
  <w:style w:type="paragraph" w:styleId="Title">
    <w:name w:val="Title"/>
    <w:basedOn w:val="Normal"/>
    <w:next w:val="Normal"/>
    <w:link w:val="TitleChar"/>
    <w:uiPriority w:val="10"/>
    <w:qFormat/>
    <w:rsid w:val="00CE26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26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269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26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269D"/>
    <w:pPr>
      <w:spacing w:before="160"/>
      <w:jc w:val="center"/>
    </w:pPr>
    <w:rPr>
      <w:i/>
      <w:iCs/>
      <w:color w:val="404040" w:themeColor="text1" w:themeTint="BF"/>
    </w:rPr>
  </w:style>
  <w:style w:type="character" w:customStyle="1" w:styleId="QuoteChar">
    <w:name w:val="Quote Char"/>
    <w:basedOn w:val="DefaultParagraphFont"/>
    <w:link w:val="Quote"/>
    <w:uiPriority w:val="29"/>
    <w:rsid w:val="00CE269D"/>
    <w:rPr>
      <w:rFonts w:ascii="Times New Roman" w:hAnsi="Times New Roman"/>
      <w:i/>
      <w:iCs/>
      <w:color w:val="404040" w:themeColor="text1" w:themeTint="BF"/>
    </w:rPr>
  </w:style>
  <w:style w:type="paragraph" w:styleId="ListParagraph">
    <w:name w:val="List Paragraph"/>
    <w:basedOn w:val="Normal"/>
    <w:uiPriority w:val="34"/>
    <w:qFormat/>
    <w:rsid w:val="00CE269D"/>
    <w:pPr>
      <w:ind w:left="720"/>
      <w:contextualSpacing/>
    </w:pPr>
  </w:style>
  <w:style w:type="character" w:styleId="IntenseEmphasis">
    <w:name w:val="Intense Emphasis"/>
    <w:basedOn w:val="DefaultParagraphFont"/>
    <w:uiPriority w:val="21"/>
    <w:qFormat/>
    <w:rsid w:val="00CE269D"/>
    <w:rPr>
      <w:i/>
      <w:iCs/>
      <w:color w:val="2F5496" w:themeColor="accent1" w:themeShade="BF"/>
    </w:rPr>
  </w:style>
  <w:style w:type="paragraph" w:styleId="IntenseQuote">
    <w:name w:val="Intense Quote"/>
    <w:basedOn w:val="Normal"/>
    <w:next w:val="Normal"/>
    <w:link w:val="IntenseQuoteChar"/>
    <w:uiPriority w:val="30"/>
    <w:qFormat/>
    <w:rsid w:val="00CE269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E269D"/>
    <w:rPr>
      <w:rFonts w:ascii="Times New Roman" w:hAnsi="Times New Roman"/>
      <w:i/>
      <w:iCs/>
      <w:color w:val="2F5496" w:themeColor="accent1" w:themeShade="BF"/>
    </w:rPr>
  </w:style>
  <w:style w:type="character" w:styleId="IntenseReference">
    <w:name w:val="Intense Reference"/>
    <w:basedOn w:val="DefaultParagraphFont"/>
    <w:uiPriority w:val="32"/>
    <w:qFormat/>
    <w:rsid w:val="00CE269D"/>
    <w:rPr>
      <w:b/>
      <w:bCs/>
      <w:smallCaps/>
      <w:color w:val="2F5496" w:themeColor="accent1" w:themeShade="BF"/>
      <w:spacing w:val="5"/>
    </w:rPr>
  </w:style>
  <w:style w:type="paragraph" w:styleId="TOCHeading">
    <w:name w:val="TOC Heading"/>
    <w:basedOn w:val="Heading1"/>
    <w:next w:val="Normal"/>
    <w:uiPriority w:val="39"/>
    <w:semiHidden/>
    <w:unhideWhenUsed/>
    <w:qFormat/>
    <w:rsid w:val="001F3CA7"/>
    <w:pPr>
      <w:spacing w:before="480" w:after="0" w:line="276" w:lineRule="auto"/>
      <w:jc w:val="left"/>
      <w:outlineLvl w:val="9"/>
    </w:pPr>
    <w:rPr>
      <w:rFonts w:asciiTheme="majorHAnsi" w:hAnsiTheme="majorHAnsi"/>
      <w:bCs/>
      <w:color w:val="2F5496" w:themeColor="accent1" w:themeShade="BF"/>
      <w:kern w:val="0"/>
      <w:szCs w:val="28"/>
    </w:rPr>
  </w:style>
  <w:style w:type="paragraph" w:styleId="TOC1">
    <w:name w:val="toc 1"/>
    <w:basedOn w:val="Normal"/>
    <w:next w:val="Normal"/>
    <w:autoRedefine/>
    <w:uiPriority w:val="39"/>
    <w:unhideWhenUsed/>
    <w:rsid w:val="001F3CA7"/>
    <w:pPr>
      <w:spacing w:after="100"/>
    </w:pPr>
  </w:style>
  <w:style w:type="paragraph" w:styleId="TOC2">
    <w:name w:val="toc 2"/>
    <w:basedOn w:val="Normal"/>
    <w:next w:val="Normal"/>
    <w:autoRedefine/>
    <w:uiPriority w:val="39"/>
    <w:unhideWhenUsed/>
    <w:rsid w:val="001F3CA7"/>
    <w:pPr>
      <w:spacing w:after="100"/>
      <w:ind w:left="240"/>
    </w:pPr>
  </w:style>
  <w:style w:type="character" w:styleId="Hyperlink">
    <w:name w:val="Hyperlink"/>
    <w:basedOn w:val="DefaultParagraphFont"/>
    <w:uiPriority w:val="99"/>
    <w:unhideWhenUsed/>
    <w:rsid w:val="001F3CA7"/>
    <w:rPr>
      <w:color w:val="0563C1" w:themeColor="hyperlink"/>
      <w:u w:val="single"/>
    </w:rPr>
  </w:style>
  <w:style w:type="paragraph" w:styleId="BalloonText">
    <w:name w:val="Balloon Text"/>
    <w:basedOn w:val="Normal"/>
    <w:link w:val="BalloonTextChar"/>
    <w:uiPriority w:val="99"/>
    <w:semiHidden/>
    <w:unhideWhenUsed/>
    <w:rsid w:val="001F3C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3CA7"/>
    <w:rPr>
      <w:rFonts w:ascii="Tahoma" w:hAnsi="Tahoma" w:cs="Tahoma"/>
      <w:sz w:val="16"/>
      <w:szCs w:val="16"/>
    </w:rPr>
  </w:style>
  <w:style w:type="paragraph" w:styleId="Header">
    <w:name w:val="header"/>
    <w:basedOn w:val="Normal"/>
    <w:link w:val="HeaderChar"/>
    <w:uiPriority w:val="99"/>
    <w:semiHidden/>
    <w:unhideWhenUsed/>
    <w:rsid w:val="00396F9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96F9F"/>
    <w:rPr>
      <w:rFonts w:ascii="Times New Roman" w:hAnsi="Times New Roman"/>
    </w:rPr>
  </w:style>
  <w:style w:type="paragraph" w:styleId="Footer">
    <w:name w:val="footer"/>
    <w:basedOn w:val="Normal"/>
    <w:link w:val="FooterChar"/>
    <w:uiPriority w:val="99"/>
    <w:unhideWhenUsed/>
    <w:rsid w:val="00396F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6F9F"/>
    <w:rPr>
      <w:rFonts w:ascii="Times New Roman" w:hAnsi="Times New Roman"/>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doi.org/10.3390/jcm14093155" TargetMode="External" /><Relationship Id="rId11" Type="http://schemas.openxmlformats.org/officeDocument/2006/relationships/hyperlink" Target="https://www.taylorfrancis.com/chapters/edit/10.1201/9781003426837-17/pathophysiology-excretory-system-poornima-gumasta-narendra-kumar-prasanna-pal-rachana-sharma" TargetMode="External" /><Relationship Id="rId12" Type="http://schemas.openxmlformats.org/officeDocument/2006/relationships/hyperlink" Target="https://doi.org/10.2337/dbi22-0002" TargetMode="External" /><Relationship Id="rId13" Type="http://schemas.openxmlformats.org/officeDocument/2006/relationships/hyperlink" Target="https://doi.org/10.3390/nu14030647" TargetMode="External" /><Relationship Id="rId14" Type="http://schemas.openxmlformats.org/officeDocument/2006/relationships/hyperlink" Target="https://doi.org/10.3390/cimb46060327" TargetMode="External" /><Relationship Id="rId15" Type="http://schemas.openxmlformats.org/officeDocument/2006/relationships/hyperlink" Target="https://doi.org/10.3168/jds.2022-22500" TargetMode="External" /><Relationship Id="rId16" Type="http://schemas.openxmlformats.org/officeDocument/2006/relationships/hyperlink" Target="https://doi.org/10.1186/s12912-023-01375-w" TargetMode="External" /><Relationship Id="rId17" Type="http://schemas.openxmlformats.org/officeDocument/2006/relationships/hyperlink" Target="https://doi.org/10.1371/journal.pone.0300963" TargetMode="External" /><Relationship Id="rId18" Type="http://schemas.openxmlformats.org/officeDocument/2006/relationships/hyperlink" Target="https://doi.org/10.3390/ijerph20021560" TargetMode="External" /><Relationship Id="rId19" Type="http://schemas.openxmlformats.org/officeDocument/2006/relationships/footer" Target="footer1.xml" /><Relationship Id="rId2" Type="http://schemas.openxmlformats.org/officeDocument/2006/relationships/webSettings" Target="webSettings.xml" /><Relationship Id="rId20" Type="http://schemas.openxmlformats.org/officeDocument/2006/relationships/theme" Target="theme/theme1.xml" /><Relationship Id="rId21" Type="http://schemas.openxmlformats.org/officeDocument/2006/relationships/styles" Target="style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hyperlink" Target="https://doi.org/10.56961/jpeph.v1i2.657" TargetMode="External" /><Relationship Id="rId6" Type="http://schemas.openxmlformats.org/officeDocument/2006/relationships/hyperlink" Target="https://doi.org/10.1080/10408398.2022.2130160" TargetMode="External" /><Relationship Id="rId7" Type="http://schemas.openxmlformats.org/officeDocument/2006/relationships/hyperlink" Target="https://www.ncbi.nlm.nih.gov/books/NBK482303/" TargetMode="External" /><Relationship Id="rId8" Type="http://schemas.openxmlformats.org/officeDocument/2006/relationships/hyperlink" Target="https://my.clevelandclinic.org/health/diseases/21501-type-2-diabetes" TargetMode="External" /><Relationship Id="rId9" Type="http://schemas.openxmlformats.org/officeDocument/2006/relationships/hyperlink" Target="https://doi.org/10.1186/s12913-023-09752-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251EF7-1372-4564-B5A8-1A8DCD4C8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2841</Words>
  <Characters>16196</Characters>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2026-06-27T07:43:00Z</dcterms:created>
  <dcterms:modified xsi:type="dcterms:W3CDTF">2026-06-27T07:43:00Z</dcterms:modified>
</cp:coreProperties>
</file>