
<file path=[Content_Types].xml><?xml version="1.0" encoding="utf-8"?>
<Types xmlns="http://schemas.openxmlformats.org/package/2006/content-types">
  <Default Extension="jpeg" ContentType="image/jpeg"/>
  <Default Extension="png" ContentType="image/png"/>
  <Default Extension="ppm"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EE49B" w14:textId="6F674B8A" w:rsidR="00DB070E" w:rsidRPr="007D5D51" w:rsidRDefault="00C4288E" w:rsidP="007D5D51">
      <w:pPr>
        <w:pStyle w:val="papertitle"/>
        <w:spacing w:before="100" w:beforeAutospacing="1"/>
        <w:rPr>
          <w:rFonts w:eastAsiaTheme="minorEastAsia"/>
          <w:lang w:eastAsia="zh-CN"/>
        </w:rPr>
        <w:sectPr w:rsidR="00DB070E" w:rsidRPr="007D5D51">
          <w:footerReference w:type="first" r:id="rId8"/>
          <w:pgSz w:w="11906" w:h="16838"/>
          <w:pgMar w:top="540" w:right="893" w:bottom="1440" w:left="893" w:header="720" w:footer="720" w:gutter="0"/>
          <w:cols w:space="720"/>
          <w:titlePg/>
          <w:docGrid w:linePitch="360"/>
        </w:sectPr>
      </w:pPr>
      <w:r>
        <w:rPr>
          <w:b/>
          <w:sz w:val="28"/>
          <w:szCs w:val="28"/>
        </w:rPr>
        <w:fldChar w:fldCharType="begin"/>
      </w:r>
      <w:r>
        <w:rPr>
          <w:b/>
          <w:sz w:val="28"/>
          <w:szCs w:val="28"/>
        </w:rPr>
        <w:instrText xml:space="preserve"> MACROBUTTON MTEditEquationSection2 </w:instrText>
      </w:r>
      <w:r>
        <w:rPr>
          <w:rStyle w:val="MTEquationSection"/>
        </w:rPr>
        <w:instrText>公式章</w:instrText>
      </w:r>
      <w:r>
        <w:rPr>
          <w:rStyle w:val="MTEquationSection"/>
        </w:rPr>
        <w:instrText xml:space="preserve"> 1 </w:instrText>
      </w:r>
      <w:r>
        <w:rPr>
          <w:rStyle w:val="MTEquationSection"/>
          <w:rFonts w:eastAsia="微软雅黑"/>
        </w:rPr>
        <w:instrText>节</w:instrText>
      </w:r>
      <w:r>
        <w:rPr>
          <w:rStyle w:val="MTEquationSection"/>
        </w:rPr>
        <w:instrText xml:space="preserve"> 1</w:instrText>
      </w:r>
      <w:r>
        <w:rPr>
          <w:b/>
          <w:sz w:val="28"/>
          <w:szCs w:val="28"/>
        </w:rPr>
        <w:fldChar w:fldCharType="begin"/>
      </w:r>
      <w:r>
        <w:rPr>
          <w:b/>
          <w:sz w:val="28"/>
          <w:szCs w:val="28"/>
        </w:rPr>
        <w:instrText xml:space="preserve"> SEQ MTEqn \r \h \* MERGEFORMAT </w:instrText>
      </w:r>
      <w:r>
        <w:rPr>
          <w:b/>
          <w:sz w:val="28"/>
          <w:szCs w:val="28"/>
        </w:rPr>
        <w:fldChar w:fldCharType="end"/>
      </w:r>
      <w:r>
        <w:rPr>
          <w:b/>
          <w:sz w:val="28"/>
          <w:szCs w:val="28"/>
        </w:rPr>
        <w:fldChar w:fldCharType="begin"/>
      </w:r>
      <w:r>
        <w:rPr>
          <w:b/>
          <w:sz w:val="28"/>
          <w:szCs w:val="28"/>
        </w:rPr>
        <w:instrText xml:space="preserve"> SEQ MTSec \r 1 \h \* MERGEFORMAT </w:instrText>
      </w:r>
      <w:r>
        <w:rPr>
          <w:b/>
          <w:sz w:val="28"/>
          <w:szCs w:val="28"/>
        </w:rPr>
        <w:fldChar w:fldCharType="end"/>
      </w:r>
      <w:r>
        <w:rPr>
          <w:b/>
          <w:sz w:val="28"/>
          <w:szCs w:val="28"/>
        </w:rPr>
        <w:fldChar w:fldCharType="begin"/>
      </w:r>
      <w:r>
        <w:rPr>
          <w:b/>
          <w:sz w:val="28"/>
          <w:szCs w:val="28"/>
        </w:rPr>
        <w:instrText xml:space="preserve"> SEQ MTChap \r 1 \h \* MERGEFORMAT </w:instrText>
      </w:r>
      <w:r>
        <w:rPr>
          <w:b/>
          <w:sz w:val="28"/>
          <w:szCs w:val="28"/>
        </w:rPr>
        <w:fldChar w:fldCharType="end"/>
      </w:r>
      <w:r>
        <w:rPr>
          <w:b/>
          <w:sz w:val="28"/>
          <w:szCs w:val="28"/>
        </w:rPr>
        <w:fldChar w:fldCharType="end"/>
      </w:r>
      <w:r>
        <w:t xml:space="preserve"> </w:t>
      </w:r>
      <w:r w:rsidR="00320954" w:rsidRPr="00320954">
        <w:t xml:space="preserve"> </w:t>
      </w:r>
      <w:r w:rsidR="004131FB" w:rsidRPr="004131FB">
        <w:t>A Comprehensive Approach to Enhancing Information Security at NatureGarden</w:t>
      </w:r>
    </w:p>
    <w:p w14:paraId="2464C84E" w14:textId="77777777" w:rsidR="00FB1662" w:rsidRDefault="00FB1662">
      <w:pPr>
        <w:pStyle w:val="Author"/>
        <w:spacing w:before="100" w:beforeAutospacing="1"/>
        <w:sectPr w:rsidR="00FB1662">
          <w:type w:val="continuous"/>
          <w:pgSz w:w="11906" w:h="16838"/>
          <w:pgMar w:top="450" w:right="893" w:bottom="1440" w:left="893" w:header="720" w:footer="720" w:gutter="0"/>
          <w:cols w:num="3" w:space="720"/>
          <w:docGrid w:linePitch="360"/>
        </w:sectPr>
      </w:pPr>
    </w:p>
    <w:p w14:paraId="49652271" w14:textId="5BD74103" w:rsidR="00FB1662" w:rsidRDefault="00C4288E">
      <w:pPr>
        <w:pStyle w:val="Author"/>
        <w:spacing w:before="0" w:after="0"/>
        <w:textAlignment w:val="center"/>
        <w:rPr>
          <w:sz w:val="21"/>
          <w:szCs w:val="21"/>
        </w:rPr>
      </w:pPr>
      <w:r>
        <w:rPr>
          <w:sz w:val="21"/>
          <w:szCs w:val="21"/>
        </w:rPr>
        <w:t>Wenhao Zhong</w:t>
      </w:r>
      <w:r>
        <w:rPr>
          <w:sz w:val="21"/>
          <w:szCs w:val="21"/>
          <w:vertAlign w:val="superscript"/>
          <w:lang w:eastAsia="zh-CN"/>
        </w:rPr>
        <w:t>*</w:t>
      </w:r>
    </w:p>
    <w:p w14:paraId="16D793E7" w14:textId="0FA00089" w:rsidR="00FB1662" w:rsidRDefault="00C4288E">
      <w:pPr>
        <w:pStyle w:val="Author"/>
        <w:spacing w:before="0" w:after="0"/>
        <w:textAlignment w:val="center"/>
        <w:rPr>
          <w:sz w:val="21"/>
          <w:szCs w:val="21"/>
        </w:rPr>
      </w:pPr>
      <w:r>
        <w:rPr>
          <w:sz w:val="21"/>
          <w:szCs w:val="21"/>
          <w:vertAlign w:val="superscript"/>
          <w:lang w:eastAsia="zh-CN"/>
        </w:rPr>
        <w:t>*</w:t>
      </w:r>
      <w:r w:rsidR="00891294">
        <w:rPr>
          <w:sz w:val="21"/>
          <w:szCs w:val="21"/>
        </w:rPr>
        <w:t>Wales Institute</w:t>
      </w:r>
      <w:r>
        <w:rPr>
          <w:sz w:val="21"/>
          <w:szCs w:val="21"/>
        </w:rPr>
        <w:t xml:space="preserve"> of </w:t>
      </w:r>
      <w:r w:rsidR="00891294">
        <w:rPr>
          <w:sz w:val="21"/>
          <w:szCs w:val="21"/>
        </w:rPr>
        <w:t>Science</w:t>
      </w:r>
      <w:r>
        <w:rPr>
          <w:sz w:val="21"/>
          <w:szCs w:val="21"/>
        </w:rPr>
        <w:t xml:space="preserve"> and</w:t>
      </w:r>
      <w:r w:rsidR="00891294" w:rsidRPr="00891294">
        <w:rPr>
          <w:sz w:val="21"/>
          <w:szCs w:val="21"/>
        </w:rPr>
        <w:t xml:space="preserve"> </w:t>
      </w:r>
      <w:r w:rsidR="00891294">
        <w:rPr>
          <w:sz w:val="21"/>
          <w:szCs w:val="21"/>
        </w:rPr>
        <w:t>Art</w:t>
      </w:r>
      <w:r>
        <w:rPr>
          <w:sz w:val="21"/>
          <w:szCs w:val="21"/>
        </w:rPr>
        <w:t>, University of Wales Trinity Saint David, Swansea SA1 8EW, United Kingdom</w:t>
      </w:r>
    </w:p>
    <w:p w14:paraId="6751B4F2" w14:textId="0862FAD8" w:rsidR="00FB1662" w:rsidRDefault="00C4288E">
      <w:pPr>
        <w:textAlignment w:val="center"/>
        <w:rPr>
          <w:sz w:val="21"/>
          <w:szCs w:val="21"/>
        </w:rPr>
        <w:sectPr w:rsidR="00FB1662">
          <w:type w:val="continuous"/>
          <w:pgSz w:w="11906" w:h="16838"/>
          <w:pgMar w:top="450" w:right="893" w:bottom="1440" w:left="893" w:header="720" w:footer="720" w:gutter="0"/>
          <w:cols w:space="720"/>
          <w:docGrid w:linePitch="360"/>
        </w:sectPr>
      </w:pPr>
      <w:proofErr w:type="gramStart"/>
      <w:r>
        <w:rPr>
          <w:sz w:val="21"/>
          <w:szCs w:val="21"/>
        </w:rPr>
        <w:t>Email:2304553@student.uwtsd.ac.uk</w:t>
      </w:r>
      <w:proofErr w:type="gramEnd"/>
    </w:p>
    <w:p w14:paraId="44979250" w14:textId="77777777" w:rsidR="00FB1662" w:rsidRDefault="00C4288E">
      <w:pPr>
        <w:sectPr w:rsidR="00FB1662">
          <w:type w:val="continuous"/>
          <w:pgSz w:w="11906" w:h="16838"/>
          <w:pgMar w:top="450" w:right="893" w:bottom="1440" w:left="893" w:header="720" w:footer="720" w:gutter="0"/>
          <w:cols w:num="3" w:space="720"/>
          <w:docGrid w:linePitch="360"/>
        </w:sectPr>
      </w:pPr>
      <w:r>
        <w:br w:type="column"/>
      </w:r>
    </w:p>
    <w:p w14:paraId="4D183114" w14:textId="532418FE" w:rsidR="00396C1F" w:rsidRPr="0041005B" w:rsidRDefault="00C4288E" w:rsidP="00396C1F">
      <w:pPr>
        <w:pStyle w:val="Abstract"/>
      </w:pPr>
      <w:r w:rsidRPr="0041005B">
        <w:rPr>
          <w:i/>
          <w:iCs/>
        </w:rPr>
        <w:t>Abstract</w:t>
      </w:r>
      <w:r w:rsidRPr="0041005B">
        <w:t>—</w:t>
      </w:r>
      <w:bookmarkStart w:id="0" w:name="OLE_LINK3"/>
      <w:r w:rsidR="00396C1F" w:rsidRPr="0041005B">
        <w:t>In the ever-expanding digital landscape, ensuring robust information security, governance, and compliance is paramount for organizations. This study focuses on NatureGarden (NG), a global health and wellness brand, examining the application of key frameworks: Information Technology Infrastructure Library (ITIL), International Organization for Standardization (ISO) 27000 series, Role-Based Access Control (RBAC), and the Zero Trust Security Model.</w:t>
      </w:r>
      <w:r w:rsidR="0041005B" w:rsidRPr="0041005B">
        <w:t xml:space="preserve"> T</w:t>
      </w:r>
      <w:r w:rsidR="00396C1F" w:rsidRPr="0041005B">
        <w:t>he importance of continually updating regulations and standards in the face of evolving threats</w:t>
      </w:r>
      <w:r w:rsidR="0041005B" w:rsidRPr="0041005B">
        <w:t xml:space="preserve"> is </w:t>
      </w:r>
      <w:r w:rsidR="0041005B" w:rsidRPr="0041005B">
        <w:t>emphasize</w:t>
      </w:r>
      <w:r w:rsidR="0041005B" w:rsidRPr="0041005B">
        <w:t>d</w:t>
      </w:r>
      <w:r w:rsidR="00396C1F" w:rsidRPr="0041005B">
        <w:t>. NG's commitment to adaptation becomes crucial for resilience and success in the dynamic digital landscape.</w:t>
      </w:r>
      <w:r w:rsidR="0041005B" w:rsidRPr="0041005B">
        <w:t xml:space="preserve"> The</w:t>
      </w:r>
      <w:r w:rsidR="0041005B" w:rsidRPr="0041005B">
        <w:t xml:space="preserve"> conclusion</w:t>
      </w:r>
      <w:r w:rsidR="0041005B" w:rsidRPr="0041005B">
        <w:t xml:space="preserve"> shows that</w:t>
      </w:r>
      <w:r w:rsidR="0041005B" w:rsidRPr="0041005B">
        <w:t xml:space="preserve"> the study </w:t>
      </w:r>
      <w:r w:rsidR="0041005B" w:rsidRPr="0041005B">
        <w:t xml:space="preserve">can </w:t>
      </w:r>
      <w:r w:rsidR="0041005B" w:rsidRPr="0041005B">
        <w:t>provide NG with a tailored strategy, amalgamating insights from diverse security frameworks and models.</w:t>
      </w:r>
    </w:p>
    <w:bookmarkEnd w:id="0"/>
    <w:p w14:paraId="525D543F" w14:textId="19D78FED" w:rsidR="00FB1662" w:rsidRDefault="00C4288E">
      <w:pPr>
        <w:pStyle w:val="keywords0"/>
      </w:pPr>
      <w:r w:rsidRPr="0041005B">
        <w:t>Keywords-</w:t>
      </w:r>
      <w:r w:rsidRPr="0041005B">
        <w:rPr>
          <w:lang w:eastAsia="zh-CN"/>
        </w:rPr>
        <w:t xml:space="preserve"> I</w:t>
      </w:r>
      <w:r w:rsidR="00396C1F" w:rsidRPr="007D5D51">
        <w:rPr>
          <w:lang w:eastAsia="zh-CN"/>
        </w:rPr>
        <w:t>nformation Security</w:t>
      </w:r>
      <w:r w:rsidRPr="0041005B">
        <w:rPr>
          <w:lang w:eastAsia="zh-CN"/>
        </w:rPr>
        <w:t xml:space="preserve">; </w:t>
      </w:r>
      <w:r w:rsidR="00396C1F" w:rsidRPr="007D5D51">
        <w:rPr>
          <w:lang w:eastAsia="zh-CN"/>
        </w:rPr>
        <w:t>ITIL</w:t>
      </w:r>
      <w:r w:rsidRPr="0041005B">
        <w:rPr>
          <w:lang w:eastAsia="zh-CN"/>
        </w:rPr>
        <w:t xml:space="preserve">; </w:t>
      </w:r>
      <w:r w:rsidR="00396C1F" w:rsidRPr="007D5D51">
        <w:rPr>
          <w:lang w:eastAsia="zh-CN"/>
        </w:rPr>
        <w:t>ISO</w:t>
      </w:r>
      <w:r w:rsidRPr="0041005B">
        <w:rPr>
          <w:lang w:eastAsia="zh-CN"/>
        </w:rPr>
        <w:t xml:space="preserve">; </w:t>
      </w:r>
      <w:r w:rsidR="00396C1F" w:rsidRPr="007D5D51">
        <w:rPr>
          <w:lang w:eastAsia="zh-CN"/>
        </w:rPr>
        <w:t>RBAC</w:t>
      </w:r>
      <w:r w:rsidRPr="0041005B">
        <w:rPr>
          <w:lang w:eastAsia="zh-CN"/>
        </w:rPr>
        <w:t>;</w:t>
      </w:r>
      <w:r w:rsidR="00396C1F" w:rsidRPr="0041005B">
        <w:rPr>
          <w:lang w:eastAsia="zh-CN"/>
        </w:rPr>
        <w:t xml:space="preserve"> Zero-Trust Security Model;</w:t>
      </w:r>
    </w:p>
    <w:p w14:paraId="6175C92E" w14:textId="77777777" w:rsidR="00FB1662" w:rsidRDefault="00C4288E">
      <w:pPr>
        <w:pStyle w:val="1"/>
        <w:ind w:firstLine="216"/>
      </w:pPr>
      <w:r>
        <w:t xml:space="preserve"> Introduction </w:t>
      </w:r>
    </w:p>
    <w:p w14:paraId="7188802E" w14:textId="0A860222" w:rsidR="00F31AAA" w:rsidRPr="00F31AAA" w:rsidRDefault="00F31AAA" w:rsidP="00F31AAA">
      <w:pPr>
        <w:pStyle w:val="a5"/>
        <w:ind w:firstLineChars="100" w:firstLine="199"/>
        <w:rPr>
          <w:lang w:val="en-US"/>
        </w:rPr>
      </w:pPr>
      <w:r w:rsidRPr="00F31AAA">
        <w:rPr>
          <w:lang w:val="en-US"/>
        </w:rPr>
        <w:t xml:space="preserve">In an era marked by the pervasive influence of the internet, the demand for online information has reached unprecedented heights, propelling businesses into an ever-expanding digital landscape. This paradigm shift, while offering immense opportunities, has also given rise to a formidable challenge—the relentless threat of </w:t>
      </w:r>
      <w:proofErr w:type="spellStart"/>
      <w:r w:rsidRPr="00F31AAA">
        <w:rPr>
          <w:lang w:val="en-US"/>
        </w:rPr>
        <w:t>cyber attacks</w:t>
      </w:r>
      <w:proofErr w:type="spellEnd"/>
      <w:r w:rsidRPr="00F31AAA">
        <w:rPr>
          <w:lang w:val="en-US"/>
        </w:rPr>
        <w:t xml:space="preserve"> on invaluable information assets. Among the myriad enterprises navigating this digital frontier, NatureGarden (NG) stands out as a globally recognized brand in the health and wellness sector. With an extensive international footprint, NG relies on cloud services for the seamless delivery of IT services to both its staff and clients, with an estimated 95% of its network functioning wirelessly.</w:t>
      </w:r>
    </w:p>
    <w:p w14:paraId="4E338AAC" w14:textId="77777777" w:rsidR="00F31AAA" w:rsidRPr="00F31AAA" w:rsidRDefault="00F31AAA" w:rsidP="00F31AAA">
      <w:pPr>
        <w:pStyle w:val="a5"/>
        <w:ind w:firstLineChars="100" w:firstLine="199"/>
        <w:rPr>
          <w:lang w:val="en-US"/>
        </w:rPr>
      </w:pPr>
      <w:r w:rsidRPr="00F31AAA">
        <w:rPr>
          <w:lang w:val="en-US"/>
        </w:rPr>
        <w:t>The confluence of an expansive online and social media presence, coupled with the pressing demands of a diverse and international customer base, has led NG to contemplate the integration of personal devices for both staff and customer access. This shift, however, amplifies the urgency surrounding the security of personal and client data, as well as the protection of intellectual properties valued in the billions. In this intricate landscape, Information Security emerges as a paramount priority for NG, yet a discernible lack of an established policy framework leaves the company's defenses in disarray.</w:t>
      </w:r>
    </w:p>
    <w:p w14:paraId="2898FE66" w14:textId="77777777" w:rsidR="00AC2E5C" w:rsidRPr="00B6078E" w:rsidRDefault="00AC2E5C" w:rsidP="00AC2E5C">
      <w:pPr>
        <w:pStyle w:val="a5"/>
        <w:numPr>
          <w:ilvl w:val="0"/>
          <w:numId w:val="1"/>
        </w:numPr>
        <w:tabs>
          <w:tab w:val="clear" w:pos="576"/>
        </w:tabs>
        <w:ind w:firstLineChars="100" w:firstLine="200"/>
        <w:jc w:val="center"/>
        <w:rPr>
          <w:smallCaps/>
          <w:spacing w:val="0"/>
          <w:lang w:val="en-US" w:eastAsia="en-US"/>
        </w:rPr>
      </w:pPr>
      <w:r>
        <w:rPr>
          <w:smallCaps/>
          <w:spacing w:val="0"/>
          <w:lang w:val="en-US" w:eastAsia="en-US"/>
        </w:rPr>
        <w:t>Related work in the literature</w:t>
      </w:r>
    </w:p>
    <w:p w14:paraId="184A07B1" w14:textId="1698D98B" w:rsidR="00FC346B" w:rsidRDefault="004D3FB3" w:rsidP="00AF7A3C">
      <w:pPr>
        <w:pStyle w:val="a5"/>
        <w:ind w:firstLineChars="100" w:firstLine="199"/>
        <w:rPr>
          <w:lang w:val="en-US"/>
        </w:rPr>
      </w:pPr>
      <w:r>
        <w:rPr>
          <w:rFonts w:hint="eastAsia"/>
          <w:lang w:val="en-US"/>
        </w:rPr>
        <w:t>B</w:t>
      </w:r>
      <w:r>
        <w:rPr>
          <w:lang w:val="en-US"/>
        </w:rPr>
        <w:t xml:space="preserve">ased on some important protocols including ITIL and ISO, authors in </w:t>
      </w:r>
      <w:r w:rsidR="00453B7A">
        <w:rPr>
          <w:lang w:val="en-US"/>
        </w:rPr>
        <w:fldChar w:fldCharType="begin"/>
      </w:r>
      <w:r w:rsidR="00AF7A3C">
        <w:rPr>
          <w:lang w:val="en-US"/>
        </w:rPr>
        <w:instrText xml:space="preserve"> ADDIN ZOTERO_ITEM CSL_CITATION {"citationID":"8by71cq3","properties":{"formattedCitation":"[1]","plainCitation":"[1]","noteIndex":0},"citationItems":[{"id":63,"uris":["http://zotero.org/users/local/SfwLnBLF/items/5PPIFGBU"],"itemData":{"id":63,"type":"paper-conference","container-title":"2015 World Congress on Internet Security (WorldCIS)","DOI":"10.1109/WorldCIS.2015.7359420","event-title":"2015 World Congress on Internet Security (WorldCIS)","note":"journalAbbreviation: 2015 World Congress on Internet Security (WorldCIS)","page":"85-90","title":"A view on ISO/IEC 27001 compliant identity lifecycles for IT service providers","author":[{"literal":"S. Kurowski"},{"literal":"R. Litwing"},{"literal":"G. Lückemeyer"}],"issued":{"date-parts":[["2015",10,19]]}}}],"schema":"https://github.com/citation-style-language/schema/raw/master/csl-citation.json"} </w:instrText>
      </w:r>
      <w:r w:rsidR="00453B7A">
        <w:rPr>
          <w:lang w:val="en-US"/>
        </w:rPr>
        <w:fldChar w:fldCharType="separate"/>
      </w:r>
      <w:r w:rsidR="00AF7A3C" w:rsidRPr="00AF7A3C">
        <w:rPr>
          <w:lang w:val="en-US"/>
        </w:rPr>
        <w:t>[1]</w:t>
      </w:r>
      <w:r w:rsidR="00453B7A">
        <w:rPr>
          <w:lang w:val="en-US"/>
        </w:rPr>
        <w:fldChar w:fldCharType="end"/>
      </w:r>
      <w:r w:rsidR="00FC346B" w:rsidRPr="00FC346B">
        <w:rPr>
          <w:lang w:val="en-US"/>
        </w:rPr>
        <w:t xml:space="preserve"> </w:t>
      </w:r>
      <w:r>
        <w:rPr>
          <w:lang w:val="en-US"/>
        </w:rPr>
        <w:t>a</w:t>
      </w:r>
      <w:r w:rsidR="00FC346B" w:rsidRPr="00FC346B">
        <w:rPr>
          <w:lang w:val="en-US"/>
        </w:rPr>
        <w:t>ddress</w:t>
      </w:r>
      <w:r>
        <w:rPr>
          <w:lang w:val="en-US"/>
        </w:rPr>
        <w:t>ed</w:t>
      </w:r>
      <w:r w:rsidR="00FC346B" w:rsidRPr="00FC346B">
        <w:rPr>
          <w:lang w:val="en-US"/>
        </w:rPr>
        <w:t xml:space="preserve"> identity lifecycle challenges in customer-oriented IT service providers, the work draws on ISO/IEC 27002 and integrates insights from information security and IT service management (ITIL), providing guidance on necessary tasks and contributions.</w:t>
      </w:r>
      <w:r w:rsidR="00AF7A3C">
        <w:rPr>
          <w:lang w:val="en-US"/>
        </w:rPr>
        <w:t xml:space="preserve"> </w:t>
      </w:r>
      <w:r>
        <w:rPr>
          <w:lang w:val="en-US"/>
        </w:rPr>
        <w:t>In</w:t>
      </w:r>
      <w:r w:rsidR="00453B7A" w:rsidRPr="00453B7A">
        <w:rPr>
          <w:lang w:val="en-US"/>
        </w:rPr>
        <w:t xml:space="preserve"> </w:t>
      </w:r>
      <w:r w:rsidR="00453B7A">
        <w:rPr>
          <w:lang w:val="en-US"/>
        </w:rPr>
        <w:fldChar w:fldCharType="begin"/>
      </w:r>
      <w:r w:rsidR="00AF7A3C">
        <w:rPr>
          <w:lang w:val="en-US"/>
        </w:rPr>
        <w:instrText xml:space="preserve"> ADDIN ZOTERO_ITEM CSL_CITATION {"citationID":"TuF9d4jQ","properties":{"formattedCitation":"[2]","plainCitation":"[2]","noteIndex":0},"citationItems":[{"id":54,"uris":["http://zotero.org/users/local/SfwLnBLF/items/88ME9TG8"],"itemData":{"id":54,"type":"paper-conference","container-title":"2009 International Conference on Computational Science and Engineering","DOI":"10.1109/CSE.2009.336","event-title":"2009 International Conference on Computational Science and Engineering","note":"journalAbbreviation: 2009 International Conference on Computational Science and Engineering","page":"386-391","title":"An Efficient Framework for IT Controls of Bill 198 (Canada Sarbanes-Oxley) Compliance by Aligning COBIT 4.1, ITIL v3 and ISO/IEC 27002","volume":"3","author":[{"literal":"Z. Huang"},{"literal":"P. Zavarsky"},{"literal":"R. Ruhl"}],"issued":{"date-parts":[["2009",8,29]]}}}],"schema":"https://github.com/citation-style-language/schema/raw/master/csl-citation.json"} </w:instrText>
      </w:r>
      <w:r w:rsidR="00453B7A">
        <w:rPr>
          <w:lang w:val="en-US"/>
        </w:rPr>
        <w:fldChar w:fldCharType="separate"/>
      </w:r>
      <w:r w:rsidR="00AF7A3C" w:rsidRPr="00121174">
        <w:rPr>
          <w:lang w:val="en-US"/>
        </w:rPr>
        <w:t>[2]</w:t>
      </w:r>
      <w:r w:rsidR="00453B7A">
        <w:rPr>
          <w:lang w:val="en-US"/>
        </w:rPr>
        <w:fldChar w:fldCharType="end"/>
      </w:r>
      <w:r>
        <w:rPr>
          <w:lang w:val="en-US"/>
        </w:rPr>
        <w:t>,</w:t>
      </w:r>
      <w:r w:rsidR="00FC346B" w:rsidRPr="00FC346B">
        <w:rPr>
          <w:lang w:val="en-US"/>
        </w:rPr>
        <w:t xml:space="preserve"> </w:t>
      </w:r>
      <w:r>
        <w:rPr>
          <w:lang w:val="en-US"/>
        </w:rPr>
        <w:t xml:space="preserve">researchers </w:t>
      </w:r>
      <w:r w:rsidR="00F101DD">
        <w:rPr>
          <w:lang w:val="en-US"/>
        </w:rPr>
        <w:t xml:space="preserve">are </w:t>
      </w:r>
      <w:r>
        <w:rPr>
          <w:lang w:val="en-US"/>
        </w:rPr>
        <w:t xml:space="preserve">aimed </w:t>
      </w:r>
      <w:r w:rsidR="00F101DD">
        <w:rPr>
          <w:lang w:val="en-US"/>
        </w:rPr>
        <w:t>at</w:t>
      </w:r>
      <w:r>
        <w:rPr>
          <w:lang w:val="en-US"/>
        </w:rPr>
        <w:t xml:space="preserve"> </w:t>
      </w:r>
      <w:r w:rsidR="00F101DD">
        <w:rPr>
          <w:lang w:val="en-US"/>
        </w:rPr>
        <w:t>t</w:t>
      </w:r>
      <w:r w:rsidR="00FC346B" w:rsidRPr="00FC346B">
        <w:rPr>
          <w:lang w:val="en-US"/>
        </w:rPr>
        <w:t xml:space="preserve">ackling Bill 198 (CSOX) compliance challenges, the research introduces a comprehensive framework aligning COBIT 4.1, ITIL v3, and ISO/IEC 27002. The proposed framework enhances </w:t>
      </w:r>
      <w:r w:rsidR="00FC346B" w:rsidRPr="00FC346B">
        <w:rPr>
          <w:lang w:val="en-US"/>
        </w:rPr>
        <w:t>efficiency and reduces resources needed for compliance with Bill 198.</w:t>
      </w:r>
      <w:r w:rsidR="00453B7A" w:rsidRPr="00453B7A">
        <w:rPr>
          <w:lang w:val="en-US"/>
        </w:rPr>
        <w:t xml:space="preserve"> </w:t>
      </w:r>
      <w:r w:rsidR="00453B7A">
        <w:rPr>
          <w:lang w:val="en-US"/>
        </w:rPr>
        <w:fldChar w:fldCharType="begin"/>
      </w:r>
      <w:r w:rsidR="00AF7A3C">
        <w:rPr>
          <w:lang w:val="en-US"/>
        </w:rPr>
        <w:instrText xml:space="preserve"> ADDIN ZOTERO_ITEM CSL_CITATION {"citationID":"ankjdGtH","properties":{"formattedCitation":"[3]","plainCitation":"[3]","noteIndex":0},"citationItems":[{"id":55,"uris":["http://zotero.org/users/local/SfwLnBLF/items/TQBLKUBV"],"itemData":{"id":55,"type":"paper-conference","container-title":"2008 Second Asia International Conference on Modelling &amp; Simulation (AMS)","DOI":"10.1109/AMS.2008.145","event-title":"2008 Second Asia International Conference on Modelling &amp; Simulation (AMS)","ISBN":"2376-1172","note":"journalAbbreviation: 2008 Second Asia International Conference on Modelling &amp; Simulation (AMS)","page":"749-753","title":"Combining ITIL, COBIT and ISO/IEC 27002 in Order to Design a Comprehensive IT Framework in Organizations","author":[{"literal":"S. Sahibudin"},{"literal":"M. Sharifi"},{"literal":"M. Ayat"}],"issued":{"date-parts":[["2008",5,13]]}}}],"schema":"https://github.com/citation-style-language/schema/raw/master/csl-citation.json"} </w:instrText>
      </w:r>
      <w:r w:rsidR="00453B7A">
        <w:rPr>
          <w:lang w:val="en-US"/>
        </w:rPr>
        <w:fldChar w:fldCharType="separate"/>
      </w:r>
      <w:r w:rsidR="00AF7A3C" w:rsidRPr="00121174">
        <w:rPr>
          <w:lang w:val="en-US"/>
        </w:rPr>
        <w:t>[3]</w:t>
      </w:r>
      <w:r w:rsidR="00453B7A">
        <w:rPr>
          <w:lang w:val="en-US"/>
        </w:rPr>
        <w:fldChar w:fldCharType="end"/>
      </w:r>
      <w:r w:rsidR="00FC346B" w:rsidRPr="00FC346B">
        <w:rPr>
          <w:lang w:val="en-US"/>
        </w:rPr>
        <w:t xml:space="preserve"> Evaluating ITIL, COBIT, and ISO/IEC 27002, the paper proposes an integrated IT framework for organizations. Emphasizing the need for a combination to ensure cost-efficient IT services, mitigate security risks, and achieve legal compliance.</w:t>
      </w:r>
      <w:r w:rsidR="00AF7A3C">
        <w:rPr>
          <w:lang w:val="en-US"/>
        </w:rPr>
        <w:t xml:space="preserve"> </w:t>
      </w:r>
      <w:r w:rsidR="00FC346B" w:rsidRPr="00FC346B">
        <w:rPr>
          <w:lang w:val="en-US"/>
        </w:rPr>
        <w:t>Focused on the construction complex's life cycle (construction stage)</w:t>
      </w:r>
      <w:r w:rsidR="00F101DD" w:rsidRPr="00F101DD">
        <w:rPr>
          <w:lang w:val="en-US"/>
        </w:rPr>
        <w:t xml:space="preserve"> </w:t>
      </w:r>
      <w:r w:rsidR="00F101DD">
        <w:rPr>
          <w:lang w:val="en-US"/>
        </w:rPr>
        <w:fldChar w:fldCharType="begin"/>
      </w:r>
      <w:r w:rsidR="00AF7A3C">
        <w:rPr>
          <w:lang w:val="en-US"/>
        </w:rPr>
        <w:instrText xml:space="preserve"> ADDIN ZOTERO_ITEM CSL_CITATION {"citationID":"gzseBbuG","properties":{"formattedCitation":"[4]","plainCitation":"[4]","noteIndex":0},"citationItems":[{"id":56,"uris":["http://zotero.org/users/local/SfwLnBLF/items/EMJJTFEX"],"itemData":{"id":56,"type":"paper-conference","container-title":"2020 International Conference Quality Management, Transport and Information Security, Information Technologies (IT&amp;QM&amp;IS)","DOI":"10.1109/ITQMIS51053.2020.9322854","event-title":"2020 International Conference Quality Management, Transport and Information Security, Information Technologies (IT&amp;QM&amp;IS)","note":"journalAbbreviation: 2020 International Conference Quality Management, Transport and Information Security, Information Technologies (IT&amp;QM&amp;IS)","page":"148-152","title":"Creation of Integrated Quality Systems for Standard Solutions of It Infrastructure Organization, Information Security of the Construction Complex at the Stage of the Real Estate Object Life Cycle (Construction Stage)","author":[{"literal":"A. R. Solod"},{"literal":"A. V. Popova"},{"literal":"Y. A. Kalinina"},{"literal":"A. M. Sinitsyna"}],"issued":{"date-parts":[["2020",9,7]]}}}],"schema":"https://github.com/citation-style-language/schema/raw/master/csl-citation.json"} </w:instrText>
      </w:r>
      <w:r w:rsidR="00F101DD">
        <w:rPr>
          <w:lang w:val="en-US"/>
        </w:rPr>
        <w:fldChar w:fldCharType="separate"/>
      </w:r>
      <w:r w:rsidR="00AF7A3C" w:rsidRPr="00121174">
        <w:rPr>
          <w:lang w:val="en-US"/>
        </w:rPr>
        <w:t>[4]</w:t>
      </w:r>
      <w:r w:rsidR="00F101DD">
        <w:rPr>
          <w:lang w:val="en-US"/>
        </w:rPr>
        <w:fldChar w:fldCharType="end"/>
      </w:r>
      <w:r w:rsidR="00FC346B" w:rsidRPr="00FC346B">
        <w:rPr>
          <w:lang w:val="en-US"/>
        </w:rPr>
        <w:t>, the article proposes improved management mechanisms by integrating IT systems, information security, and risk management systems. It underscores the need for an integrated approach to ensure efficiency.</w:t>
      </w:r>
      <w:r w:rsidR="00AF7A3C">
        <w:rPr>
          <w:lang w:val="en-US"/>
        </w:rPr>
        <w:t xml:space="preserve"> </w:t>
      </w:r>
      <w:r w:rsidR="00F101DD">
        <w:rPr>
          <w:lang w:val="en-US"/>
        </w:rPr>
        <w:t xml:space="preserve">Authors in </w:t>
      </w:r>
      <w:r w:rsidR="00453B7A">
        <w:rPr>
          <w:lang w:val="en-US"/>
        </w:rPr>
        <w:fldChar w:fldCharType="begin"/>
      </w:r>
      <w:r w:rsidR="00AF7A3C">
        <w:rPr>
          <w:lang w:val="en-US"/>
        </w:rPr>
        <w:instrText xml:space="preserve"> ADDIN ZOTERO_ITEM CSL_CITATION {"citationID":"Bzc7zfLT","properties":{"formattedCitation":"[5]","plainCitation":"[5]","noteIndex":0},"citationItems":[{"id":53,"uris":["http://zotero.org/users/local/SfwLnBLF/items/2WG4FAUM"],"itemData":{"id":53,"type":"paper-conference","container-title":"IEEE EDUCON 2010 Conference","DOI":"10.1109/EDUCON.2010.5492480","event-title":"IEEE EDUCON 2010 Conference","ISBN":"2165-9567","note":"journalAbbreviation: IEEE EDUCON 2010 Conference","page":"907-912","title":"Filling the gap of Information Security Management inside ITIL®: Proposals for posgraduate students","author":[{"literal":"E. R. Larrocha"},{"literal":"J. M. Minguet"},{"literal":"G. Díaz"},{"literal":"M. Castro"},{"literal":"A. Vara"}],"issued":{"date-parts":[["2010",4,14]]}}}],"schema":"https://github.com/citation-style-language/schema/raw/master/csl-citation.json"} </w:instrText>
      </w:r>
      <w:r w:rsidR="00453B7A">
        <w:rPr>
          <w:lang w:val="en-US"/>
        </w:rPr>
        <w:fldChar w:fldCharType="separate"/>
      </w:r>
      <w:r w:rsidR="00AF7A3C" w:rsidRPr="00121174">
        <w:rPr>
          <w:lang w:val="en-US"/>
        </w:rPr>
        <w:t>[5]</w:t>
      </w:r>
      <w:r w:rsidR="00453B7A">
        <w:rPr>
          <w:lang w:val="en-US"/>
        </w:rPr>
        <w:fldChar w:fldCharType="end"/>
      </w:r>
      <w:r w:rsidR="00FC346B" w:rsidRPr="00FC346B">
        <w:rPr>
          <w:lang w:val="en-US"/>
        </w:rPr>
        <w:t xml:space="preserve"> </w:t>
      </w:r>
      <w:r w:rsidR="00F101DD">
        <w:rPr>
          <w:lang w:val="en-US"/>
        </w:rPr>
        <w:t>a</w:t>
      </w:r>
      <w:r w:rsidR="00FC346B" w:rsidRPr="00FC346B">
        <w:rPr>
          <w:lang w:val="en-US"/>
        </w:rPr>
        <w:t>ddress</w:t>
      </w:r>
      <w:r w:rsidR="00F101DD">
        <w:rPr>
          <w:lang w:val="en-US"/>
        </w:rPr>
        <w:t>ed</w:t>
      </w:r>
      <w:r w:rsidR="00FC346B" w:rsidRPr="00FC346B">
        <w:rPr>
          <w:lang w:val="en-US"/>
        </w:rPr>
        <w:t xml:space="preserve"> ITIL's gap in Information Security Management, UNED proposes postgraduate courses. Emphasizing the importance of aligning student knowledge with real-world needs, the paper advocates understanding best practices, standards, laws, and concepts.</w:t>
      </w:r>
      <w:r w:rsidR="00AF7A3C">
        <w:rPr>
          <w:lang w:val="en-US"/>
        </w:rPr>
        <w:t xml:space="preserve"> </w:t>
      </w:r>
      <w:r w:rsidR="00FC346B" w:rsidRPr="00FC346B">
        <w:rPr>
          <w:lang w:val="en-US"/>
        </w:rPr>
        <w:t>Th</w:t>
      </w:r>
      <w:r w:rsidR="00F101DD">
        <w:rPr>
          <w:lang w:val="en-US"/>
        </w:rPr>
        <w:t>e</w:t>
      </w:r>
      <w:r w:rsidR="00FC346B" w:rsidRPr="00FC346B">
        <w:rPr>
          <w:lang w:val="en-US"/>
        </w:rPr>
        <w:t xml:space="preserve"> </w:t>
      </w:r>
      <w:r w:rsidR="00F101DD">
        <w:rPr>
          <w:lang w:val="en-US"/>
        </w:rPr>
        <w:t>s</w:t>
      </w:r>
      <w:r w:rsidR="00FC346B" w:rsidRPr="00FC346B">
        <w:rPr>
          <w:lang w:val="en-US"/>
        </w:rPr>
        <w:t xml:space="preserve">tudy </w:t>
      </w:r>
      <w:r w:rsidR="00F101DD">
        <w:rPr>
          <w:lang w:val="en-US"/>
        </w:rPr>
        <w:fldChar w:fldCharType="begin"/>
      </w:r>
      <w:r w:rsidR="00AF7A3C">
        <w:rPr>
          <w:lang w:val="en-US"/>
        </w:rPr>
        <w:instrText xml:space="preserve"> ADDIN ZOTERO_ITEM CSL_CITATION {"citationID":"mzc7Fg4H","properties":{"formattedCitation":"[6]","plainCitation":"[6]","noteIndex":0},"citationItems":[{"id":65,"uris":["http://zotero.org/users/local/SfwLnBLF/items/GFDPRRND"],"itemData":{"id":65,"type":"paper-conference","container-title":"2015 10th Iberian Conference on Information Systems and Technologies (CISTI)","DOI":"10.1109/CISTI.2015.7170390","event-title":"2015 10th Iberian Conference on Information Systems and Technologies (CISTI)","ISBN":"2166-0727","note":"journalAbbreviation: 2015 10th Iberian Conference on Information Systems and Technologies (CISTI)","page":"1-6","title":"Information security in implementing web applications for small businesses based on COBIT5-SI","author":[{"literal":"H. D. Jaramillo"},{"literal":"B. F. Guaman"},{"literal":"E. K. Salazar"}],"issued":{"date-parts":[["2015",6,17]]}}}],"schema":"https://github.com/citation-style-language/schema/raw/master/csl-citation.json"} </w:instrText>
      </w:r>
      <w:r w:rsidR="00F101DD">
        <w:rPr>
          <w:lang w:val="en-US"/>
        </w:rPr>
        <w:fldChar w:fldCharType="separate"/>
      </w:r>
      <w:r w:rsidR="00AF7A3C" w:rsidRPr="00121174">
        <w:rPr>
          <w:lang w:val="en-US"/>
        </w:rPr>
        <w:t>[6]</w:t>
      </w:r>
      <w:r w:rsidR="00F101DD">
        <w:rPr>
          <w:lang w:val="en-US"/>
        </w:rPr>
        <w:fldChar w:fldCharType="end"/>
      </w:r>
      <w:r w:rsidR="00F101DD">
        <w:rPr>
          <w:lang w:val="en-US"/>
        </w:rPr>
        <w:t xml:space="preserve"> </w:t>
      </w:r>
      <w:r w:rsidR="00FC346B" w:rsidRPr="00FC346B">
        <w:rPr>
          <w:lang w:val="en-US"/>
        </w:rPr>
        <w:t>underscores the significance of information security in small Ecuadorian businesses' web applications. Integrating COBIT5-SI, UWE, OWASP, and various standards ensures a robust approach for compliance and control measures.</w:t>
      </w:r>
      <w:r w:rsidR="00453B7A" w:rsidRPr="00453B7A">
        <w:rPr>
          <w:lang w:val="en-US"/>
        </w:rPr>
        <w:t xml:space="preserve"> </w:t>
      </w:r>
      <w:r w:rsidR="00453B7A">
        <w:rPr>
          <w:lang w:val="en-US"/>
        </w:rPr>
        <w:fldChar w:fldCharType="begin"/>
      </w:r>
      <w:r w:rsidR="00AF7A3C">
        <w:rPr>
          <w:lang w:val="en-US"/>
        </w:rPr>
        <w:instrText xml:space="preserve"> ADDIN ZOTERO_ITEM CSL_CITATION {"citationID":"y6W9bwSU","properties":{"formattedCitation":"[7]","plainCitation":"[7]","noteIndex":0},"citationItems":[{"id":62,"uris":["http://zotero.org/users/local/SfwLnBLF/items/WDF79YVU"],"itemData":{"id":62,"type":"paper-conference","container-title":"2019 3rd Cyber Security in Networking Conference (CSNet)","DOI":"10.1109/CSNet47905.2019.9108845","event-title":"2019 3rd Cyber Security in Networking Conference (CSNet)","note":"journalAbbreviation: 2019 3rd Cyber Security in Networking Conference (CSNet)","page":"63-65","title":"Information Security Management Frameworks in Higher Education Institutions: An Overview","author":[{"literal":"J. Merchan-Lima"},{"literal":"F. Astudillo-Salinas"},{"literal":"L. Tello-Oquendo"},{"literal":"F. Sanchez"},{"literal":"G. Lopez"},{"literal":"D. Quiroz"}],"issued":{"date-parts":[["2019",10,23]]}}}],"schema":"https://github.com/citation-style-language/schema/raw/master/csl-citation.json"} </w:instrText>
      </w:r>
      <w:r w:rsidR="00453B7A">
        <w:rPr>
          <w:lang w:val="en-US"/>
        </w:rPr>
        <w:fldChar w:fldCharType="separate"/>
      </w:r>
      <w:r w:rsidR="00AF7A3C" w:rsidRPr="00121174">
        <w:rPr>
          <w:lang w:val="en-US"/>
        </w:rPr>
        <w:t>[7]</w:t>
      </w:r>
      <w:r w:rsidR="00453B7A">
        <w:rPr>
          <w:lang w:val="en-US"/>
        </w:rPr>
        <w:fldChar w:fldCharType="end"/>
      </w:r>
      <w:r w:rsidR="00FC346B" w:rsidRPr="00FC346B">
        <w:rPr>
          <w:lang w:val="en-US"/>
        </w:rPr>
        <w:t xml:space="preserve"> Examining ISM in Higher Education, the study identifies standards like ITIL, COBIT, ISO 27000, NIST, and EDUCAUSE. It suggests creating a dedicated ISM framework for HEIs to elevate security maturity.</w:t>
      </w:r>
      <w:r w:rsidR="00357CF5">
        <w:rPr>
          <w:lang w:val="en-US"/>
        </w:rPr>
        <w:t xml:space="preserve"> </w:t>
      </w:r>
      <w:r w:rsidR="00F101DD">
        <w:rPr>
          <w:lang w:val="en-US"/>
        </w:rPr>
        <w:t>T</w:t>
      </w:r>
      <w:r w:rsidR="00FC346B" w:rsidRPr="00FC346B">
        <w:rPr>
          <w:lang w:val="en-US"/>
        </w:rPr>
        <w:t>he 4th wave of Information Security</w:t>
      </w:r>
      <w:r w:rsidR="00F101DD" w:rsidRPr="00F101DD">
        <w:rPr>
          <w:lang w:val="en-US"/>
        </w:rPr>
        <w:t xml:space="preserve"> </w:t>
      </w:r>
      <w:r w:rsidR="00F101DD">
        <w:rPr>
          <w:lang w:val="en-US"/>
        </w:rPr>
        <w:t>is i</w:t>
      </w:r>
      <w:r w:rsidR="00F101DD" w:rsidRPr="00FC346B">
        <w:rPr>
          <w:lang w:val="en-US"/>
        </w:rPr>
        <w:t>nvestigat</w:t>
      </w:r>
      <w:r w:rsidR="00F101DD">
        <w:rPr>
          <w:lang w:val="en-US"/>
        </w:rPr>
        <w:t xml:space="preserve">ed in </w:t>
      </w:r>
      <w:r w:rsidR="00F101DD">
        <w:rPr>
          <w:lang w:val="en-US"/>
        </w:rPr>
        <w:fldChar w:fldCharType="begin"/>
      </w:r>
      <w:r w:rsidR="00AF7A3C">
        <w:rPr>
          <w:lang w:val="en-US"/>
        </w:rPr>
        <w:instrText xml:space="preserve"> ADDIN ZOTERO_ITEM CSL_CITATION {"citationID":"4hotliAJ","properties":{"formattedCitation":"[8]","plainCitation":"[8]","noteIndex":0},"citationItems":[{"id":59,"uris":["http://zotero.org/users/local/SfwLnBLF/items/H4MJAI95"],"itemData":{"id":59,"type":"paper-conference","container-title":"Second International Conference on the Innovative Computing Technology (INTECH 2012)","DOI":"10.1109/INTECH.2012.6457815","event-title":"Second International Conference on the Innovative Computing Technology (INTECH 2012)","note":"journalAbbreviation: Second International Conference on the Innovative Computing Technology (INTECH 2012)","page":"51-56","title":"Information security, new approach","author":[{"literal":"H. Elachgar"},{"literal":"B. Regragui"}],"issued":{"date-parts":[["2012",9,18]]}}}],"schema":"https://github.com/citation-style-language/schema/raw/master/csl-citation.json"} </w:instrText>
      </w:r>
      <w:r w:rsidR="00F101DD">
        <w:rPr>
          <w:lang w:val="en-US"/>
        </w:rPr>
        <w:fldChar w:fldCharType="separate"/>
      </w:r>
      <w:r w:rsidR="00AF7A3C" w:rsidRPr="00121174">
        <w:rPr>
          <w:lang w:val="en-US"/>
        </w:rPr>
        <w:t>[8]</w:t>
      </w:r>
      <w:r w:rsidR="00F101DD">
        <w:rPr>
          <w:lang w:val="en-US"/>
        </w:rPr>
        <w:fldChar w:fldCharType="end"/>
      </w:r>
      <w:r w:rsidR="00FC346B" w:rsidRPr="00FC346B">
        <w:rPr>
          <w:lang w:val="en-US"/>
        </w:rPr>
        <w:t xml:space="preserve">, the paper proposes a new governance approach. It adopts the PDCA method, incorporating </w:t>
      </w:r>
      <w:proofErr w:type="spellStart"/>
      <w:r w:rsidR="00FC346B" w:rsidRPr="00FC346B">
        <w:rPr>
          <w:lang w:val="en-US"/>
        </w:rPr>
        <w:t>SoM</w:t>
      </w:r>
      <w:proofErr w:type="spellEnd"/>
      <w:r w:rsidR="00FC346B" w:rsidRPr="00FC346B">
        <w:rPr>
          <w:lang w:val="en-US"/>
        </w:rPr>
        <w:t>, asset risk assessment, and business continuity planning, emphasizing key frameworks and standards.</w:t>
      </w:r>
      <w:r w:rsidR="00453B7A" w:rsidRPr="00453B7A">
        <w:rPr>
          <w:lang w:val="en-US"/>
        </w:rPr>
        <w:t xml:space="preserve"> </w:t>
      </w:r>
      <w:r w:rsidR="00FC346B" w:rsidRPr="00FC346B">
        <w:rPr>
          <w:lang w:val="en-US"/>
        </w:rPr>
        <w:t>Emphasizing proactive information system security governance</w:t>
      </w:r>
      <w:r w:rsidR="00F101DD">
        <w:rPr>
          <w:lang w:val="en-US"/>
        </w:rPr>
        <w:t xml:space="preserve"> </w:t>
      </w:r>
      <w:r w:rsidR="00F101DD">
        <w:rPr>
          <w:lang w:val="en-US"/>
        </w:rPr>
        <w:fldChar w:fldCharType="begin"/>
      </w:r>
      <w:r w:rsidR="00AF7A3C">
        <w:rPr>
          <w:lang w:val="en-US"/>
        </w:rPr>
        <w:instrText xml:space="preserve"> ADDIN ZOTERO_ITEM CSL_CITATION {"citationID":"GZ2z5vFS","properties":{"formattedCitation":"[9]","plainCitation":"[9]","noteIndex":0},"citationItems":[{"id":58,"uris":["http://zotero.org/users/local/SfwLnBLF/items/FT2HKXPW"],"itemData":{"id":58,"type":"paper-conference","container-title":"2016 International Conference on Advanced Communication Systems and Information Security (ACOSIS)","DOI":"10.1109/ACOSIS.2016.7843921","event-title":"2016 International Conference on Advanced Communication Systems and Information Security (ACOSIS)","note":"journalAbbreviation: 2016 International Conference on Advanced Communication Systems and Information Security (ACOSIS)","page":"1-6","title":"Information system security governance: Technology intelligence perspective","author":[{"literal":"M. Zaydi"},{"literal":"B. Nasserddine"}],"issued":{"date-parts":[["2016",10,17]]}}}],"schema":"https://github.com/citation-style-language/schema/raw/master/csl-citation.json"} </w:instrText>
      </w:r>
      <w:r w:rsidR="00F101DD">
        <w:rPr>
          <w:lang w:val="en-US"/>
        </w:rPr>
        <w:fldChar w:fldCharType="separate"/>
      </w:r>
      <w:r w:rsidR="00AF7A3C" w:rsidRPr="00121174">
        <w:rPr>
          <w:lang w:val="en-US"/>
        </w:rPr>
        <w:t>[9]</w:t>
      </w:r>
      <w:r w:rsidR="00F101DD">
        <w:rPr>
          <w:lang w:val="en-US"/>
        </w:rPr>
        <w:fldChar w:fldCharType="end"/>
      </w:r>
      <w:r w:rsidR="00FC346B" w:rsidRPr="00FC346B">
        <w:rPr>
          <w:lang w:val="en-US"/>
        </w:rPr>
        <w:t>, the paper underscores the importance of functional components. It introduces a novel perspective, Technology Intelligence (TI), to address evolving security challenges and proposes the GRCI-TI meta-model for comprehensive governance.</w:t>
      </w:r>
      <w:r w:rsidR="00453B7A" w:rsidRPr="00453B7A">
        <w:rPr>
          <w:lang w:val="en-US"/>
        </w:rPr>
        <w:t xml:space="preserve"> </w:t>
      </w:r>
      <w:r w:rsidR="00FC346B" w:rsidRPr="00FC346B">
        <w:rPr>
          <w:lang w:val="en-US"/>
        </w:rPr>
        <w:t>Focused on ITIL process integration</w:t>
      </w:r>
      <w:r w:rsidR="00F101DD">
        <w:rPr>
          <w:lang w:val="en-US"/>
        </w:rPr>
        <w:t xml:space="preserve"> </w:t>
      </w:r>
      <w:r w:rsidR="00F101DD">
        <w:rPr>
          <w:lang w:val="en-US"/>
        </w:rPr>
        <w:fldChar w:fldCharType="begin"/>
      </w:r>
      <w:r w:rsidR="00AF7A3C">
        <w:rPr>
          <w:lang w:val="en-US"/>
        </w:rPr>
        <w:instrText xml:space="preserve"> ADDIN ZOTERO_ITEM CSL_CITATION {"citationID":"dbrXvIc2","properties":{"formattedCitation":"[10]","plainCitation":"[10]","noteIndex":0},"citationItems":[{"id":64,"uris":["http://zotero.org/users/local/SfwLnBLF/items/PQ9DEWLS"],"itemData":{"id":64,"type":"paper-conference","container-title":"2009 WRI World Congress on Computer Science and Information Engineering","DOI":"10.1109/CSIE.2009.691","event-title":"2009 WRI World Congress on Computer Science and Information Engineering","note":"journalAbbreviation: 2009 WRI World Congress on Computer Science and Information Engineering","page":"682-686","title":"ITIL Process Integration in the Context of Organization Environment","volume":"7","author":[{"literal":"S. Zhang"},{"literal":"Z. Ding"},{"literal":"Y. Zong"}],"issued":{"date-parts":[["2009",4,31]]}}}],"schema":"https://github.com/citation-style-language/schema/raw/master/csl-citation.json"} </w:instrText>
      </w:r>
      <w:r w:rsidR="00F101DD">
        <w:rPr>
          <w:lang w:val="en-US"/>
        </w:rPr>
        <w:fldChar w:fldCharType="separate"/>
      </w:r>
      <w:r w:rsidR="00AF7A3C" w:rsidRPr="00121174">
        <w:rPr>
          <w:lang w:val="en-US"/>
        </w:rPr>
        <w:t>[10]</w:t>
      </w:r>
      <w:r w:rsidR="00F101DD">
        <w:rPr>
          <w:lang w:val="en-US"/>
        </w:rPr>
        <w:fldChar w:fldCharType="end"/>
      </w:r>
      <w:r w:rsidR="00FC346B" w:rsidRPr="00FC346B">
        <w:rPr>
          <w:lang w:val="en-US"/>
        </w:rPr>
        <w:t xml:space="preserve">, the paper outlines an architecture emphasizing security, knowledge, information, control, and semantics within the organizational context. It supports ITIL implementation and tool development through web services technologies. </w:t>
      </w:r>
      <w:r w:rsidR="005C73B9">
        <w:rPr>
          <w:lang w:val="en-US"/>
        </w:rPr>
        <w:t xml:space="preserve">In </w:t>
      </w:r>
      <w:r w:rsidR="00453B7A">
        <w:rPr>
          <w:lang w:val="en-US"/>
        </w:rPr>
        <w:fldChar w:fldCharType="begin"/>
      </w:r>
      <w:r w:rsidR="00AF7A3C">
        <w:rPr>
          <w:lang w:val="en-US"/>
        </w:rPr>
        <w:instrText xml:space="preserve"> ADDIN ZOTERO_ITEM CSL_CITATION {"citationID":"SAW1eR3i","properties":{"formattedCitation":"[11]","plainCitation":"[11]","noteIndex":0},"citationItems":[{"id":61,"uris":["http://zotero.org/users/local/SfwLnBLF/items/3HISP68D"],"itemData":{"id":61,"type":"paper-conference","container-title":"2018 International Seminar on Intelligent Technology and Its Applications (ISITIA)","DOI":"10.1109/ISITIA.2018.8711132","event-title":"2018 International Seminar on Intelligent Technology and Its Applications (ISITIA)","note":"journalAbbreviation: 2018 International Seminar on Intelligent Technology and Its Applications (ISITIA)","page":"83-88","title":"Maturity Level Study of SCADA at Pusat Pengaturan Beban Java-Bali Area Using ITIL Self-assessment","author":[{"literal":"I. M. Faiz"},{"literal":"E. Y. Pramono"},{"literal":"I. Pratomo"},{"literal":"O. Penangsang"}],"issued":{"date-parts":[["2018",8,30]]}}}],"schema":"https://github.com/citation-style-language/schema/raw/master/csl-citation.json"} </w:instrText>
      </w:r>
      <w:r w:rsidR="00453B7A">
        <w:rPr>
          <w:lang w:val="en-US"/>
        </w:rPr>
        <w:fldChar w:fldCharType="separate"/>
      </w:r>
      <w:r w:rsidR="00AF7A3C" w:rsidRPr="00121174">
        <w:rPr>
          <w:lang w:val="en-US"/>
        </w:rPr>
        <w:t>[11]</w:t>
      </w:r>
      <w:r w:rsidR="00453B7A">
        <w:rPr>
          <w:lang w:val="en-US"/>
        </w:rPr>
        <w:fldChar w:fldCharType="end"/>
      </w:r>
      <w:r w:rsidR="005C73B9">
        <w:rPr>
          <w:lang w:val="en-US"/>
        </w:rPr>
        <w:t>, researchers a</w:t>
      </w:r>
      <w:r w:rsidR="00FC346B" w:rsidRPr="00FC346B">
        <w:rPr>
          <w:lang w:val="en-US"/>
        </w:rPr>
        <w:t>ssess</w:t>
      </w:r>
      <w:r w:rsidR="005C73B9">
        <w:rPr>
          <w:lang w:val="en-US"/>
        </w:rPr>
        <w:t>ed</w:t>
      </w:r>
      <w:r w:rsidR="00FC346B" w:rsidRPr="00FC346B">
        <w:rPr>
          <w:lang w:val="en-US"/>
        </w:rPr>
        <w:t xml:space="preserve"> Pusat </w:t>
      </w:r>
      <w:proofErr w:type="spellStart"/>
      <w:r w:rsidR="00FC346B" w:rsidRPr="00FC346B">
        <w:rPr>
          <w:lang w:val="en-US"/>
        </w:rPr>
        <w:t>Pengaturan</w:t>
      </w:r>
      <w:proofErr w:type="spellEnd"/>
      <w:r w:rsidR="00FC346B" w:rsidRPr="00FC346B">
        <w:rPr>
          <w:lang w:val="en-US"/>
        </w:rPr>
        <w:t xml:space="preserve"> Beban's SCADA system maturity with ITIL reveals varied stages. The Service Operation stage stands out with a 3.1 maturity level, while Service Transition needs improvement at 2.14. Overall: 2.64.</w:t>
      </w:r>
      <w:r w:rsidR="00453B7A" w:rsidRPr="00453B7A">
        <w:rPr>
          <w:lang w:val="en-US"/>
        </w:rPr>
        <w:t xml:space="preserve"> </w:t>
      </w:r>
      <w:r w:rsidR="00FC346B" w:rsidRPr="00FC346B">
        <w:rPr>
          <w:lang w:val="en-US"/>
        </w:rPr>
        <w:t>Designing an information security governance assessment model for organizations</w:t>
      </w:r>
      <w:r w:rsidR="005C73B9">
        <w:rPr>
          <w:lang w:val="en-US"/>
        </w:rPr>
        <w:t xml:space="preserve"> </w:t>
      </w:r>
      <w:r w:rsidR="005C73B9">
        <w:rPr>
          <w:lang w:val="en-US"/>
        </w:rPr>
        <w:fldChar w:fldCharType="begin"/>
      </w:r>
      <w:r w:rsidR="00AF7A3C">
        <w:rPr>
          <w:lang w:val="en-US"/>
        </w:rPr>
        <w:instrText xml:space="preserve"> ADDIN ZOTERO_ITEM CSL_CITATION {"citationID":"YhzHWOfG","properties":{"formattedCitation":"[12]","plainCitation":"[12]","noteIndex":0},"citationItems":[{"id":57,"uris":["http://zotero.org/users/local/SfwLnBLF/items/2JCBERVN"],"itemData":{"id":57,"type":"paper-conference","container-title":"2014 International Conference on ICT For Smart Society (ICISS)","DOI":"10.1109/ICTSS.2014.7013193","event-title":"2014 International Conference on ICT For Smart Society (ICISS)","note":"journalAbbreviation: 2014 International Conference on ICT For Smart Society (ICISS)","page":"1-6","title":"Model design of information security governance assessment with collaborative integration of COBIT 5 and ITIL (case study: INTRAC)","author":[{"literal":"P. Kusumah"},{"literal":"S. Sutikno"},{"literal":"Y. Rosmansyah"}],"issued":{"date-parts":[["2014",9,24]]}}}],"schema":"https://github.com/citation-style-language/schema/raw/master/csl-citation.json"} </w:instrText>
      </w:r>
      <w:r w:rsidR="005C73B9">
        <w:rPr>
          <w:lang w:val="en-US"/>
        </w:rPr>
        <w:fldChar w:fldCharType="separate"/>
      </w:r>
      <w:r w:rsidR="00AF7A3C" w:rsidRPr="00121174">
        <w:rPr>
          <w:lang w:val="en-US"/>
        </w:rPr>
        <w:t>[12]</w:t>
      </w:r>
      <w:r w:rsidR="005C73B9">
        <w:rPr>
          <w:lang w:val="en-US"/>
        </w:rPr>
        <w:fldChar w:fldCharType="end"/>
      </w:r>
      <w:r w:rsidR="00FC346B" w:rsidRPr="00FC346B">
        <w:rPr>
          <w:lang w:val="en-US"/>
        </w:rPr>
        <w:t>, the study integrates COBIT 5 and ITIL. Illustrated with the case study of INTRAC, the model aligns with information security requirements for effective implementation.</w:t>
      </w:r>
      <w:r w:rsidR="00453B7A" w:rsidRPr="00453B7A">
        <w:rPr>
          <w:lang w:val="en-US"/>
        </w:rPr>
        <w:t xml:space="preserve"> </w:t>
      </w:r>
      <w:r w:rsidR="005C73B9">
        <w:rPr>
          <w:lang w:val="en-US"/>
        </w:rPr>
        <w:t>A</w:t>
      </w:r>
      <w:r w:rsidR="00FC346B" w:rsidRPr="00FC346B">
        <w:rPr>
          <w:lang w:val="en-US"/>
        </w:rPr>
        <w:t xml:space="preserve"> novel framework</w:t>
      </w:r>
      <w:r w:rsidR="005C73B9" w:rsidRPr="005C73B9">
        <w:rPr>
          <w:lang w:val="en-US"/>
        </w:rPr>
        <w:t xml:space="preserve"> </w:t>
      </w:r>
      <w:r w:rsidR="005C73B9">
        <w:rPr>
          <w:lang w:val="en-US"/>
        </w:rPr>
        <w:t>is p</w:t>
      </w:r>
      <w:r w:rsidR="005C73B9" w:rsidRPr="00FC346B">
        <w:rPr>
          <w:lang w:val="en-US"/>
        </w:rPr>
        <w:t>ropos</w:t>
      </w:r>
      <w:r w:rsidR="005C73B9">
        <w:rPr>
          <w:lang w:val="en-US"/>
        </w:rPr>
        <w:t xml:space="preserve">ed in </w:t>
      </w:r>
      <w:r w:rsidR="005C73B9">
        <w:rPr>
          <w:lang w:val="en-US"/>
        </w:rPr>
        <w:fldChar w:fldCharType="begin"/>
      </w:r>
      <w:r w:rsidR="00AF7A3C">
        <w:rPr>
          <w:lang w:val="en-US"/>
        </w:rPr>
        <w:instrText xml:space="preserve"> ADDIN ZOTERO_ITEM CSL_CITATION {"citationID":"8WA5PZhq","properties":{"formattedCitation":"[13]","plainCitation":"[13]","noteIndex":0},"citationItems":[{"id":60,"uris":["http://zotero.org/users/local/SfwLnBLF/items/XMMTNGUZ"],"itemData":{"id":60,"type":"paper-conference","container-title":"2010 5th International Conference on Future Information Technology","DOI":"10.1109/FUTURETECH.2010.5482774","event-title":"2010 5th International Conference on Future Information Technology","ISBN":"2159-7014","note":"journalAbbreviation: 2010 5th International Conference on Future Information Technology","page":"1-6","title":"Security Level Quantification and Benchmarking in Complex Networks","author":[{"literal":"V. Tzvetkov"}],"issued":{"date-parts":[["2010",5,21]]}}}],"schema":"https://github.com/citation-style-language/schema/raw/master/csl-citation.json"} </w:instrText>
      </w:r>
      <w:r w:rsidR="005C73B9">
        <w:rPr>
          <w:lang w:val="en-US"/>
        </w:rPr>
        <w:fldChar w:fldCharType="separate"/>
      </w:r>
      <w:r w:rsidR="00AF7A3C" w:rsidRPr="00121174">
        <w:rPr>
          <w:lang w:val="en-US"/>
        </w:rPr>
        <w:t>[13]</w:t>
      </w:r>
      <w:r w:rsidR="005C73B9">
        <w:rPr>
          <w:lang w:val="en-US"/>
        </w:rPr>
        <w:fldChar w:fldCharType="end"/>
      </w:r>
      <w:r w:rsidR="00FC346B" w:rsidRPr="00FC346B">
        <w:rPr>
          <w:lang w:val="en-US"/>
        </w:rPr>
        <w:t xml:space="preserve">, the paper addresses challenges in quantifying and benchmarking security in complex networks. It introduces a </w:t>
      </w:r>
      <w:proofErr w:type="gramStart"/>
      <w:r w:rsidR="00FC346B" w:rsidRPr="00FC346B">
        <w:rPr>
          <w:lang w:val="en-US"/>
        </w:rPr>
        <w:t>relative vector mapping security parameters</w:t>
      </w:r>
      <w:proofErr w:type="gramEnd"/>
      <w:r w:rsidR="00FC346B" w:rsidRPr="00FC346B">
        <w:rPr>
          <w:lang w:val="en-US"/>
        </w:rPr>
        <w:t xml:space="preserve"> to economical values, aiding effective decision-making.</w:t>
      </w:r>
    </w:p>
    <w:p w14:paraId="00AD6B4E" w14:textId="211EC6D0" w:rsidR="00627274" w:rsidRDefault="00FC346B" w:rsidP="00357CF5">
      <w:pPr>
        <w:pStyle w:val="a5"/>
        <w:ind w:firstLineChars="100" w:firstLine="199"/>
        <w:rPr>
          <w:lang w:val="en-US"/>
        </w:rPr>
      </w:pPr>
      <w:r w:rsidRPr="00FC346B">
        <w:rPr>
          <w:lang w:val="en-US"/>
        </w:rPr>
        <w:t xml:space="preserve"> </w:t>
      </w:r>
      <w:r w:rsidR="00357CF5">
        <w:rPr>
          <w:lang w:val="en-US"/>
        </w:rPr>
        <w:t xml:space="preserve">In addition, there are some authors look into a few security models including RBAC, Zero-trust and so on. Authors in </w:t>
      </w:r>
      <w:r w:rsidR="00453B7A">
        <w:rPr>
          <w:lang w:val="en-US"/>
        </w:rPr>
        <w:fldChar w:fldCharType="begin"/>
      </w:r>
      <w:r w:rsidR="00AF7A3C">
        <w:rPr>
          <w:lang w:val="en-US"/>
        </w:rPr>
        <w:instrText xml:space="preserve"> ADDIN ZOTERO_ITEM CSL_CITATION {"citationID":"WbVxsmIS","properties":{"formattedCitation":"[14]","plainCitation":"[14]","noteIndex":0},"citationItems":[{"id":69,"uris":["http://zotero.org/users/local/SfwLnBLF/items/6YRZGY2M"],"itemData":{"id":69,"type":"article-journal","container-title":"IEEE Access","DOI":"10.1109/ACCESS.2019.2947377","ISSN":"2169-3536","journalAbbreviation":"IEEE Access","page":"166676-166689","title":"A Dynamic Access Control Model Using Authorising Workflow and Task-Role-Based Access Control","volume":"7","author":[{"literal":"M. Uddin"},{"literal":"S. Islam"},{"literal":"A. Al-Nemrat"}],"issued":{"date-parts":[["2019"]]}}}],"schema":"https://github.com/citation-style-language/schema/raw/master/csl-citation.json"} </w:instrText>
      </w:r>
      <w:r w:rsidR="00453B7A">
        <w:rPr>
          <w:lang w:val="en-US"/>
        </w:rPr>
        <w:fldChar w:fldCharType="separate"/>
      </w:r>
      <w:r w:rsidR="00AF7A3C" w:rsidRPr="00121174">
        <w:rPr>
          <w:lang w:val="en-US"/>
        </w:rPr>
        <w:t>[14]</w:t>
      </w:r>
      <w:r w:rsidR="00453B7A">
        <w:rPr>
          <w:lang w:val="en-US"/>
        </w:rPr>
        <w:fldChar w:fldCharType="end"/>
      </w:r>
      <w:r w:rsidR="00DB03DB" w:rsidRPr="00DB03DB">
        <w:rPr>
          <w:lang w:val="en-US"/>
        </w:rPr>
        <w:t xml:space="preserve"> </w:t>
      </w:r>
      <w:r w:rsidR="00357CF5">
        <w:rPr>
          <w:lang w:val="en-US"/>
        </w:rPr>
        <w:t>i</w:t>
      </w:r>
      <w:r w:rsidR="00DB03DB" w:rsidRPr="00DB03DB">
        <w:rPr>
          <w:lang w:val="en-US"/>
        </w:rPr>
        <w:t>ntroduc</w:t>
      </w:r>
      <w:r w:rsidR="00357CF5">
        <w:rPr>
          <w:lang w:val="en-US"/>
        </w:rPr>
        <w:t>ed</w:t>
      </w:r>
      <w:r w:rsidR="00DB03DB" w:rsidRPr="00DB03DB">
        <w:rPr>
          <w:lang w:val="en-US"/>
        </w:rPr>
        <w:t xml:space="preserve"> AW-TRBAC, a dynamic access control model leveraging </w:t>
      </w:r>
      <w:proofErr w:type="spellStart"/>
      <w:r w:rsidR="00DB03DB" w:rsidRPr="00DB03DB">
        <w:rPr>
          <w:lang w:val="en-US"/>
        </w:rPr>
        <w:t>Authorising</w:t>
      </w:r>
      <w:proofErr w:type="spellEnd"/>
      <w:r w:rsidR="00DB03DB" w:rsidRPr="00DB03DB">
        <w:rPr>
          <w:lang w:val="en-US"/>
        </w:rPr>
        <w:t xml:space="preserve"> Workflow and Task-</w:t>
      </w:r>
      <w:r w:rsidR="00DB03DB" w:rsidRPr="00DB03DB">
        <w:rPr>
          <w:lang w:val="en-US"/>
        </w:rPr>
        <w:lastRenderedPageBreak/>
        <w:t>Role-Based Access Control. Dynamically grants user access, extends XACML policy language, and demonstrates scalability in real industrial use cases.</w:t>
      </w:r>
      <w:r w:rsidR="00627274" w:rsidRPr="00121174">
        <w:rPr>
          <w:lang w:val="en-US"/>
        </w:rPr>
        <w:t xml:space="preserve"> </w:t>
      </w:r>
      <w:r w:rsidR="00627274" w:rsidRPr="00627274">
        <w:rPr>
          <w:lang w:val="en-US"/>
        </w:rPr>
        <w:t>Investigating zero-trust security in cloud-native scenarios</w:t>
      </w:r>
      <w:r w:rsidR="00357CF5">
        <w:rPr>
          <w:lang w:val="en-US"/>
        </w:rPr>
        <w:t xml:space="preserve"> </w:t>
      </w:r>
      <w:r w:rsidR="00357CF5">
        <w:rPr>
          <w:lang w:val="en-US"/>
        </w:rPr>
        <w:fldChar w:fldCharType="begin"/>
      </w:r>
      <w:r w:rsidR="00AF7A3C">
        <w:rPr>
          <w:lang w:val="en-US"/>
        </w:rPr>
        <w:instrText xml:space="preserve"> ADDIN ZOTERO_ITEM CSL_CITATION {"citationID":"2huSCVh2","properties":{"formattedCitation":"[15]","plainCitation":"[15]","noteIndex":0},"citationItems":[{"id":70,"uris":["http://zotero.org/users/local/SfwLnBLF/items/B77ULHIP"],"itemData":{"id":70,"type":"paper-conference","container-title":"2023 IEEE 7th Information Technology and Mechatronics Engineering Conference (ITOEC)","DOI":"10.1109/ITOEC57671.2023.10291357","event-title":"2023 IEEE 7th Information Technology and Mechatronics Engineering Conference (ITOEC)","ISBN":"2693-289X","note":"journalAbbreviation: 2023 IEEE 7th Information Technology and Mechatronics Engineering Conference (ITOEC)","page":"867-871","title":"Cloud Native Network Security Architecture Strategy under Zero Trust Scenario","volume":"7","author":[{"literal":"K. Che"},{"literal":"S. Sheng"}],"issued":{"date-parts":[["2023",9,15]]}}}],"schema":"https://github.com/citation-style-language/schema/raw/master/csl-citation.json"} </w:instrText>
      </w:r>
      <w:r w:rsidR="00357CF5">
        <w:rPr>
          <w:lang w:val="en-US"/>
        </w:rPr>
        <w:fldChar w:fldCharType="separate"/>
      </w:r>
      <w:r w:rsidR="00AF7A3C" w:rsidRPr="00121174">
        <w:rPr>
          <w:lang w:val="en-US"/>
        </w:rPr>
        <w:t>[15]</w:t>
      </w:r>
      <w:r w:rsidR="00357CF5">
        <w:rPr>
          <w:lang w:val="en-US"/>
        </w:rPr>
        <w:fldChar w:fldCharType="end"/>
      </w:r>
      <w:r w:rsidR="00627274" w:rsidRPr="00627274">
        <w:rPr>
          <w:lang w:val="en-US"/>
        </w:rPr>
        <w:t>, the paper analyzes genetic defects and proposes a "zero trust" approach to mitigate endogenous security threats. It reconstructs a new zero-trust gateway architecture and load balancing strategy for improved efficiency.</w:t>
      </w:r>
    </w:p>
    <w:p w14:paraId="7EA1355E" w14:textId="37A19485" w:rsidR="007433F0" w:rsidRDefault="007433F0" w:rsidP="007433F0">
      <w:pPr>
        <w:pStyle w:val="a5"/>
        <w:ind w:firstLineChars="100" w:firstLine="199"/>
        <w:rPr>
          <w:lang w:val="en-US"/>
        </w:rPr>
      </w:pPr>
      <w:r w:rsidRPr="00F31AAA">
        <w:rPr>
          <w:lang w:val="en-US"/>
        </w:rPr>
        <w:t xml:space="preserve">This </w:t>
      </w:r>
      <w:r w:rsidR="00AF7A3C">
        <w:rPr>
          <w:lang w:val="en-US"/>
        </w:rPr>
        <w:t>paper</w:t>
      </w:r>
      <w:r w:rsidRPr="00F31AAA">
        <w:rPr>
          <w:lang w:val="en-US"/>
        </w:rPr>
        <w:t xml:space="preserve"> embarks on a journey of research into prominent Information Technology frameworks and models, such as the Information Technology Infrastructure Library (ITIL) and the International Organization for Standardization (ISO) 27000 series. Through a meticulous exploration of these frameworks, we aim to forge a comprehensive </w:t>
      </w:r>
      <w:r w:rsidRPr="00F31AAA">
        <w:rPr>
          <w:lang w:val="en-US"/>
        </w:rPr>
        <w:t>approach to address NG's information system security, governance, and compliance needs. This endeavor is not only rooted in theoretical foundations but also pivots towards the practical application of knowledge to fortify NG's resilience against the escalating challenges of the digital age.</w:t>
      </w:r>
    </w:p>
    <w:p w14:paraId="4E58B8D3" w14:textId="4DBDE940" w:rsidR="00FB1662" w:rsidRDefault="00622A7B" w:rsidP="00781751">
      <w:pPr>
        <w:pStyle w:val="a5"/>
        <w:ind w:firstLineChars="100" w:firstLine="199"/>
        <w:rPr>
          <w:lang w:val="en-US"/>
        </w:rPr>
      </w:pPr>
      <w:r>
        <w:rPr>
          <w:lang w:val="en-US"/>
        </w:rPr>
        <w:t>T</w:t>
      </w:r>
      <w:r w:rsidR="00C4288E">
        <w:rPr>
          <w:lang w:val="en-US"/>
        </w:rPr>
        <w:t xml:space="preserve">he remaining parts of this paper </w:t>
      </w:r>
      <w:r>
        <w:rPr>
          <w:lang w:val="en-US"/>
        </w:rPr>
        <w:t xml:space="preserve">are organized </w:t>
      </w:r>
      <w:r w:rsidR="00C4288E">
        <w:rPr>
          <w:lang w:val="en-US"/>
        </w:rPr>
        <w:t>as follows. Section</w:t>
      </w:r>
      <w:r w:rsidR="00121174">
        <w:rPr>
          <w:lang w:val="en-US"/>
        </w:rPr>
        <w:t xml:space="preserve"> Ⅲ</w:t>
      </w:r>
      <w:r w:rsidR="00C4288E">
        <w:rPr>
          <w:lang w:val="en-US"/>
        </w:rPr>
        <w:t xml:space="preserve"> is used to describe </w:t>
      </w:r>
      <w:r>
        <w:rPr>
          <w:lang w:val="en-US"/>
        </w:rPr>
        <w:t xml:space="preserve">the </w:t>
      </w:r>
      <w:r w:rsidR="00121174">
        <w:rPr>
          <w:lang w:val="en-US"/>
        </w:rPr>
        <w:t>research on security frameworks and models including ITIL, ISO, RBAC and Zero-Trust</w:t>
      </w:r>
      <w:r>
        <w:rPr>
          <w:lang w:val="en-US"/>
        </w:rPr>
        <w:t xml:space="preserve"> </w:t>
      </w:r>
      <w:r w:rsidR="00121174">
        <w:rPr>
          <w:lang w:val="en-US"/>
        </w:rPr>
        <w:t xml:space="preserve">security </w:t>
      </w:r>
      <w:r>
        <w:rPr>
          <w:lang w:val="en-US"/>
        </w:rPr>
        <w:t xml:space="preserve">model. </w:t>
      </w:r>
      <w:r w:rsidR="00C4288E">
        <w:rPr>
          <w:lang w:val="en-US"/>
        </w:rPr>
        <w:t xml:space="preserve">In Section </w:t>
      </w:r>
      <w:r w:rsidR="00121174">
        <w:rPr>
          <w:lang w:val="en-US"/>
        </w:rPr>
        <w:t>Ⅳ</w:t>
      </w:r>
      <w:r w:rsidR="00C4288E">
        <w:rPr>
          <w:lang w:val="en-US"/>
        </w:rPr>
        <w:t xml:space="preserve">, </w:t>
      </w:r>
      <w:r w:rsidR="00121174">
        <w:rPr>
          <w:lang w:val="en-US"/>
        </w:rPr>
        <w:t>a comprehensive approach for NG is designed</w:t>
      </w:r>
      <w:r w:rsidR="00C4288E">
        <w:rPr>
          <w:lang w:val="en-US"/>
        </w:rPr>
        <w:t xml:space="preserve"> </w:t>
      </w:r>
      <w:r w:rsidR="00121174">
        <w:rPr>
          <w:lang w:val="en-US"/>
        </w:rPr>
        <w:t xml:space="preserve">based on </w:t>
      </w:r>
      <w:r w:rsidR="00121174" w:rsidRPr="00121174">
        <w:rPr>
          <w:lang w:val="en-US"/>
        </w:rPr>
        <w:t xml:space="preserve">Section </w:t>
      </w:r>
      <w:r w:rsidR="00121174">
        <w:rPr>
          <w:lang w:val="en-US"/>
        </w:rPr>
        <w:t>Ⅲ</w:t>
      </w:r>
      <w:r w:rsidR="00121174">
        <w:rPr>
          <w:rFonts w:hint="eastAsia"/>
          <w:lang w:val="en-US"/>
        </w:rPr>
        <w:t>.</w:t>
      </w:r>
      <w:r w:rsidR="00C4288E">
        <w:rPr>
          <w:lang w:val="en-US"/>
        </w:rPr>
        <w:t xml:space="preserve"> Section</w:t>
      </w:r>
      <w:r w:rsidR="00121174">
        <w:rPr>
          <w:lang w:val="en-US"/>
        </w:rPr>
        <w:t xml:space="preserve"> Ⅴ </w:t>
      </w:r>
      <w:r w:rsidR="00C4288E">
        <w:rPr>
          <w:lang w:val="en-US"/>
        </w:rPr>
        <w:t>discusses</w:t>
      </w:r>
      <w:r w:rsidR="00372C87">
        <w:rPr>
          <w:lang w:val="en-US"/>
        </w:rPr>
        <w:t xml:space="preserve"> </w:t>
      </w:r>
      <w:r w:rsidR="00121174">
        <w:rPr>
          <w:lang w:val="en-US"/>
        </w:rPr>
        <w:t>the reason why it is good practice to constantly have new or updated regulations and standards.</w:t>
      </w:r>
      <w:r w:rsidR="00C4288E">
        <w:rPr>
          <w:lang w:val="en-US"/>
        </w:rPr>
        <w:t xml:space="preserve"> Finally, the conclusion will be derived in Section</w:t>
      </w:r>
      <w:r w:rsidR="00121174">
        <w:rPr>
          <w:lang w:val="en-US"/>
        </w:rPr>
        <w:t xml:space="preserve"> Ⅵ</w:t>
      </w:r>
      <w:r w:rsidR="00C4288E">
        <w:rPr>
          <w:lang w:val="en-US"/>
        </w:rPr>
        <w:t>.</w:t>
      </w:r>
    </w:p>
    <w:p w14:paraId="763FDCEC" w14:textId="294BDBAC" w:rsidR="00745837" w:rsidRDefault="00745837" w:rsidP="00781751">
      <w:pPr>
        <w:pStyle w:val="a5"/>
        <w:ind w:firstLineChars="100" w:firstLine="199"/>
        <w:rPr>
          <w:lang w:val="en-US"/>
        </w:rPr>
        <w:sectPr w:rsidR="00745837">
          <w:type w:val="continuous"/>
          <w:pgSz w:w="11906" w:h="16838"/>
          <w:pgMar w:top="1080" w:right="907" w:bottom="1440" w:left="907" w:header="720" w:footer="720" w:gutter="0"/>
          <w:cols w:num="2" w:space="360"/>
          <w:docGrid w:linePitch="360"/>
        </w:sectPr>
      </w:pPr>
    </w:p>
    <w:p w14:paraId="39B0E914" w14:textId="77777777" w:rsidR="00FB1662" w:rsidRDefault="00FB1662">
      <w:pPr>
        <w:pStyle w:val="figurecaption"/>
        <w:numPr>
          <w:ilvl w:val="0"/>
          <w:numId w:val="0"/>
        </w:numPr>
        <w:sectPr w:rsidR="00FB1662">
          <w:type w:val="continuous"/>
          <w:pgSz w:w="11906" w:h="16838"/>
          <w:pgMar w:top="1080" w:right="907" w:bottom="1440" w:left="907" w:header="720" w:footer="720" w:gutter="0"/>
          <w:cols w:space="360"/>
          <w:docGrid w:linePitch="360"/>
        </w:sectPr>
      </w:pPr>
    </w:p>
    <w:p w14:paraId="52EA854C" w14:textId="2EA62034" w:rsidR="00FB1662" w:rsidRPr="000D5C27" w:rsidRDefault="000D5C27">
      <w:pPr>
        <w:pStyle w:val="1"/>
        <w:ind w:firstLine="216"/>
      </w:pPr>
      <w:r w:rsidRPr="00BA0178">
        <w:t>Re</w:t>
      </w:r>
      <w:r w:rsidRPr="000D5C27">
        <w:t>search on security frameworks and models</w:t>
      </w:r>
    </w:p>
    <w:p w14:paraId="4394494F" w14:textId="0EFC3090" w:rsidR="008F2C40" w:rsidRDefault="00C4288E" w:rsidP="008F2C40">
      <w:pPr>
        <w:pStyle w:val="a5"/>
        <w:ind w:firstLineChars="100" w:firstLine="199"/>
        <w:rPr>
          <w:lang w:val="en-US"/>
        </w:rPr>
      </w:pPr>
      <w:r>
        <w:rPr>
          <w:lang w:val="en-US"/>
        </w:rPr>
        <w:t xml:space="preserve">In this section, we </w:t>
      </w:r>
      <w:r w:rsidR="0049285A">
        <w:rPr>
          <w:lang w:val="en-US"/>
        </w:rPr>
        <w:t xml:space="preserve">will </w:t>
      </w:r>
      <w:r w:rsidR="00121174">
        <w:rPr>
          <w:lang w:val="en-US"/>
        </w:rPr>
        <w:t xml:space="preserve">study several existing security frameworks and models and analyze </w:t>
      </w:r>
      <w:r w:rsidR="00121174" w:rsidRPr="00121174">
        <w:rPr>
          <w:lang w:val="en-US"/>
        </w:rPr>
        <w:t>the correlation between th</w:t>
      </w:r>
      <w:r w:rsidR="00121174">
        <w:rPr>
          <w:lang w:val="en-US"/>
        </w:rPr>
        <w:t>em</w:t>
      </w:r>
      <w:r w:rsidR="00121174" w:rsidRPr="00121174">
        <w:rPr>
          <w:lang w:val="en-US"/>
        </w:rPr>
        <w:t xml:space="preserve"> and the method we </w:t>
      </w:r>
      <w:r w:rsidR="00121174">
        <w:rPr>
          <w:lang w:val="en-US"/>
        </w:rPr>
        <w:t xml:space="preserve">will develop in </w:t>
      </w:r>
      <w:r w:rsidR="00121174" w:rsidRPr="00121174">
        <w:rPr>
          <w:lang w:val="en-US"/>
        </w:rPr>
        <w:t>Section Ⅳ</w:t>
      </w:r>
      <w:r w:rsidR="00121174">
        <w:rPr>
          <w:lang w:val="en-US"/>
        </w:rPr>
        <w:t>. In front of the analysis, a brief introduction of the object will be given.</w:t>
      </w:r>
    </w:p>
    <w:p w14:paraId="7AA8A16D" w14:textId="41E09D8D" w:rsidR="0060010E" w:rsidRPr="00BA0178" w:rsidRDefault="0060010E" w:rsidP="00BA0178">
      <w:pPr>
        <w:pStyle w:val="a5"/>
        <w:ind w:firstLine="0"/>
        <w:rPr>
          <w:i/>
          <w:iCs/>
          <w:lang w:val="en-US"/>
        </w:rPr>
      </w:pPr>
      <w:r w:rsidRPr="00BA0178">
        <w:rPr>
          <w:rFonts w:hint="eastAsia"/>
          <w:i/>
          <w:iCs/>
          <w:lang w:val="en-US"/>
        </w:rPr>
        <w:t>1</w:t>
      </w:r>
      <w:r w:rsidRPr="00BA0178">
        <w:rPr>
          <w:i/>
          <w:iCs/>
          <w:lang w:val="en-US"/>
        </w:rPr>
        <w:t>.</w:t>
      </w:r>
      <w:r w:rsidRPr="00BA0178">
        <w:rPr>
          <w:i/>
          <w:iCs/>
          <w:spacing w:val="0"/>
          <w:lang w:val="en-US" w:eastAsia="en-US"/>
        </w:rPr>
        <w:t xml:space="preserve"> </w:t>
      </w:r>
      <w:r w:rsidRPr="00BA0178">
        <w:rPr>
          <w:i/>
          <w:iCs/>
          <w:lang w:val="en-US"/>
        </w:rPr>
        <w:t>Information Technology Infrastructure Library</w:t>
      </w:r>
    </w:p>
    <w:p w14:paraId="5A013E1A" w14:textId="3216FFFD" w:rsidR="00121174" w:rsidRPr="00A93614" w:rsidRDefault="00121174" w:rsidP="00121174">
      <w:pPr>
        <w:pStyle w:val="a5"/>
        <w:ind w:firstLineChars="100" w:firstLine="199"/>
        <w:rPr>
          <w:lang w:val="en-US"/>
        </w:rPr>
      </w:pPr>
      <w:r w:rsidRPr="00A93614">
        <w:rPr>
          <w:lang w:val="en-US"/>
        </w:rPr>
        <w:t>ITIL serves as a compass for organizations navigating the complex landscape of IT service management. It's not just a set of best practices; it's a framework that helps align IT services with the ever-evolving needs of businesses, fostering efficiency and effectiveness.</w:t>
      </w:r>
    </w:p>
    <w:p w14:paraId="1AA6222C" w14:textId="6AB5AC82" w:rsidR="008F2C40" w:rsidRDefault="003337A2" w:rsidP="008F2C40">
      <w:pPr>
        <w:pStyle w:val="a5"/>
        <w:ind w:firstLineChars="100" w:firstLine="199"/>
        <w:rPr>
          <w:lang w:val="en-US"/>
        </w:rPr>
      </w:pPr>
      <w:r w:rsidRPr="003337A2">
        <w:rPr>
          <w:lang w:val="en-US"/>
        </w:rPr>
        <w:t>In the context of NatureGarden's information system security, governance, and compliance requirements, the Information Technology Infrastructure Library (ITIL) stands out as a robust framework. The following key aspects highlight its application:</w:t>
      </w:r>
      <w:r w:rsidR="008D3191" w:rsidRPr="00BA0178">
        <w:rPr>
          <w:lang w:val="en-US"/>
        </w:rPr>
        <w:t xml:space="preserve"> </w:t>
      </w:r>
      <w:r w:rsidR="008D3191">
        <w:rPr>
          <w:lang w:val="en-US"/>
        </w:rPr>
        <w:t xml:space="preserve">1. </w:t>
      </w:r>
      <w:r w:rsidR="008D3191" w:rsidRPr="008D3191">
        <w:rPr>
          <w:lang w:val="en-US"/>
        </w:rPr>
        <w:t>Service Strategy: NG can leverage ITIL's Service Strategy to align security measures with its organizational goals. By defining a clear security strategy, NG ensures that security initiatives are in harmony with its overall business objectives.</w:t>
      </w:r>
      <w:r w:rsidR="008D3191">
        <w:rPr>
          <w:lang w:val="en-US"/>
        </w:rPr>
        <w:t xml:space="preserve"> 2. </w:t>
      </w:r>
      <w:r w:rsidR="008D3191" w:rsidRPr="008D3191">
        <w:rPr>
          <w:lang w:val="en-US"/>
        </w:rPr>
        <w:t>Service Design: ITIL's Service Design principles enable NG to incorporate security considerations at the design stage, ensuring that security is an integral part of new services and systems.</w:t>
      </w:r>
      <w:r w:rsidR="008D3191">
        <w:rPr>
          <w:lang w:val="en-US"/>
        </w:rPr>
        <w:t xml:space="preserve"> 3. </w:t>
      </w:r>
      <w:r w:rsidR="008D3191" w:rsidRPr="008D3191">
        <w:rPr>
          <w:lang w:val="en-US"/>
        </w:rPr>
        <w:t>Service Transition: During the transition of services, ITIL guides NG in implementing security measures seamlessly, preventing disruptions and vulnerabilities in the process.</w:t>
      </w:r>
      <w:r w:rsidR="008D3191">
        <w:rPr>
          <w:lang w:val="en-US"/>
        </w:rPr>
        <w:t xml:space="preserve"> 4. </w:t>
      </w:r>
      <w:r w:rsidR="008D3191" w:rsidRPr="008D3191">
        <w:rPr>
          <w:lang w:val="en-US"/>
        </w:rPr>
        <w:t>Service Operation: NG can utilize ITIL's Service Operation to establish a robust security operation framework, including incident management, access control, and continuous monitoring.</w:t>
      </w:r>
      <w:r w:rsidR="008D3191">
        <w:rPr>
          <w:lang w:val="en-US"/>
        </w:rPr>
        <w:t xml:space="preserve"> 5. </w:t>
      </w:r>
      <w:r w:rsidR="008D3191" w:rsidRPr="008D3191">
        <w:rPr>
          <w:lang w:val="en-US"/>
        </w:rPr>
        <w:t>Continual Service Improvement (CSI): Through the CSI phase, NG can consistently enhance its security posture by evaluating and adapting security measures based on evolving threats and technological advancements.</w:t>
      </w:r>
      <w:r w:rsidR="0048598F" w:rsidRPr="0048598F">
        <w:rPr>
          <w:lang w:val="en-US"/>
        </w:rPr>
        <w:t xml:space="preserve"> </w:t>
      </w:r>
      <w:r w:rsidR="0048598F">
        <w:rPr>
          <w:lang w:val="en-US"/>
        </w:rPr>
        <w:t xml:space="preserve">It is </w:t>
      </w:r>
      <w:r w:rsidR="0048598F" w:rsidRPr="0031263F">
        <w:rPr>
          <w:lang w:val="en-US"/>
        </w:rPr>
        <w:t>show</w:t>
      </w:r>
      <w:r w:rsidR="0048598F">
        <w:rPr>
          <w:lang w:val="en-US"/>
        </w:rPr>
        <w:t>ed</w:t>
      </w:r>
      <w:r w:rsidR="0031263F" w:rsidRPr="0031263F">
        <w:rPr>
          <w:lang w:val="en-US"/>
        </w:rPr>
        <w:t xml:space="preserve"> </w:t>
      </w:r>
      <w:r w:rsidR="0048598F">
        <w:rPr>
          <w:lang w:val="en-US"/>
        </w:rPr>
        <w:t xml:space="preserve">in </w:t>
      </w:r>
      <w:r w:rsidR="00F8660C">
        <w:rPr>
          <w:lang w:val="en-US"/>
        </w:rPr>
        <w:fldChar w:fldCharType="begin"/>
      </w:r>
      <w:r w:rsidR="00F8660C">
        <w:rPr>
          <w:lang w:val="en-US"/>
        </w:rPr>
        <w:instrText xml:space="preserve"> REF _Ref154274071 \r \h </w:instrText>
      </w:r>
      <w:r w:rsidR="00F8660C">
        <w:rPr>
          <w:lang w:val="en-US"/>
        </w:rPr>
      </w:r>
      <w:r w:rsidR="00F8660C">
        <w:rPr>
          <w:lang w:val="en-US"/>
        </w:rPr>
        <w:fldChar w:fldCharType="separate"/>
      </w:r>
      <w:r w:rsidR="00F8660C">
        <w:rPr>
          <w:lang w:val="en-US"/>
        </w:rPr>
        <w:t>Fi</w:t>
      </w:r>
      <w:r w:rsidR="00F8660C">
        <w:rPr>
          <w:lang w:val="en-US"/>
        </w:rPr>
        <w:t>g</w:t>
      </w:r>
      <w:r w:rsidR="00F8660C">
        <w:rPr>
          <w:lang w:val="en-US"/>
        </w:rPr>
        <w:t>.1</w:t>
      </w:r>
      <w:r w:rsidR="00F8660C">
        <w:rPr>
          <w:lang w:val="en-US"/>
        </w:rPr>
        <w:fldChar w:fldCharType="end"/>
      </w:r>
      <w:r w:rsidR="0031263F" w:rsidRPr="0031263F">
        <w:rPr>
          <w:lang w:val="en-US"/>
        </w:rPr>
        <w:t xml:space="preserve"> </w:t>
      </w:r>
      <w:r w:rsidR="0048598F">
        <w:rPr>
          <w:lang w:val="en-US"/>
        </w:rPr>
        <w:t xml:space="preserve">that </w:t>
      </w:r>
      <w:r w:rsidR="0031263F" w:rsidRPr="0031263F">
        <w:rPr>
          <w:lang w:val="en-US"/>
        </w:rPr>
        <w:t>how ITIL processes</w:t>
      </w:r>
      <w:r w:rsidR="00AC6A6A">
        <w:rPr>
          <w:lang w:val="en-US"/>
        </w:rPr>
        <w:t xml:space="preserve"> </w:t>
      </w:r>
      <w:r w:rsidR="00DC7218">
        <w:rPr>
          <w:lang w:val="en-US"/>
        </w:rPr>
        <w:fldChar w:fldCharType="begin"/>
      </w:r>
      <w:r w:rsidR="00DC7218">
        <w:rPr>
          <w:lang w:val="en-US"/>
        </w:rPr>
        <w:instrText xml:space="preserve"> ADDIN ZOTERO_ITEM CSL_CITATION {"citationID":"kLW0MHES","properties":{"formattedCitation":"[16]","plainCitation":"[16]","noteIndex":0},"citationItems":[{"id":73,"uris":["http://zotero.org/users/local/SfwLnBLF/items/2ZPKYZDH"],"itemData":{"id":73,"type":"article-journal","container-title":"International Journal of Advanced Computer Science and Applications","DOI":"10.14569/IJACSA.2022.0130457","journalAbbreviation":"International Journal of Advanced Computer Science and Applications","title":"Organizational Architecture and Service Delivery Re-Alignment based on ITIL and TOGAF: Case Study of the Provincial Development Bank","volume":"13","author":[{"family":"Fajrillah","given":"Asti Amalia"},{"family":"Lubis","given":"Muharman"},{"family":"Syam","given":"Irmayanti"}],"issued":{"date-parts":[["2022",1,1]]}}}],"schema":"https://github.com/citation-style-language/schema/raw/master/csl-citation.json"} </w:instrText>
      </w:r>
      <w:r w:rsidR="00DC7218">
        <w:rPr>
          <w:lang w:val="en-US"/>
        </w:rPr>
        <w:fldChar w:fldCharType="separate"/>
      </w:r>
      <w:r w:rsidR="00DC7218" w:rsidRPr="00BA0178">
        <w:rPr>
          <w:lang w:val="en-US"/>
        </w:rPr>
        <w:t>[16]</w:t>
      </w:r>
      <w:r w:rsidR="00DC7218">
        <w:rPr>
          <w:lang w:val="en-US"/>
        </w:rPr>
        <w:fldChar w:fldCharType="end"/>
      </w:r>
      <w:r w:rsidR="0031263F" w:rsidRPr="0031263F">
        <w:rPr>
          <w:lang w:val="en-US"/>
        </w:rPr>
        <w:t xml:space="preserve"> seamlessly integrate with each stage of NG's service delivery. This will help stakeholders visualize the implementation of ITIL.</w:t>
      </w:r>
    </w:p>
    <w:p w14:paraId="5A8E7D4F" w14:textId="0E48BD8D" w:rsidR="008F2C40" w:rsidRDefault="00215F9F" w:rsidP="002A017D">
      <w:pPr>
        <w:pStyle w:val="a5"/>
        <w:spacing w:line="240" w:lineRule="auto"/>
        <w:ind w:firstLineChars="100" w:firstLine="199"/>
        <w:rPr>
          <w:lang w:val="en-US"/>
        </w:rPr>
      </w:pPr>
      <w:r>
        <w:rPr>
          <w:lang w:val="en-US"/>
        </w:rPr>
        <w:t>In terms of</w:t>
      </w:r>
      <w:r w:rsidR="008F2C40" w:rsidRPr="008F2C40">
        <w:rPr>
          <w:lang w:val="en-US"/>
        </w:rPr>
        <w:t xml:space="preserve"> NG's Service Delivery:</w:t>
      </w:r>
      <w:r w:rsidR="00121174">
        <w:rPr>
          <w:lang w:val="en-US"/>
        </w:rPr>
        <w:t xml:space="preserve"> </w:t>
      </w:r>
      <w:r w:rsidR="008F2C40" w:rsidRPr="008F2C40">
        <w:rPr>
          <w:lang w:val="en-US"/>
        </w:rPr>
        <w:t xml:space="preserve">ITIL's strength lies in its adaptability to diverse organizational structures, making it an ideal choice for NG's extensive international presence. The framework encompasses key areas such as service strategy, design, transition, and operation, providing NG with a systematic methodology to enhance service delivery while maintaining the integrity of its information assets. The modular nature of ITIL enables NG to tailor its </w:t>
      </w:r>
      <w:r w:rsidR="008F2C40" w:rsidRPr="008F2C40">
        <w:rPr>
          <w:lang w:val="en-US"/>
        </w:rPr>
        <w:t>implementation to suit specific business needs, fostering agility in response to evolving security challenges.</w:t>
      </w:r>
      <w:r w:rsidR="0031263F" w:rsidRPr="00BA0178">
        <w:rPr>
          <w:lang w:val="en-US"/>
        </w:rPr>
        <w:t xml:space="preserve"> </w:t>
      </w:r>
    </w:p>
    <w:p w14:paraId="1CBB911E" w14:textId="2F455628" w:rsidR="00F23D23" w:rsidRDefault="00F23D23" w:rsidP="007D5D51">
      <w:pPr>
        <w:pStyle w:val="a5"/>
        <w:spacing w:line="240" w:lineRule="auto"/>
        <w:ind w:firstLineChars="100" w:firstLine="200"/>
        <w:jc w:val="center"/>
        <w:rPr>
          <w:lang w:val="en-US"/>
        </w:rPr>
      </w:pPr>
      <w:r>
        <w:rPr>
          <w:noProof/>
          <w:lang w:val="en-US"/>
        </w:rPr>
        <w:drawing>
          <wp:inline distT="0" distB="0" distL="0" distR="0" wp14:anchorId="1206FD1F" wp14:editId="77734256">
            <wp:extent cx="3088800" cy="1814400"/>
            <wp:effectExtent l="0" t="0" r="0" b="0"/>
            <wp:docPr id="1147657062" name="图片 11476570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90660097" name="图片 1490660097"/>
                    <pic:cNvPicPr/>
                  </pic:nvPicPr>
                  <pic:blipFill>
                    <a:blip r:embed="rId9">
                      <a:extLst>
                        <a:ext uri="{28A0092B-C50C-407E-A947-70E740481C1C}">
                          <a14:useLocalDpi xmlns:a14="http://schemas.microsoft.com/office/drawing/2010/main" val="0"/>
                        </a:ext>
                      </a:extLst>
                    </a:blip>
                    <a:stretch>
                      <a:fillRect/>
                    </a:stretch>
                  </pic:blipFill>
                  <pic:spPr>
                    <a:xfrm>
                      <a:off x="0" y="0"/>
                      <a:ext cx="3088800" cy="1814400"/>
                    </a:xfrm>
                    <a:prstGeom prst="rect">
                      <a:avLst/>
                    </a:prstGeom>
                  </pic:spPr>
                </pic:pic>
              </a:graphicData>
            </a:graphic>
          </wp:inline>
        </w:drawing>
      </w:r>
    </w:p>
    <w:p w14:paraId="3F4DDD33" w14:textId="77777777" w:rsidR="00F23D23" w:rsidRPr="002328E1" w:rsidRDefault="00F23D23" w:rsidP="00F23D23">
      <w:pPr>
        <w:pStyle w:val="a5"/>
        <w:numPr>
          <w:ilvl w:val="0"/>
          <w:numId w:val="9"/>
        </w:numPr>
        <w:jc w:val="center"/>
        <w:rPr>
          <w:sz w:val="16"/>
          <w:szCs w:val="16"/>
          <w:lang w:val="en-US"/>
        </w:rPr>
      </w:pPr>
      <w:bookmarkStart w:id="1" w:name="_Ref154274071"/>
      <w:r w:rsidRPr="00D230B3">
        <w:rPr>
          <w:sz w:val="16"/>
          <w:szCs w:val="16"/>
          <w:lang w:val="en-US"/>
        </w:rPr>
        <w:t>Lifecycle of ITIL Integration</w:t>
      </w:r>
      <w:bookmarkEnd w:id="1"/>
    </w:p>
    <w:p w14:paraId="07188A32" w14:textId="53C0ADCA" w:rsidR="0060010E" w:rsidRPr="00BA0178" w:rsidRDefault="0060010E" w:rsidP="00F8660C">
      <w:pPr>
        <w:pStyle w:val="a5"/>
        <w:spacing w:line="240" w:lineRule="auto"/>
        <w:ind w:firstLine="0"/>
        <w:rPr>
          <w:i/>
          <w:iCs/>
          <w:lang w:val="en-US"/>
        </w:rPr>
      </w:pPr>
      <w:r w:rsidRPr="00BA0178">
        <w:rPr>
          <w:rFonts w:hint="eastAsia"/>
          <w:i/>
          <w:iCs/>
          <w:lang w:val="en-US"/>
        </w:rPr>
        <w:t>2</w:t>
      </w:r>
      <w:r w:rsidRPr="00BA0178">
        <w:rPr>
          <w:i/>
          <w:iCs/>
          <w:lang w:val="en-US"/>
        </w:rPr>
        <w:t>.</w:t>
      </w:r>
      <w:r w:rsidRPr="00BA0178">
        <w:rPr>
          <w:i/>
          <w:iCs/>
          <w:spacing w:val="0"/>
          <w:lang w:val="en-US" w:eastAsia="en-US"/>
        </w:rPr>
        <w:t xml:space="preserve"> </w:t>
      </w:r>
      <w:r w:rsidRPr="00BA0178">
        <w:rPr>
          <w:i/>
          <w:iCs/>
          <w:lang w:val="en-US"/>
        </w:rPr>
        <w:t>International Organization for Standardization</w:t>
      </w:r>
    </w:p>
    <w:p w14:paraId="34983FB7" w14:textId="77777777" w:rsidR="00121174" w:rsidRPr="00A93614" w:rsidRDefault="00121174" w:rsidP="00F8660C">
      <w:pPr>
        <w:pStyle w:val="a5"/>
        <w:spacing w:line="240" w:lineRule="auto"/>
        <w:ind w:firstLineChars="100" w:firstLine="199"/>
        <w:rPr>
          <w:lang w:val="en-US"/>
        </w:rPr>
      </w:pPr>
      <w:r w:rsidRPr="00A93614">
        <w:rPr>
          <w:lang w:val="en-US"/>
        </w:rPr>
        <w:t>Picture ISO as the guardian of quality and safety in a global arena. Beyond just certifying products, ISO's 27000 series is a spotlight on information security standards, providing organizations with a robust blueprint for safeguarding sensitive data and ensuring secure practices.</w:t>
      </w:r>
    </w:p>
    <w:p w14:paraId="3A9E2FE4" w14:textId="1A8C0B3A" w:rsidR="00215F9F" w:rsidRPr="00215F9F" w:rsidRDefault="00215F9F" w:rsidP="00215F9F">
      <w:pPr>
        <w:pStyle w:val="a5"/>
        <w:ind w:firstLineChars="100" w:firstLine="199"/>
        <w:rPr>
          <w:lang w:val="en-US"/>
        </w:rPr>
      </w:pPr>
      <w:r w:rsidRPr="00215F9F">
        <w:rPr>
          <w:lang w:val="en-US"/>
        </w:rPr>
        <w:t>ISO 27000 Series Application for NatureGarden's Security Needs:</w:t>
      </w:r>
      <w:r>
        <w:rPr>
          <w:lang w:val="en-US"/>
        </w:rPr>
        <w:t xml:space="preserve"> </w:t>
      </w:r>
      <w:r w:rsidRPr="00215F9F">
        <w:rPr>
          <w:lang w:val="en-US"/>
        </w:rPr>
        <w:t>The International Organization for Standardization's (ISO) 27000 series, particularly ISO/IEC 27001 and ISO/IEC 27002, offers a structured approach for managing sensitive information. NG can benefit from the following applications:</w:t>
      </w:r>
    </w:p>
    <w:p w14:paraId="44FE491C" w14:textId="038A983F" w:rsidR="00215F9F" w:rsidRPr="00215F9F" w:rsidRDefault="00215F9F" w:rsidP="00215F9F">
      <w:pPr>
        <w:pStyle w:val="a5"/>
        <w:ind w:firstLineChars="100" w:firstLine="199"/>
        <w:rPr>
          <w:lang w:val="en-US"/>
        </w:rPr>
      </w:pPr>
      <w:r w:rsidRPr="00215F9F">
        <w:rPr>
          <w:lang w:val="en-US"/>
        </w:rPr>
        <w:t>ISO 27001 - Information Security Management System (ISMS): NG can establish, implement, maintain, and continually improve its information security management using ISO 27001. This involves creating a robust ISMS that aligns with NG's security goals.</w:t>
      </w:r>
    </w:p>
    <w:p w14:paraId="276A2FA5" w14:textId="7002A657" w:rsidR="008F2C40" w:rsidRDefault="00215F9F" w:rsidP="00CB6324">
      <w:pPr>
        <w:pStyle w:val="a5"/>
        <w:ind w:firstLineChars="100" w:firstLine="199"/>
        <w:rPr>
          <w:lang w:val="en-US"/>
        </w:rPr>
      </w:pPr>
      <w:r w:rsidRPr="00215F9F">
        <w:rPr>
          <w:lang w:val="en-US"/>
        </w:rPr>
        <w:t>ISO 27002 - Controls and Best Practices: NG can adopt the controls and best practices outlined in ISO 27002 to safeguard sensitive data. This includes measures for information security policies, asset management, access control, and encryption.</w:t>
      </w:r>
    </w:p>
    <w:p w14:paraId="2B103BD6" w14:textId="213C4D4E" w:rsidR="00B421EE" w:rsidRDefault="00675790" w:rsidP="00675790">
      <w:pPr>
        <w:pStyle w:val="a5"/>
        <w:ind w:firstLineChars="100" w:firstLine="199"/>
        <w:rPr>
          <w:lang w:val="en-US"/>
        </w:rPr>
      </w:pPr>
      <w:r w:rsidRPr="00675790">
        <w:rPr>
          <w:lang w:val="en-US"/>
        </w:rPr>
        <w:t>ISO Controls Chart:</w:t>
      </w:r>
      <w:r>
        <w:rPr>
          <w:lang w:val="en-US"/>
        </w:rPr>
        <w:t xml:space="preserve"> </w:t>
      </w:r>
      <w:r>
        <w:rPr>
          <w:lang w:val="en-US"/>
        </w:rPr>
        <w:fldChar w:fldCharType="begin"/>
      </w:r>
      <w:r>
        <w:rPr>
          <w:lang w:val="en-US"/>
        </w:rPr>
        <w:instrText xml:space="preserve"> REF _Ref154263385 \r \h </w:instrText>
      </w:r>
      <w:r>
        <w:rPr>
          <w:lang w:val="en-US"/>
        </w:rPr>
      </w:r>
      <w:r>
        <w:rPr>
          <w:lang w:val="en-US"/>
        </w:rPr>
        <w:fldChar w:fldCharType="separate"/>
      </w:r>
      <w:r>
        <w:rPr>
          <w:lang w:val="en-US"/>
        </w:rPr>
        <w:t>Fig</w:t>
      </w:r>
      <w:r>
        <w:rPr>
          <w:lang w:val="en-US"/>
        </w:rPr>
        <w:t>.</w:t>
      </w:r>
      <w:r>
        <w:rPr>
          <w:lang w:val="en-US"/>
        </w:rPr>
        <w:t>2</w:t>
      </w:r>
      <w:r>
        <w:rPr>
          <w:lang w:val="en-US"/>
        </w:rPr>
        <w:fldChar w:fldCharType="end"/>
      </w:r>
      <w:r>
        <w:rPr>
          <w:lang w:val="en-US"/>
        </w:rPr>
        <w:t xml:space="preserve"> </w:t>
      </w:r>
      <w:r w:rsidRPr="00675790">
        <w:rPr>
          <w:lang w:val="en-US"/>
        </w:rPr>
        <w:t>highlight</w:t>
      </w:r>
      <w:r>
        <w:rPr>
          <w:lang w:val="en-US"/>
        </w:rPr>
        <w:t>s</w:t>
      </w:r>
      <w:r w:rsidRPr="00675790">
        <w:rPr>
          <w:lang w:val="en-US"/>
        </w:rPr>
        <w:t xml:space="preserve"> key controls from ISO 27001 that NG can implement</w:t>
      </w:r>
      <w:r w:rsidR="00AC6A6A">
        <w:rPr>
          <w:lang w:val="en-US"/>
        </w:rPr>
        <w:t xml:space="preserve"> </w:t>
      </w:r>
      <w:r>
        <w:rPr>
          <w:lang w:val="en-US"/>
        </w:rPr>
        <w:fldChar w:fldCharType="begin"/>
      </w:r>
      <w:r>
        <w:rPr>
          <w:lang w:val="en-US"/>
        </w:rPr>
        <w:instrText xml:space="preserve"> ADDIN ZOTERO_ITEM CSL_CITATION {"citationID":"h4Jk2qyo","properties":{"formattedCitation":"[17]","plainCitation":"[17]","noteIndex":0},"citationItems":[{"id":74,"uris":["http://zotero.org/users/local/SfwLnBLF/items/NGCBDWGB"],"itemData":{"id":74,"type":"webpage","abstract":"Learn how the new ISO 27001:2022 controls can help your business improve its information security posture and reduce its risk of a data breach or other security incident.","language":"en","title":"How the New ISO 27001:2022 Controls Can Help Your Business | Briskinfosec","title-short":"How the New ISO 27001","URL":"https://www.briskinfosec.com/","accessed":{"date-parts":[["2023",12,23]]}}}],"schema":"https://github.com/citation-style-language/schema/raw/master/csl-citation.json"} </w:instrText>
      </w:r>
      <w:r>
        <w:rPr>
          <w:lang w:val="en-US"/>
        </w:rPr>
        <w:fldChar w:fldCharType="separate"/>
      </w:r>
      <w:r w:rsidRPr="00BA0178">
        <w:rPr>
          <w:lang w:val="en-US"/>
        </w:rPr>
        <w:t>[17]</w:t>
      </w:r>
      <w:r>
        <w:rPr>
          <w:lang w:val="en-US"/>
        </w:rPr>
        <w:fldChar w:fldCharType="end"/>
      </w:r>
      <w:r w:rsidRPr="00675790">
        <w:rPr>
          <w:lang w:val="en-US"/>
        </w:rPr>
        <w:t>. This can serve as a quick reference for NG's security team and decision-makers.</w:t>
      </w:r>
    </w:p>
    <w:p w14:paraId="39D17E2E" w14:textId="4FDB7479" w:rsidR="008F2C40" w:rsidRDefault="008F2C40" w:rsidP="008F2C40">
      <w:pPr>
        <w:pStyle w:val="a5"/>
        <w:ind w:firstLineChars="100" w:firstLine="199"/>
        <w:rPr>
          <w:lang w:val="en-US"/>
        </w:rPr>
      </w:pPr>
      <w:r w:rsidRPr="008F2C40">
        <w:rPr>
          <w:lang w:val="en-US"/>
        </w:rPr>
        <w:t>Importance for Managing Sensitive Information:</w:t>
      </w:r>
      <w:r w:rsidR="00121174">
        <w:rPr>
          <w:lang w:val="en-US"/>
        </w:rPr>
        <w:t xml:space="preserve"> </w:t>
      </w:r>
      <w:r w:rsidRPr="008F2C40">
        <w:rPr>
          <w:lang w:val="en-US"/>
        </w:rPr>
        <w:t xml:space="preserve">ISO 27001, the Information Security Management System (ISMS) standard, provides NG with a structured framework to </w:t>
      </w:r>
      <w:r w:rsidRPr="008F2C40">
        <w:rPr>
          <w:lang w:val="en-US"/>
        </w:rPr>
        <w:lastRenderedPageBreak/>
        <w:t>establish, implement, maintain, and continually improve its information security management. ISO 27002, on the other hand, offers a comprehensive set of controls and best practices, guiding NG in the selection and implementation of measures to safeguard sensitive data.</w:t>
      </w:r>
    </w:p>
    <w:p w14:paraId="4259F7C4" w14:textId="041B30FC" w:rsidR="00F8660C" w:rsidRDefault="00F8660C" w:rsidP="008F2C40">
      <w:pPr>
        <w:pStyle w:val="a5"/>
        <w:ind w:firstLineChars="100" w:firstLine="200"/>
        <w:rPr>
          <w:lang w:val="en-US"/>
        </w:rPr>
      </w:pPr>
      <w:r>
        <w:rPr>
          <w:noProof/>
          <w:lang w:val="en-US"/>
        </w:rPr>
        <w:drawing>
          <wp:inline distT="0" distB="0" distL="0" distR="0" wp14:anchorId="2232E560" wp14:editId="159665B3">
            <wp:extent cx="3088800" cy="1814400"/>
            <wp:effectExtent l="0" t="0" r="0" b="0"/>
            <wp:docPr id="470194160" name="图片 4701941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4041741" name="图片 1924041741"/>
                    <pic:cNvPicPr/>
                  </pic:nvPicPr>
                  <pic:blipFill>
                    <a:blip r:embed="rId10">
                      <a:extLst>
                        <a:ext uri="{28A0092B-C50C-407E-A947-70E740481C1C}">
                          <a14:useLocalDpi xmlns:a14="http://schemas.microsoft.com/office/drawing/2010/main" val="0"/>
                        </a:ext>
                      </a:extLst>
                    </a:blip>
                    <a:stretch>
                      <a:fillRect/>
                    </a:stretch>
                  </pic:blipFill>
                  <pic:spPr>
                    <a:xfrm>
                      <a:off x="0" y="0"/>
                      <a:ext cx="3088800" cy="1814400"/>
                    </a:xfrm>
                    <a:prstGeom prst="rect">
                      <a:avLst/>
                    </a:prstGeom>
                  </pic:spPr>
                </pic:pic>
              </a:graphicData>
            </a:graphic>
          </wp:inline>
        </w:drawing>
      </w:r>
    </w:p>
    <w:p w14:paraId="601CA9C4" w14:textId="77777777" w:rsidR="00F8660C" w:rsidRPr="00BA0178" w:rsidRDefault="00F8660C" w:rsidP="00F8660C">
      <w:pPr>
        <w:pStyle w:val="a5"/>
        <w:numPr>
          <w:ilvl w:val="0"/>
          <w:numId w:val="9"/>
        </w:numPr>
        <w:ind w:firstLineChars="100" w:firstLine="159"/>
        <w:jc w:val="center"/>
        <w:rPr>
          <w:sz w:val="16"/>
          <w:szCs w:val="16"/>
          <w:lang w:val="en-US"/>
        </w:rPr>
      </w:pPr>
      <w:bookmarkStart w:id="2" w:name="_Ref154263385"/>
      <w:r w:rsidRPr="00BA0178">
        <w:rPr>
          <w:sz w:val="16"/>
          <w:szCs w:val="16"/>
          <w:lang w:val="en-US"/>
        </w:rPr>
        <w:t>ISO 27001:2022 Controls I</w:t>
      </w:r>
      <w:r>
        <w:rPr>
          <w:sz w:val="16"/>
          <w:szCs w:val="16"/>
          <w:lang w:val="en-US"/>
        </w:rPr>
        <w:t>m</w:t>
      </w:r>
      <w:r w:rsidRPr="00BA0178">
        <w:rPr>
          <w:sz w:val="16"/>
          <w:szCs w:val="16"/>
          <w:lang w:val="en-US"/>
        </w:rPr>
        <w:t>plementation</w:t>
      </w:r>
      <w:bookmarkEnd w:id="2"/>
    </w:p>
    <w:p w14:paraId="26D7FF18" w14:textId="7947A35D" w:rsidR="0060010E" w:rsidRPr="00BA0178" w:rsidRDefault="0060010E" w:rsidP="00BA0178">
      <w:pPr>
        <w:pStyle w:val="a5"/>
        <w:ind w:firstLine="0"/>
        <w:rPr>
          <w:i/>
          <w:iCs/>
          <w:lang w:val="en-US"/>
        </w:rPr>
      </w:pPr>
      <w:r w:rsidRPr="00BA0178">
        <w:rPr>
          <w:i/>
          <w:iCs/>
          <w:lang w:val="en-US"/>
        </w:rPr>
        <w:t>3. Role-Based Access Control</w:t>
      </w:r>
    </w:p>
    <w:p w14:paraId="6FD2DD10" w14:textId="746B5D67" w:rsidR="00121174" w:rsidRPr="00A93614" w:rsidRDefault="00121174" w:rsidP="00121174">
      <w:pPr>
        <w:pStyle w:val="a5"/>
        <w:ind w:firstLineChars="100" w:firstLine="199"/>
        <w:rPr>
          <w:lang w:val="en-US"/>
        </w:rPr>
      </w:pPr>
      <w:r w:rsidRPr="00A93614">
        <w:rPr>
          <w:lang w:val="en-US"/>
        </w:rPr>
        <w:t>RBAC is like the VIP pass to organization's digital world. Instead of micromanaging individual access, it simplifies security by granting permissions based on roles. It's the backstage manager ensuring everyone gets precisely the access they need without unnecessary complications.</w:t>
      </w:r>
      <w:r w:rsidR="00A03259" w:rsidRPr="00BA0178">
        <w:rPr>
          <w:lang w:val="en-US"/>
        </w:rPr>
        <w:t xml:space="preserve"> </w:t>
      </w:r>
      <w:r w:rsidR="00A03259" w:rsidRPr="00A03259">
        <w:rPr>
          <w:lang w:val="en-US"/>
        </w:rPr>
        <w:t>Role-Based Access Control (RBAC) offers a strategic and efficient approach to access management that goes beyond merely granting permissions. For NatureGarden (NG), implementing RBAC brings forth a myriad of benefits crucial for fortifying its information security framework:</w:t>
      </w:r>
    </w:p>
    <w:p w14:paraId="67B5C1C7" w14:textId="686CFD81" w:rsidR="008A3F0F" w:rsidRDefault="00CB6324" w:rsidP="008A3F0F">
      <w:pPr>
        <w:pStyle w:val="a5"/>
        <w:ind w:firstLineChars="100" w:firstLine="199"/>
        <w:rPr>
          <w:lang w:val="en-US"/>
        </w:rPr>
      </w:pPr>
      <w:r w:rsidRPr="00CB6324">
        <w:rPr>
          <w:lang w:val="en-US"/>
        </w:rPr>
        <w:t>Role-Based Access Control (RBAC) Application for NatureGarden:</w:t>
      </w:r>
      <w:r w:rsidR="00BF1011">
        <w:rPr>
          <w:lang w:val="en-US"/>
        </w:rPr>
        <w:t xml:space="preserve"> </w:t>
      </w:r>
      <w:r w:rsidRPr="00CB6324">
        <w:rPr>
          <w:lang w:val="en-US"/>
        </w:rPr>
        <w:t>Role-Based Access Control (RBAC) simplifies security by granting permissions based on roles. Applying RBAC to NG's security needs involves the following: NG can implement RBAC to ensure that employees and clients have access only to the resources necessary for their roles, reducing the risk of unauthorized data exposure.</w:t>
      </w:r>
      <w:r w:rsidR="008F2C40" w:rsidRPr="008F2C40">
        <w:rPr>
          <w:lang w:val="en-US"/>
        </w:rPr>
        <w:t xml:space="preserve"> </w:t>
      </w:r>
      <w:r w:rsidR="00C07D82">
        <w:rPr>
          <w:lang w:val="en-US"/>
        </w:rPr>
        <w:fldChar w:fldCharType="begin"/>
      </w:r>
      <w:r w:rsidR="00C07D82">
        <w:rPr>
          <w:lang w:val="en-US"/>
        </w:rPr>
        <w:instrText xml:space="preserve"> REF _Ref154264661 \r \h </w:instrText>
      </w:r>
      <w:r w:rsidR="00C07D82">
        <w:rPr>
          <w:lang w:val="en-US"/>
        </w:rPr>
      </w:r>
      <w:r w:rsidR="00C07D82">
        <w:rPr>
          <w:lang w:val="en-US"/>
        </w:rPr>
        <w:fldChar w:fldCharType="separate"/>
      </w:r>
      <w:r w:rsidR="00C07D82">
        <w:rPr>
          <w:lang w:val="en-US"/>
        </w:rPr>
        <w:t>Fig.3</w:t>
      </w:r>
      <w:r w:rsidR="00C07D82">
        <w:rPr>
          <w:lang w:val="en-US"/>
        </w:rPr>
        <w:fldChar w:fldCharType="end"/>
      </w:r>
      <w:r w:rsidR="00C07D82">
        <w:rPr>
          <w:lang w:val="en-US"/>
        </w:rPr>
        <w:t xml:space="preserve"> shows the </w:t>
      </w:r>
      <w:r w:rsidR="008A3F0F" w:rsidRPr="008A3F0F">
        <w:rPr>
          <w:lang w:val="en-US"/>
        </w:rPr>
        <w:t>RBAC Workflow</w:t>
      </w:r>
      <w:r w:rsidR="00C07D82">
        <w:rPr>
          <w:lang w:val="en-US"/>
        </w:rPr>
        <w:t xml:space="preserve"> </w:t>
      </w:r>
      <w:r w:rsidR="00C07D82">
        <w:rPr>
          <w:lang w:val="en-US"/>
        </w:rPr>
        <w:fldChar w:fldCharType="begin"/>
      </w:r>
      <w:r w:rsidR="00C07D82">
        <w:rPr>
          <w:lang w:val="en-US"/>
        </w:rPr>
        <w:instrText xml:space="preserve"> ADDIN ZOTERO_ITEM CSL_CITATION {"citationID":"3v8yAPRo","properties":{"formattedCitation":"[18]","plainCitation":"[18]","noteIndex":0},"citationItems":[{"id":76,"uris":["http://zotero.org/users/local/SfwLnBLF/items/SWUEB242"],"itemData":{"id":76,"type":"webpage","abstract":"Download Role Based Access Control RBAC Flow Chart PowerPoint templates and google slides, you can easily edit and design your presentation as you want","language":"en","title":"Role Based Access Control RBAC Flow Chart","URL":"https://www.slideteam.net/role-based-access-control-rbac-flow-chart.html","accessed":{"date-parts":[["2023",12,23]]},"issued":{"date-parts":[["2023",1,16]]}}}],"schema":"https://github.com/citation-style-language/schema/raw/master/csl-citation.json"} </w:instrText>
      </w:r>
      <w:r w:rsidR="00C07D82">
        <w:rPr>
          <w:lang w:val="en-US"/>
        </w:rPr>
        <w:fldChar w:fldCharType="separate"/>
      </w:r>
      <w:r w:rsidR="00C07D82" w:rsidRPr="00BA0178">
        <w:rPr>
          <w:lang w:val="en-US"/>
        </w:rPr>
        <w:t>[18]</w:t>
      </w:r>
      <w:r w:rsidR="00C07D82">
        <w:rPr>
          <w:lang w:val="en-US"/>
        </w:rPr>
        <w:fldChar w:fldCharType="end"/>
      </w:r>
      <w:r w:rsidR="00C07D82">
        <w:rPr>
          <w:lang w:val="en-US"/>
        </w:rPr>
        <w:t xml:space="preserve"> </w:t>
      </w:r>
      <w:r w:rsidR="008A3F0F" w:rsidRPr="008A3F0F">
        <w:rPr>
          <w:lang w:val="en-US"/>
        </w:rPr>
        <w:t>illustrating the RBAC implementation process at NatureGarden includ</w:t>
      </w:r>
      <w:r w:rsidR="00C07D82">
        <w:rPr>
          <w:lang w:val="en-US"/>
        </w:rPr>
        <w:t>ing</w:t>
      </w:r>
      <w:r w:rsidR="008A3F0F" w:rsidRPr="008A3F0F">
        <w:rPr>
          <w:lang w:val="en-US"/>
        </w:rPr>
        <w:t xml:space="preserve"> steps such as role assignment, permissions, and access reviews.</w:t>
      </w:r>
    </w:p>
    <w:p w14:paraId="512E541F" w14:textId="4755EDDC" w:rsidR="008A3F0F" w:rsidRDefault="008A3F0F" w:rsidP="007D5D51">
      <w:pPr>
        <w:pStyle w:val="a5"/>
        <w:ind w:firstLineChars="100" w:firstLine="200"/>
        <w:jc w:val="center"/>
        <w:rPr>
          <w:lang w:val="en-US"/>
        </w:rPr>
      </w:pPr>
      <w:r>
        <w:rPr>
          <w:noProof/>
          <w:lang w:val="en-US"/>
        </w:rPr>
        <w:drawing>
          <wp:inline distT="0" distB="0" distL="0" distR="0" wp14:anchorId="4692EC1C" wp14:editId="6D045408">
            <wp:extent cx="3088800" cy="1814400"/>
            <wp:effectExtent l="0" t="0" r="0" b="0"/>
            <wp:docPr id="1007441411" name="图片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7441411" name="图片 10074414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88800" cy="1814400"/>
                    </a:xfrm>
                    <a:prstGeom prst="rect">
                      <a:avLst/>
                    </a:prstGeom>
                  </pic:spPr>
                </pic:pic>
              </a:graphicData>
            </a:graphic>
          </wp:inline>
        </w:drawing>
      </w:r>
    </w:p>
    <w:p w14:paraId="30FD7560" w14:textId="2FE51A18" w:rsidR="008A3F0F" w:rsidRPr="00BA0178" w:rsidRDefault="008A3F0F" w:rsidP="00BA0178">
      <w:pPr>
        <w:pStyle w:val="a5"/>
        <w:numPr>
          <w:ilvl w:val="0"/>
          <w:numId w:val="9"/>
        </w:numPr>
        <w:ind w:firstLineChars="100" w:firstLine="159"/>
        <w:jc w:val="center"/>
        <w:rPr>
          <w:sz w:val="16"/>
          <w:szCs w:val="16"/>
          <w:lang w:val="en-US"/>
        </w:rPr>
      </w:pPr>
      <w:bookmarkStart w:id="3" w:name="_Ref154264661"/>
      <w:r w:rsidRPr="008A3F0F">
        <w:rPr>
          <w:sz w:val="16"/>
          <w:szCs w:val="16"/>
          <w:lang w:val="en-US"/>
        </w:rPr>
        <w:t>Role Based Access Control RBAC Flow Chart</w:t>
      </w:r>
      <w:bookmarkEnd w:id="3"/>
    </w:p>
    <w:p w14:paraId="47A6D25A" w14:textId="6F6D3841" w:rsidR="00A03259" w:rsidRPr="00A03259" w:rsidRDefault="00A03259" w:rsidP="00A03259">
      <w:pPr>
        <w:pStyle w:val="a5"/>
        <w:ind w:firstLineChars="100" w:firstLine="199"/>
        <w:rPr>
          <w:lang w:val="en-US"/>
        </w:rPr>
      </w:pPr>
      <w:r w:rsidRPr="00A03259">
        <w:rPr>
          <w:lang w:val="en-US"/>
        </w:rPr>
        <w:t>Simplified Access Management:</w:t>
      </w:r>
      <w:r>
        <w:rPr>
          <w:lang w:val="en-US"/>
        </w:rPr>
        <w:t xml:space="preserve"> </w:t>
      </w:r>
      <w:r w:rsidRPr="00A03259">
        <w:rPr>
          <w:lang w:val="en-US"/>
        </w:rPr>
        <w:t xml:space="preserve">RBAC simplifies the complex task of managing access within an organization. By categorizing users into predefined roles based on their responsibilities and functions, NG can streamline the process of assigning and revoking permissions. This not only reduces the administrative burden on NG's IT staff but also ensures </w:t>
      </w:r>
      <w:r w:rsidRPr="00A03259">
        <w:rPr>
          <w:lang w:val="en-US"/>
        </w:rPr>
        <w:t>that access is aligned with individual roles, promoting a more organized and effective security structure.</w:t>
      </w:r>
    </w:p>
    <w:p w14:paraId="5740BB4F" w14:textId="4637C8F7" w:rsidR="00A03259" w:rsidRPr="00A03259" w:rsidRDefault="00A03259" w:rsidP="00A03259">
      <w:pPr>
        <w:pStyle w:val="a5"/>
        <w:ind w:firstLineChars="100" w:firstLine="199"/>
        <w:rPr>
          <w:lang w:val="en-US"/>
        </w:rPr>
      </w:pPr>
      <w:r w:rsidRPr="00A03259">
        <w:rPr>
          <w:lang w:val="en-US"/>
        </w:rPr>
        <w:t>Reduced Risk of Data Exposure:</w:t>
      </w:r>
      <w:r>
        <w:rPr>
          <w:lang w:val="en-US"/>
        </w:rPr>
        <w:t xml:space="preserve"> </w:t>
      </w:r>
      <w:r w:rsidRPr="00A03259">
        <w:rPr>
          <w:lang w:val="en-US"/>
        </w:rPr>
        <w:t>One of the inherent risks in digital environments is the unauthorized access to sensitive data. RBAC significantly mitigates this risk by ensuring that each user, whether an employee or a client, is granted access only to the resources necessary for their specific role. This targeted approach minimizes the surface area for potential data exposure, creating a robust defense against unauthorized data access and potential breaches.</w:t>
      </w:r>
    </w:p>
    <w:p w14:paraId="4620EF79" w14:textId="70E9D1FA" w:rsidR="00A03259" w:rsidRPr="00A03259" w:rsidRDefault="00A03259" w:rsidP="00A03259">
      <w:pPr>
        <w:pStyle w:val="a5"/>
        <w:ind w:firstLineChars="100" w:firstLine="199"/>
        <w:rPr>
          <w:lang w:val="en-US"/>
        </w:rPr>
      </w:pPr>
      <w:r w:rsidRPr="00A03259">
        <w:rPr>
          <w:lang w:val="en-US"/>
        </w:rPr>
        <w:t>Improved Compliance:</w:t>
      </w:r>
      <w:r>
        <w:rPr>
          <w:lang w:val="en-US"/>
        </w:rPr>
        <w:t xml:space="preserve"> </w:t>
      </w:r>
      <w:r w:rsidRPr="00A03259">
        <w:rPr>
          <w:lang w:val="en-US"/>
        </w:rPr>
        <w:t>In the contemporary landscape of data protection regulations and industry-specific compliance standards, RBAC serves as a powerful tool for ensuring that NG aligns with these requirements. By defining roles and access permissions in accordance with legal and ethical considerations, NG can demonstrate a commitment to compliance. This not only safeguards the company against regulatory penalties but also fosters trust among clients and stakeholders, enhancing NG's reputation as a responsible custodian of sensitive information.</w:t>
      </w:r>
    </w:p>
    <w:p w14:paraId="00BED498" w14:textId="08CE83CD" w:rsidR="00A03259" w:rsidRPr="00A03259" w:rsidRDefault="00A03259" w:rsidP="00A03259">
      <w:pPr>
        <w:pStyle w:val="a5"/>
        <w:ind w:firstLineChars="100" w:firstLine="199"/>
        <w:rPr>
          <w:lang w:val="en-US"/>
        </w:rPr>
      </w:pPr>
      <w:r w:rsidRPr="00A03259">
        <w:rPr>
          <w:lang w:val="en-US"/>
        </w:rPr>
        <w:t>Enhanced Operational Efficiency:</w:t>
      </w:r>
      <w:r>
        <w:rPr>
          <w:lang w:val="en-US"/>
        </w:rPr>
        <w:t xml:space="preserve"> </w:t>
      </w:r>
      <w:r w:rsidRPr="00A03259">
        <w:rPr>
          <w:lang w:val="en-US"/>
        </w:rPr>
        <w:t>RBAC contributes to the overall efficiency of NG's operations by ensuring that employees and clients have access to the resources essential for their roles. This targeted approach reduces the likelihood of individuals encountering unnecessary complications or delays in performing their tasks. As a backstage manager of digital access, RBAC optimizes operational workflows and allows NG to focus on its core business activities without compromising security.</w:t>
      </w:r>
    </w:p>
    <w:p w14:paraId="3DECAFF9" w14:textId="0A91F7CF" w:rsidR="00A03259" w:rsidRDefault="00A03259" w:rsidP="00A03259">
      <w:pPr>
        <w:pStyle w:val="a5"/>
        <w:ind w:firstLineChars="100" w:firstLine="199"/>
        <w:rPr>
          <w:lang w:val="en-US"/>
        </w:rPr>
      </w:pPr>
      <w:r w:rsidRPr="00A03259">
        <w:rPr>
          <w:lang w:val="en-US"/>
        </w:rPr>
        <w:t>Incorporating RBAC into NG's security framework</w:t>
      </w:r>
      <w:r w:rsidR="007D5D51">
        <w:rPr>
          <w:lang w:val="en-US"/>
        </w:rPr>
        <w:t xml:space="preserve"> </w:t>
      </w:r>
      <w:r w:rsidRPr="00A03259">
        <w:rPr>
          <w:lang w:val="en-US"/>
        </w:rPr>
        <w:t>establishes a foundation for a more resilient and adaptable information security infrastructure. The benefits of simplified access management, reduced risk of data exposure, and improved compliance position RBAC as a valuable asset in NatureGarden's ongoing efforts to fortify its digital defenses.</w:t>
      </w:r>
    </w:p>
    <w:p w14:paraId="78562CC8" w14:textId="45EB6E49" w:rsidR="0060010E" w:rsidRPr="00BA0178" w:rsidRDefault="001B2FF4" w:rsidP="0060010E">
      <w:pPr>
        <w:pStyle w:val="a5"/>
        <w:ind w:firstLineChars="100" w:firstLine="199"/>
        <w:rPr>
          <w:i/>
          <w:iCs/>
          <w:lang w:val="en-US"/>
        </w:rPr>
      </w:pPr>
      <w:r w:rsidRPr="00BA0178">
        <w:rPr>
          <w:i/>
          <w:iCs/>
          <w:lang w:val="en-US"/>
        </w:rPr>
        <w:t>4</w:t>
      </w:r>
      <w:r w:rsidR="0060010E" w:rsidRPr="00BA0178">
        <w:rPr>
          <w:i/>
          <w:iCs/>
          <w:lang w:val="en-US"/>
        </w:rPr>
        <w:t>. Zero Trust Security Model</w:t>
      </w:r>
    </w:p>
    <w:p w14:paraId="3E6F5D98" w14:textId="3BA11890" w:rsidR="00121174" w:rsidRDefault="00121174" w:rsidP="00121174">
      <w:pPr>
        <w:pStyle w:val="a5"/>
        <w:ind w:firstLineChars="100" w:firstLine="199"/>
        <w:rPr>
          <w:lang w:val="en-US"/>
        </w:rPr>
      </w:pPr>
      <w:r w:rsidRPr="00A93614">
        <w:rPr>
          <w:lang w:val="en-US"/>
        </w:rPr>
        <w:t>Zero-Trust is the skeptical sentinel of cybersecurity. It throws away assumptions about trust, demanding continuous verification of identities and scrutinizing every user, device, and system, no matter where they are. It's a constant guard dog in the ever-shifting landscape of digital security.</w:t>
      </w:r>
    </w:p>
    <w:p w14:paraId="5B930539" w14:textId="4A54DFFD" w:rsidR="00B40C9E" w:rsidRDefault="00B40C9E" w:rsidP="00B40C9E">
      <w:pPr>
        <w:pStyle w:val="a5"/>
        <w:ind w:firstLineChars="100" w:firstLine="199"/>
        <w:rPr>
          <w:lang w:val="en-US"/>
        </w:rPr>
      </w:pPr>
      <w:r w:rsidRPr="00B40C9E">
        <w:rPr>
          <w:lang w:val="en-US"/>
        </w:rPr>
        <w:t>Zero Trust Model Framework</w:t>
      </w:r>
      <w:r>
        <w:rPr>
          <w:lang w:val="en-US"/>
        </w:rPr>
        <w:t xml:space="preserve"> is shown in </w:t>
      </w:r>
      <w:r>
        <w:rPr>
          <w:lang w:val="en-US"/>
        </w:rPr>
        <w:fldChar w:fldCharType="begin"/>
      </w:r>
      <w:r>
        <w:rPr>
          <w:lang w:val="en-US"/>
        </w:rPr>
        <w:instrText xml:space="preserve"> REF _Ref154265040 \r \h </w:instrText>
      </w:r>
      <w:r>
        <w:rPr>
          <w:lang w:val="en-US"/>
        </w:rPr>
      </w:r>
      <w:r>
        <w:rPr>
          <w:lang w:val="en-US"/>
        </w:rPr>
        <w:fldChar w:fldCharType="separate"/>
      </w:r>
      <w:r>
        <w:rPr>
          <w:lang w:val="en-US"/>
        </w:rPr>
        <w:t>Fig.4</w:t>
      </w:r>
      <w:r>
        <w:rPr>
          <w:lang w:val="en-US"/>
        </w:rPr>
        <w:fldChar w:fldCharType="end"/>
      </w:r>
      <w:r w:rsidR="00BA0178">
        <w:rPr>
          <w:lang w:val="en-US"/>
        </w:rPr>
        <w:t>,</w:t>
      </w:r>
      <w:r w:rsidRPr="00B40C9E">
        <w:rPr>
          <w:lang w:val="en-US"/>
        </w:rPr>
        <w:t xml:space="preserve"> illustrating the key components of the Zero Trust Security Model</w:t>
      </w:r>
      <w:r w:rsidR="0035382D">
        <w:rPr>
          <w:lang w:val="en-US"/>
        </w:rPr>
        <w:t xml:space="preserve"> </w:t>
      </w:r>
      <w:r w:rsidR="0035382D">
        <w:rPr>
          <w:lang w:val="en-US"/>
        </w:rPr>
        <w:fldChar w:fldCharType="begin"/>
      </w:r>
      <w:r w:rsidR="0035382D">
        <w:rPr>
          <w:lang w:val="en-US"/>
        </w:rPr>
        <w:instrText xml:space="preserve"> ADDIN ZOTERO_ITEM CSL_CITATION {"citationID":"wf0IzG74","properties":{"formattedCitation":"[19]","plainCitation":"[19]","noteIndex":0},"citationItems":[{"id":78,"uris":["http://zotero.org/users/local/SfwLnBLF/items/T3XFLSF9"],"itemData":{"id":78,"type":"webpage","abstract":"A Zero Trust model provides security against ransomware and cybersecurity threats by assigning the least required access needed to perform specific tasks.","language":"en-GB","title":"Zero Trust Model - Modern Security Architecture | Microsoft Security","URL":"https://www.microsoft.com/en-gb/security/business/zero-trust","accessed":{"date-parts":[["2023",12,23]]}}}],"schema":"https://github.com/citation-style-language/schema/raw/master/csl-citation.json"} </w:instrText>
      </w:r>
      <w:r w:rsidR="0035382D">
        <w:rPr>
          <w:lang w:val="en-US"/>
        </w:rPr>
        <w:fldChar w:fldCharType="separate"/>
      </w:r>
      <w:r w:rsidR="0035382D" w:rsidRPr="007D5D51">
        <w:rPr>
          <w:lang w:val="en-US"/>
        </w:rPr>
        <w:t>[19]</w:t>
      </w:r>
      <w:r w:rsidR="0035382D">
        <w:rPr>
          <w:lang w:val="en-US"/>
        </w:rPr>
        <w:fldChar w:fldCharType="end"/>
      </w:r>
      <w:r w:rsidRPr="00B40C9E">
        <w:rPr>
          <w:lang w:val="en-US"/>
        </w:rPr>
        <w:t>. This can include continuous verification, adaptable security layers, and integration points with NG's global presence.</w:t>
      </w:r>
    </w:p>
    <w:p w14:paraId="58CBDD53" w14:textId="5DA6EB03" w:rsidR="00B40C9E" w:rsidRDefault="00BA0178" w:rsidP="007D5D51">
      <w:pPr>
        <w:pStyle w:val="a5"/>
        <w:ind w:firstLineChars="100" w:firstLine="200"/>
        <w:jc w:val="center"/>
        <w:rPr>
          <w:lang w:val="en-US"/>
        </w:rPr>
      </w:pPr>
      <w:r>
        <w:rPr>
          <w:noProof/>
          <w:lang w:val="en-US"/>
        </w:rPr>
        <w:drawing>
          <wp:inline distT="0" distB="0" distL="0" distR="0" wp14:anchorId="6792B1FF" wp14:editId="077FEE6C">
            <wp:extent cx="3089910" cy="1813560"/>
            <wp:effectExtent l="0" t="0" r="0" b="0"/>
            <wp:docPr id="100409185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91854" name="图片 100409185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9910" cy="1813560"/>
                    </a:xfrm>
                    <a:prstGeom prst="rect">
                      <a:avLst/>
                    </a:prstGeom>
                  </pic:spPr>
                </pic:pic>
              </a:graphicData>
            </a:graphic>
          </wp:inline>
        </w:drawing>
      </w:r>
    </w:p>
    <w:p w14:paraId="080C478B" w14:textId="5677E743" w:rsidR="00B40C9E" w:rsidRPr="00BA0178" w:rsidRDefault="00B40C9E" w:rsidP="00BA0178">
      <w:pPr>
        <w:pStyle w:val="a5"/>
        <w:numPr>
          <w:ilvl w:val="0"/>
          <w:numId w:val="9"/>
        </w:numPr>
        <w:ind w:firstLineChars="100" w:firstLine="159"/>
        <w:jc w:val="center"/>
        <w:rPr>
          <w:sz w:val="16"/>
          <w:szCs w:val="16"/>
          <w:lang w:val="en-US"/>
        </w:rPr>
      </w:pPr>
      <w:bookmarkStart w:id="4" w:name="_Ref154265040"/>
      <w:r w:rsidRPr="00BA0178">
        <w:rPr>
          <w:sz w:val="16"/>
          <w:szCs w:val="16"/>
          <w:lang w:val="en-US"/>
        </w:rPr>
        <w:t>Zero Trust Model Framework</w:t>
      </w:r>
      <w:bookmarkEnd w:id="4"/>
    </w:p>
    <w:p w14:paraId="24747295" w14:textId="4FE99514" w:rsidR="001B2FF4" w:rsidRDefault="00342DC4" w:rsidP="001B2FF4">
      <w:pPr>
        <w:pStyle w:val="a5"/>
        <w:ind w:firstLineChars="100" w:firstLine="199"/>
        <w:rPr>
          <w:lang w:val="en-US"/>
        </w:rPr>
      </w:pPr>
      <w:r w:rsidRPr="008F2C40">
        <w:rPr>
          <w:lang w:val="en-US"/>
        </w:rPr>
        <w:lastRenderedPageBreak/>
        <w:t>Given NG's global presence and reliance on cloud services, adopting a Zero Trust approach can enhance security by continuously verifying users and devices, regardless of their location.</w:t>
      </w:r>
      <w:r>
        <w:rPr>
          <w:lang w:val="en-US"/>
        </w:rPr>
        <w:t xml:space="preserve"> </w:t>
      </w:r>
      <w:r w:rsidR="001B2FF4" w:rsidRPr="001B2FF4">
        <w:rPr>
          <w:lang w:val="en-US"/>
        </w:rPr>
        <w:t>Zero Trust Security Model Application for NatureGarden:</w:t>
      </w:r>
      <w:r w:rsidR="001B2FF4">
        <w:rPr>
          <w:lang w:val="en-US"/>
        </w:rPr>
        <w:t xml:space="preserve"> </w:t>
      </w:r>
      <w:r w:rsidR="001B2FF4" w:rsidRPr="001B2FF4">
        <w:rPr>
          <w:lang w:val="en-US"/>
        </w:rPr>
        <w:t>The Zero Trust Security Model, which demands continuous verification of identities and scrutinizes every user, device, and system, can enhance NG's security in the following ways:</w:t>
      </w:r>
      <w:r>
        <w:rPr>
          <w:lang w:val="en-US"/>
        </w:rPr>
        <w:t xml:space="preserve"> </w:t>
      </w:r>
      <w:r w:rsidR="001B2FF4">
        <w:rPr>
          <w:lang w:val="en-US"/>
        </w:rPr>
        <w:t>1.</w:t>
      </w:r>
      <w:r w:rsidR="00224E20">
        <w:rPr>
          <w:lang w:val="en-US"/>
        </w:rPr>
        <w:t xml:space="preserve"> </w:t>
      </w:r>
      <w:r w:rsidR="001B2FF4" w:rsidRPr="001B2FF4">
        <w:rPr>
          <w:lang w:val="en-US"/>
        </w:rPr>
        <w:t>Continuous Verification: Given NG's global presence and reliance on cloud services, adopting a Zero Trust approach ensures continuous verification of users and devices, enhancing security regardless of their location.</w:t>
      </w:r>
      <w:r>
        <w:rPr>
          <w:lang w:val="en-US"/>
        </w:rPr>
        <w:t xml:space="preserve"> </w:t>
      </w:r>
      <w:r w:rsidR="001B2FF4">
        <w:rPr>
          <w:lang w:val="en-US"/>
        </w:rPr>
        <w:t>2.</w:t>
      </w:r>
      <w:r w:rsidR="001B2FF4" w:rsidRPr="001B2FF4">
        <w:rPr>
          <w:lang w:val="en-US"/>
        </w:rPr>
        <w:t>Adaptable Security in a Shifting Landscape: The Zero Trust model acts as a constant guard dog in the ever-shifting landscape of digital security, aligning with NG's need for adaptable security measures.</w:t>
      </w:r>
    </w:p>
    <w:p w14:paraId="0F9B0D2D" w14:textId="77238C58" w:rsidR="00AC6F5B" w:rsidRDefault="008F2C40" w:rsidP="008F2C40">
      <w:pPr>
        <w:pStyle w:val="a5"/>
        <w:ind w:firstLineChars="100" w:firstLine="199"/>
        <w:rPr>
          <w:lang w:val="en-US"/>
        </w:rPr>
      </w:pPr>
      <w:r w:rsidRPr="008F2C40">
        <w:rPr>
          <w:lang w:val="en-US"/>
        </w:rPr>
        <w:t>Incorporating these security models into NG's framework strengthens the overall security posture, aligning with ITIL and ISO 27000 series principles. Visual representations help articulate these implementations, making it easier for stakeholders to grasp the strategic integration of security measures into NG's service delivery and information management processes.</w:t>
      </w:r>
    </w:p>
    <w:p w14:paraId="1825DD99" w14:textId="3F51B7D8" w:rsidR="00FB1662" w:rsidRDefault="00FB1662" w:rsidP="005527CE">
      <w:pPr>
        <w:pStyle w:val="a5"/>
        <w:spacing w:line="240" w:lineRule="auto"/>
        <w:ind w:firstLineChars="100" w:firstLine="199"/>
        <w:rPr>
          <w:lang w:val="en-US"/>
        </w:rPr>
        <w:sectPr w:rsidR="00FB1662">
          <w:type w:val="continuous"/>
          <w:pgSz w:w="11906" w:h="16838"/>
          <w:pgMar w:top="1080" w:right="907" w:bottom="1440" w:left="907" w:header="720" w:footer="720" w:gutter="0"/>
          <w:cols w:num="2" w:space="360"/>
          <w:docGrid w:linePitch="360"/>
        </w:sectPr>
      </w:pPr>
    </w:p>
    <w:p w14:paraId="15167FCE" w14:textId="77777777" w:rsidR="00FB1662" w:rsidRDefault="00FB1662">
      <w:pPr>
        <w:pStyle w:val="a5"/>
        <w:spacing w:line="240" w:lineRule="auto"/>
        <w:ind w:firstLineChars="100" w:firstLine="199"/>
        <w:rPr>
          <w:lang w:val="en-US"/>
        </w:rPr>
        <w:sectPr w:rsidR="00FB1662">
          <w:type w:val="continuous"/>
          <w:pgSz w:w="11906" w:h="16838"/>
          <w:pgMar w:top="1080" w:right="907" w:bottom="1440" w:left="907" w:header="720" w:footer="720" w:gutter="0"/>
          <w:cols w:space="360"/>
          <w:docGrid w:linePitch="360"/>
        </w:sectPr>
      </w:pPr>
    </w:p>
    <w:p w14:paraId="249F6EE6" w14:textId="03330347" w:rsidR="00FB1662" w:rsidRDefault="000D5C27">
      <w:pPr>
        <w:pStyle w:val="1"/>
        <w:ind w:firstLine="216"/>
      </w:pPr>
      <w:r w:rsidRPr="000D5C27">
        <w:t>Designing a comprehensive approach for ng</w:t>
      </w:r>
    </w:p>
    <w:p w14:paraId="10D342E6" w14:textId="08F2D892" w:rsidR="001650F6" w:rsidRDefault="00A518A6" w:rsidP="007D5D51">
      <w:pPr>
        <w:spacing w:afterLines="50" w:after="120" w:line="228" w:lineRule="auto"/>
        <w:ind w:firstLineChars="100" w:firstLine="200"/>
        <w:jc w:val="both"/>
        <w:rPr>
          <w:lang w:eastAsia="zh-CN"/>
        </w:rPr>
      </w:pPr>
      <w:r>
        <w:rPr>
          <w:lang w:eastAsia="zh-CN"/>
        </w:rPr>
        <w:t>Based on the research in Section III,</w:t>
      </w:r>
      <w:r w:rsidR="006A4F6C">
        <w:rPr>
          <w:lang w:eastAsia="zh-CN"/>
        </w:rPr>
        <w:t xml:space="preserve"> </w:t>
      </w:r>
      <w:r w:rsidR="0035382D">
        <w:rPr>
          <w:lang w:eastAsia="zh-CN"/>
        </w:rPr>
        <w:t>t</w:t>
      </w:r>
      <w:r w:rsidR="006A4F6C">
        <w:rPr>
          <w:lang w:eastAsia="zh-CN"/>
        </w:rPr>
        <w:t xml:space="preserve">he insights </w:t>
      </w:r>
      <w:r w:rsidR="009D438F">
        <w:rPr>
          <w:lang w:eastAsia="zh-CN"/>
        </w:rPr>
        <w:t xml:space="preserve">can be </w:t>
      </w:r>
      <w:r w:rsidR="009D438F">
        <w:rPr>
          <w:lang w:eastAsia="zh-CN"/>
        </w:rPr>
        <w:t>integrate</w:t>
      </w:r>
      <w:r w:rsidR="009D438F">
        <w:rPr>
          <w:lang w:eastAsia="zh-CN"/>
        </w:rPr>
        <w:t xml:space="preserve">d </w:t>
      </w:r>
      <w:r w:rsidR="006A4F6C">
        <w:rPr>
          <w:lang w:eastAsia="zh-CN"/>
        </w:rPr>
        <w:t>gained from the research on ITIL, ISO 27000 series, RBAC, and Zero-Trust security model into the design of a comprehensive approach for NatureGarden</w:t>
      </w:r>
      <w:r w:rsidR="0035382D">
        <w:rPr>
          <w:lang w:eastAsia="zh-CN"/>
        </w:rPr>
        <w:t>’s security need</w:t>
      </w:r>
      <w:r w:rsidR="006A4F6C">
        <w:rPr>
          <w:lang w:eastAsia="zh-CN"/>
        </w:rPr>
        <w:t xml:space="preserve"> in Section IV.</w:t>
      </w:r>
    </w:p>
    <w:p w14:paraId="1C43DD14" w14:textId="233EB8D7" w:rsidR="006A4F6C" w:rsidRDefault="006A4F6C" w:rsidP="007D5D51">
      <w:pPr>
        <w:spacing w:afterLines="50" w:after="120" w:line="228" w:lineRule="auto"/>
        <w:ind w:firstLineChars="100" w:firstLine="200"/>
        <w:jc w:val="both"/>
        <w:rPr>
          <w:i/>
          <w:iCs/>
          <w:lang w:eastAsia="zh-CN"/>
        </w:rPr>
      </w:pPr>
      <w:r w:rsidRPr="00FB7B6D">
        <w:rPr>
          <w:i/>
          <w:iCs/>
          <w:lang w:eastAsia="zh-CN"/>
        </w:rPr>
        <w:t>a. Security, Governance, and Compliance Approach</w:t>
      </w:r>
    </w:p>
    <w:p w14:paraId="648B7326" w14:textId="676B0698" w:rsidR="003E7490" w:rsidRDefault="006A4F6C" w:rsidP="007D5D51">
      <w:pPr>
        <w:spacing w:afterLines="50" w:after="120" w:line="228" w:lineRule="auto"/>
        <w:ind w:firstLineChars="100" w:firstLine="200"/>
        <w:jc w:val="both"/>
        <w:rPr>
          <w:lang w:eastAsia="zh-CN"/>
        </w:rPr>
      </w:pPr>
      <w:r>
        <w:rPr>
          <w:lang w:eastAsia="zh-CN"/>
        </w:rPr>
        <w:t>Compliance (Laws and Ethics):</w:t>
      </w:r>
      <w:r w:rsidR="002A017D">
        <w:rPr>
          <w:lang w:eastAsia="zh-CN"/>
        </w:rPr>
        <w:t xml:space="preserve"> </w:t>
      </w:r>
      <w:r>
        <w:rPr>
          <w:lang w:eastAsia="zh-CN"/>
        </w:rPr>
        <w:t>Leveraging insights from ISO 27001 and ITIL, NatureGarden (NG) will design a compliance framework that aligns with international standards and best practices. The framework will encompass a detailed policy addressing legal and ethical considerations, with regular audits and assessments ensuring NG's adherence to evolving compliance requirements</w:t>
      </w:r>
      <w:r w:rsidR="003E7490">
        <w:rPr>
          <w:lang w:eastAsia="zh-CN"/>
        </w:rPr>
        <w:t>.</w:t>
      </w:r>
      <w:r>
        <w:rPr>
          <w:lang w:eastAsia="zh-CN"/>
        </w:rPr>
        <w:t xml:space="preserve"> </w:t>
      </w:r>
      <w:r w:rsidR="003E7490" w:rsidRPr="003E7490">
        <w:rPr>
          <w:lang w:eastAsia="zh-CN"/>
        </w:rPr>
        <w:t>Diagram Example: A compliance framework diagram illustrating the integration of ISO 27001 controls and ITIL compliance practices.</w:t>
      </w:r>
    </w:p>
    <w:p w14:paraId="7BDC73FA" w14:textId="38530F46" w:rsidR="006A4F6C" w:rsidRDefault="006A4F6C" w:rsidP="00FB7B6D">
      <w:pPr>
        <w:spacing w:afterLines="50" w:after="120" w:line="228" w:lineRule="auto"/>
        <w:ind w:firstLineChars="100" w:firstLine="200"/>
        <w:jc w:val="both"/>
        <w:rPr>
          <w:lang w:eastAsia="zh-CN"/>
        </w:rPr>
      </w:pPr>
      <w:r>
        <w:rPr>
          <w:lang w:eastAsia="zh-CN"/>
        </w:rPr>
        <w:t>Governance and Strategic Planning:</w:t>
      </w:r>
      <w:r w:rsidR="003E7490">
        <w:rPr>
          <w:lang w:eastAsia="zh-CN"/>
        </w:rPr>
        <w:t xml:space="preserve"> </w:t>
      </w:r>
      <w:r>
        <w:rPr>
          <w:lang w:eastAsia="zh-CN"/>
        </w:rPr>
        <w:t>Building on the adaptability of ITIL, NG will establish a governance framework based on ITIL principles. This dedicated security governance team will oversee policies, risk management, and compliance, aligning strategic planning with NG's business objectives and ensuring a proactive and adaptive approach to information security.</w:t>
      </w:r>
      <w:r w:rsidR="00FB7B6D">
        <w:rPr>
          <w:lang w:eastAsia="zh-CN"/>
        </w:rPr>
        <w:t xml:space="preserve"> </w:t>
      </w:r>
      <w:r>
        <w:rPr>
          <w:lang w:eastAsia="zh-CN"/>
        </w:rPr>
        <w:t>Diagram Example: A governance structure chart depicting the roles and responsibilities of the security governance team, integrating ITIL principles.</w:t>
      </w:r>
    </w:p>
    <w:p w14:paraId="23EE097F" w14:textId="30442FA5" w:rsidR="006A4F6C" w:rsidRDefault="006A4F6C" w:rsidP="00FB7B6D">
      <w:pPr>
        <w:spacing w:afterLines="50" w:after="120" w:line="228" w:lineRule="auto"/>
        <w:ind w:firstLineChars="100" w:firstLine="200"/>
        <w:jc w:val="both"/>
        <w:rPr>
          <w:lang w:eastAsia="zh-CN"/>
        </w:rPr>
      </w:pPr>
      <w:r>
        <w:rPr>
          <w:lang w:eastAsia="zh-CN"/>
        </w:rPr>
        <w:t>Security Policies:</w:t>
      </w:r>
      <w:r w:rsidR="003E7490">
        <w:rPr>
          <w:lang w:eastAsia="zh-CN"/>
        </w:rPr>
        <w:t xml:space="preserve"> </w:t>
      </w:r>
      <w:r>
        <w:rPr>
          <w:lang w:eastAsia="zh-CN"/>
        </w:rPr>
        <w:t>Drawing from ITIL's modular nature and ISO 27002 best practices, NG will formulate and communicate clear security policies. These policies, regularly updated, will cover data handling, access controls, incident response, and communication of security responsibilities.</w:t>
      </w:r>
      <w:r w:rsidR="00FB7B6D">
        <w:rPr>
          <w:lang w:eastAsia="zh-CN"/>
        </w:rPr>
        <w:t xml:space="preserve"> </w:t>
      </w:r>
      <w:r>
        <w:rPr>
          <w:lang w:eastAsia="zh-CN"/>
        </w:rPr>
        <w:t>Diagram Example: An infographic summarizing key elements of NG's security policies, integrating ITIL processes and ISO 27002 controls.</w:t>
      </w:r>
    </w:p>
    <w:p w14:paraId="276C30A3" w14:textId="2BCC03EA" w:rsidR="006A4F6C" w:rsidRDefault="006A4F6C" w:rsidP="00FB7B6D">
      <w:pPr>
        <w:spacing w:afterLines="50" w:after="120" w:line="228" w:lineRule="auto"/>
        <w:ind w:firstLineChars="100" w:firstLine="200"/>
        <w:jc w:val="both"/>
        <w:rPr>
          <w:lang w:eastAsia="zh-CN"/>
        </w:rPr>
      </w:pPr>
      <w:r>
        <w:rPr>
          <w:lang w:eastAsia="zh-CN"/>
        </w:rPr>
        <w:t>Risk Management:</w:t>
      </w:r>
      <w:r w:rsidR="003E7490">
        <w:rPr>
          <w:lang w:eastAsia="zh-CN"/>
        </w:rPr>
        <w:t xml:space="preserve"> </w:t>
      </w:r>
      <w:r>
        <w:rPr>
          <w:lang w:eastAsia="zh-CN"/>
        </w:rPr>
        <w:t>Combining ITIL's risk-aware culture and ISO 27005 risk management principles, NG will implement a robust risk management system. This includes regular risk assessments, identification of threats and vulnerabilities, and prioritization of risk mitigation strategies.</w:t>
      </w:r>
      <w:r w:rsidR="00FB7B6D">
        <w:rPr>
          <w:lang w:eastAsia="zh-CN"/>
        </w:rPr>
        <w:t xml:space="preserve"> </w:t>
      </w:r>
      <w:r>
        <w:rPr>
          <w:lang w:eastAsia="zh-CN"/>
        </w:rPr>
        <w:t>Diagram Example: A risk matrix illustrating the alignment of NG's risk management with ITIL practices and ISO 27005 standards.</w:t>
      </w:r>
    </w:p>
    <w:p w14:paraId="6568ADA5" w14:textId="77DB6D13" w:rsidR="006A4F6C" w:rsidRDefault="006A4F6C" w:rsidP="00FB7B6D">
      <w:pPr>
        <w:spacing w:afterLines="50" w:after="120" w:line="228" w:lineRule="auto"/>
        <w:ind w:firstLineChars="100" w:firstLine="200"/>
        <w:jc w:val="both"/>
        <w:rPr>
          <w:lang w:eastAsia="zh-CN"/>
        </w:rPr>
      </w:pPr>
      <w:r>
        <w:rPr>
          <w:lang w:eastAsia="zh-CN"/>
        </w:rPr>
        <w:t>Security Management Models:</w:t>
      </w:r>
      <w:r w:rsidR="003E7490">
        <w:rPr>
          <w:lang w:eastAsia="zh-CN"/>
        </w:rPr>
        <w:t xml:space="preserve"> </w:t>
      </w:r>
      <w:r>
        <w:rPr>
          <w:lang w:eastAsia="zh-CN"/>
        </w:rPr>
        <w:t xml:space="preserve">Aligning with ISO 27001, NG will adopt proven security management models such as the Capability Maturity Model Integration (CMMI) or NIST Cybersecurity Framework. These models will serve as </w:t>
      </w:r>
      <w:r>
        <w:rPr>
          <w:lang w:eastAsia="zh-CN"/>
        </w:rPr>
        <w:t>benchmarks for evaluating NG's security maturity and guiding continuous improvement efforts.</w:t>
      </w:r>
      <w:r w:rsidR="00FB7B6D">
        <w:rPr>
          <w:lang w:eastAsia="zh-CN"/>
        </w:rPr>
        <w:t xml:space="preserve"> </w:t>
      </w:r>
      <w:r>
        <w:rPr>
          <w:lang w:eastAsia="zh-CN"/>
        </w:rPr>
        <w:t>Diagram Example: A comparative analysis chart showcasing how NG's security management aligns with established models, integrating ISO 27001 principles.</w:t>
      </w:r>
    </w:p>
    <w:p w14:paraId="0A7CCD6E" w14:textId="5E2CD807" w:rsidR="006A4F6C" w:rsidRPr="00FB7B6D" w:rsidRDefault="006A4F6C" w:rsidP="00FB7B6D">
      <w:pPr>
        <w:spacing w:afterLines="50" w:after="120" w:line="228" w:lineRule="auto"/>
        <w:ind w:firstLineChars="100" w:firstLine="200"/>
        <w:jc w:val="both"/>
        <w:rPr>
          <w:i/>
          <w:iCs/>
          <w:lang w:eastAsia="zh-CN"/>
        </w:rPr>
      </w:pPr>
      <w:r w:rsidRPr="00FB7B6D">
        <w:rPr>
          <w:i/>
          <w:iCs/>
          <w:lang w:eastAsia="zh-CN"/>
        </w:rPr>
        <w:t>b. Constantly Updating Regulations and Standards</w:t>
      </w:r>
    </w:p>
    <w:p w14:paraId="62AAE982" w14:textId="5303DEE1" w:rsidR="002C61D6" w:rsidRDefault="006A4F6C" w:rsidP="002C61D6">
      <w:pPr>
        <w:spacing w:afterLines="50" w:after="120" w:line="228" w:lineRule="auto"/>
        <w:ind w:firstLineChars="100" w:firstLine="200"/>
        <w:jc w:val="both"/>
        <w:rPr>
          <w:lang w:eastAsia="zh-CN"/>
        </w:rPr>
      </w:pPr>
      <w:r>
        <w:rPr>
          <w:lang w:eastAsia="zh-CN"/>
        </w:rPr>
        <w:t>Compliance:</w:t>
      </w:r>
      <w:r w:rsidR="002A017D">
        <w:rPr>
          <w:lang w:eastAsia="zh-CN"/>
        </w:rPr>
        <w:t xml:space="preserve"> </w:t>
      </w:r>
      <w:r>
        <w:rPr>
          <w:lang w:eastAsia="zh-CN"/>
        </w:rPr>
        <w:t>Integrating ITIL's adaptability and ISO 27001 principles, NG will conduct regular updates to security policies to comply with evolving laws and ethical standards. A systematic mechanism for tracking legislative changes will ensure timely adjustments to compliance policies.</w:t>
      </w:r>
      <w:r w:rsidR="002C61D6">
        <w:rPr>
          <w:rFonts w:hint="eastAsia"/>
          <w:lang w:eastAsia="zh-CN"/>
        </w:rPr>
        <w:t xml:space="preserve"> </w:t>
      </w:r>
      <w:r>
        <w:rPr>
          <w:lang w:eastAsia="zh-CN"/>
        </w:rPr>
        <w:t>Diagram Example: A timeline chart illustrating the evolution of key data protection laws and corresponding updates to NG's compliance policies, integrating ITIL practices.</w:t>
      </w:r>
    </w:p>
    <w:p w14:paraId="14AB473A" w14:textId="765F57D6" w:rsidR="006A4F6C" w:rsidRDefault="006A4F6C" w:rsidP="002C61D6">
      <w:pPr>
        <w:spacing w:afterLines="50" w:after="120" w:line="228" w:lineRule="auto"/>
        <w:ind w:firstLineChars="100" w:firstLine="200"/>
        <w:jc w:val="both"/>
        <w:rPr>
          <w:lang w:eastAsia="zh-CN"/>
        </w:rPr>
      </w:pPr>
      <w:r>
        <w:rPr>
          <w:lang w:eastAsia="zh-CN"/>
        </w:rPr>
        <w:t>Governance:</w:t>
      </w:r>
      <w:r w:rsidR="003E7490">
        <w:rPr>
          <w:lang w:eastAsia="zh-CN"/>
        </w:rPr>
        <w:t xml:space="preserve"> </w:t>
      </w:r>
      <w:r>
        <w:rPr>
          <w:lang w:eastAsia="zh-CN"/>
        </w:rPr>
        <w:t>Drawing from ITIL's iterative approach, NG will implement continuous monitoring and adjustment of governance strategies. Periodic reviews, feedback mechanisms, and adaptations will ensure that governance strategies remain effective in alignment with changing business and security landscapes.</w:t>
      </w:r>
      <w:r w:rsidR="002C61D6">
        <w:rPr>
          <w:lang w:eastAsia="zh-CN"/>
        </w:rPr>
        <w:t xml:space="preserve"> </w:t>
      </w:r>
      <w:r>
        <w:rPr>
          <w:lang w:eastAsia="zh-CN"/>
        </w:rPr>
        <w:t>Diagram Example: A visual representation of the cyclical governance review process, emphasizing the iterative nature of NG's governance strategies, incorporating ITIL practices.</w:t>
      </w:r>
    </w:p>
    <w:p w14:paraId="7309AFBF" w14:textId="640AC140" w:rsidR="006A4F6C" w:rsidRDefault="006A4F6C" w:rsidP="002C61D6">
      <w:pPr>
        <w:spacing w:after="50" w:line="228" w:lineRule="auto"/>
        <w:ind w:firstLineChars="100" w:firstLine="200"/>
        <w:jc w:val="both"/>
        <w:rPr>
          <w:lang w:eastAsia="zh-CN"/>
        </w:rPr>
      </w:pPr>
      <w:r>
        <w:rPr>
          <w:lang w:eastAsia="zh-CN"/>
        </w:rPr>
        <w:t>Security Policies:</w:t>
      </w:r>
      <w:r w:rsidR="003E7490">
        <w:rPr>
          <w:lang w:eastAsia="zh-CN"/>
        </w:rPr>
        <w:t xml:space="preserve"> </w:t>
      </w:r>
      <w:r>
        <w:rPr>
          <w:lang w:eastAsia="zh-CN"/>
        </w:rPr>
        <w:t>Integrating ITIL's modular nature and ISO 27002 best practices, NG will conduct periodic reviews and updates of security policies to address new risks and technological advancements. Stakeholder involvement and feedback will be key components in ensuring the relevance and effectiveness of security policies.</w:t>
      </w:r>
      <w:r w:rsidR="002C61D6">
        <w:rPr>
          <w:rFonts w:hint="eastAsia"/>
          <w:lang w:eastAsia="zh-CN"/>
        </w:rPr>
        <w:t xml:space="preserve"> </w:t>
      </w:r>
      <w:r>
        <w:rPr>
          <w:lang w:eastAsia="zh-CN"/>
        </w:rPr>
        <w:t>Diagram Example: An infographic highlighting the key elements of NG's security policy review process, showcasing the steps involved and the involvement of stakeholders, incorporating ITIL processes and ISO 27002 controls.</w:t>
      </w:r>
    </w:p>
    <w:p w14:paraId="2DE37892" w14:textId="1B49B43D" w:rsidR="006A4F6C" w:rsidRDefault="006A4F6C" w:rsidP="007D5D51">
      <w:pPr>
        <w:spacing w:after="50" w:line="228" w:lineRule="auto"/>
        <w:ind w:firstLineChars="100" w:firstLine="200"/>
        <w:jc w:val="both"/>
        <w:rPr>
          <w:lang w:eastAsia="zh-CN"/>
        </w:rPr>
      </w:pPr>
      <w:r>
        <w:rPr>
          <w:lang w:eastAsia="zh-CN"/>
        </w:rPr>
        <w:t>Contingency Planning:</w:t>
      </w:r>
      <w:r w:rsidR="003E7490">
        <w:rPr>
          <w:lang w:eastAsia="zh-CN"/>
        </w:rPr>
        <w:t xml:space="preserve"> </w:t>
      </w:r>
      <w:r>
        <w:rPr>
          <w:lang w:eastAsia="zh-CN"/>
        </w:rPr>
        <w:t>Combining insights from ITIL's Service Operation and ISO 27031 for ICT readiness, NG will conduct regular evaluations and updates to contingency plans. Simulated exercises will test the effectiveness of contingency plans, ensuring NG's readiness to respond to unforeseen security incidents.</w:t>
      </w:r>
      <w:r w:rsidR="002C61D6">
        <w:rPr>
          <w:rFonts w:hint="eastAsia"/>
          <w:lang w:eastAsia="zh-CN"/>
        </w:rPr>
        <w:t xml:space="preserve"> </w:t>
      </w:r>
      <w:r>
        <w:rPr>
          <w:lang w:eastAsia="zh-CN"/>
        </w:rPr>
        <w:t>Diagram Example: A flowchart illustrating the contingency planning process, showcasing the steps involved from risk identification to plan adjustments, integrating ITIL and ISO 27031 principles.</w:t>
      </w:r>
    </w:p>
    <w:p w14:paraId="1A5A98CA" w14:textId="75943FAE" w:rsidR="006A4F6C" w:rsidRDefault="006A4F6C" w:rsidP="007D5D51">
      <w:pPr>
        <w:spacing w:after="50" w:line="228" w:lineRule="auto"/>
        <w:ind w:firstLineChars="100" w:firstLine="200"/>
        <w:jc w:val="both"/>
        <w:rPr>
          <w:lang w:eastAsia="zh-CN"/>
        </w:rPr>
      </w:pPr>
      <w:r>
        <w:rPr>
          <w:lang w:eastAsia="zh-CN"/>
        </w:rPr>
        <w:t xml:space="preserve">This comprehensive approach integrates the strengths of ITIL, ISO 27000 series, RBAC, and the Zero-Trust security model, fortifying NG's information system security, governance, and compliance. Visual representations, such as diagrams and charts, will be strategically used to enhance clarity and accessibility, fostering a proactive and resilient </w:t>
      </w:r>
      <w:r>
        <w:rPr>
          <w:lang w:eastAsia="zh-CN"/>
        </w:rPr>
        <w:lastRenderedPageBreak/>
        <w:t xml:space="preserve">information security environment. All assumptions made throughout the design process are stated. </w:t>
      </w:r>
    </w:p>
    <w:p w14:paraId="0438D2DA" w14:textId="501A3846" w:rsidR="00FB1662" w:rsidRDefault="0097759A">
      <w:pPr>
        <w:pStyle w:val="1"/>
        <w:ind w:firstLine="216"/>
      </w:pPr>
      <w:r w:rsidRPr="0097759A">
        <w:t>Discussion on good practices</w:t>
      </w:r>
    </w:p>
    <w:p w14:paraId="703FBD8B" w14:textId="071FBC27" w:rsidR="00A84597" w:rsidRPr="00A84597" w:rsidRDefault="00A84597" w:rsidP="00A84597">
      <w:pPr>
        <w:pStyle w:val="a5"/>
        <w:ind w:firstLineChars="100" w:firstLine="199"/>
        <w:rPr>
          <w:lang w:val="en-US"/>
        </w:rPr>
      </w:pPr>
      <w:r w:rsidRPr="00A84597">
        <w:rPr>
          <w:lang w:val="en-US"/>
        </w:rPr>
        <w:t>In the dynamic landscape of information security, the imperative for regularly updating and adapting regulations and standards is underscored by several key factors. Critically analyzing this practice reveals its inherent benefits and relevance to organizations like NatureGarden (NG).</w:t>
      </w:r>
    </w:p>
    <w:p w14:paraId="62FD90EC" w14:textId="7767B1BF" w:rsidR="00A84597" w:rsidRPr="00A84597" w:rsidRDefault="00A84597" w:rsidP="00A84597">
      <w:pPr>
        <w:pStyle w:val="a5"/>
        <w:ind w:firstLineChars="100" w:firstLine="199"/>
        <w:rPr>
          <w:lang w:val="en-US"/>
        </w:rPr>
      </w:pPr>
      <w:r w:rsidRPr="00A84597">
        <w:rPr>
          <w:lang w:val="en-US"/>
        </w:rPr>
        <w:t>Adaptation to Evolving Threat Landscape:</w:t>
      </w:r>
      <w:r>
        <w:rPr>
          <w:lang w:val="en-US"/>
        </w:rPr>
        <w:t xml:space="preserve"> </w:t>
      </w:r>
      <w:r w:rsidRPr="00A84597">
        <w:rPr>
          <w:lang w:val="en-US"/>
        </w:rPr>
        <w:t>The digital realm is subject to continuous evolution, marked by the emergence of new cyber threats and sophisticated attack vectors. Regular updates to regulations and standards allow organizations to stay ahead of these evolving threats, ensuring that security measures are aligned with the current threat landscape. NG, with its global presence and extensive reliance on online platforms, benefits from staying vigilant against emerging security challenges.</w:t>
      </w:r>
    </w:p>
    <w:p w14:paraId="130B4884" w14:textId="15801DF0" w:rsidR="00A84597" w:rsidRPr="00A84597" w:rsidRDefault="00A84597" w:rsidP="00A84597">
      <w:pPr>
        <w:pStyle w:val="a5"/>
        <w:ind w:firstLineChars="100" w:firstLine="199"/>
        <w:rPr>
          <w:lang w:val="en-US"/>
        </w:rPr>
      </w:pPr>
      <w:r w:rsidRPr="00A84597">
        <w:rPr>
          <w:lang w:val="en-US"/>
        </w:rPr>
        <w:t>Technological Advancements:</w:t>
      </w:r>
      <w:r>
        <w:rPr>
          <w:lang w:val="en-US"/>
        </w:rPr>
        <w:t xml:space="preserve"> </w:t>
      </w:r>
      <w:r w:rsidRPr="00A84597">
        <w:rPr>
          <w:lang w:val="en-US"/>
        </w:rPr>
        <w:t>Technology evolves rapidly, introducing new tools and methodologies. Regular updates to regulations and standards enable organizations to leverage technological advancements for improved security. NG, operating in the health and wellness sector, can harness technological innovations to enhance the protection of sensitive health-related data and intellectual properties.</w:t>
      </w:r>
    </w:p>
    <w:p w14:paraId="210CA236" w14:textId="51299476" w:rsidR="00A84597" w:rsidRPr="00A84597" w:rsidRDefault="00A84597" w:rsidP="00A84597">
      <w:pPr>
        <w:pStyle w:val="a5"/>
        <w:ind w:firstLineChars="100" w:firstLine="199"/>
        <w:rPr>
          <w:lang w:val="en-US"/>
        </w:rPr>
      </w:pPr>
      <w:r w:rsidRPr="00A84597">
        <w:rPr>
          <w:lang w:val="en-US"/>
        </w:rPr>
        <w:t>Globalization and Consistency:</w:t>
      </w:r>
      <w:r>
        <w:rPr>
          <w:lang w:val="en-US"/>
        </w:rPr>
        <w:t xml:space="preserve"> </w:t>
      </w:r>
      <w:r w:rsidRPr="00A84597">
        <w:rPr>
          <w:lang w:val="en-US"/>
        </w:rPr>
        <w:t>Organizations like NG, with an international footprint, navigate diverse regulatory environments. Adhering to updated global standards ensures consistency in security practices across different regions. This not only enhances the overall security posture but also facilitates seamless global operations. Consistent adherence to standards becomes paramount, especially when dealing with personal data and intellectual properties on a global scale.</w:t>
      </w:r>
    </w:p>
    <w:p w14:paraId="7F405599" w14:textId="1EEB4167" w:rsidR="00A84597" w:rsidRPr="00A84597" w:rsidRDefault="00A84597" w:rsidP="00A84597">
      <w:pPr>
        <w:pStyle w:val="a5"/>
        <w:ind w:firstLineChars="100" w:firstLine="199"/>
        <w:rPr>
          <w:lang w:val="en-US"/>
        </w:rPr>
      </w:pPr>
      <w:r w:rsidRPr="00A84597">
        <w:rPr>
          <w:lang w:val="en-US"/>
        </w:rPr>
        <w:t>Alignment with Legal and Ethical Standards:</w:t>
      </w:r>
      <w:r>
        <w:rPr>
          <w:lang w:val="en-US"/>
        </w:rPr>
        <w:t xml:space="preserve"> </w:t>
      </w:r>
      <w:r w:rsidRPr="00A84597">
        <w:rPr>
          <w:lang w:val="en-US"/>
        </w:rPr>
        <w:t>Regulatory frameworks often encompass legal and ethical considerations. Regular updates ensure that organizations remain in compliance with the latest laws and ethical standards governing information security. For NG, which places a high priority on the security of personal staff and client data, adherence to legal and ethical standards is crucial to maintaining trust and credibility.</w:t>
      </w:r>
    </w:p>
    <w:p w14:paraId="04E18473" w14:textId="56C700F2" w:rsidR="00A84597" w:rsidRPr="00A84597" w:rsidRDefault="00A84597" w:rsidP="00A84597">
      <w:pPr>
        <w:pStyle w:val="a5"/>
        <w:ind w:firstLineChars="100" w:firstLine="199"/>
        <w:rPr>
          <w:lang w:val="en-US"/>
        </w:rPr>
      </w:pPr>
      <w:r w:rsidRPr="00A84597">
        <w:rPr>
          <w:lang w:val="en-US"/>
        </w:rPr>
        <w:t>Proactive Risk Management:</w:t>
      </w:r>
      <w:r>
        <w:rPr>
          <w:lang w:val="en-US"/>
        </w:rPr>
        <w:t xml:space="preserve"> </w:t>
      </w:r>
      <w:r w:rsidRPr="00A84597">
        <w:rPr>
          <w:lang w:val="en-US"/>
        </w:rPr>
        <w:t>The proactive nature of regularly updating regulations and standards enables organizations to anticipate and mitigate potential risks before they escalate. NG, with its emphasis on risk management, can benefit from staying proactive in identifying and addressing security vulnerabilities. This approach aligns with industry best practices and supports NG in safeguarding its information assets effectively.</w:t>
      </w:r>
    </w:p>
    <w:p w14:paraId="1E8FC132" w14:textId="2F0B7260" w:rsidR="00FB1662" w:rsidRDefault="00A84597" w:rsidP="00A84597">
      <w:pPr>
        <w:pStyle w:val="a5"/>
        <w:spacing w:after="0" w:line="240" w:lineRule="auto"/>
        <w:ind w:firstLineChars="100" w:firstLine="199"/>
        <w:rPr>
          <w:lang w:val="en-US"/>
        </w:rPr>
      </w:pPr>
      <w:r>
        <w:rPr>
          <w:lang w:val="en-US"/>
        </w:rPr>
        <w:t>According to reasons above</w:t>
      </w:r>
      <w:r w:rsidRPr="00A84597">
        <w:rPr>
          <w:lang w:val="en-US"/>
        </w:rPr>
        <w:t>, the practice of constantly updating regulations and standards is not merely a compliance requirement but a strategic imperative for organizations like NG. It ensures resilience against evolving threats, harnesses technological advancements, fosters global consistency, aligns with legal and ethical standards, and enables proactive risk management. Embracing this practice positions NG to uphold the highest standards of information security in an ever-changing digital landscape.</w:t>
      </w:r>
    </w:p>
    <w:p w14:paraId="0BF353F7" w14:textId="77777777" w:rsidR="00FB1662" w:rsidRDefault="00C4288E">
      <w:pPr>
        <w:pStyle w:val="1"/>
        <w:ind w:firstLine="216"/>
        <w:rPr>
          <w:lang w:eastAsia="zh-CN"/>
        </w:rPr>
      </w:pPr>
      <w:r>
        <w:rPr>
          <w:lang w:eastAsia="zh-CN"/>
        </w:rPr>
        <w:t>Conclusions</w:t>
      </w:r>
    </w:p>
    <w:p w14:paraId="10E8D212" w14:textId="52246A95" w:rsidR="00FB1662" w:rsidRDefault="00A75D8A" w:rsidP="00A75D8A">
      <w:pPr>
        <w:pStyle w:val="a5"/>
        <w:ind w:firstLineChars="100" w:firstLine="199"/>
        <w:rPr>
          <w:lang w:val="en-US"/>
        </w:rPr>
      </w:pPr>
      <w:r w:rsidRPr="00A75D8A">
        <w:rPr>
          <w:lang w:val="en-US"/>
        </w:rPr>
        <w:t>This study has undertaken a comprehensive exploration of security frameworks and models, addressing the specific needs of NatureGarden (NG) in its quest for robust information system security, governance, and compliance. By delving into key frameworks like ITIL, ISO 27000 series, and incorporating security models such as RBAC and the Zero Trust Security Model, we have formulated a tailored approach to fortify NG's defenses in the dynamic digital landscape.</w:t>
      </w:r>
      <w:r>
        <w:rPr>
          <w:lang w:val="en-US"/>
        </w:rPr>
        <w:t xml:space="preserve"> </w:t>
      </w:r>
      <w:r w:rsidRPr="00A75D8A">
        <w:rPr>
          <w:lang w:val="en-US"/>
        </w:rPr>
        <w:t>Furthermore, the discussion on the importance of constantly updating regulations and standards underscores the proactive stance required in the face of evolving threats. This commitment to adaptation becomes a strategic imperative for NG, ensuring its resilience and continued success in the ever-shifting digital landscape. The proposed approach positions NG to navigate the challenges of the digital age effectively, fostering a secure, resilient, and compliant information environment.</w:t>
      </w:r>
    </w:p>
    <w:p w14:paraId="4ECFBDE0" w14:textId="77777777" w:rsidR="00FB1662" w:rsidRDefault="00C4288E">
      <w:pPr>
        <w:pStyle w:val="5"/>
      </w:pPr>
      <w:r>
        <w:t>Acknowledgement</w:t>
      </w:r>
    </w:p>
    <w:p w14:paraId="23B739CA" w14:textId="16CCB739" w:rsidR="00FB1662" w:rsidRDefault="00EC5D2E" w:rsidP="003A6761">
      <w:pPr>
        <w:jc w:val="both"/>
        <w:rPr>
          <w:lang w:eastAsia="zh-CN"/>
        </w:rPr>
        <w:sectPr w:rsidR="00FB1662">
          <w:type w:val="continuous"/>
          <w:pgSz w:w="11906" w:h="16838"/>
          <w:pgMar w:top="1080" w:right="907" w:bottom="1440" w:left="907" w:header="720" w:footer="720" w:gutter="0"/>
          <w:cols w:num="2" w:space="360"/>
          <w:docGrid w:linePitch="360"/>
        </w:sectPr>
      </w:pPr>
      <w:r>
        <w:t xml:space="preserve">     </w:t>
      </w:r>
      <w:r w:rsidR="00F25E20">
        <w:rPr>
          <w:lang w:eastAsia="zh-CN"/>
        </w:rPr>
        <w:t xml:space="preserve">The author </w:t>
      </w:r>
      <w:r w:rsidR="000E3A7F">
        <w:rPr>
          <w:lang w:eastAsia="zh-CN"/>
        </w:rPr>
        <w:t xml:space="preserve">sincerely </w:t>
      </w:r>
      <w:r w:rsidR="00F25E20">
        <w:rPr>
          <w:lang w:eastAsia="zh-CN"/>
        </w:rPr>
        <w:t>thanks</w:t>
      </w:r>
      <w:r>
        <w:rPr>
          <w:lang w:eastAsia="zh-CN"/>
        </w:rPr>
        <w:t xml:space="preserve"> </w:t>
      </w:r>
      <w:r w:rsidR="0094519A">
        <w:rPr>
          <w:lang w:eastAsia="zh-CN"/>
        </w:rPr>
        <w:t xml:space="preserve">both </w:t>
      </w:r>
      <w:r w:rsidR="0094519A" w:rsidRPr="0094519A">
        <w:rPr>
          <w:lang w:eastAsia="zh-CN"/>
        </w:rPr>
        <w:t xml:space="preserve">Nitheesh </w:t>
      </w:r>
      <w:proofErr w:type="spellStart"/>
      <w:r w:rsidR="0094519A" w:rsidRPr="0094519A">
        <w:rPr>
          <w:lang w:eastAsia="zh-CN"/>
        </w:rPr>
        <w:t>Kaliyamurthy</w:t>
      </w:r>
      <w:proofErr w:type="spellEnd"/>
      <w:r w:rsidR="0094519A" w:rsidRPr="0094519A">
        <w:rPr>
          <w:lang w:eastAsia="zh-CN"/>
        </w:rPr>
        <w:t xml:space="preserve"> </w:t>
      </w:r>
      <w:r w:rsidR="0094519A">
        <w:rPr>
          <w:lang w:eastAsia="zh-CN"/>
        </w:rPr>
        <w:t xml:space="preserve">and </w:t>
      </w:r>
      <w:r w:rsidR="003A6761" w:rsidRPr="003A6761">
        <w:rPr>
          <w:lang w:eastAsia="zh-CN"/>
        </w:rPr>
        <w:t xml:space="preserve">Munyaradzi </w:t>
      </w:r>
      <w:proofErr w:type="spellStart"/>
      <w:r w:rsidR="003A6761" w:rsidRPr="003A6761">
        <w:rPr>
          <w:lang w:eastAsia="zh-CN"/>
        </w:rPr>
        <w:t>Murira</w:t>
      </w:r>
      <w:proofErr w:type="spellEnd"/>
      <w:r w:rsidR="003A6761">
        <w:rPr>
          <w:lang w:eastAsia="zh-CN"/>
        </w:rPr>
        <w:t xml:space="preserve"> </w:t>
      </w:r>
      <w:r>
        <w:rPr>
          <w:lang w:eastAsia="zh-CN"/>
        </w:rPr>
        <w:t xml:space="preserve">who teach </w:t>
      </w:r>
      <w:r w:rsidR="003A6761" w:rsidRPr="003A6761">
        <w:rPr>
          <w:lang w:eastAsia="zh-CN"/>
        </w:rPr>
        <w:t>Data Security, Governance and Compliance</w:t>
      </w:r>
      <w:r>
        <w:rPr>
          <w:lang w:eastAsia="zh-CN"/>
        </w:rPr>
        <w:t xml:space="preserve"> at </w:t>
      </w:r>
      <w:r w:rsidR="00F25E20">
        <w:rPr>
          <w:lang w:eastAsia="zh-CN"/>
        </w:rPr>
        <w:t xml:space="preserve">the </w:t>
      </w:r>
      <w:r>
        <w:rPr>
          <w:lang w:eastAsia="zh-CN"/>
        </w:rPr>
        <w:t xml:space="preserve">University of Wales Trinity Saint David, Swansea, Wales, United Kingdom, </w:t>
      </w:r>
      <w:r w:rsidR="00F25E20">
        <w:rPr>
          <w:lang w:eastAsia="zh-CN"/>
        </w:rPr>
        <w:t>for providing</w:t>
      </w:r>
      <w:r w:rsidR="000E3A7F">
        <w:t xml:space="preserve"> </w:t>
      </w:r>
      <w:r w:rsidR="000E3A7F" w:rsidRPr="000E3A7F">
        <w:rPr>
          <w:lang w:eastAsia="zh-CN"/>
        </w:rPr>
        <w:t>high</w:t>
      </w:r>
      <w:r w:rsidR="008A0949">
        <w:rPr>
          <w:lang w:eastAsia="zh-CN"/>
        </w:rPr>
        <w:t xml:space="preserve"> </w:t>
      </w:r>
      <w:r w:rsidR="000E3A7F" w:rsidRPr="000E3A7F">
        <w:rPr>
          <w:lang w:eastAsia="zh-CN"/>
        </w:rPr>
        <w:t xml:space="preserve">quality </w:t>
      </w:r>
      <w:r w:rsidR="0094519A">
        <w:rPr>
          <w:lang w:eastAsia="zh-CN"/>
        </w:rPr>
        <w:t>lectures</w:t>
      </w:r>
      <w:r w:rsidR="000E3A7F" w:rsidRPr="000E3A7F">
        <w:rPr>
          <w:lang w:eastAsia="zh-CN"/>
        </w:rPr>
        <w:t xml:space="preserve"> and </w:t>
      </w:r>
      <w:r w:rsidR="000E3A7F">
        <w:rPr>
          <w:lang w:eastAsia="zh-CN"/>
        </w:rPr>
        <w:t>Q</w:t>
      </w:r>
      <w:r w:rsidR="000E3A7F" w:rsidRPr="000E3A7F">
        <w:rPr>
          <w:lang w:eastAsia="zh-CN"/>
        </w:rPr>
        <w:t>&amp;</w:t>
      </w:r>
      <w:r w:rsidR="000E3A7F">
        <w:rPr>
          <w:lang w:eastAsia="zh-CN"/>
        </w:rPr>
        <w:t>A</w:t>
      </w:r>
      <w:r w:rsidR="000E3A7F" w:rsidRPr="000E3A7F">
        <w:rPr>
          <w:lang w:eastAsia="zh-CN"/>
        </w:rPr>
        <w:t xml:space="preserve"> services</w:t>
      </w:r>
      <w:r w:rsidR="000E3A7F">
        <w:rPr>
          <w:lang w:eastAsia="zh-CN"/>
        </w:rPr>
        <w:t>.</w:t>
      </w:r>
    </w:p>
    <w:p w14:paraId="4730C131" w14:textId="77777777" w:rsidR="00FB1662" w:rsidRDefault="00FB1662">
      <w:pPr>
        <w:pStyle w:val="a5"/>
        <w:rPr>
          <w:lang w:val="en-US"/>
        </w:rPr>
        <w:sectPr w:rsidR="00FB1662">
          <w:type w:val="continuous"/>
          <w:pgSz w:w="11906" w:h="16838"/>
          <w:pgMar w:top="1080" w:right="907" w:bottom="1440" w:left="907" w:header="720" w:footer="720" w:gutter="0"/>
          <w:cols w:space="360"/>
          <w:docGrid w:linePitch="360"/>
        </w:sectPr>
      </w:pPr>
    </w:p>
    <w:p w14:paraId="3470413B" w14:textId="77777777" w:rsidR="00FB1662" w:rsidRDefault="00C4288E" w:rsidP="00847CF2">
      <w:pPr>
        <w:pStyle w:val="5"/>
      </w:pPr>
      <w:bookmarkStart w:id="5" w:name="_Hlk152524566"/>
      <w:r>
        <w:t>References</w:t>
      </w:r>
    </w:p>
    <w:p w14:paraId="2746E4E4" w14:textId="77777777" w:rsidR="0035382D" w:rsidRPr="0035382D" w:rsidRDefault="007E129B" w:rsidP="007D5D51">
      <w:pPr>
        <w:pStyle w:val="af5"/>
        <w:jc w:val="both"/>
      </w:pPr>
      <w:r>
        <w:fldChar w:fldCharType="begin"/>
      </w:r>
      <w:r w:rsidR="00AF7A3C">
        <w:instrText xml:space="preserve"> ADDIN ZOTERO_BIBL {"uncited":[],"omitted":[],"custom":[]} CSL_BIBLIOGRAPHY </w:instrText>
      </w:r>
      <w:r>
        <w:fldChar w:fldCharType="separate"/>
      </w:r>
      <w:r w:rsidR="0035382D" w:rsidRPr="0035382D">
        <w:t>[1]</w:t>
      </w:r>
      <w:r w:rsidR="0035382D" w:rsidRPr="0035382D">
        <w:tab/>
        <w:t xml:space="preserve">S. Kurowski, R. </w:t>
      </w:r>
      <w:proofErr w:type="spellStart"/>
      <w:r w:rsidR="0035382D" w:rsidRPr="0035382D">
        <w:t>Litwing</w:t>
      </w:r>
      <w:proofErr w:type="spellEnd"/>
      <w:r w:rsidR="0035382D" w:rsidRPr="0035382D">
        <w:t xml:space="preserve">, and G. </w:t>
      </w:r>
      <w:proofErr w:type="spellStart"/>
      <w:r w:rsidR="0035382D" w:rsidRPr="0035382D">
        <w:t>Lückemeyer</w:t>
      </w:r>
      <w:proofErr w:type="spellEnd"/>
      <w:r w:rsidR="0035382D" w:rsidRPr="0035382D">
        <w:t xml:space="preserve">, “A view on ISO/IEC 27001 compliant identity lifecycles for IT service providers,” in </w:t>
      </w:r>
      <w:r w:rsidR="0035382D" w:rsidRPr="0035382D">
        <w:rPr>
          <w:i/>
          <w:iCs/>
        </w:rPr>
        <w:t>2015 World Congress on Internet Security (</w:t>
      </w:r>
      <w:proofErr w:type="spellStart"/>
      <w:r w:rsidR="0035382D" w:rsidRPr="0035382D">
        <w:rPr>
          <w:i/>
          <w:iCs/>
        </w:rPr>
        <w:t>WorldCIS</w:t>
      </w:r>
      <w:proofErr w:type="spellEnd"/>
      <w:r w:rsidR="0035382D" w:rsidRPr="0035382D">
        <w:rPr>
          <w:i/>
          <w:iCs/>
        </w:rPr>
        <w:t>)</w:t>
      </w:r>
      <w:r w:rsidR="0035382D" w:rsidRPr="0035382D">
        <w:t xml:space="preserve">, Oct. 2015, pp. 85–90. </w:t>
      </w:r>
      <w:proofErr w:type="spellStart"/>
      <w:r w:rsidR="0035382D" w:rsidRPr="0035382D">
        <w:t>doi</w:t>
      </w:r>
      <w:proofErr w:type="spellEnd"/>
      <w:r w:rsidR="0035382D" w:rsidRPr="0035382D">
        <w:t>: 10.1109/WorldCIS.2015.7359420.</w:t>
      </w:r>
    </w:p>
    <w:p w14:paraId="65C7C69C" w14:textId="77777777" w:rsidR="0035382D" w:rsidRPr="0035382D" w:rsidRDefault="0035382D" w:rsidP="007D5D51">
      <w:pPr>
        <w:pStyle w:val="af5"/>
        <w:jc w:val="both"/>
      </w:pPr>
      <w:r w:rsidRPr="0035382D">
        <w:t>[2]</w:t>
      </w:r>
      <w:r w:rsidRPr="0035382D">
        <w:tab/>
        <w:t xml:space="preserve">Z. Huang, P. </w:t>
      </w:r>
      <w:proofErr w:type="spellStart"/>
      <w:r w:rsidRPr="0035382D">
        <w:t>Zavarsky</w:t>
      </w:r>
      <w:proofErr w:type="spellEnd"/>
      <w:r w:rsidRPr="0035382D">
        <w:t xml:space="preserve">, and R. Ruhl, “An Efficient Framework for IT Controls of Bill 198 (Canada Sarbanes-Oxley) Compliance by Aligning COBIT 4.1, ITIL v3 and ISO/IEC 27002,” in </w:t>
      </w:r>
      <w:r w:rsidRPr="0035382D">
        <w:rPr>
          <w:i/>
          <w:iCs/>
        </w:rPr>
        <w:t>2009 International Conference on Computational Science and Engineering</w:t>
      </w:r>
      <w:r w:rsidRPr="0035382D">
        <w:t xml:space="preserve">, Aug. 2009, pp. 386–391. </w:t>
      </w:r>
      <w:proofErr w:type="spellStart"/>
      <w:r w:rsidRPr="0035382D">
        <w:t>doi</w:t>
      </w:r>
      <w:proofErr w:type="spellEnd"/>
      <w:r w:rsidRPr="0035382D">
        <w:t>: 10.1109/CSE.2009.336.</w:t>
      </w:r>
    </w:p>
    <w:p w14:paraId="3C1B28F6" w14:textId="77777777" w:rsidR="0035382D" w:rsidRPr="0035382D" w:rsidRDefault="0035382D" w:rsidP="007D5D51">
      <w:pPr>
        <w:pStyle w:val="af5"/>
        <w:jc w:val="both"/>
      </w:pPr>
      <w:r w:rsidRPr="0035382D">
        <w:t>[3]</w:t>
      </w:r>
      <w:r w:rsidRPr="0035382D">
        <w:tab/>
        <w:t xml:space="preserve">S. </w:t>
      </w:r>
      <w:proofErr w:type="spellStart"/>
      <w:r w:rsidRPr="0035382D">
        <w:t>Sahibudin</w:t>
      </w:r>
      <w:proofErr w:type="spellEnd"/>
      <w:r w:rsidRPr="0035382D">
        <w:t xml:space="preserve">, M. Sharifi, and M. Ayat, “Combining ITIL, COBIT and ISO/IEC 27002 in Order to Design a Comprehensive IT Framework in Organizations,” in </w:t>
      </w:r>
      <w:r w:rsidRPr="0035382D">
        <w:rPr>
          <w:i/>
          <w:iCs/>
        </w:rPr>
        <w:t xml:space="preserve">2008 Second Asia International Conference on </w:t>
      </w:r>
      <w:r w:rsidRPr="0035382D">
        <w:rPr>
          <w:i/>
          <w:iCs/>
        </w:rPr>
        <w:t>Modelling &amp; Simulation (AMS)</w:t>
      </w:r>
      <w:r w:rsidRPr="0035382D">
        <w:t xml:space="preserve">, May 2008, pp. 749–753. </w:t>
      </w:r>
      <w:proofErr w:type="spellStart"/>
      <w:r w:rsidRPr="0035382D">
        <w:t>doi</w:t>
      </w:r>
      <w:proofErr w:type="spellEnd"/>
      <w:r w:rsidRPr="0035382D">
        <w:t>: 10.1109/AMS.2008.145.</w:t>
      </w:r>
    </w:p>
    <w:p w14:paraId="78FF3A7C" w14:textId="77777777" w:rsidR="0035382D" w:rsidRPr="0035382D" w:rsidRDefault="0035382D" w:rsidP="007D5D51">
      <w:pPr>
        <w:pStyle w:val="af5"/>
        <w:jc w:val="both"/>
      </w:pPr>
      <w:r w:rsidRPr="0035382D">
        <w:t>[4]</w:t>
      </w:r>
      <w:r w:rsidRPr="0035382D">
        <w:tab/>
        <w:t xml:space="preserve">A. R. Solod, A. V. Popova, Y. A. Kalinina, and A. M. Sinitsyna, “Creation of Integrated Quality Systems for Standard Solutions of It Infrastructure Organization, Information Security of the Construction Complex at the Stage of the Real Estate Object Life Cycle (Construction Stage),” in </w:t>
      </w:r>
      <w:r w:rsidRPr="0035382D">
        <w:rPr>
          <w:i/>
          <w:iCs/>
        </w:rPr>
        <w:t>2020 International Conference Quality Management, Transport and Information Security, Information Technologies (IT&amp;QM&amp;IS)</w:t>
      </w:r>
      <w:r w:rsidRPr="0035382D">
        <w:t xml:space="preserve">, Sep. 2020, pp. 148–152. </w:t>
      </w:r>
      <w:proofErr w:type="spellStart"/>
      <w:r w:rsidRPr="0035382D">
        <w:t>doi</w:t>
      </w:r>
      <w:proofErr w:type="spellEnd"/>
      <w:r w:rsidRPr="0035382D">
        <w:t>: 10.1109/ITQMIS51053.2020.9322854.</w:t>
      </w:r>
    </w:p>
    <w:p w14:paraId="72738E12" w14:textId="77777777" w:rsidR="0035382D" w:rsidRPr="0035382D" w:rsidRDefault="0035382D" w:rsidP="007D5D51">
      <w:pPr>
        <w:pStyle w:val="af5"/>
        <w:jc w:val="both"/>
      </w:pPr>
      <w:r w:rsidRPr="0035382D">
        <w:t>[5]</w:t>
      </w:r>
      <w:r w:rsidRPr="0035382D">
        <w:tab/>
        <w:t xml:space="preserve">E. R. </w:t>
      </w:r>
      <w:proofErr w:type="spellStart"/>
      <w:r w:rsidRPr="0035382D">
        <w:t>Larrocha</w:t>
      </w:r>
      <w:proofErr w:type="spellEnd"/>
      <w:r w:rsidRPr="0035382D">
        <w:t xml:space="preserve">, J. M. </w:t>
      </w:r>
      <w:proofErr w:type="spellStart"/>
      <w:r w:rsidRPr="0035382D">
        <w:t>Minguet</w:t>
      </w:r>
      <w:proofErr w:type="spellEnd"/>
      <w:r w:rsidRPr="0035382D">
        <w:t xml:space="preserve">, G. Díaz, M. Castro, and A. Vara, “Filling the gap of Information Security Management inside ITIL®: Proposals for </w:t>
      </w:r>
      <w:proofErr w:type="spellStart"/>
      <w:r w:rsidRPr="0035382D">
        <w:t>posgraduate</w:t>
      </w:r>
      <w:proofErr w:type="spellEnd"/>
      <w:r w:rsidRPr="0035382D">
        <w:t xml:space="preserve"> students,” in </w:t>
      </w:r>
      <w:r w:rsidRPr="0035382D">
        <w:rPr>
          <w:i/>
          <w:iCs/>
        </w:rPr>
        <w:t>IEEE EDUCON 2010 Conference</w:t>
      </w:r>
      <w:r w:rsidRPr="0035382D">
        <w:t xml:space="preserve">, Apr. 2010, pp. 907–912. </w:t>
      </w:r>
      <w:proofErr w:type="spellStart"/>
      <w:r w:rsidRPr="0035382D">
        <w:t>doi</w:t>
      </w:r>
      <w:proofErr w:type="spellEnd"/>
      <w:r w:rsidRPr="0035382D">
        <w:t>: 10.1109/EDUCON.2010.5492480.</w:t>
      </w:r>
    </w:p>
    <w:p w14:paraId="561E3F73" w14:textId="77777777" w:rsidR="0035382D" w:rsidRPr="0035382D" w:rsidRDefault="0035382D" w:rsidP="007D5D51">
      <w:pPr>
        <w:pStyle w:val="af5"/>
        <w:jc w:val="both"/>
      </w:pPr>
      <w:r w:rsidRPr="0035382D">
        <w:lastRenderedPageBreak/>
        <w:t>[6]</w:t>
      </w:r>
      <w:r w:rsidRPr="0035382D">
        <w:tab/>
        <w:t xml:space="preserve">H. D. Jaramillo, B. F. Guaman, and E. K. Salazar, “Information security in implementing web applications for small businesses based on COBIT5-SI,” in </w:t>
      </w:r>
      <w:r w:rsidRPr="0035382D">
        <w:rPr>
          <w:i/>
          <w:iCs/>
        </w:rPr>
        <w:t>2015 10th Iberian Conference on Information Systems and Technologies (CISTI)</w:t>
      </w:r>
      <w:r w:rsidRPr="0035382D">
        <w:t xml:space="preserve">, Jun. 2015, pp. 1–6. </w:t>
      </w:r>
      <w:proofErr w:type="spellStart"/>
      <w:r w:rsidRPr="0035382D">
        <w:t>doi</w:t>
      </w:r>
      <w:proofErr w:type="spellEnd"/>
      <w:r w:rsidRPr="0035382D">
        <w:t>: 10.1109/CISTI.2015.7170390.</w:t>
      </w:r>
    </w:p>
    <w:p w14:paraId="617502CE" w14:textId="77777777" w:rsidR="0035382D" w:rsidRPr="0035382D" w:rsidRDefault="0035382D" w:rsidP="007D5D51">
      <w:pPr>
        <w:pStyle w:val="af5"/>
        <w:jc w:val="both"/>
      </w:pPr>
      <w:r w:rsidRPr="0035382D">
        <w:t>[7]</w:t>
      </w:r>
      <w:r w:rsidRPr="0035382D">
        <w:tab/>
        <w:t xml:space="preserve">J. Merchan-Lima, F. Astudillo-Salinas, L. Tello-Oquendo, F. Sanchez, G. Lopez, and D. Quiroz, “Information Security Management Frameworks in Higher Education Institutions: An Overview,” in </w:t>
      </w:r>
      <w:r w:rsidRPr="0035382D">
        <w:rPr>
          <w:i/>
          <w:iCs/>
        </w:rPr>
        <w:t>2019 3rd Cyber Security in Networking Conference (</w:t>
      </w:r>
      <w:proofErr w:type="spellStart"/>
      <w:r w:rsidRPr="0035382D">
        <w:rPr>
          <w:i/>
          <w:iCs/>
        </w:rPr>
        <w:t>CSNet</w:t>
      </w:r>
      <w:proofErr w:type="spellEnd"/>
      <w:r w:rsidRPr="0035382D">
        <w:rPr>
          <w:i/>
          <w:iCs/>
        </w:rPr>
        <w:t>)</w:t>
      </w:r>
      <w:r w:rsidRPr="0035382D">
        <w:t xml:space="preserve">, Oct. 2019, pp. 63–65. </w:t>
      </w:r>
      <w:proofErr w:type="spellStart"/>
      <w:r w:rsidRPr="0035382D">
        <w:t>doi</w:t>
      </w:r>
      <w:proofErr w:type="spellEnd"/>
      <w:r w:rsidRPr="0035382D">
        <w:t>: 10.1109/CSNet47905.2019.9108845.</w:t>
      </w:r>
    </w:p>
    <w:p w14:paraId="60F9857B" w14:textId="77777777" w:rsidR="0035382D" w:rsidRPr="0035382D" w:rsidRDefault="0035382D" w:rsidP="007D5D51">
      <w:pPr>
        <w:pStyle w:val="af5"/>
        <w:jc w:val="both"/>
      </w:pPr>
      <w:r w:rsidRPr="0035382D">
        <w:t>[8]</w:t>
      </w:r>
      <w:r w:rsidRPr="0035382D">
        <w:tab/>
        <w:t xml:space="preserve">H. </w:t>
      </w:r>
      <w:proofErr w:type="spellStart"/>
      <w:r w:rsidRPr="0035382D">
        <w:t>Elachgar</w:t>
      </w:r>
      <w:proofErr w:type="spellEnd"/>
      <w:r w:rsidRPr="0035382D">
        <w:t xml:space="preserve"> and B. Regragui, “Information security, new approach,” in </w:t>
      </w:r>
      <w:r w:rsidRPr="0035382D">
        <w:rPr>
          <w:i/>
          <w:iCs/>
        </w:rPr>
        <w:t>Second International Conference on the Innovative Computing Technology (INTECH 2012)</w:t>
      </w:r>
      <w:r w:rsidRPr="0035382D">
        <w:t xml:space="preserve">, Sep. 2012, pp. 51–56. </w:t>
      </w:r>
      <w:proofErr w:type="spellStart"/>
      <w:r w:rsidRPr="0035382D">
        <w:t>doi</w:t>
      </w:r>
      <w:proofErr w:type="spellEnd"/>
      <w:r w:rsidRPr="0035382D">
        <w:t>: 10.1109/INTECH.2012.6457815.</w:t>
      </w:r>
    </w:p>
    <w:p w14:paraId="5F82A80F" w14:textId="77777777" w:rsidR="0035382D" w:rsidRPr="0035382D" w:rsidRDefault="0035382D" w:rsidP="007D5D51">
      <w:pPr>
        <w:pStyle w:val="af5"/>
        <w:jc w:val="both"/>
      </w:pPr>
      <w:r w:rsidRPr="0035382D">
        <w:t>[9]</w:t>
      </w:r>
      <w:r w:rsidRPr="0035382D">
        <w:tab/>
        <w:t xml:space="preserve">M. Zaydi and B. </w:t>
      </w:r>
      <w:proofErr w:type="spellStart"/>
      <w:r w:rsidRPr="0035382D">
        <w:t>Nasserddine</w:t>
      </w:r>
      <w:proofErr w:type="spellEnd"/>
      <w:r w:rsidRPr="0035382D">
        <w:t xml:space="preserve">, “Information system security governance: Technology intelligence perspective,” in </w:t>
      </w:r>
      <w:r w:rsidRPr="0035382D">
        <w:rPr>
          <w:i/>
          <w:iCs/>
        </w:rPr>
        <w:t>2016 International Conference on Advanced Communication Systems and Information Security (ACOSIS)</w:t>
      </w:r>
      <w:r w:rsidRPr="0035382D">
        <w:t xml:space="preserve">, Oct. 2016, pp. 1–6. </w:t>
      </w:r>
      <w:proofErr w:type="spellStart"/>
      <w:r w:rsidRPr="0035382D">
        <w:t>doi</w:t>
      </w:r>
      <w:proofErr w:type="spellEnd"/>
      <w:r w:rsidRPr="0035382D">
        <w:t>: 10.1109/ACOSIS.2016.7843921.</w:t>
      </w:r>
    </w:p>
    <w:p w14:paraId="32762243" w14:textId="77777777" w:rsidR="0035382D" w:rsidRPr="0035382D" w:rsidRDefault="0035382D" w:rsidP="007D5D51">
      <w:pPr>
        <w:pStyle w:val="af5"/>
        <w:jc w:val="both"/>
      </w:pPr>
      <w:r w:rsidRPr="0035382D">
        <w:t>[10]</w:t>
      </w:r>
      <w:r w:rsidRPr="0035382D">
        <w:tab/>
        <w:t xml:space="preserve">S. Zhang, Z. Ding, and Y. Zong, “ITIL Process Integration in the Context of Organization Environment,” in </w:t>
      </w:r>
      <w:r w:rsidRPr="0035382D">
        <w:rPr>
          <w:i/>
          <w:iCs/>
        </w:rPr>
        <w:t>2009 WRI World Congress on Computer Science and Information Engineering</w:t>
      </w:r>
      <w:r w:rsidRPr="0035382D">
        <w:t xml:space="preserve">, Apr. 2009, pp. 682–686. </w:t>
      </w:r>
      <w:proofErr w:type="spellStart"/>
      <w:r w:rsidRPr="0035382D">
        <w:t>doi</w:t>
      </w:r>
      <w:proofErr w:type="spellEnd"/>
      <w:r w:rsidRPr="0035382D">
        <w:t>: 10.1109/CSIE.2009.691.</w:t>
      </w:r>
    </w:p>
    <w:p w14:paraId="790D43DF" w14:textId="77777777" w:rsidR="0035382D" w:rsidRPr="0035382D" w:rsidRDefault="0035382D" w:rsidP="007D5D51">
      <w:pPr>
        <w:pStyle w:val="af5"/>
        <w:jc w:val="both"/>
      </w:pPr>
      <w:r w:rsidRPr="0035382D">
        <w:t>[11]</w:t>
      </w:r>
      <w:r w:rsidRPr="0035382D">
        <w:tab/>
        <w:t xml:space="preserve">I. M. Faiz, E. Y. </w:t>
      </w:r>
      <w:proofErr w:type="spellStart"/>
      <w:r w:rsidRPr="0035382D">
        <w:t>Pramono</w:t>
      </w:r>
      <w:proofErr w:type="spellEnd"/>
      <w:r w:rsidRPr="0035382D">
        <w:t xml:space="preserve">, I. </w:t>
      </w:r>
      <w:proofErr w:type="spellStart"/>
      <w:r w:rsidRPr="0035382D">
        <w:t>Pratomo</w:t>
      </w:r>
      <w:proofErr w:type="spellEnd"/>
      <w:r w:rsidRPr="0035382D">
        <w:t xml:space="preserve">, and O. </w:t>
      </w:r>
      <w:proofErr w:type="spellStart"/>
      <w:r w:rsidRPr="0035382D">
        <w:t>Penangsang</w:t>
      </w:r>
      <w:proofErr w:type="spellEnd"/>
      <w:r w:rsidRPr="0035382D">
        <w:t xml:space="preserve">, “Maturity Level Study of SCADA at Pusat </w:t>
      </w:r>
      <w:proofErr w:type="spellStart"/>
      <w:r w:rsidRPr="0035382D">
        <w:t>Pengaturan</w:t>
      </w:r>
      <w:proofErr w:type="spellEnd"/>
      <w:r w:rsidRPr="0035382D">
        <w:t xml:space="preserve"> Beban Java-Bali Area Using ITIL Self-assessment,” in </w:t>
      </w:r>
      <w:r w:rsidRPr="0035382D">
        <w:rPr>
          <w:i/>
          <w:iCs/>
        </w:rPr>
        <w:t>2018 International Seminar on Intelligent Technology and Its Applications (ISITIA)</w:t>
      </w:r>
      <w:r w:rsidRPr="0035382D">
        <w:t xml:space="preserve">, Aug. 2018, pp. 83–88. </w:t>
      </w:r>
      <w:proofErr w:type="spellStart"/>
      <w:r w:rsidRPr="0035382D">
        <w:t>doi</w:t>
      </w:r>
      <w:proofErr w:type="spellEnd"/>
      <w:r w:rsidRPr="0035382D">
        <w:t>: 10.1109/ISITIA.2018.8711132.</w:t>
      </w:r>
    </w:p>
    <w:p w14:paraId="0CF1B28F" w14:textId="77777777" w:rsidR="0035382D" w:rsidRPr="0035382D" w:rsidRDefault="0035382D" w:rsidP="007D5D51">
      <w:pPr>
        <w:pStyle w:val="af5"/>
        <w:jc w:val="both"/>
      </w:pPr>
      <w:r w:rsidRPr="0035382D">
        <w:t>[12]</w:t>
      </w:r>
      <w:r w:rsidRPr="0035382D">
        <w:tab/>
        <w:t xml:space="preserve">P. </w:t>
      </w:r>
      <w:proofErr w:type="spellStart"/>
      <w:r w:rsidRPr="0035382D">
        <w:t>Kusumah</w:t>
      </w:r>
      <w:proofErr w:type="spellEnd"/>
      <w:r w:rsidRPr="0035382D">
        <w:t xml:space="preserve">, S. </w:t>
      </w:r>
      <w:proofErr w:type="spellStart"/>
      <w:r w:rsidRPr="0035382D">
        <w:t>Sutikno</w:t>
      </w:r>
      <w:proofErr w:type="spellEnd"/>
      <w:r w:rsidRPr="0035382D">
        <w:t xml:space="preserve">, and Y. </w:t>
      </w:r>
      <w:proofErr w:type="spellStart"/>
      <w:r w:rsidRPr="0035382D">
        <w:t>Rosmansyah</w:t>
      </w:r>
      <w:proofErr w:type="spellEnd"/>
      <w:r w:rsidRPr="0035382D">
        <w:t xml:space="preserve">, “Model design of information security governance assessment with collaborative integration of COBIT 5 and ITIL (case study: INTRAC),” in </w:t>
      </w:r>
      <w:r w:rsidRPr="0035382D">
        <w:rPr>
          <w:i/>
          <w:iCs/>
        </w:rPr>
        <w:t>2014 International Conference on ICT For Smart Society (ICISS)</w:t>
      </w:r>
      <w:r w:rsidRPr="0035382D">
        <w:t xml:space="preserve">, Sep. 2014, pp. 1–6. </w:t>
      </w:r>
      <w:proofErr w:type="spellStart"/>
      <w:r w:rsidRPr="0035382D">
        <w:t>doi</w:t>
      </w:r>
      <w:proofErr w:type="spellEnd"/>
      <w:r w:rsidRPr="0035382D">
        <w:t>: 10.1109/ICTSS.2014.7013193.</w:t>
      </w:r>
    </w:p>
    <w:p w14:paraId="2F5BC4D5" w14:textId="77777777" w:rsidR="0035382D" w:rsidRPr="0035382D" w:rsidRDefault="0035382D" w:rsidP="007D5D51">
      <w:pPr>
        <w:pStyle w:val="af5"/>
        <w:jc w:val="both"/>
      </w:pPr>
      <w:r w:rsidRPr="0035382D">
        <w:t>[13]</w:t>
      </w:r>
      <w:r w:rsidRPr="0035382D">
        <w:tab/>
        <w:t xml:space="preserve">V. </w:t>
      </w:r>
      <w:proofErr w:type="spellStart"/>
      <w:r w:rsidRPr="0035382D">
        <w:t>Tzvetkov</w:t>
      </w:r>
      <w:proofErr w:type="spellEnd"/>
      <w:r w:rsidRPr="0035382D">
        <w:t xml:space="preserve">, “Security Level Quantification and Benchmarking in Complex Networks,” in </w:t>
      </w:r>
      <w:r w:rsidRPr="0035382D">
        <w:rPr>
          <w:i/>
          <w:iCs/>
        </w:rPr>
        <w:t>2010 5th International Conference on Future Information Technology</w:t>
      </w:r>
      <w:r w:rsidRPr="0035382D">
        <w:t xml:space="preserve">, May 2010, pp. 1–6. </w:t>
      </w:r>
      <w:proofErr w:type="spellStart"/>
      <w:r w:rsidRPr="0035382D">
        <w:t>doi</w:t>
      </w:r>
      <w:proofErr w:type="spellEnd"/>
      <w:r w:rsidRPr="0035382D">
        <w:t>: 10.1109/FUTURETECH.2010.5482774.</w:t>
      </w:r>
    </w:p>
    <w:p w14:paraId="6E9AF1A6" w14:textId="77777777" w:rsidR="0035382D" w:rsidRPr="0035382D" w:rsidRDefault="0035382D" w:rsidP="007D5D51">
      <w:pPr>
        <w:pStyle w:val="af5"/>
        <w:jc w:val="both"/>
      </w:pPr>
      <w:r w:rsidRPr="0035382D">
        <w:t>[14]</w:t>
      </w:r>
      <w:r w:rsidRPr="0035382D">
        <w:tab/>
        <w:t>M. Uddin, S. Islam, and A. Al-</w:t>
      </w:r>
      <w:proofErr w:type="spellStart"/>
      <w:r w:rsidRPr="0035382D">
        <w:t>Nemrat</w:t>
      </w:r>
      <w:proofErr w:type="spellEnd"/>
      <w:r w:rsidRPr="0035382D">
        <w:t xml:space="preserve">, “A Dynamic Access Control Model Using </w:t>
      </w:r>
      <w:proofErr w:type="spellStart"/>
      <w:r w:rsidRPr="0035382D">
        <w:t>Authorising</w:t>
      </w:r>
      <w:proofErr w:type="spellEnd"/>
      <w:r w:rsidRPr="0035382D">
        <w:t xml:space="preserve"> Workflow and Task-Role-Based Access Control,” </w:t>
      </w:r>
      <w:r w:rsidRPr="0035382D">
        <w:rPr>
          <w:i/>
          <w:iCs/>
        </w:rPr>
        <w:t>IEEE Access</w:t>
      </w:r>
      <w:r w:rsidRPr="0035382D">
        <w:t xml:space="preserve">, vol. 7, pp. 166676–166689, 2019, </w:t>
      </w:r>
      <w:proofErr w:type="spellStart"/>
      <w:r w:rsidRPr="0035382D">
        <w:t>doi</w:t>
      </w:r>
      <w:proofErr w:type="spellEnd"/>
      <w:r w:rsidRPr="0035382D">
        <w:t>: 10.1109/ACCESS.2019.2947377.</w:t>
      </w:r>
    </w:p>
    <w:p w14:paraId="49355814" w14:textId="77777777" w:rsidR="0035382D" w:rsidRPr="0035382D" w:rsidRDefault="0035382D" w:rsidP="007D5D51">
      <w:pPr>
        <w:pStyle w:val="af5"/>
        <w:jc w:val="both"/>
      </w:pPr>
      <w:r w:rsidRPr="0035382D">
        <w:t>[15]</w:t>
      </w:r>
      <w:r w:rsidRPr="0035382D">
        <w:tab/>
        <w:t xml:space="preserve">K. Che and S. Sheng, “Cloud Native Network Security Architecture Strategy under Zero Trust Scenario,” in </w:t>
      </w:r>
      <w:r w:rsidRPr="0035382D">
        <w:rPr>
          <w:i/>
          <w:iCs/>
        </w:rPr>
        <w:t>2023 IEEE 7th Information Technology and Mechatronics Engineering Conference (ITOEC)</w:t>
      </w:r>
      <w:r w:rsidRPr="0035382D">
        <w:t xml:space="preserve">, Sep. 2023, pp. 867–871. </w:t>
      </w:r>
      <w:proofErr w:type="spellStart"/>
      <w:r w:rsidRPr="0035382D">
        <w:t>doi</w:t>
      </w:r>
      <w:proofErr w:type="spellEnd"/>
      <w:r w:rsidRPr="0035382D">
        <w:t>: 10.1109/ITOEC57671.2023.10291357.</w:t>
      </w:r>
    </w:p>
    <w:p w14:paraId="1E80CAF7" w14:textId="77777777" w:rsidR="0035382D" w:rsidRPr="0035382D" w:rsidRDefault="0035382D" w:rsidP="007D5D51">
      <w:pPr>
        <w:pStyle w:val="af5"/>
        <w:jc w:val="both"/>
      </w:pPr>
      <w:r w:rsidRPr="0035382D">
        <w:t>[16]</w:t>
      </w:r>
      <w:r w:rsidRPr="0035382D">
        <w:tab/>
        <w:t xml:space="preserve">A. A. </w:t>
      </w:r>
      <w:proofErr w:type="spellStart"/>
      <w:r w:rsidRPr="0035382D">
        <w:t>Fajrillah</w:t>
      </w:r>
      <w:proofErr w:type="spellEnd"/>
      <w:r w:rsidRPr="0035382D">
        <w:t xml:space="preserve">, M. Lubis, and I. Syam, “Organizational Architecture and Service Delivery Re-Alignment based on ITIL and TOGAF: Case Study of the Provincial Development Bank,” </w:t>
      </w:r>
      <w:r w:rsidRPr="0035382D">
        <w:rPr>
          <w:i/>
          <w:iCs/>
        </w:rPr>
        <w:t xml:space="preserve">Int. J. Adv. </w:t>
      </w:r>
      <w:proofErr w:type="spellStart"/>
      <w:r w:rsidRPr="0035382D">
        <w:rPr>
          <w:i/>
          <w:iCs/>
        </w:rPr>
        <w:t>Comput</w:t>
      </w:r>
      <w:proofErr w:type="spellEnd"/>
      <w:r w:rsidRPr="0035382D">
        <w:rPr>
          <w:i/>
          <w:iCs/>
        </w:rPr>
        <w:t>. Sci. Appl.</w:t>
      </w:r>
      <w:r w:rsidRPr="0035382D">
        <w:t xml:space="preserve">, </w:t>
      </w:r>
      <w:r w:rsidRPr="0035382D">
        <w:t xml:space="preserve">vol. 13, Jan. 2022, </w:t>
      </w:r>
      <w:proofErr w:type="spellStart"/>
      <w:r w:rsidRPr="0035382D">
        <w:t>doi</w:t>
      </w:r>
      <w:proofErr w:type="spellEnd"/>
      <w:r w:rsidRPr="0035382D">
        <w:t>: 10.14569/IJACSA.2022.0130457.</w:t>
      </w:r>
    </w:p>
    <w:p w14:paraId="4DF71516" w14:textId="77777777" w:rsidR="0035382D" w:rsidRPr="0035382D" w:rsidRDefault="0035382D" w:rsidP="007D5D51">
      <w:pPr>
        <w:pStyle w:val="af5"/>
        <w:jc w:val="both"/>
      </w:pPr>
      <w:r w:rsidRPr="0035382D">
        <w:t>[17]</w:t>
      </w:r>
      <w:r w:rsidRPr="0035382D">
        <w:tab/>
        <w:t xml:space="preserve">“How the New ISO 27001:2022 Controls Can Help Your Business | </w:t>
      </w:r>
      <w:proofErr w:type="spellStart"/>
      <w:r w:rsidRPr="0035382D">
        <w:t>Briskinfosec</w:t>
      </w:r>
      <w:proofErr w:type="spellEnd"/>
      <w:r w:rsidRPr="0035382D">
        <w:t>.” Accessed: Dec. 23, 2023. [Online]. Available: https://www.briskinfosec.com/</w:t>
      </w:r>
    </w:p>
    <w:p w14:paraId="1AF0BF0B" w14:textId="77777777" w:rsidR="0035382D" w:rsidRPr="0035382D" w:rsidRDefault="0035382D" w:rsidP="007D5D51">
      <w:pPr>
        <w:pStyle w:val="af5"/>
        <w:jc w:val="both"/>
      </w:pPr>
      <w:r w:rsidRPr="0035382D">
        <w:t>[18]</w:t>
      </w:r>
      <w:r w:rsidRPr="0035382D">
        <w:tab/>
        <w:t>“Role Based Access Control RBAC Flow Chart.” Accessed: Dec. 23, 2023. [Online]. Available: https://www.slideteam.net/role-based-access-control-rbac-flow-chart.html</w:t>
      </w:r>
    </w:p>
    <w:p w14:paraId="20DDB881" w14:textId="77777777" w:rsidR="0035382D" w:rsidRPr="0035382D" w:rsidRDefault="0035382D" w:rsidP="007D5D51">
      <w:pPr>
        <w:pStyle w:val="af5"/>
        <w:jc w:val="both"/>
      </w:pPr>
      <w:r w:rsidRPr="0035382D">
        <w:t>[19]</w:t>
      </w:r>
      <w:r w:rsidRPr="0035382D">
        <w:tab/>
        <w:t>“Zero Trust Model - Modern Security Architecture | Microsoft Security.” Accessed: Dec. 23, 2023. [Online]. Available: https://www.microsoft.com/en-gb/security/business/zero-trust</w:t>
      </w:r>
    </w:p>
    <w:p w14:paraId="7868B0FE" w14:textId="08AC54A3" w:rsidR="00A74D9F" w:rsidRDefault="007E129B" w:rsidP="007D5D51">
      <w:pPr>
        <w:pStyle w:val="EndNoteBibliography"/>
        <w:ind w:left="720" w:hanging="720"/>
      </w:pPr>
      <w:r>
        <w:fldChar w:fldCharType="end"/>
      </w:r>
      <w:bookmarkEnd w:id="5"/>
    </w:p>
    <w:sectPr w:rsidR="00A74D9F">
      <w:type w:val="continuous"/>
      <w:pgSz w:w="11906" w:h="16838"/>
      <w:pgMar w:top="1080" w:right="907" w:bottom="1440" w:left="907"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319C6" w14:textId="77777777" w:rsidR="00AD73A0" w:rsidRDefault="00AD73A0">
      <w:r>
        <w:separator/>
      </w:r>
    </w:p>
  </w:endnote>
  <w:endnote w:type="continuationSeparator" w:id="0">
    <w:p w14:paraId="69054E5A" w14:textId="77777777" w:rsidR="00AD73A0" w:rsidRDefault="00AD7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DD648" w14:textId="77777777" w:rsidR="00FB1662" w:rsidRDefault="00FB1662">
    <w:pPr>
      <w:pStyle w:val="a9"/>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D1795" w14:textId="77777777" w:rsidR="00AD73A0" w:rsidRDefault="00AD73A0">
      <w:r>
        <w:separator/>
      </w:r>
    </w:p>
  </w:footnote>
  <w:footnote w:type="continuationSeparator" w:id="0">
    <w:p w14:paraId="6CC1BECF" w14:textId="77777777" w:rsidR="00AD73A0" w:rsidRDefault="00AD7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810AB"/>
    <w:multiLevelType w:val="hybridMultilevel"/>
    <w:tmpl w:val="9F04ED9A"/>
    <w:lvl w:ilvl="0" w:tplc="7666B046">
      <w:start w:val="1"/>
      <w:numFmt w:val="decimal"/>
      <w:lvlText w:val="Fig.%1."/>
      <w:lvlJc w:val="center"/>
      <w:pPr>
        <w:ind w:left="639" w:hanging="440"/>
      </w:pPr>
      <w:rPr>
        <w:rFonts w:ascii="Times New Roman" w:hAnsi="Times New Roman" w:hint="default"/>
        <w:spacing w:val="0"/>
        <w:position w:val="0"/>
        <w:sz w:val="16"/>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6FE1FCF"/>
    <w:multiLevelType w:val="multilevel"/>
    <w:tmpl w:val="26FE1FCF"/>
    <w:lvl w:ilvl="0">
      <w:start w:val="1"/>
      <w:numFmt w:val="decimal"/>
      <w:pStyle w:val="footnote"/>
      <w:lvlText w:val="%1 "/>
      <w:lvlJc w:val="left"/>
      <w:pPr>
        <w:tabs>
          <w:tab w:val="left"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rPr>
    </w:lvl>
    <w:lvl w:ilvl="1">
      <w:start w:val="1"/>
      <w:numFmt w:val="lowerLetter"/>
      <w:lvlText w:val="%2."/>
      <w:lvlJc w:val="left"/>
      <w:pPr>
        <w:tabs>
          <w:tab w:val="left" w:pos="1440"/>
        </w:tabs>
        <w:ind w:left="1440" w:hanging="360"/>
      </w:pPr>
      <w:rPr>
        <w:rFonts w:cs="Times New Roman"/>
      </w:rPr>
    </w:lvl>
    <w:lvl w:ilvl="2">
      <w:start w:val="1"/>
      <w:numFmt w:val="lowerRoman"/>
      <w:lvlText w:val="%3."/>
      <w:lvlJc w:val="right"/>
      <w:pPr>
        <w:tabs>
          <w:tab w:val="left" w:pos="2160"/>
        </w:tabs>
        <w:ind w:left="2160" w:hanging="180"/>
      </w:pPr>
      <w:rPr>
        <w:rFonts w:cs="Times New Roman"/>
      </w:rPr>
    </w:lvl>
    <w:lvl w:ilvl="3">
      <w:start w:val="1"/>
      <w:numFmt w:val="decimal"/>
      <w:lvlText w:val="%4."/>
      <w:lvlJc w:val="left"/>
      <w:pPr>
        <w:tabs>
          <w:tab w:val="left" w:pos="2880"/>
        </w:tabs>
        <w:ind w:left="2880" w:hanging="360"/>
      </w:pPr>
      <w:rPr>
        <w:rFonts w:cs="Times New Roman"/>
      </w:rPr>
    </w:lvl>
    <w:lvl w:ilvl="4">
      <w:start w:val="1"/>
      <w:numFmt w:val="lowerLetter"/>
      <w:lvlText w:val="%5."/>
      <w:lvlJc w:val="left"/>
      <w:pPr>
        <w:tabs>
          <w:tab w:val="left" w:pos="3600"/>
        </w:tabs>
        <w:ind w:left="3600" w:hanging="360"/>
      </w:pPr>
      <w:rPr>
        <w:rFonts w:cs="Times New Roman"/>
      </w:rPr>
    </w:lvl>
    <w:lvl w:ilvl="5">
      <w:start w:val="1"/>
      <w:numFmt w:val="lowerRoman"/>
      <w:lvlText w:val="%6."/>
      <w:lvlJc w:val="right"/>
      <w:pPr>
        <w:tabs>
          <w:tab w:val="left" w:pos="4320"/>
        </w:tabs>
        <w:ind w:left="4320" w:hanging="180"/>
      </w:pPr>
      <w:rPr>
        <w:rFonts w:cs="Times New Roman"/>
      </w:rPr>
    </w:lvl>
    <w:lvl w:ilvl="6">
      <w:start w:val="1"/>
      <w:numFmt w:val="decimal"/>
      <w:lvlText w:val="%7."/>
      <w:lvlJc w:val="left"/>
      <w:pPr>
        <w:tabs>
          <w:tab w:val="left" w:pos="5040"/>
        </w:tabs>
        <w:ind w:left="5040" w:hanging="360"/>
      </w:pPr>
      <w:rPr>
        <w:rFonts w:cs="Times New Roman"/>
      </w:rPr>
    </w:lvl>
    <w:lvl w:ilvl="7">
      <w:start w:val="1"/>
      <w:numFmt w:val="lowerLetter"/>
      <w:lvlText w:val="%8."/>
      <w:lvlJc w:val="left"/>
      <w:pPr>
        <w:tabs>
          <w:tab w:val="left" w:pos="5760"/>
        </w:tabs>
        <w:ind w:left="5760" w:hanging="360"/>
      </w:pPr>
      <w:rPr>
        <w:rFonts w:cs="Times New Roman"/>
      </w:rPr>
    </w:lvl>
    <w:lvl w:ilvl="8">
      <w:start w:val="1"/>
      <w:numFmt w:val="lowerRoman"/>
      <w:lvlText w:val="%9."/>
      <w:lvlJc w:val="right"/>
      <w:pPr>
        <w:tabs>
          <w:tab w:val="left" w:pos="6480"/>
        </w:tabs>
        <w:ind w:left="6480" w:hanging="180"/>
      </w:pPr>
      <w:rPr>
        <w:rFonts w:cs="Times New Roman"/>
      </w:rPr>
    </w:lvl>
  </w:abstractNum>
  <w:abstractNum w:abstractNumId="2" w15:restartNumberingAfterBreak="0">
    <w:nsid w:val="2A9371A8"/>
    <w:multiLevelType w:val="multilevel"/>
    <w:tmpl w:val="28664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5E2131"/>
    <w:multiLevelType w:val="multilevel"/>
    <w:tmpl w:val="355E2131"/>
    <w:lvl w:ilvl="0">
      <w:start w:val="1"/>
      <w:numFmt w:val="upperRoman"/>
      <w:lvlText w:val="TABLE %1"/>
      <w:lvlJc w:val="left"/>
      <w:pPr>
        <w:ind w:left="440" w:hanging="440"/>
      </w:pPr>
      <w:rPr>
        <w:rFonts w:ascii="Times New Roman" w:hAnsi="Times New Roman"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4" w15:restartNumberingAfterBreak="0">
    <w:nsid w:val="37660336"/>
    <w:multiLevelType w:val="multilevel"/>
    <w:tmpl w:val="37660336"/>
    <w:lvl w:ilvl="0">
      <w:start w:val="1"/>
      <w:numFmt w:val="bullet"/>
      <w:pStyle w:val="bulletlist"/>
      <w:lvlText w:val=""/>
      <w:lvlJc w:val="left"/>
      <w:pPr>
        <w:tabs>
          <w:tab w:val="left" w:pos="648"/>
        </w:tabs>
        <w:ind w:left="648" w:hanging="360"/>
      </w:pPr>
      <w:rPr>
        <w:rFonts w:ascii="Symbol" w:hAnsi="Symbol" w:hint="default"/>
      </w:rPr>
    </w:lvl>
    <w:lvl w:ilvl="1">
      <w:start w:val="1"/>
      <w:numFmt w:val="bullet"/>
      <w:lvlText w:val="o"/>
      <w:lvlJc w:val="left"/>
      <w:pPr>
        <w:tabs>
          <w:tab w:val="left" w:pos="1440"/>
        </w:tabs>
        <w:ind w:left="1440" w:hanging="360"/>
      </w:pPr>
      <w:rPr>
        <w:rFonts w:ascii="Courier New" w:hAnsi="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5" w15:restartNumberingAfterBreak="0">
    <w:nsid w:val="4189603E"/>
    <w:multiLevelType w:val="multilevel"/>
    <w:tmpl w:val="4189603E"/>
    <w:lvl w:ilvl="0">
      <w:start w:val="1"/>
      <w:numFmt w:val="upperRoman"/>
      <w:pStyle w:val="1"/>
      <w:lvlText w:val="%1."/>
      <w:lvlJc w:val="center"/>
      <w:pPr>
        <w:tabs>
          <w:tab w:val="left" w:pos="576"/>
        </w:tabs>
        <w:ind w:firstLine="216"/>
      </w:pPr>
      <w:rPr>
        <w:rFonts w:ascii="Times New Roman" w:hAnsi="Times New Roman" w:cs="Times New Roman" w:hint="default"/>
        <w:caps w:val="0"/>
        <w:strike w:val="0"/>
        <w:dstrike w:val="0"/>
        <w:vanish w:val="0"/>
        <w:color w:val="auto"/>
        <w:sz w:val="20"/>
        <w:szCs w:val="20"/>
        <w:vertAlign w:val="baseline"/>
      </w:rPr>
    </w:lvl>
    <w:lvl w:ilvl="1">
      <w:start w:val="1"/>
      <w:numFmt w:val="upperLetter"/>
      <w:pStyle w:val="2"/>
      <w:lvlText w:val="%2."/>
      <w:lvlJc w:val="left"/>
      <w:pPr>
        <w:tabs>
          <w:tab w:val="left"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rPr>
    </w:lvl>
    <w:lvl w:ilvl="2">
      <w:start w:val="1"/>
      <w:numFmt w:val="decimal"/>
      <w:pStyle w:val="3"/>
      <w:lvlText w:val="%3)"/>
      <w:lvlJc w:val="left"/>
      <w:pPr>
        <w:tabs>
          <w:tab w:val="left" w:pos="540"/>
        </w:tabs>
        <w:ind w:firstLine="180"/>
      </w:pPr>
      <w:rPr>
        <w:rFonts w:ascii="Times New Roman" w:hAnsi="Times New Roman" w:cs="Times New Roman" w:hint="default"/>
        <w:b w:val="0"/>
        <w:bCs w:val="0"/>
        <w:i/>
        <w:iCs/>
        <w:caps w:val="0"/>
        <w:strike w:val="0"/>
        <w:dstrike w:val="0"/>
        <w:vanish w:val="0"/>
        <w:color w:val="auto"/>
        <w:sz w:val="20"/>
        <w:szCs w:val="20"/>
        <w:vertAlign w:val="baseline"/>
      </w:rPr>
    </w:lvl>
    <w:lvl w:ilvl="3">
      <w:start w:val="1"/>
      <w:numFmt w:val="lowerLetter"/>
      <w:pStyle w:val="4"/>
      <w:lvlText w:val="%4)"/>
      <w:lvlJc w:val="left"/>
      <w:pPr>
        <w:tabs>
          <w:tab w:val="left"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left" w:pos="3240"/>
        </w:tabs>
        <w:ind w:left="2880"/>
      </w:pPr>
      <w:rPr>
        <w:rFonts w:cs="Times New Roman" w:hint="default"/>
      </w:rPr>
    </w:lvl>
    <w:lvl w:ilvl="5">
      <w:start w:val="1"/>
      <w:numFmt w:val="lowerLetter"/>
      <w:lvlText w:val="(%6)"/>
      <w:lvlJc w:val="left"/>
      <w:pPr>
        <w:tabs>
          <w:tab w:val="left" w:pos="3960"/>
        </w:tabs>
        <w:ind w:left="3600"/>
      </w:pPr>
      <w:rPr>
        <w:rFonts w:cs="Times New Roman" w:hint="default"/>
      </w:rPr>
    </w:lvl>
    <w:lvl w:ilvl="6">
      <w:start w:val="1"/>
      <w:numFmt w:val="lowerRoman"/>
      <w:lvlText w:val="(%7)"/>
      <w:lvlJc w:val="left"/>
      <w:pPr>
        <w:tabs>
          <w:tab w:val="left" w:pos="4680"/>
        </w:tabs>
        <w:ind w:left="4320"/>
      </w:pPr>
      <w:rPr>
        <w:rFonts w:cs="Times New Roman" w:hint="default"/>
      </w:rPr>
    </w:lvl>
    <w:lvl w:ilvl="7">
      <w:start w:val="1"/>
      <w:numFmt w:val="lowerLetter"/>
      <w:lvlText w:val="(%8)"/>
      <w:lvlJc w:val="left"/>
      <w:pPr>
        <w:tabs>
          <w:tab w:val="left" w:pos="5400"/>
        </w:tabs>
        <w:ind w:left="5040"/>
      </w:pPr>
      <w:rPr>
        <w:rFonts w:cs="Times New Roman" w:hint="default"/>
      </w:rPr>
    </w:lvl>
    <w:lvl w:ilvl="8">
      <w:start w:val="1"/>
      <w:numFmt w:val="lowerRoman"/>
      <w:lvlText w:val="(%9)"/>
      <w:lvlJc w:val="left"/>
      <w:pPr>
        <w:tabs>
          <w:tab w:val="left" w:pos="6120"/>
        </w:tabs>
        <w:ind w:left="5760"/>
      </w:pPr>
      <w:rPr>
        <w:rFonts w:cs="Times New Roman" w:hint="default"/>
      </w:rPr>
    </w:lvl>
  </w:abstractNum>
  <w:abstractNum w:abstractNumId="6" w15:restartNumberingAfterBreak="0">
    <w:nsid w:val="47611B88"/>
    <w:multiLevelType w:val="multilevel"/>
    <w:tmpl w:val="EB1E98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3C3F76"/>
    <w:multiLevelType w:val="multilevel"/>
    <w:tmpl w:val="493C3F76"/>
    <w:lvl w:ilvl="0">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52CA544A"/>
    <w:multiLevelType w:val="singleLevel"/>
    <w:tmpl w:val="52CA544A"/>
    <w:lvl w:ilvl="0">
      <w:start w:val="1"/>
      <w:numFmt w:val="decimal"/>
      <w:pStyle w:val="references"/>
      <w:lvlText w:val="[%1]"/>
      <w:lvlJc w:val="left"/>
      <w:pPr>
        <w:tabs>
          <w:tab w:val="left" w:pos="360"/>
        </w:tabs>
        <w:ind w:left="360" w:hanging="360"/>
      </w:pPr>
      <w:rPr>
        <w:rFonts w:ascii="Times New Roman" w:hAnsi="Times New Roman" w:cs="Times New Roman" w:hint="default"/>
        <w:b w:val="0"/>
        <w:bCs w:val="0"/>
        <w:i w:val="0"/>
        <w:iCs w:val="0"/>
        <w:sz w:val="16"/>
        <w:szCs w:val="16"/>
      </w:rPr>
    </w:lvl>
  </w:abstractNum>
  <w:abstractNum w:abstractNumId="9" w15:restartNumberingAfterBreak="0">
    <w:nsid w:val="6C402C58"/>
    <w:multiLevelType w:val="multilevel"/>
    <w:tmpl w:val="6C402C58"/>
    <w:lvl w:ilvl="0">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start w:val="1"/>
      <w:numFmt w:val="lowerLetter"/>
      <w:lvlText w:val="%2."/>
      <w:lvlJc w:val="left"/>
      <w:pPr>
        <w:tabs>
          <w:tab w:val="left" w:pos="1440"/>
        </w:tabs>
        <w:ind w:left="1440" w:hanging="360"/>
      </w:pPr>
      <w:rPr>
        <w:rFonts w:cs="Times New Roman"/>
      </w:rPr>
    </w:lvl>
    <w:lvl w:ilvl="2">
      <w:start w:val="1"/>
      <w:numFmt w:val="lowerRoman"/>
      <w:lvlText w:val="%3."/>
      <w:lvlJc w:val="right"/>
      <w:pPr>
        <w:tabs>
          <w:tab w:val="left" w:pos="2160"/>
        </w:tabs>
        <w:ind w:left="2160" w:hanging="180"/>
      </w:pPr>
      <w:rPr>
        <w:rFonts w:cs="Times New Roman"/>
      </w:rPr>
    </w:lvl>
    <w:lvl w:ilvl="3">
      <w:start w:val="1"/>
      <w:numFmt w:val="decimal"/>
      <w:lvlText w:val="%4."/>
      <w:lvlJc w:val="left"/>
      <w:pPr>
        <w:tabs>
          <w:tab w:val="left" w:pos="2880"/>
        </w:tabs>
        <w:ind w:left="2880" w:hanging="360"/>
      </w:pPr>
      <w:rPr>
        <w:rFonts w:cs="Times New Roman"/>
      </w:rPr>
    </w:lvl>
    <w:lvl w:ilvl="4">
      <w:start w:val="1"/>
      <w:numFmt w:val="lowerLetter"/>
      <w:lvlText w:val="%5."/>
      <w:lvlJc w:val="left"/>
      <w:pPr>
        <w:tabs>
          <w:tab w:val="left" w:pos="3600"/>
        </w:tabs>
        <w:ind w:left="3600" w:hanging="360"/>
      </w:pPr>
      <w:rPr>
        <w:rFonts w:cs="Times New Roman"/>
      </w:rPr>
    </w:lvl>
    <w:lvl w:ilvl="5">
      <w:start w:val="1"/>
      <w:numFmt w:val="lowerRoman"/>
      <w:lvlText w:val="%6."/>
      <w:lvlJc w:val="right"/>
      <w:pPr>
        <w:tabs>
          <w:tab w:val="left" w:pos="4320"/>
        </w:tabs>
        <w:ind w:left="4320" w:hanging="180"/>
      </w:pPr>
      <w:rPr>
        <w:rFonts w:cs="Times New Roman"/>
      </w:rPr>
    </w:lvl>
    <w:lvl w:ilvl="6">
      <w:start w:val="1"/>
      <w:numFmt w:val="decimal"/>
      <w:lvlText w:val="%7."/>
      <w:lvlJc w:val="left"/>
      <w:pPr>
        <w:tabs>
          <w:tab w:val="left" w:pos="5040"/>
        </w:tabs>
        <w:ind w:left="5040" w:hanging="360"/>
      </w:pPr>
      <w:rPr>
        <w:rFonts w:cs="Times New Roman"/>
      </w:rPr>
    </w:lvl>
    <w:lvl w:ilvl="7">
      <w:start w:val="1"/>
      <w:numFmt w:val="lowerLetter"/>
      <w:lvlText w:val="%8."/>
      <w:lvlJc w:val="left"/>
      <w:pPr>
        <w:tabs>
          <w:tab w:val="left" w:pos="5760"/>
        </w:tabs>
        <w:ind w:left="5760" w:hanging="360"/>
      </w:pPr>
      <w:rPr>
        <w:rFonts w:cs="Times New Roman"/>
      </w:rPr>
    </w:lvl>
    <w:lvl w:ilvl="8">
      <w:start w:val="1"/>
      <w:numFmt w:val="lowerRoman"/>
      <w:lvlText w:val="%9."/>
      <w:lvlJc w:val="right"/>
      <w:pPr>
        <w:tabs>
          <w:tab w:val="left" w:pos="6480"/>
        </w:tabs>
        <w:ind w:left="6480" w:hanging="180"/>
      </w:pPr>
      <w:rPr>
        <w:rFonts w:cs="Times New Roman"/>
      </w:rPr>
    </w:lvl>
  </w:abstractNum>
  <w:abstractNum w:abstractNumId="10" w15:restartNumberingAfterBreak="0">
    <w:nsid w:val="6CD32DA8"/>
    <w:multiLevelType w:val="singleLevel"/>
    <w:tmpl w:val="6CD32DA8"/>
    <w:lvl w:ilvl="0">
      <w:start w:val="1"/>
      <w:numFmt w:val="upperRoman"/>
      <w:pStyle w:val="tablehead"/>
      <w:lvlText w:val="TABLE %1. "/>
      <w:lvlJc w:val="left"/>
      <w:pPr>
        <w:tabs>
          <w:tab w:val="left" w:pos="1080"/>
        </w:tabs>
      </w:pPr>
      <w:rPr>
        <w:rFonts w:ascii="Times New Roman" w:hAnsi="Times New Roman" w:cs="Times New Roman" w:hint="default"/>
        <w:b w:val="0"/>
        <w:bCs w:val="0"/>
        <w:i w:val="0"/>
        <w:iCs w:val="0"/>
        <w:sz w:val="16"/>
        <w:szCs w:val="16"/>
      </w:rPr>
    </w:lvl>
  </w:abstractNum>
  <w:num w:numId="1" w16cid:durableId="305471451">
    <w:abstractNumId w:val="5"/>
  </w:num>
  <w:num w:numId="2" w16cid:durableId="483544616">
    <w:abstractNumId w:val="4"/>
  </w:num>
  <w:num w:numId="3" w16cid:durableId="242033771">
    <w:abstractNumId w:val="9"/>
  </w:num>
  <w:num w:numId="4" w16cid:durableId="455023686">
    <w:abstractNumId w:val="1"/>
  </w:num>
  <w:num w:numId="5" w16cid:durableId="1097366081">
    <w:abstractNumId w:val="8"/>
  </w:num>
  <w:num w:numId="6" w16cid:durableId="463885258">
    <w:abstractNumId w:val="7"/>
  </w:num>
  <w:num w:numId="7" w16cid:durableId="1732382282">
    <w:abstractNumId w:val="10"/>
  </w:num>
  <w:num w:numId="8" w16cid:durableId="2114009330">
    <w:abstractNumId w:val="3"/>
  </w:num>
  <w:num w:numId="9" w16cid:durableId="1941913424">
    <w:abstractNumId w:val="0"/>
  </w:num>
  <w:num w:numId="10" w16cid:durableId="2145735893">
    <w:abstractNumId w:val="2"/>
  </w:num>
  <w:num w:numId="11" w16cid:durableId="13199240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commondata" w:val="eyJoZGlkIjoiODFlMmY5YTQzMjgyNDFkNmQwMTgwMDhiNGVjNDZjNTcifQ=="/>
    <w:docVar w:name="EN.InstantFormat" w:val="&lt;ENInstantFormat&gt;&lt;Enabled&gt;1&lt;/Enabled&gt;&lt;ScanUnformatted&gt;1&lt;/ScanUnformatted&gt;&lt;ScanChanges&gt;1&lt;/ScanChanges&gt;&lt;Suspended&gt;1&lt;/Suspended&gt;&lt;/ENInstantFormat&gt;"/>
    <w:docVar w:name="EN.Layout" w:val="&lt;ENLayout&gt;&lt;Style&gt;IEEE Copy Issue added&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xfx2wz0rovf2rgetw26xdvwkwvw50v95eva0&quot;&gt;My EndNote Library_xiaolunwen_[3]&lt;record-ids&gt;&lt;item&gt;1&lt;/item&gt;&lt;item&gt;2&lt;/item&gt;&lt;item&gt;4&lt;/item&gt;&lt;item&gt;5&lt;/item&gt;&lt;item&gt;6&lt;/item&gt;&lt;/record-ids&gt;&lt;/item&gt;&lt;/Libraries&gt;"/>
  </w:docVars>
  <w:rsids>
    <w:rsidRoot w:val="009303D9"/>
    <w:rsid w:val="000021CC"/>
    <w:rsid w:val="000068BD"/>
    <w:rsid w:val="0000757E"/>
    <w:rsid w:val="00014027"/>
    <w:rsid w:val="000163A2"/>
    <w:rsid w:val="0002495D"/>
    <w:rsid w:val="00026B5C"/>
    <w:rsid w:val="00031499"/>
    <w:rsid w:val="000316DB"/>
    <w:rsid w:val="000328CA"/>
    <w:rsid w:val="00034B60"/>
    <w:rsid w:val="000403EB"/>
    <w:rsid w:val="000411F5"/>
    <w:rsid w:val="00041D60"/>
    <w:rsid w:val="000431BD"/>
    <w:rsid w:val="0004446D"/>
    <w:rsid w:val="00044B11"/>
    <w:rsid w:val="0004781E"/>
    <w:rsid w:val="00050C75"/>
    <w:rsid w:val="00051C99"/>
    <w:rsid w:val="000609CF"/>
    <w:rsid w:val="00061253"/>
    <w:rsid w:val="00067F74"/>
    <w:rsid w:val="000701E4"/>
    <w:rsid w:val="00070485"/>
    <w:rsid w:val="00070CF0"/>
    <w:rsid w:val="000724AF"/>
    <w:rsid w:val="0007290D"/>
    <w:rsid w:val="00073269"/>
    <w:rsid w:val="00083433"/>
    <w:rsid w:val="00083878"/>
    <w:rsid w:val="00085F17"/>
    <w:rsid w:val="0008603E"/>
    <w:rsid w:val="0008758A"/>
    <w:rsid w:val="00087904"/>
    <w:rsid w:val="0009137A"/>
    <w:rsid w:val="00091A72"/>
    <w:rsid w:val="000940EC"/>
    <w:rsid w:val="00095327"/>
    <w:rsid w:val="000958EA"/>
    <w:rsid w:val="00096514"/>
    <w:rsid w:val="000A0292"/>
    <w:rsid w:val="000A1FD8"/>
    <w:rsid w:val="000A292B"/>
    <w:rsid w:val="000A625C"/>
    <w:rsid w:val="000B4080"/>
    <w:rsid w:val="000B4BD4"/>
    <w:rsid w:val="000C0451"/>
    <w:rsid w:val="000C1E68"/>
    <w:rsid w:val="000C2768"/>
    <w:rsid w:val="000C2D2A"/>
    <w:rsid w:val="000C4458"/>
    <w:rsid w:val="000C6366"/>
    <w:rsid w:val="000C6BA9"/>
    <w:rsid w:val="000D44B4"/>
    <w:rsid w:val="000D577A"/>
    <w:rsid w:val="000D5C27"/>
    <w:rsid w:val="000E3A7F"/>
    <w:rsid w:val="000E7EB7"/>
    <w:rsid w:val="000F0A91"/>
    <w:rsid w:val="000F207F"/>
    <w:rsid w:val="000F37ED"/>
    <w:rsid w:val="000F4286"/>
    <w:rsid w:val="000F498A"/>
    <w:rsid w:val="000F52D9"/>
    <w:rsid w:val="000F66FF"/>
    <w:rsid w:val="001006F6"/>
    <w:rsid w:val="001056E9"/>
    <w:rsid w:val="00105C12"/>
    <w:rsid w:val="0011048C"/>
    <w:rsid w:val="00112501"/>
    <w:rsid w:val="00114778"/>
    <w:rsid w:val="001170E3"/>
    <w:rsid w:val="00117A4C"/>
    <w:rsid w:val="00121174"/>
    <w:rsid w:val="001223C4"/>
    <w:rsid w:val="00122C8A"/>
    <w:rsid w:val="0012516E"/>
    <w:rsid w:val="001274AC"/>
    <w:rsid w:val="00133618"/>
    <w:rsid w:val="00134717"/>
    <w:rsid w:val="00140010"/>
    <w:rsid w:val="00142C17"/>
    <w:rsid w:val="00152F21"/>
    <w:rsid w:val="0015660E"/>
    <w:rsid w:val="001609C9"/>
    <w:rsid w:val="0016233F"/>
    <w:rsid w:val="0016493E"/>
    <w:rsid w:val="001650F6"/>
    <w:rsid w:val="0017027D"/>
    <w:rsid w:val="00170976"/>
    <w:rsid w:val="00173307"/>
    <w:rsid w:val="001738BD"/>
    <w:rsid w:val="00173FD4"/>
    <w:rsid w:val="00175393"/>
    <w:rsid w:val="0018037E"/>
    <w:rsid w:val="00180E61"/>
    <w:rsid w:val="00183A86"/>
    <w:rsid w:val="00186AA1"/>
    <w:rsid w:val="0019513F"/>
    <w:rsid w:val="001A1DD8"/>
    <w:rsid w:val="001A2EFD"/>
    <w:rsid w:val="001A3B3D"/>
    <w:rsid w:val="001B2171"/>
    <w:rsid w:val="001B21E3"/>
    <w:rsid w:val="001B263B"/>
    <w:rsid w:val="001B2FF4"/>
    <w:rsid w:val="001B367E"/>
    <w:rsid w:val="001B37F7"/>
    <w:rsid w:val="001B67DC"/>
    <w:rsid w:val="001B6B70"/>
    <w:rsid w:val="001C0C07"/>
    <w:rsid w:val="001C159C"/>
    <w:rsid w:val="001C7CDF"/>
    <w:rsid w:val="001C7D43"/>
    <w:rsid w:val="001D012A"/>
    <w:rsid w:val="001D05F8"/>
    <w:rsid w:val="001D443B"/>
    <w:rsid w:val="001D47C2"/>
    <w:rsid w:val="001D71B0"/>
    <w:rsid w:val="001E0BBE"/>
    <w:rsid w:val="001E3DA3"/>
    <w:rsid w:val="001E5EBA"/>
    <w:rsid w:val="001E75E3"/>
    <w:rsid w:val="001F4CCF"/>
    <w:rsid w:val="001F4DC8"/>
    <w:rsid w:val="001F7AE9"/>
    <w:rsid w:val="00210CC7"/>
    <w:rsid w:val="00213C8C"/>
    <w:rsid w:val="00215F9F"/>
    <w:rsid w:val="002161B6"/>
    <w:rsid w:val="0022008E"/>
    <w:rsid w:val="0022162A"/>
    <w:rsid w:val="002222E0"/>
    <w:rsid w:val="00224E20"/>
    <w:rsid w:val="002254A9"/>
    <w:rsid w:val="0023031D"/>
    <w:rsid w:val="002328E1"/>
    <w:rsid w:val="0023291E"/>
    <w:rsid w:val="00232FBA"/>
    <w:rsid w:val="0023371D"/>
    <w:rsid w:val="00233D97"/>
    <w:rsid w:val="002347A2"/>
    <w:rsid w:val="00234F71"/>
    <w:rsid w:val="00252E1A"/>
    <w:rsid w:val="00255A2D"/>
    <w:rsid w:val="00256E89"/>
    <w:rsid w:val="00256EE0"/>
    <w:rsid w:val="0026305E"/>
    <w:rsid w:val="00263A5B"/>
    <w:rsid w:val="002643A0"/>
    <w:rsid w:val="00270513"/>
    <w:rsid w:val="00270AD0"/>
    <w:rsid w:val="00272493"/>
    <w:rsid w:val="002755C9"/>
    <w:rsid w:val="0027786F"/>
    <w:rsid w:val="002811AD"/>
    <w:rsid w:val="002850E3"/>
    <w:rsid w:val="00285359"/>
    <w:rsid w:val="002859DC"/>
    <w:rsid w:val="00286346"/>
    <w:rsid w:val="0029671F"/>
    <w:rsid w:val="0029765F"/>
    <w:rsid w:val="002A017D"/>
    <w:rsid w:val="002A3B13"/>
    <w:rsid w:val="002A7D3E"/>
    <w:rsid w:val="002B19E8"/>
    <w:rsid w:val="002C47EF"/>
    <w:rsid w:val="002C4FCA"/>
    <w:rsid w:val="002C5F35"/>
    <w:rsid w:val="002C61D6"/>
    <w:rsid w:val="002D0268"/>
    <w:rsid w:val="002D2D8B"/>
    <w:rsid w:val="002D4281"/>
    <w:rsid w:val="002D4C43"/>
    <w:rsid w:val="002D4D94"/>
    <w:rsid w:val="002E4E77"/>
    <w:rsid w:val="002F01FF"/>
    <w:rsid w:val="002F1D7A"/>
    <w:rsid w:val="002F2616"/>
    <w:rsid w:val="002F2FDD"/>
    <w:rsid w:val="002F3BC9"/>
    <w:rsid w:val="002F47FF"/>
    <w:rsid w:val="002F6017"/>
    <w:rsid w:val="00302231"/>
    <w:rsid w:val="00306544"/>
    <w:rsid w:val="0031263F"/>
    <w:rsid w:val="00315329"/>
    <w:rsid w:val="00320275"/>
    <w:rsid w:val="00320474"/>
    <w:rsid w:val="00320954"/>
    <w:rsid w:val="00326350"/>
    <w:rsid w:val="0033016B"/>
    <w:rsid w:val="0033087A"/>
    <w:rsid w:val="00331792"/>
    <w:rsid w:val="003318F4"/>
    <w:rsid w:val="003337A2"/>
    <w:rsid w:val="003352E0"/>
    <w:rsid w:val="0033670A"/>
    <w:rsid w:val="00336850"/>
    <w:rsid w:val="00336E73"/>
    <w:rsid w:val="003408D9"/>
    <w:rsid w:val="00340C1A"/>
    <w:rsid w:val="00342DC4"/>
    <w:rsid w:val="00344E15"/>
    <w:rsid w:val="00346BC3"/>
    <w:rsid w:val="00346D14"/>
    <w:rsid w:val="003504EC"/>
    <w:rsid w:val="0035382D"/>
    <w:rsid w:val="00353DEF"/>
    <w:rsid w:val="00354946"/>
    <w:rsid w:val="00354FCF"/>
    <w:rsid w:val="0035668B"/>
    <w:rsid w:val="00357CF5"/>
    <w:rsid w:val="00362242"/>
    <w:rsid w:val="003668DA"/>
    <w:rsid w:val="00366B94"/>
    <w:rsid w:val="00372C87"/>
    <w:rsid w:val="0037416E"/>
    <w:rsid w:val="003743F5"/>
    <w:rsid w:val="00374ACA"/>
    <w:rsid w:val="003755AF"/>
    <w:rsid w:val="00375D40"/>
    <w:rsid w:val="00380642"/>
    <w:rsid w:val="003814BA"/>
    <w:rsid w:val="003852E1"/>
    <w:rsid w:val="00387D71"/>
    <w:rsid w:val="00387DE4"/>
    <w:rsid w:val="003910AB"/>
    <w:rsid w:val="00391926"/>
    <w:rsid w:val="0039310F"/>
    <w:rsid w:val="00393537"/>
    <w:rsid w:val="00396C1F"/>
    <w:rsid w:val="003A19E2"/>
    <w:rsid w:val="003A3F19"/>
    <w:rsid w:val="003A4EE4"/>
    <w:rsid w:val="003A6761"/>
    <w:rsid w:val="003A71DE"/>
    <w:rsid w:val="003B0C84"/>
    <w:rsid w:val="003B18CB"/>
    <w:rsid w:val="003B2B40"/>
    <w:rsid w:val="003B39F3"/>
    <w:rsid w:val="003B4E04"/>
    <w:rsid w:val="003B5556"/>
    <w:rsid w:val="003B7AC9"/>
    <w:rsid w:val="003C1AF0"/>
    <w:rsid w:val="003C2A6D"/>
    <w:rsid w:val="003C5632"/>
    <w:rsid w:val="003C6CF5"/>
    <w:rsid w:val="003C753B"/>
    <w:rsid w:val="003C767D"/>
    <w:rsid w:val="003D15D6"/>
    <w:rsid w:val="003D563C"/>
    <w:rsid w:val="003E0EB4"/>
    <w:rsid w:val="003E10D0"/>
    <w:rsid w:val="003E7490"/>
    <w:rsid w:val="003F0253"/>
    <w:rsid w:val="003F0591"/>
    <w:rsid w:val="003F25C6"/>
    <w:rsid w:val="003F32E9"/>
    <w:rsid w:val="003F5A08"/>
    <w:rsid w:val="00402244"/>
    <w:rsid w:val="00403697"/>
    <w:rsid w:val="00403C22"/>
    <w:rsid w:val="00403DDB"/>
    <w:rsid w:val="00406E4E"/>
    <w:rsid w:val="004073AC"/>
    <w:rsid w:val="0041005B"/>
    <w:rsid w:val="004131FB"/>
    <w:rsid w:val="00413223"/>
    <w:rsid w:val="00415365"/>
    <w:rsid w:val="00416734"/>
    <w:rsid w:val="00420716"/>
    <w:rsid w:val="004267A1"/>
    <w:rsid w:val="0043052C"/>
    <w:rsid w:val="00430A6E"/>
    <w:rsid w:val="004325FB"/>
    <w:rsid w:val="00432F1C"/>
    <w:rsid w:val="00437639"/>
    <w:rsid w:val="00442F9F"/>
    <w:rsid w:val="004432BA"/>
    <w:rsid w:val="004433B2"/>
    <w:rsid w:val="0044407E"/>
    <w:rsid w:val="00447BB9"/>
    <w:rsid w:val="0045053D"/>
    <w:rsid w:val="00451BFB"/>
    <w:rsid w:val="00452CBB"/>
    <w:rsid w:val="00453B7A"/>
    <w:rsid w:val="00454824"/>
    <w:rsid w:val="00454CFE"/>
    <w:rsid w:val="00455FE4"/>
    <w:rsid w:val="00457273"/>
    <w:rsid w:val="0046031D"/>
    <w:rsid w:val="004604ED"/>
    <w:rsid w:val="004616A1"/>
    <w:rsid w:val="004723AA"/>
    <w:rsid w:val="00472A3D"/>
    <w:rsid w:val="00473AC9"/>
    <w:rsid w:val="00473EAD"/>
    <w:rsid w:val="00476642"/>
    <w:rsid w:val="00477EEB"/>
    <w:rsid w:val="00483978"/>
    <w:rsid w:val="004846ED"/>
    <w:rsid w:val="0048598F"/>
    <w:rsid w:val="00491CFB"/>
    <w:rsid w:val="0049285A"/>
    <w:rsid w:val="00495E0B"/>
    <w:rsid w:val="004966A7"/>
    <w:rsid w:val="00496930"/>
    <w:rsid w:val="00496CD6"/>
    <w:rsid w:val="004A3961"/>
    <w:rsid w:val="004A657D"/>
    <w:rsid w:val="004A75FE"/>
    <w:rsid w:val="004B08D0"/>
    <w:rsid w:val="004B3E84"/>
    <w:rsid w:val="004B7ED2"/>
    <w:rsid w:val="004C54FB"/>
    <w:rsid w:val="004D0AD4"/>
    <w:rsid w:val="004D26DE"/>
    <w:rsid w:val="004D3FB3"/>
    <w:rsid w:val="004D72B5"/>
    <w:rsid w:val="004E0DD9"/>
    <w:rsid w:val="004E111B"/>
    <w:rsid w:val="004E229A"/>
    <w:rsid w:val="004E26F0"/>
    <w:rsid w:val="004F2DB8"/>
    <w:rsid w:val="004F380B"/>
    <w:rsid w:val="00504F53"/>
    <w:rsid w:val="00506B3C"/>
    <w:rsid w:val="00512A55"/>
    <w:rsid w:val="00512D70"/>
    <w:rsid w:val="00514E86"/>
    <w:rsid w:val="0051581C"/>
    <w:rsid w:val="00516B0F"/>
    <w:rsid w:val="005233F0"/>
    <w:rsid w:val="00524F7F"/>
    <w:rsid w:val="0052646C"/>
    <w:rsid w:val="00527306"/>
    <w:rsid w:val="00532CFD"/>
    <w:rsid w:val="00543C8B"/>
    <w:rsid w:val="005446C8"/>
    <w:rsid w:val="00546ADC"/>
    <w:rsid w:val="00551B7F"/>
    <w:rsid w:val="005523B2"/>
    <w:rsid w:val="005527CE"/>
    <w:rsid w:val="005546B3"/>
    <w:rsid w:val="00555B0F"/>
    <w:rsid w:val="00555D45"/>
    <w:rsid w:val="00556C35"/>
    <w:rsid w:val="00557380"/>
    <w:rsid w:val="0056610F"/>
    <w:rsid w:val="005678A2"/>
    <w:rsid w:val="0057257D"/>
    <w:rsid w:val="005730B7"/>
    <w:rsid w:val="00575BCA"/>
    <w:rsid w:val="00576ACF"/>
    <w:rsid w:val="00577761"/>
    <w:rsid w:val="00580B1B"/>
    <w:rsid w:val="0058123C"/>
    <w:rsid w:val="00583780"/>
    <w:rsid w:val="005844EC"/>
    <w:rsid w:val="005845FC"/>
    <w:rsid w:val="00586454"/>
    <w:rsid w:val="0058680B"/>
    <w:rsid w:val="0059118B"/>
    <w:rsid w:val="0059144A"/>
    <w:rsid w:val="00593587"/>
    <w:rsid w:val="0059497E"/>
    <w:rsid w:val="00595BCA"/>
    <w:rsid w:val="005970A4"/>
    <w:rsid w:val="005A1884"/>
    <w:rsid w:val="005A1A7A"/>
    <w:rsid w:val="005A38B4"/>
    <w:rsid w:val="005A78F4"/>
    <w:rsid w:val="005B0344"/>
    <w:rsid w:val="005B520E"/>
    <w:rsid w:val="005B7699"/>
    <w:rsid w:val="005B7EBA"/>
    <w:rsid w:val="005C3AE1"/>
    <w:rsid w:val="005C73B9"/>
    <w:rsid w:val="005D3075"/>
    <w:rsid w:val="005D39BD"/>
    <w:rsid w:val="005D4AF7"/>
    <w:rsid w:val="005D4C2D"/>
    <w:rsid w:val="005D603C"/>
    <w:rsid w:val="005E07D9"/>
    <w:rsid w:val="005E2800"/>
    <w:rsid w:val="005E37FF"/>
    <w:rsid w:val="005F129F"/>
    <w:rsid w:val="005F7AEE"/>
    <w:rsid w:val="0060010E"/>
    <w:rsid w:val="006010DC"/>
    <w:rsid w:val="00605825"/>
    <w:rsid w:val="0060605F"/>
    <w:rsid w:val="00612A41"/>
    <w:rsid w:val="0061352E"/>
    <w:rsid w:val="006143DD"/>
    <w:rsid w:val="00621EFE"/>
    <w:rsid w:val="00622A63"/>
    <w:rsid w:val="00622A7B"/>
    <w:rsid w:val="00626204"/>
    <w:rsid w:val="00627274"/>
    <w:rsid w:val="006301E7"/>
    <w:rsid w:val="00632BEF"/>
    <w:rsid w:val="006344FF"/>
    <w:rsid w:val="00640899"/>
    <w:rsid w:val="00640AB7"/>
    <w:rsid w:val="00642973"/>
    <w:rsid w:val="00645D22"/>
    <w:rsid w:val="00650F92"/>
    <w:rsid w:val="006518E5"/>
    <w:rsid w:val="00651A08"/>
    <w:rsid w:val="00654204"/>
    <w:rsid w:val="006555C4"/>
    <w:rsid w:val="0066595F"/>
    <w:rsid w:val="0066655F"/>
    <w:rsid w:val="006666EF"/>
    <w:rsid w:val="00670434"/>
    <w:rsid w:val="0067047E"/>
    <w:rsid w:val="00670719"/>
    <w:rsid w:val="00672C5E"/>
    <w:rsid w:val="00673BFE"/>
    <w:rsid w:val="00675790"/>
    <w:rsid w:val="00685D2A"/>
    <w:rsid w:val="006862B0"/>
    <w:rsid w:val="0068635C"/>
    <w:rsid w:val="00690A8B"/>
    <w:rsid w:val="00691474"/>
    <w:rsid w:val="00693FA8"/>
    <w:rsid w:val="006975FF"/>
    <w:rsid w:val="00697933"/>
    <w:rsid w:val="006A19D3"/>
    <w:rsid w:val="006A2724"/>
    <w:rsid w:val="006A4F6C"/>
    <w:rsid w:val="006B44A2"/>
    <w:rsid w:val="006B6371"/>
    <w:rsid w:val="006B6B66"/>
    <w:rsid w:val="006C339E"/>
    <w:rsid w:val="006D0949"/>
    <w:rsid w:val="006D198B"/>
    <w:rsid w:val="006D27BD"/>
    <w:rsid w:val="006D27F5"/>
    <w:rsid w:val="006D3B04"/>
    <w:rsid w:val="006E0B2A"/>
    <w:rsid w:val="006E6F6A"/>
    <w:rsid w:val="006F0742"/>
    <w:rsid w:val="006F086F"/>
    <w:rsid w:val="006F26D1"/>
    <w:rsid w:val="006F6D3D"/>
    <w:rsid w:val="006F7BAE"/>
    <w:rsid w:val="007061D6"/>
    <w:rsid w:val="00707390"/>
    <w:rsid w:val="00707552"/>
    <w:rsid w:val="00707B7C"/>
    <w:rsid w:val="007113D1"/>
    <w:rsid w:val="00715BEA"/>
    <w:rsid w:val="007221B9"/>
    <w:rsid w:val="007313BD"/>
    <w:rsid w:val="00731719"/>
    <w:rsid w:val="00740EEA"/>
    <w:rsid w:val="007433F0"/>
    <w:rsid w:val="00743410"/>
    <w:rsid w:val="0074382B"/>
    <w:rsid w:val="007448A8"/>
    <w:rsid w:val="00745253"/>
    <w:rsid w:val="00745837"/>
    <w:rsid w:val="00745AEA"/>
    <w:rsid w:val="00746BE8"/>
    <w:rsid w:val="00755C69"/>
    <w:rsid w:val="00760C73"/>
    <w:rsid w:val="007633C9"/>
    <w:rsid w:val="00763A27"/>
    <w:rsid w:val="007673E1"/>
    <w:rsid w:val="00777E75"/>
    <w:rsid w:val="007808C5"/>
    <w:rsid w:val="00781751"/>
    <w:rsid w:val="00783AED"/>
    <w:rsid w:val="00783F8B"/>
    <w:rsid w:val="00784D34"/>
    <w:rsid w:val="00786CF3"/>
    <w:rsid w:val="007878AA"/>
    <w:rsid w:val="00787D2E"/>
    <w:rsid w:val="00791D6D"/>
    <w:rsid w:val="00794804"/>
    <w:rsid w:val="007A0FC6"/>
    <w:rsid w:val="007A16F1"/>
    <w:rsid w:val="007A3805"/>
    <w:rsid w:val="007A4C54"/>
    <w:rsid w:val="007A5162"/>
    <w:rsid w:val="007A531C"/>
    <w:rsid w:val="007A75E2"/>
    <w:rsid w:val="007B2F91"/>
    <w:rsid w:val="007B33F1"/>
    <w:rsid w:val="007B3C5C"/>
    <w:rsid w:val="007B42FF"/>
    <w:rsid w:val="007B4819"/>
    <w:rsid w:val="007B49E7"/>
    <w:rsid w:val="007B6DDA"/>
    <w:rsid w:val="007B75F9"/>
    <w:rsid w:val="007C0308"/>
    <w:rsid w:val="007C1538"/>
    <w:rsid w:val="007C2FF2"/>
    <w:rsid w:val="007D0EA4"/>
    <w:rsid w:val="007D37F4"/>
    <w:rsid w:val="007D40FF"/>
    <w:rsid w:val="007D4D3A"/>
    <w:rsid w:val="007D5785"/>
    <w:rsid w:val="007D5D51"/>
    <w:rsid w:val="007D6232"/>
    <w:rsid w:val="007D6481"/>
    <w:rsid w:val="007E129B"/>
    <w:rsid w:val="007E5AEF"/>
    <w:rsid w:val="007F0407"/>
    <w:rsid w:val="007F05ED"/>
    <w:rsid w:val="007F1AA1"/>
    <w:rsid w:val="007F1EFF"/>
    <w:rsid w:val="007F1F99"/>
    <w:rsid w:val="007F683B"/>
    <w:rsid w:val="007F70D8"/>
    <w:rsid w:val="007F768F"/>
    <w:rsid w:val="00801F67"/>
    <w:rsid w:val="00803B0B"/>
    <w:rsid w:val="00803D6C"/>
    <w:rsid w:val="0080630A"/>
    <w:rsid w:val="00806D7B"/>
    <w:rsid w:val="0080791D"/>
    <w:rsid w:val="008127E7"/>
    <w:rsid w:val="008133C0"/>
    <w:rsid w:val="008142BF"/>
    <w:rsid w:val="008165AF"/>
    <w:rsid w:val="00821D7B"/>
    <w:rsid w:val="00822BEC"/>
    <w:rsid w:val="00822E78"/>
    <w:rsid w:val="00823D4A"/>
    <w:rsid w:val="00826D40"/>
    <w:rsid w:val="00827D96"/>
    <w:rsid w:val="008318FA"/>
    <w:rsid w:val="00836367"/>
    <w:rsid w:val="00840D9C"/>
    <w:rsid w:val="008450E6"/>
    <w:rsid w:val="00847B3F"/>
    <w:rsid w:val="00847CF2"/>
    <w:rsid w:val="00852CEB"/>
    <w:rsid w:val="00854B69"/>
    <w:rsid w:val="008556DF"/>
    <w:rsid w:val="008558BD"/>
    <w:rsid w:val="00863552"/>
    <w:rsid w:val="0087047B"/>
    <w:rsid w:val="00870D45"/>
    <w:rsid w:val="00873603"/>
    <w:rsid w:val="008757AC"/>
    <w:rsid w:val="0087602B"/>
    <w:rsid w:val="00881381"/>
    <w:rsid w:val="008820D3"/>
    <w:rsid w:val="00882A0E"/>
    <w:rsid w:val="00891294"/>
    <w:rsid w:val="008924F3"/>
    <w:rsid w:val="008940FF"/>
    <w:rsid w:val="00895F61"/>
    <w:rsid w:val="00897552"/>
    <w:rsid w:val="008A0063"/>
    <w:rsid w:val="008A0949"/>
    <w:rsid w:val="008A1BCC"/>
    <w:rsid w:val="008A2C7D"/>
    <w:rsid w:val="008A3F0F"/>
    <w:rsid w:val="008A720F"/>
    <w:rsid w:val="008B6524"/>
    <w:rsid w:val="008C4807"/>
    <w:rsid w:val="008C4B23"/>
    <w:rsid w:val="008C7AF9"/>
    <w:rsid w:val="008D10CD"/>
    <w:rsid w:val="008D3191"/>
    <w:rsid w:val="008D3F18"/>
    <w:rsid w:val="008D48B9"/>
    <w:rsid w:val="008D539F"/>
    <w:rsid w:val="008E26D8"/>
    <w:rsid w:val="008F2C40"/>
    <w:rsid w:val="008F3C2B"/>
    <w:rsid w:val="008F52F9"/>
    <w:rsid w:val="008F6768"/>
    <w:rsid w:val="008F6E2C"/>
    <w:rsid w:val="008F7D5B"/>
    <w:rsid w:val="00900293"/>
    <w:rsid w:val="00901D41"/>
    <w:rsid w:val="0090401A"/>
    <w:rsid w:val="0090648D"/>
    <w:rsid w:val="00907F26"/>
    <w:rsid w:val="00915268"/>
    <w:rsid w:val="009157AA"/>
    <w:rsid w:val="00916818"/>
    <w:rsid w:val="00920089"/>
    <w:rsid w:val="00924655"/>
    <w:rsid w:val="009303D9"/>
    <w:rsid w:val="009335ED"/>
    <w:rsid w:val="00933C64"/>
    <w:rsid w:val="00933EEB"/>
    <w:rsid w:val="00934465"/>
    <w:rsid w:val="00940DB0"/>
    <w:rsid w:val="00943293"/>
    <w:rsid w:val="0094519A"/>
    <w:rsid w:val="00950520"/>
    <w:rsid w:val="0095213A"/>
    <w:rsid w:val="00954743"/>
    <w:rsid w:val="009554B6"/>
    <w:rsid w:val="00955A6D"/>
    <w:rsid w:val="009603A0"/>
    <w:rsid w:val="009643BF"/>
    <w:rsid w:val="009649BA"/>
    <w:rsid w:val="009711AB"/>
    <w:rsid w:val="00972203"/>
    <w:rsid w:val="00974147"/>
    <w:rsid w:val="00974B59"/>
    <w:rsid w:val="0097759A"/>
    <w:rsid w:val="00981505"/>
    <w:rsid w:val="0098190F"/>
    <w:rsid w:val="00984536"/>
    <w:rsid w:val="009847C0"/>
    <w:rsid w:val="00987207"/>
    <w:rsid w:val="009904FB"/>
    <w:rsid w:val="009957D3"/>
    <w:rsid w:val="00995AE6"/>
    <w:rsid w:val="00997383"/>
    <w:rsid w:val="009A08A2"/>
    <w:rsid w:val="009A6977"/>
    <w:rsid w:val="009A6F48"/>
    <w:rsid w:val="009B4C9B"/>
    <w:rsid w:val="009C0E0D"/>
    <w:rsid w:val="009C3AF9"/>
    <w:rsid w:val="009C4096"/>
    <w:rsid w:val="009C554A"/>
    <w:rsid w:val="009C7343"/>
    <w:rsid w:val="009C7BDB"/>
    <w:rsid w:val="009D0482"/>
    <w:rsid w:val="009D214A"/>
    <w:rsid w:val="009D25C6"/>
    <w:rsid w:val="009D3CA5"/>
    <w:rsid w:val="009D438F"/>
    <w:rsid w:val="009D7AB6"/>
    <w:rsid w:val="009E1E92"/>
    <w:rsid w:val="009E4C92"/>
    <w:rsid w:val="009E67CA"/>
    <w:rsid w:val="009F195C"/>
    <w:rsid w:val="009F1D79"/>
    <w:rsid w:val="009F2A75"/>
    <w:rsid w:val="009F62F3"/>
    <w:rsid w:val="009F77C2"/>
    <w:rsid w:val="00A007E7"/>
    <w:rsid w:val="00A03259"/>
    <w:rsid w:val="00A03BE6"/>
    <w:rsid w:val="00A059B3"/>
    <w:rsid w:val="00A06C83"/>
    <w:rsid w:val="00A06FFF"/>
    <w:rsid w:val="00A100E5"/>
    <w:rsid w:val="00A101E2"/>
    <w:rsid w:val="00A11435"/>
    <w:rsid w:val="00A130BA"/>
    <w:rsid w:val="00A15C58"/>
    <w:rsid w:val="00A17E74"/>
    <w:rsid w:val="00A17F2B"/>
    <w:rsid w:val="00A22297"/>
    <w:rsid w:val="00A27423"/>
    <w:rsid w:val="00A27783"/>
    <w:rsid w:val="00A278AA"/>
    <w:rsid w:val="00A310A7"/>
    <w:rsid w:val="00A34B5F"/>
    <w:rsid w:val="00A372D6"/>
    <w:rsid w:val="00A40853"/>
    <w:rsid w:val="00A478F6"/>
    <w:rsid w:val="00A50BB1"/>
    <w:rsid w:val="00A518A6"/>
    <w:rsid w:val="00A54D98"/>
    <w:rsid w:val="00A54FC0"/>
    <w:rsid w:val="00A55DA9"/>
    <w:rsid w:val="00A568FC"/>
    <w:rsid w:val="00A56B63"/>
    <w:rsid w:val="00A56DA9"/>
    <w:rsid w:val="00A61AF2"/>
    <w:rsid w:val="00A640BB"/>
    <w:rsid w:val="00A666C0"/>
    <w:rsid w:val="00A66C24"/>
    <w:rsid w:val="00A74D9F"/>
    <w:rsid w:val="00A75BA6"/>
    <w:rsid w:val="00A75D8A"/>
    <w:rsid w:val="00A7610F"/>
    <w:rsid w:val="00A8337B"/>
    <w:rsid w:val="00A84597"/>
    <w:rsid w:val="00A84995"/>
    <w:rsid w:val="00A858C2"/>
    <w:rsid w:val="00A8753F"/>
    <w:rsid w:val="00A87FEA"/>
    <w:rsid w:val="00A93614"/>
    <w:rsid w:val="00A93782"/>
    <w:rsid w:val="00A945B5"/>
    <w:rsid w:val="00A97B39"/>
    <w:rsid w:val="00AA14FE"/>
    <w:rsid w:val="00AA1641"/>
    <w:rsid w:val="00AA1CD9"/>
    <w:rsid w:val="00AA279F"/>
    <w:rsid w:val="00AA425B"/>
    <w:rsid w:val="00AA54B9"/>
    <w:rsid w:val="00AA698A"/>
    <w:rsid w:val="00AB2578"/>
    <w:rsid w:val="00AB3F2C"/>
    <w:rsid w:val="00AB5480"/>
    <w:rsid w:val="00AB7727"/>
    <w:rsid w:val="00AB7C9D"/>
    <w:rsid w:val="00AC2E5C"/>
    <w:rsid w:val="00AC62A8"/>
    <w:rsid w:val="00AC66D9"/>
    <w:rsid w:val="00AC6A6A"/>
    <w:rsid w:val="00AC6AD2"/>
    <w:rsid w:val="00AC6F5B"/>
    <w:rsid w:val="00AD1B2E"/>
    <w:rsid w:val="00AD2C42"/>
    <w:rsid w:val="00AD3F0E"/>
    <w:rsid w:val="00AD73A0"/>
    <w:rsid w:val="00AE27E1"/>
    <w:rsid w:val="00AE3409"/>
    <w:rsid w:val="00AE36E6"/>
    <w:rsid w:val="00AE5152"/>
    <w:rsid w:val="00AF0329"/>
    <w:rsid w:val="00AF240D"/>
    <w:rsid w:val="00AF353F"/>
    <w:rsid w:val="00AF7A3C"/>
    <w:rsid w:val="00B06C19"/>
    <w:rsid w:val="00B114BB"/>
    <w:rsid w:val="00B11A60"/>
    <w:rsid w:val="00B11DA9"/>
    <w:rsid w:val="00B122B4"/>
    <w:rsid w:val="00B13B75"/>
    <w:rsid w:val="00B1455E"/>
    <w:rsid w:val="00B16787"/>
    <w:rsid w:val="00B17B6A"/>
    <w:rsid w:val="00B21CAF"/>
    <w:rsid w:val="00B22613"/>
    <w:rsid w:val="00B23060"/>
    <w:rsid w:val="00B3104C"/>
    <w:rsid w:val="00B31DBC"/>
    <w:rsid w:val="00B34E15"/>
    <w:rsid w:val="00B37C6E"/>
    <w:rsid w:val="00B40C9E"/>
    <w:rsid w:val="00B421EE"/>
    <w:rsid w:val="00B44A76"/>
    <w:rsid w:val="00B477C5"/>
    <w:rsid w:val="00B536F3"/>
    <w:rsid w:val="00B578BB"/>
    <w:rsid w:val="00B6078B"/>
    <w:rsid w:val="00B608A2"/>
    <w:rsid w:val="00B626D2"/>
    <w:rsid w:val="00B62C57"/>
    <w:rsid w:val="00B640FF"/>
    <w:rsid w:val="00B70B8D"/>
    <w:rsid w:val="00B7108E"/>
    <w:rsid w:val="00B74A7C"/>
    <w:rsid w:val="00B7538D"/>
    <w:rsid w:val="00B7572E"/>
    <w:rsid w:val="00B768D1"/>
    <w:rsid w:val="00B80D6D"/>
    <w:rsid w:val="00B80ECE"/>
    <w:rsid w:val="00B82CD0"/>
    <w:rsid w:val="00B870F6"/>
    <w:rsid w:val="00B9306C"/>
    <w:rsid w:val="00B969F8"/>
    <w:rsid w:val="00BA0178"/>
    <w:rsid w:val="00BA0A17"/>
    <w:rsid w:val="00BA1025"/>
    <w:rsid w:val="00BA29E0"/>
    <w:rsid w:val="00BA6F03"/>
    <w:rsid w:val="00BB1CA2"/>
    <w:rsid w:val="00BB313A"/>
    <w:rsid w:val="00BB5545"/>
    <w:rsid w:val="00BC3420"/>
    <w:rsid w:val="00BC3980"/>
    <w:rsid w:val="00BD2C03"/>
    <w:rsid w:val="00BD46FB"/>
    <w:rsid w:val="00BD670B"/>
    <w:rsid w:val="00BD6E7A"/>
    <w:rsid w:val="00BE29E8"/>
    <w:rsid w:val="00BE59FF"/>
    <w:rsid w:val="00BE7D3C"/>
    <w:rsid w:val="00BF1011"/>
    <w:rsid w:val="00BF5FF6"/>
    <w:rsid w:val="00BF6458"/>
    <w:rsid w:val="00BF74D1"/>
    <w:rsid w:val="00C01E87"/>
    <w:rsid w:val="00C0207F"/>
    <w:rsid w:val="00C037F2"/>
    <w:rsid w:val="00C07D82"/>
    <w:rsid w:val="00C07EE3"/>
    <w:rsid w:val="00C10945"/>
    <w:rsid w:val="00C117CF"/>
    <w:rsid w:val="00C13DCA"/>
    <w:rsid w:val="00C144E2"/>
    <w:rsid w:val="00C16117"/>
    <w:rsid w:val="00C20246"/>
    <w:rsid w:val="00C2076D"/>
    <w:rsid w:val="00C3075A"/>
    <w:rsid w:val="00C32BBB"/>
    <w:rsid w:val="00C371AF"/>
    <w:rsid w:val="00C4288E"/>
    <w:rsid w:val="00C4799E"/>
    <w:rsid w:val="00C55B2E"/>
    <w:rsid w:val="00C60477"/>
    <w:rsid w:val="00C609F1"/>
    <w:rsid w:val="00C64E09"/>
    <w:rsid w:val="00C65A2F"/>
    <w:rsid w:val="00C67EF4"/>
    <w:rsid w:val="00C71B53"/>
    <w:rsid w:val="00C75C68"/>
    <w:rsid w:val="00C80B09"/>
    <w:rsid w:val="00C827F5"/>
    <w:rsid w:val="00C82803"/>
    <w:rsid w:val="00C8781E"/>
    <w:rsid w:val="00C919A4"/>
    <w:rsid w:val="00C94884"/>
    <w:rsid w:val="00C9575C"/>
    <w:rsid w:val="00C9701C"/>
    <w:rsid w:val="00CA3CCA"/>
    <w:rsid w:val="00CA4392"/>
    <w:rsid w:val="00CB0537"/>
    <w:rsid w:val="00CB0EB1"/>
    <w:rsid w:val="00CB1E4F"/>
    <w:rsid w:val="00CB3A4D"/>
    <w:rsid w:val="00CB54D5"/>
    <w:rsid w:val="00CB56B1"/>
    <w:rsid w:val="00CB6324"/>
    <w:rsid w:val="00CB6955"/>
    <w:rsid w:val="00CB7FF5"/>
    <w:rsid w:val="00CC393F"/>
    <w:rsid w:val="00CC3DBC"/>
    <w:rsid w:val="00CC4FC0"/>
    <w:rsid w:val="00CC7653"/>
    <w:rsid w:val="00CD0E2D"/>
    <w:rsid w:val="00CD3E94"/>
    <w:rsid w:val="00CD710F"/>
    <w:rsid w:val="00CE0FE2"/>
    <w:rsid w:val="00CE37D7"/>
    <w:rsid w:val="00CE472B"/>
    <w:rsid w:val="00CE476F"/>
    <w:rsid w:val="00CE5721"/>
    <w:rsid w:val="00CE5F6E"/>
    <w:rsid w:val="00CF285F"/>
    <w:rsid w:val="00CF3F7A"/>
    <w:rsid w:val="00CF435F"/>
    <w:rsid w:val="00CF47CF"/>
    <w:rsid w:val="00D008B1"/>
    <w:rsid w:val="00D009D0"/>
    <w:rsid w:val="00D106E6"/>
    <w:rsid w:val="00D11AAA"/>
    <w:rsid w:val="00D2176E"/>
    <w:rsid w:val="00D219C8"/>
    <w:rsid w:val="00D22892"/>
    <w:rsid w:val="00D230B3"/>
    <w:rsid w:val="00D3220E"/>
    <w:rsid w:val="00D3242D"/>
    <w:rsid w:val="00D3264A"/>
    <w:rsid w:val="00D3509D"/>
    <w:rsid w:val="00D409D2"/>
    <w:rsid w:val="00D41017"/>
    <w:rsid w:val="00D42D1C"/>
    <w:rsid w:val="00D46292"/>
    <w:rsid w:val="00D504B8"/>
    <w:rsid w:val="00D508A7"/>
    <w:rsid w:val="00D56FD4"/>
    <w:rsid w:val="00D632BE"/>
    <w:rsid w:val="00D641FF"/>
    <w:rsid w:val="00D65F90"/>
    <w:rsid w:val="00D6736E"/>
    <w:rsid w:val="00D70644"/>
    <w:rsid w:val="00D72D06"/>
    <w:rsid w:val="00D74DF2"/>
    <w:rsid w:val="00D7522C"/>
    <w:rsid w:val="00D7536F"/>
    <w:rsid w:val="00D76668"/>
    <w:rsid w:val="00D7784A"/>
    <w:rsid w:val="00D813D1"/>
    <w:rsid w:val="00D87748"/>
    <w:rsid w:val="00D92779"/>
    <w:rsid w:val="00D96192"/>
    <w:rsid w:val="00D970C8"/>
    <w:rsid w:val="00D9727C"/>
    <w:rsid w:val="00D974A1"/>
    <w:rsid w:val="00D97AC8"/>
    <w:rsid w:val="00DA178B"/>
    <w:rsid w:val="00DA6E1A"/>
    <w:rsid w:val="00DB03DB"/>
    <w:rsid w:val="00DB070E"/>
    <w:rsid w:val="00DB2D72"/>
    <w:rsid w:val="00DB47DD"/>
    <w:rsid w:val="00DC0EE8"/>
    <w:rsid w:val="00DC1C2B"/>
    <w:rsid w:val="00DC440C"/>
    <w:rsid w:val="00DC7218"/>
    <w:rsid w:val="00DD104B"/>
    <w:rsid w:val="00DD2199"/>
    <w:rsid w:val="00DD2B2D"/>
    <w:rsid w:val="00DD49DB"/>
    <w:rsid w:val="00DD6AFF"/>
    <w:rsid w:val="00DD6CAB"/>
    <w:rsid w:val="00DE3F3E"/>
    <w:rsid w:val="00DE6307"/>
    <w:rsid w:val="00DF0ACF"/>
    <w:rsid w:val="00DF21D1"/>
    <w:rsid w:val="00DF223F"/>
    <w:rsid w:val="00DF24A3"/>
    <w:rsid w:val="00DF267A"/>
    <w:rsid w:val="00DF7B3D"/>
    <w:rsid w:val="00E02AF1"/>
    <w:rsid w:val="00E03BAD"/>
    <w:rsid w:val="00E061CA"/>
    <w:rsid w:val="00E071B2"/>
    <w:rsid w:val="00E07383"/>
    <w:rsid w:val="00E100D1"/>
    <w:rsid w:val="00E12233"/>
    <w:rsid w:val="00E165BC"/>
    <w:rsid w:val="00E245A5"/>
    <w:rsid w:val="00E265AE"/>
    <w:rsid w:val="00E32830"/>
    <w:rsid w:val="00E33BF3"/>
    <w:rsid w:val="00E363F5"/>
    <w:rsid w:val="00E37BDC"/>
    <w:rsid w:val="00E408D2"/>
    <w:rsid w:val="00E513F2"/>
    <w:rsid w:val="00E5520A"/>
    <w:rsid w:val="00E55831"/>
    <w:rsid w:val="00E55904"/>
    <w:rsid w:val="00E572DF"/>
    <w:rsid w:val="00E577AD"/>
    <w:rsid w:val="00E61E12"/>
    <w:rsid w:val="00E61EF5"/>
    <w:rsid w:val="00E663B4"/>
    <w:rsid w:val="00E74800"/>
    <w:rsid w:val="00E74ABA"/>
    <w:rsid w:val="00E7596C"/>
    <w:rsid w:val="00E83316"/>
    <w:rsid w:val="00E834BF"/>
    <w:rsid w:val="00E8449B"/>
    <w:rsid w:val="00E850BE"/>
    <w:rsid w:val="00E85965"/>
    <w:rsid w:val="00E85C0F"/>
    <w:rsid w:val="00E878F2"/>
    <w:rsid w:val="00E91C30"/>
    <w:rsid w:val="00E941DF"/>
    <w:rsid w:val="00E96D03"/>
    <w:rsid w:val="00E974FF"/>
    <w:rsid w:val="00EA0DB0"/>
    <w:rsid w:val="00EA29D1"/>
    <w:rsid w:val="00EA43FE"/>
    <w:rsid w:val="00EA5F6B"/>
    <w:rsid w:val="00EA6122"/>
    <w:rsid w:val="00EA6257"/>
    <w:rsid w:val="00EA787F"/>
    <w:rsid w:val="00EB2D1C"/>
    <w:rsid w:val="00EB56F3"/>
    <w:rsid w:val="00EC0507"/>
    <w:rsid w:val="00EC5D2E"/>
    <w:rsid w:val="00ED0093"/>
    <w:rsid w:val="00ED0149"/>
    <w:rsid w:val="00ED3836"/>
    <w:rsid w:val="00ED4AB8"/>
    <w:rsid w:val="00ED5E06"/>
    <w:rsid w:val="00EE5602"/>
    <w:rsid w:val="00EE754C"/>
    <w:rsid w:val="00EF0503"/>
    <w:rsid w:val="00EF1CE6"/>
    <w:rsid w:val="00EF419A"/>
    <w:rsid w:val="00EF7DE3"/>
    <w:rsid w:val="00F03103"/>
    <w:rsid w:val="00F066AC"/>
    <w:rsid w:val="00F101DD"/>
    <w:rsid w:val="00F11985"/>
    <w:rsid w:val="00F17A20"/>
    <w:rsid w:val="00F17E33"/>
    <w:rsid w:val="00F2060B"/>
    <w:rsid w:val="00F210B8"/>
    <w:rsid w:val="00F21F0C"/>
    <w:rsid w:val="00F23D23"/>
    <w:rsid w:val="00F25E20"/>
    <w:rsid w:val="00F26953"/>
    <w:rsid w:val="00F26F9E"/>
    <w:rsid w:val="00F271DE"/>
    <w:rsid w:val="00F31AAA"/>
    <w:rsid w:val="00F35C2C"/>
    <w:rsid w:val="00F42261"/>
    <w:rsid w:val="00F42EC7"/>
    <w:rsid w:val="00F474A2"/>
    <w:rsid w:val="00F505A4"/>
    <w:rsid w:val="00F52A1D"/>
    <w:rsid w:val="00F545F5"/>
    <w:rsid w:val="00F55A1A"/>
    <w:rsid w:val="00F627DA"/>
    <w:rsid w:val="00F6353C"/>
    <w:rsid w:val="00F638F3"/>
    <w:rsid w:val="00F7288F"/>
    <w:rsid w:val="00F73DA0"/>
    <w:rsid w:val="00F75491"/>
    <w:rsid w:val="00F76315"/>
    <w:rsid w:val="00F809FE"/>
    <w:rsid w:val="00F8305D"/>
    <w:rsid w:val="00F847A6"/>
    <w:rsid w:val="00F85930"/>
    <w:rsid w:val="00F8660C"/>
    <w:rsid w:val="00F879A4"/>
    <w:rsid w:val="00F9441B"/>
    <w:rsid w:val="00F945D7"/>
    <w:rsid w:val="00FA3FB2"/>
    <w:rsid w:val="00FA4C32"/>
    <w:rsid w:val="00FA4FFB"/>
    <w:rsid w:val="00FA5023"/>
    <w:rsid w:val="00FA69A4"/>
    <w:rsid w:val="00FA7775"/>
    <w:rsid w:val="00FB1662"/>
    <w:rsid w:val="00FB5704"/>
    <w:rsid w:val="00FB5AAC"/>
    <w:rsid w:val="00FB7AB7"/>
    <w:rsid w:val="00FB7B6D"/>
    <w:rsid w:val="00FC22F4"/>
    <w:rsid w:val="00FC346B"/>
    <w:rsid w:val="00FC3A9B"/>
    <w:rsid w:val="00FC45FC"/>
    <w:rsid w:val="00FC5E0D"/>
    <w:rsid w:val="00FC6392"/>
    <w:rsid w:val="00FD19E2"/>
    <w:rsid w:val="00FE28AB"/>
    <w:rsid w:val="00FE31EE"/>
    <w:rsid w:val="00FE61F3"/>
    <w:rsid w:val="00FE7114"/>
    <w:rsid w:val="00FF118C"/>
    <w:rsid w:val="00FF2BA7"/>
    <w:rsid w:val="00FF2F2D"/>
    <w:rsid w:val="00FF35EB"/>
    <w:rsid w:val="00FF68A4"/>
    <w:rsid w:val="18E80CFA"/>
    <w:rsid w:val="2CC02D2B"/>
    <w:rsid w:val="312A065A"/>
    <w:rsid w:val="420E0914"/>
    <w:rsid w:val="674A5F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A640D"/>
  <w15:docId w15:val="{7DEF5920-E22E-4F62-9D11-DF4816C6C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qFormat="1"/>
    <w:lsdException w:name="header" w:qFormat="1"/>
    <w:lsdException w:name="footer" w:qFormat="1"/>
    <w:lsdException w:name="caption" w:semiHidden="1" w:unhideWhenUsed="1" w:qFormat="1"/>
    <w:lsdException w:name="annotation reference" w:qFormat="1"/>
    <w:lsdException w:name="Title" w:qFormat="1"/>
    <w:lsdException w:name="Default Paragraph Font" w:uiPriority="1" w:unhideWhenUsed="1"/>
    <w:lsdException w:name="Body Text"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HTML Keyboard" w:semiHidden="1" w:unhideWhenUsed="1"/>
    <w:lsdException w:name="HTML Preformatted" w:semiHidden="1" w:unhideWhenUsed="1"/>
    <w:lsdException w:name="HTML Variable" w:semiHidden="1" w:unhideWhenUsed="1"/>
    <w:lsdException w:name="Normal Table" w:semiHidden="1" w:uiPriority="99" w:unhideWhenUsed="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qFormat="1"/>
    <w:lsdException w:name="Table Theme" w:semiHidden="1" w:unhideWhenUsed="1"/>
    <w:lsdException w:name="Placeholder Text" w:semiHidden="1" w:uiPriority="99" w:qFormat="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C4288E"/>
    <w:pPr>
      <w:jc w:val="center"/>
    </w:pPr>
    <w:rPr>
      <w:lang w:eastAsia="en-US"/>
    </w:rPr>
  </w:style>
  <w:style w:type="paragraph" w:styleId="1">
    <w:name w:val="heading 1"/>
    <w:basedOn w:val="a"/>
    <w:next w:val="a"/>
    <w:qFormat/>
    <w:pPr>
      <w:keepNext/>
      <w:keepLines/>
      <w:numPr>
        <w:numId w:val="1"/>
      </w:numPr>
      <w:tabs>
        <w:tab w:val="left" w:pos="216"/>
      </w:tabs>
      <w:spacing w:before="160" w:after="80"/>
      <w:ind w:firstLine="0"/>
      <w:outlineLvl w:val="0"/>
    </w:pPr>
    <w:rPr>
      <w:smallCaps/>
    </w:rPr>
  </w:style>
  <w:style w:type="paragraph" w:styleId="2">
    <w:name w:val="heading 2"/>
    <w:basedOn w:val="a"/>
    <w:next w:val="a"/>
    <w:qFormat/>
    <w:pPr>
      <w:keepNext/>
      <w:keepLines/>
      <w:numPr>
        <w:ilvl w:val="1"/>
        <w:numId w:val="1"/>
      </w:numPr>
      <w:tabs>
        <w:tab w:val="clear" w:pos="360"/>
        <w:tab w:val="left" w:pos="288"/>
      </w:tabs>
      <w:spacing w:before="120" w:after="60"/>
      <w:jc w:val="left"/>
      <w:outlineLvl w:val="1"/>
    </w:pPr>
    <w:rPr>
      <w:i/>
      <w:iCs/>
    </w:rPr>
  </w:style>
  <w:style w:type="paragraph" w:styleId="3">
    <w:name w:val="heading 3"/>
    <w:basedOn w:val="a"/>
    <w:next w:val="a"/>
    <w:qFormat/>
    <w:pPr>
      <w:numPr>
        <w:ilvl w:val="2"/>
        <w:numId w:val="1"/>
      </w:numPr>
      <w:spacing w:line="240" w:lineRule="exact"/>
      <w:ind w:firstLine="288"/>
      <w:jc w:val="both"/>
      <w:outlineLvl w:val="2"/>
    </w:pPr>
    <w:rPr>
      <w:i/>
      <w:iCs/>
    </w:rPr>
  </w:style>
  <w:style w:type="paragraph" w:styleId="4">
    <w:name w:val="heading 4"/>
    <w:basedOn w:val="a"/>
    <w:next w:val="a"/>
    <w:qFormat/>
    <w:pPr>
      <w:numPr>
        <w:ilvl w:val="3"/>
        <w:numId w:val="1"/>
      </w:numPr>
      <w:tabs>
        <w:tab w:val="clear" w:pos="630"/>
        <w:tab w:val="left" w:pos="720"/>
      </w:tabs>
      <w:spacing w:before="40" w:after="40"/>
      <w:ind w:firstLine="504"/>
      <w:jc w:val="both"/>
      <w:outlineLvl w:val="3"/>
    </w:pPr>
    <w:rPr>
      <w:i/>
      <w:iCs/>
    </w:rPr>
  </w:style>
  <w:style w:type="paragraph" w:styleId="5">
    <w:name w:val="heading 5"/>
    <w:basedOn w:val="a"/>
    <w:next w:val="a"/>
    <w:qFormat/>
    <w:pPr>
      <w:tabs>
        <w:tab w:val="left" w:pos="360"/>
      </w:tabs>
      <w:spacing w:before="160" w:after="80"/>
      <w:outlineLvl w:val="4"/>
    </w:pPr>
    <w:rPr>
      <w:smallCap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qFormat/>
    <w:pPr>
      <w:jc w:val="left"/>
    </w:pPr>
  </w:style>
  <w:style w:type="paragraph" w:styleId="a5">
    <w:name w:val="Body Text"/>
    <w:basedOn w:val="a"/>
    <w:link w:val="a6"/>
    <w:qFormat/>
    <w:pPr>
      <w:tabs>
        <w:tab w:val="left" w:pos="288"/>
      </w:tabs>
      <w:spacing w:after="120" w:line="228" w:lineRule="auto"/>
      <w:ind w:firstLine="288"/>
      <w:jc w:val="both"/>
    </w:pPr>
    <w:rPr>
      <w:spacing w:val="-1"/>
      <w:lang w:val="zh-CN" w:eastAsia="zh-CN"/>
    </w:rPr>
  </w:style>
  <w:style w:type="paragraph" w:styleId="a7">
    <w:name w:val="Balloon Text"/>
    <w:basedOn w:val="a"/>
    <w:link w:val="a8"/>
    <w:semiHidden/>
    <w:unhideWhenUsed/>
    <w:qFormat/>
    <w:rPr>
      <w:sz w:val="18"/>
      <w:szCs w:val="18"/>
    </w:rPr>
  </w:style>
  <w:style w:type="paragraph" w:styleId="a9">
    <w:name w:val="footer"/>
    <w:basedOn w:val="a"/>
    <w:link w:val="aa"/>
    <w:qFormat/>
    <w:pPr>
      <w:tabs>
        <w:tab w:val="center" w:pos="4680"/>
        <w:tab w:val="right" w:pos="9360"/>
      </w:tabs>
    </w:pPr>
  </w:style>
  <w:style w:type="paragraph" w:styleId="ab">
    <w:name w:val="header"/>
    <w:basedOn w:val="a"/>
    <w:link w:val="ac"/>
    <w:qFormat/>
    <w:pPr>
      <w:tabs>
        <w:tab w:val="center" w:pos="4680"/>
        <w:tab w:val="right" w:pos="9360"/>
      </w:tabs>
    </w:pPr>
  </w:style>
  <w:style w:type="paragraph" w:styleId="ad">
    <w:name w:val="annotation subject"/>
    <w:basedOn w:val="a3"/>
    <w:next w:val="a3"/>
    <w:link w:val="ae"/>
    <w:qFormat/>
    <w:rPr>
      <w:b/>
      <w:bCs/>
    </w:rPr>
  </w:style>
  <w:style w:type="table" w:styleId="af">
    <w:name w:val="Table Grid"/>
    <w:basedOn w:val="a1"/>
    <w:uiPriority w:val="39"/>
    <w:qFormat/>
    <w:rPr>
      <w:rFonts w:asciiTheme="minorHAnsi" w:eastAsiaTheme="minorEastAsia" w:hAnsiTheme="minorHAnsi" w:cstheme="minorBidi"/>
      <w:kern w:val="2"/>
      <w:sz w:val="21"/>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Hyperlink"/>
    <w:basedOn w:val="a0"/>
    <w:uiPriority w:val="99"/>
    <w:unhideWhenUsed/>
    <w:qFormat/>
    <w:rPr>
      <w:color w:val="0000FF"/>
      <w:u w:val="single"/>
    </w:rPr>
  </w:style>
  <w:style w:type="character" w:styleId="af1">
    <w:name w:val="annotation reference"/>
    <w:basedOn w:val="a0"/>
    <w:qFormat/>
    <w:rPr>
      <w:sz w:val="21"/>
      <w:szCs w:val="21"/>
    </w:rPr>
  </w:style>
  <w:style w:type="paragraph" w:customStyle="1" w:styleId="Abstract">
    <w:name w:val="Abstract"/>
    <w:qFormat/>
    <w:pPr>
      <w:spacing w:after="200"/>
      <w:ind w:firstLine="272"/>
      <w:jc w:val="both"/>
    </w:pPr>
    <w:rPr>
      <w:b/>
      <w:bCs/>
      <w:sz w:val="18"/>
      <w:szCs w:val="18"/>
      <w:lang w:eastAsia="en-US"/>
    </w:rPr>
  </w:style>
  <w:style w:type="paragraph" w:customStyle="1" w:styleId="Affiliation">
    <w:name w:val="Affiliation"/>
    <w:qFormat/>
    <w:pPr>
      <w:jc w:val="center"/>
    </w:pPr>
    <w:rPr>
      <w:lang w:eastAsia="en-US"/>
    </w:rPr>
  </w:style>
  <w:style w:type="paragraph" w:customStyle="1" w:styleId="Author">
    <w:name w:val="Author"/>
    <w:qFormat/>
    <w:pPr>
      <w:spacing w:before="360" w:after="40"/>
      <w:jc w:val="center"/>
    </w:pPr>
    <w:rPr>
      <w:sz w:val="22"/>
      <w:szCs w:val="22"/>
      <w:lang w:eastAsia="en-US"/>
    </w:rPr>
  </w:style>
  <w:style w:type="character" w:customStyle="1" w:styleId="a6">
    <w:name w:val="正文文本 字符"/>
    <w:link w:val="a5"/>
    <w:qFormat/>
    <w:rPr>
      <w:spacing w:val="-1"/>
      <w:lang w:val="zh-CN" w:eastAsia="zh-CN"/>
    </w:rPr>
  </w:style>
  <w:style w:type="paragraph" w:customStyle="1" w:styleId="bulletlist">
    <w:name w:val="bullet list"/>
    <w:basedOn w:val="a5"/>
    <w:qFormat/>
    <w:pPr>
      <w:numPr>
        <w:numId w:val="2"/>
      </w:numPr>
      <w:tabs>
        <w:tab w:val="clear" w:pos="648"/>
      </w:tabs>
      <w:ind w:left="576" w:hanging="288"/>
    </w:pPr>
  </w:style>
  <w:style w:type="paragraph" w:customStyle="1" w:styleId="equation">
    <w:name w:val="equation"/>
    <w:basedOn w:val="a"/>
    <w:qFormat/>
    <w:pPr>
      <w:tabs>
        <w:tab w:val="center" w:pos="2520"/>
        <w:tab w:val="right" w:pos="5040"/>
      </w:tabs>
      <w:spacing w:before="240" w:after="240" w:line="216" w:lineRule="auto"/>
    </w:pPr>
    <w:rPr>
      <w:rFonts w:ascii="Symbol" w:hAnsi="Symbol" w:cs="Symbol"/>
    </w:rPr>
  </w:style>
  <w:style w:type="paragraph" w:customStyle="1" w:styleId="figurecaption">
    <w:name w:val="figure caption"/>
    <w:qFormat/>
    <w:pPr>
      <w:numPr>
        <w:numId w:val="3"/>
      </w:numPr>
      <w:tabs>
        <w:tab w:val="left" w:pos="533"/>
      </w:tabs>
      <w:spacing w:before="80" w:after="200"/>
      <w:ind w:left="0" w:firstLine="0"/>
      <w:jc w:val="both"/>
    </w:pPr>
    <w:rPr>
      <w:sz w:val="16"/>
      <w:szCs w:val="16"/>
      <w:lang w:eastAsia="en-US"/>
    </w:rPr>
  </w:style>
  <w:style w:type="paragraph" w:customStyle="1" w:styleId="footnote">
    <w:name w:val="footnote"/>
    <w:qFormat/>
    <w:pPr>
      <w:framePr w:hSpace="187" w:vSpace="187" w:wrap="notBeside" w:vAnchor="text" w:hAnchor="page" w:x="6121" w:y="577"/>
      <w:numPr>
        <w:numId w:val="4"/>
      </w:numPr>
      <w:spacing w:after="40"/>
    </w:pPr>
    <w:rPr>
      <w:sz w:val="16"/>
      <w:szCs w:val="16"/>
      <w:lang w:eastAsia="en-US"/>
    </w:rPr>
  </w:style>
  <w:style w:type="paragraph" w:customStyle="1" w:styleId="papersubtitle">
    <w:name w:val="paper subtitle"/>
    <w:qFormat/>
    <w:pPr>
      <w:spacing w:after="120"/>
      <w:jc w:val="center"/>
    </w:pPr>
    <w:rPr>
      <w:rFonts w:eastAsia="MS Mincho"/>
      <w:sz w:val="28"/>
      <w:szCs w:val="28"/>
      <w:lang w:eastAsia="en-US"/>
    </w:rPr>
  </w:style>
  <w:style w:type="paragraph" w:customStyle="1" w:styleId="papertitle">
    <w:name w:val="paper title"/>
    <w:qFormat/>
    <w:pPr>
      <w:spacing w:after="120"/>
      <w:jc w:val="center"/>
    </w:pPr>
    <w:rPr>
      <w:rFonts w:eastAsia="MS Mincho"/>
      <w:sz w:val="48"/>
      <w:szCs w:val="48"/>
      <w:lang w:eastAsia="en-US"/>
    </w:rPr>
  </w:style>
  <w:style w:type="paragraph" w:customStyle="1" w:styleId="references">
    <w:name w:val="references"/>
    <w:uiPriority w:val="99"/>
    <w:qFormat/>
    <w:pPr>
      <w:numPr>
        <w:numId w:val="5"/>
      </w:numPr>
      <w:spacing w:after="50" w:line="180" w:lineRule="exact"/>
      <w:jc w:val="both"/>
    </w:pPr>
    <w:rPr>
      <w:rFonts w:eastAsia="MS Mincho"/>
      <w:sz w:val="16"/>
      <w:szCs w:val="16"/>
      <w:lang w:eastAsia="en-US"/>
    </w:rPr>
  </w:style>
  <w:style w:type="paragraph" w:customStyle="1" w:styleId="sponsors">
    <w:name w:val="sponsors"/>
    <w:qFormat/>
    <w:pPr>
      <w:framePr w:wrap="auto" w:hAnchor="text" w:x="615" w:y="2239"/>
      <w:pBdr>
        <w:top w:val="single" w:sz="4" w:space="2" w:color="auto"/>
      </w:pBdr>
      <w:ind w:firstLine="288"/>
    </w:pPr>
    <w:rPr>
      <w:sz w:val="16"/>
      <w:szCs w:val="16"/>
      <w:lang w:eastAsia="en-US"/>
    </w:rPr>
  </w:style>
  <w:style w:type="paragraph" w:customStyle="1" w:styleId="tablecolhead">
    <w:name w:val="table col head"/>
    <w:basedOn w:val="a"/>
    <w:qFormat/>
    <w:rPr>
      <w:b/>
      <w:bCs/>
      <w:sz w:val="16"/>
      <w:szCs w:val="16"/>
    </w:rPr>
  </w:style>
  <w:style w:type="paragraph" w:customStyle="1" w:styleId="tablecolsubhead">
    <w:name w:val="table col subhead"/>
    <w:basedOn w:val="tablecolhead"/>
    <w:qFormat/>
    <w:rPr>
      <w:i/>
      <w:iCs/>
      <w:sz w:val="15"/>
      <w:szCs w:val="15"/>
    </w:rPr>
  </w:style>
  <w:style w:type="paragraph" w:customStyle="1" w:styleId="tablecopy">
    <w:name w:val="table copy"/>
    <w:qFormat/>
    <w:pPr>
      <w:jc w:val="both"/>
    </w:pPr>
    <w:rPr>
      <w:sz w:val="16"/>
      <w:szCs w:val="16"/>
      <w:lang w:eastAsia="en-US"/>
    </w:rPr>
  </w:style>
  <w:style w:type="paragraph" w:customStyle="1" w:styleId="tablefootnote">
    <w:name w:val="table footnote"/>
    <w:qFormat/>
    <w:pPr>
      <w:numPr>
        <w:numId w:val="6"/>
      </w:numPr>
      <w:spacing w:before="60" w:after="30"/>
      <w:ind w:left="58" w:hanging="29"/>
      <w:jc w:val="right"/>
    </w:pPr>
    <w:rPr>
      <w:sz w:val="12"/>
      <w:szCs w:val="12"/>
      <w:lang w:eastAsia="en-US"/>
    </w:rPr>
  </w:style>
  <w:style w:type="paragraph" w:customStyle="1" w:styleId="tablehead">
    <w:name w:val="table head"/>
    <w:uiPriority w:val="99"/>
    <w:qFormat/>
    <w:pPr>
      <w:numPr>
        <w:numId w:val="7"/>
      </w:numPr>
      <w:spacing w:before="240" w:after="120" w:line="216" w:lineRule="auto"/>
      <w:jc w:val="center"/>
    </w:pPr>
    <w:rPr>
      <w:smallCaps/>
      <w:sz w:val="16"/>
      <w:szCs w:val="16"/>
      <w:lang w:eastAsia="en-US"/>
    </w:rPr>
  </w:style>
  <w:style w:type="paragraph" w:customStyle="1" w:styleId="Keywords">
    <w:name w:val="Keywords"/>
    <w:basedOn w:val="Abstract"/>
    <w:qFormat/>
    <w:pPr>
      <w:spacing w:after="120"/>
      <w:ind w:firstLine="274"/>
    </w:pPr>
    <w:rPr>
      <w:i/>
    </w:rPr>
  </w:style>
  <w:style w:type="character" w:customStyle="1" w:styleId="ac">
    <w:name w:val="页眉 字符"/>
    <w:basedOn w:val="a0"/>
    <w:link w:val="ab"/>
    <w:qFormat/>
  </w:style>
  <w:style w:type="character" w:customStyle="1" w:styleId="aa">
    <w:name w:val="页脚 字符"/>
    <w:basedOn w:val="a0"/>
    <w:link w:val="a9"/>
    <w:qFormat/>
  </w:style>
  <w:style w:type="paragraph" w:styleId="af2">
    <w:name w:val="List Paragraph"/>
    <w:basedOn w:val="a"/>
    <w:uiPriority w:val="34"/>
    <w:qFormat/>
    <w:pPr>
      <w:ind w:firstLineChars="200" w:firstLine="420"/>
    </w:pPr>
  </w:style>
  <w:style w:type="character" w:styleId="af3">
    <w:name w:val="Placeholder Text"/>
    <w:basedOn w:val="a0"/>
    <w:uiPriority w:val="99"/>
    <w:semiHidden/>
    <w:qFormat/>
    <w:rPr>
      <w:color w:val="808080"/>
    </w:rPr>
  </w:style>
  <w:style w:type="character" w:customStyle="1" w:styleId="10">
    <w:name w:val="未处理的提及1"/>
    <w:basedOn w:val="a0"/>
    <w:uiPriority w:val="99"/>
    <w:semiHidden/>
    <w:unhideWhenUsed/>
    <w:qFormat/>
    <w:rPr>
      <w:color w:val="605E5C"/>
      <w:shd w:val="clear" w:color="auto" w:fill="E1DFDD"/>
    </w:rPr>
  </w:style>
  <w:style w:type="paragraph" w:customStyle="1" w:styleId="keywords0">
    <w:name w:val="key words"/>
    <w:qFormat/>
    <w:pPr>
      <w:spacing w:after="120"/>
      <w:ind w:firstLine="288"/>
      <w:jc w:val="both"/>
    </w:pPr>
    <w:rPr>
      <w:b/>
      <w:bCs/>
      <w:i/>
      <w:iCs/>
      <w:sz w:val="18"/>
      <w:szCs w:val="18"/>
      <w:lang w:eastAsia="en-US"/>
    </w:rPr>
  </w:style>
  <w:style w:type="character" w:customStyle="1" w:styleId="a4">
    <w:name w:val="批注文字 字符"/>
    <w:basedOn w:val="a0"/>
    <w:link w:val="a3"/>
    <w:qFormat/>
  </w:style>
  <w:style w:type="character" w:customStyle="1" w:styleId="a8">
    <w:name w:val="批注框文本 字符"/>
    <w:basedOn w:val="a0"/>
    <w:link w:val="a7"/>
    <w:semiHidden/>
    <w:qFormat/>
    <w:rPr>
      <w:sz w:val="18"/>
      <w:szCs w:val="18"/>
    </w:rPr>
  </w:style>
  <w:style w:type="paragraph" w:customStyle="1" w:styleId="11">
    <w:name w:val="修订1"/>
    <w:hidden/>
    <w:uiPriority w:val="99"/>
    <w:semiHidden/>
    <w:qFormat/>
    <w:rPr>
      <w:lang w:eastAsia="en-US"/>
    </w:rPr>
  </w:style>
  <w:style w:type="character" w:customStyle="1" w:styleId="MTEquationSection">
    <w:name w:val="MTEquationSection"/>
    <w:basedOn w:val="a0"/>
    <w:qFormat/>
    <w:rPr>
      <w:b/>
      <w:vanish/>
      <w:color w:val="FF0000"/>
      <w:sz w:val="28"/>
      <w:szCs w:val="28"/>
    </w:rPr>
  </w:style>
  <w:style w:type="paragraph" w:customStyle="1" w:styleId="MTDisplayEquation">
    <w:name w:val="MTDisplayEquation"/>
    <w:basedOn w:val="a5"/>
    <w:next w:val="a"/>
    <w:link w:val="MTDisplayEquation0"/>
    <w:qFormat/>
    <w:pPr>
      <w:tabs>
        <w:tab w:val="clear" w:pos="288"/>
        <w:tab w:val="center" w:pos="2440"/>
        <w:tab w:val="right" w:pos="4860"/>
      </w:tabs>
    </w:pPr>
  </w:style>
  <w:style w:type="character" w:customStyle="1" w:styleId="MTDisplayEquation0">
    <w:name w:val="MTDisplayEquation 字符"/>
    <w:basedOn w:val="a6"/>
    <w:link w:val="MTDisplayEquation"/>
    <w:qFormat/>
    <w:rPr>
      <w:spacing w:val="-1"/>
      <w:lang w:val="zh-CN" w:eastAsia="zh-CN"/>
    </w:rPr>
  </w:style>
  <w:style w:type="paragraph" w:customStyle="1" w:styleId="EndNoteBibliographyTitle">
    <w:name w:val="EndNote Bibliography Title"/>
    <w:qFormat/>
    <w:pPr>
      <w:jc w:val="center"/>
    </w:pPr>
    <w:rPr>
      <w:lang w:eastAsia="en-US"/>
    </w:rPr>
  </w:style>
  <w:style w:type="paragraph" w:customStyle="1" w:styleId="EndNoteBibliography">
    <w:name w:val="EndNote Bibliography"/>
    <w:qFormat/>
    <w:pPr>
      <w:jc w:val="both"/>
    </w:pPr>
    <w:rPr>
      <w:lang w:eastAsia="en-US"/>
    </w:rPr>
  </w:style>
  <w:style w:type="paragraph" w:customStyle="1" w:styleId="20">
    <w:name w:val="修订2"/>
    <w:hidden/>
    <w:uiPriority w:val="99"/>
    <w:semiHidden/>
    <w:qFormat/>
    <w:rPr>
      <w:lang w:eastAsia="en-US"/>
    </w:rPr>
  </w:style>
  <w:style w:type="paragraph" w:customStyle="1" w:styleId="30">
    <w:name w:val="修订3"/>
    <w:hidden/>
    <w:uiPriority w:val="99"/>
    <w:semiHidden/>
    <w:qFormat/>
    <w:rPr>
      <w:lang w:eastAsia="en-US"/>
    </w:rPr>
  </w:style>
  <w:style w:type="character" w:customStyle="1" w:styleId="ae">
    <w:name w:val="批注主题 字符"/>
    <w:basedOn w:val="a4"/>
    <w:link w:val="ad"/>
    <w:qFormat/>
    <w:rPr>
      <w:b/>
      <w:bCs/>
      <w:lang w:eastAsia="en-US"/>
    </w:rPr>
  </w:style>
  <w:style w:type="paragraph" w:customStyle="1" w:styleId="40">
    <w:name w:val="修订4"/>
    <w:hidden/>
    <w:uiPriority w:val="99"/>
    <w:semiHidden/>
    <w:qFormat/>
    <w:rPr>
      <w:lang w:eastAsia="en-US"/>
    </w:rPr>
  </w:style>
  <w:style w:type="character" w:customStyle="1" w:styleId="21">
    <w:name w:val="未处理的提及2"/>
    <w:basedOn w:val="a0"/>
    <w:uiPriority w:val="99"/>
    <w:semiHidden/>
    <w:unhideWhenUsed/>
    <w:qFormat/>
    <w:rPr>
      <w:color w:val="605E5C"/>
      <w:shd w:val="clear" w:color="auto" w:fill="E1DFDD"/>
    </w:rPr>
  </w:style>
  <w:style w:type="paragraph" w:customStyle="1" w:styleId="50">
    <w:name w:val="修订5"/>
    <w:hidden/>
    <w:uiPriority w:val="99"/>
    <w:semiHidden/>
    <w:qFormat/>
    <w:rPr>
      <w:lang w:eastAsia="en-US"/>
    </w:rPr>
  </w:style>
  <w:style w:type="paragraph" w:styleId="af4">
    <w:name w:val="Revision"/>
    <w:hidden/>
    <w:uiPriority w:val="99"/>
    <w:unhideWhenUsed/>
    <w:rsid w:val="00DD49DB"/>
    <w:rPr>
      <w:lang w:eastAsia="en-US"/>
    </w:rPr>
  </w:style>
  <w:style w:type="paragraph" w:styleId="af5">
    <w:name w:val="Bibliography"/>
    <w:basedOn w:val="a"/>
    <w:next w:val="a"/>
    <w:uiPriority w:val="37"/>
    <w:unhideWhenUsed/>
    <w:rsid w:val="007E129B"/>
    <w:pPr>
      <w:tabs>
        <w:tab w:val="left" w:pos="384"/>
      </w:tabs>
      <w:ind w:left="384" w:hanging="384"/>
    </w:pPr>
  </w:style>
  <w:style w:type="paragraph" w:styleId="af6">
    <w:name w:val="Normal (Web)"/>
    <w:basedOn w:val="a"/>
    <w:rsid w:val="0023031D"/>
    <w:rPr>
      <w:sz w:val="24"/>
      <w:szCs w:val="24"/>
    </w:rPr>
  </w:style>
  <w:style w:type="paragraph" w:styleId="HTML">
    <w:name w:val="HTML Preformatted"/>
    <w:basedOn w:val="a"/>
    <w:link w:val="HTML0"/>
    <w:semiHidden/>
    <w:unhideWhenUsed/>
    <w:rsid w:val="00AE36E6"/>
    <w:rPr>
      <w:rFonts w:ascii="Courier New" w:hAnsi="Courier New" w:cs="Courier New"/>
    </w:rPr>
  </w:style>
  <w:style w:type="character" w:customStyle="1" w:styleId="HTML0">
    <w:name w:val="HTML 预设格式 字符"/>
    <w:basedOn w:val="a0"/>
    <w:link w:val="HTML"/>
    <w:semiHidden/>
    <w:rsid w:val="00AE36E6"/>
    <w:rPr>
      <w:rFonts w:ascii="Courier New" w:hAnsi="Courier New" w:cs="Courier New"/>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54979">
      <w:bodyDiv w:val="1"/>
      <w:marLeft w:val="0"/>
      <w:marRight w:val="0"/>
      <w:marTop w:val="0"/>
      <w:marBottom w:val="0"/>
      <w:divBdr>
        <w:top w:val="none" w:sz="0" w:space="0" w:color="auto"/>
        <w:left w:val="none" w:sz="0" w:space="0" w:color="auto"/>
        <w:bottom w:val="none" w:sz="0" w:space="0" w:color="auto"/>
        <w:right w:val="none" w:sz="0" w:space="0" w:color="auto"/>
      </w:divBdr>
    </w:div>
    <w:div w:id="136848897">
      <w:bodyDiv w:val="1"/>
      <w:marLeft w:val="0"/>
      <w:marRight w:val="0"/>
      <w:marTop w:val="0"/>
      <w:marBottom w:val="0"/>
      <w:divBdr>
        <w:top w:val="none" w:sz="0" w:space="0" w:color="auto"/>
        <w:left w:val="none" w:sz="0" w:space="0" w:color="auto"/>
        <w:bottom w:val="none" w:sz="0" w:space="0" w:color="auto"/>
        <w:right w:val="none" w:sz="0" w:space="0" w:color="auto"/>
      </w:divBdr>
    </w:div>
    <w:div w:id="152988908">
      <w:bodyDiv w:val="1"/>
      <w:marLeft w:val="0"/>
      <w:marRight w:val="0"/>
      <w:marTop w:val="0"/>
      <w:marBottom w:val="0"/>
      <w:divBdr>
        <w:top w:val="none" w:sz="0" w:space="0" w:color="auto"/>
        <w:left w:val="none" w:sz="0" w:space="0" w:color="auto"/>
        <w:bottom w:val="none" w:sz="0" w:space="0" w:color="auto"/>
        <w:right w:val="none" w:sz="0" w:space="0" w:color="auto"/>
      </w:divBdr>
      <w:divsChild>
        <w:div w:id="26180379">
          <w:marLeft w:val="0"/>
          <w:marRight w:val="0"/>
          <w:marTop w:val="0"/>
          <w:marBottom w:val="0"/>
          <w:divBdr>
            <w:top w:val="none" w:sz="0" w:space="0" w:color="auto"/>
            <w:left w:val="none" w:sz="0" w:space="0" w:color="auto"/>
            <w:bottom w:val="none" w:sz="0" w:space="0" w:color="auto"/>
            <w:right w:val="none" w:sz="0" w:space="0" w:color="auto"/>
          </w:divBdr>
        </w:div>
        <w:div w:id="228812844">
          <w:marLeft w:val="0"/>
          <w:marRight w:val="0"/>
          <w:marTop w:val="0"/>
          <w:marBottom w:val="0"/>
          <w:divBdr>
            <w:top w:val="none" w:sz="0" w:space="0" w:color="auto"/>
            <w:left w:val="none" w:sz="0" w:space="0" w:color="auto"/>
            <w:bottom w:val="none" w:sz="0" w:space="0" w:color="auto"/>
            <w:right w:val="none" w:sz="0" w:space="0" w:color="auto"/>
          </w:divBdr>
        </w:div>
        <w:div w:id="1665939331">
          <w:marLeft w:val="0"/>
          <w:marRight w:val="0"/>
          <w:marTop w:val="0"/>
          <w:marBottom w:val="0"/>
          <w:divBdr>
            <w:top w:val="none" w:sz="0" w:space="0" w:color="auto"/>
            <w:left w:val="none" w:sz="0" w:space="0" w:color="auto"/>
            <w:bottom w:val="none" w:sz="0" w:space="0" w:color="auto"/>
            <w:right w:val="none" w:sz="0" w:space="0" w:color="auto"/>
          </w:divBdr>
        </w:div>
        <w:div w:id="1850296321">
          <w:marLeft w:val="0"/>
          <w:marRight w:val="0"/>
          <w:marTop w:val="0"/>
          <w:marBottom w:val="0"/>
          <w:divBdr>
            <w:top w:val="none" w:sz="0" w:space="0" w:color="auto"/>
            <w:left w:val="none" w:sz="0" w:space="0" w:color="auto"/>
            <w:bottom w:val="none" w:sz="0" w:space="0" w:color="auto"/>
            <w:right w:val="none" w:sz="0" w:space="0" w:color="auto"/>
          </w:divBdr>
        </w:div>
        <w:div w:id="1953970804">
          <w:marLeft w:val="0"/>
          <w:marRight w:val="0"/>
          <w:marTop w:val="0"/>
          <w:marBottom w:val="0"/>
          <w:divBdr>
            <w:top w:val="none" w:sz="0" w:space="0" w:color="auto"/>
            <w:left w:val="none" w:sz="0" w:space="0" w:color="auto"/>
            <w:bottom w:val="none" w:sz="0" w:space="0" w:color="auto"/>
            <w:right w:val="none" w:sz="0" w:space="0" w:color="auto"/>
          </w:divBdr>
        </w:div>
      </w:divsChild>
    </w:div>
    <w:div w:id="197813610">
      <w:bodyDiv w:val="1"/>
      <w:marLeft w:val="0"/>
      <w:marRight w:val="0"/>
      <w:marTop w:val="0"/>
      <w:marBottom w:val="0"/>
      <w:divBdr>
        <w:top w:val="none" w:sz="0" w:space="0" w:color="auto"/>
        <w:left w:val="none" w:sz="0" w:space="0" w:color="auto"/>
        <w:bottom w:val="none" w:sz="0" w:space="0" w:color="auto"/>
        <w:right w:val="none" w:sz="0" w:space="0" w:color="auto"/>
      </w:divBdr>
    </w:div>
    <w:div w:id="264776050">
      <w:bodyDiv w:val="1"/>
      <w:marLeft w:val="0"/>
      <w:marRight w:val="0"/>
      <w:marTop w:val="0"/>
      <w:marBottom w:val="0"/>
      <w:divBdr>
        <w:top w:val="none" w:sz="0" w:space="0" w:color="auto"/>
        <w:left w:val="none" w:sz="0" w:space="0" w:color="auto"/>
        <w:bottom w:val="none" w:sz="0" w:space="0" w:color="auto"/>
        <w:right w:val="none" w:sz="0" w:space="0" w:color="auto"/>
      </w:divBdr>
    </w:div>
    <w:div w:id="271981329">
      <w:bodyDiv w:val="1"/>
      <w:marLeft w:val="0"/>
      <w:marRight w:val="0"/>
      <w:marTop w:val="0"/>
      <w:marBottom w:val="0"/>
      <w:divBdr>
        <w:top w:val="none" w:sz="0" w:space="0" w:color="auto"/>
        <w:left w:val="none" w:sz="0" w:space="0" w:color="auto"/>
        <w:bottom w:val="none" w:sz="0" w:space="0" w:color="auto"/>
        <w:right w:val="none" w:sz="0" w:space="0" w:color="auto"/>
      </w:divBdr>
    </w:div>
    <w:div w:id="395279770">
      <w:bodyDiv w:val="1"/>
      <w:marLeft w:val="0"/>
      <w:marRight w:val="0"/>
      <w:marTop w:val="0"/>
      <w:marBottom w:val="0"/>
      <w:divBdr>
        <w:top w:val="none" w:sz="0" w:space="0" w:color="auto"/>
        <w:left w:val="none" w:sz="0" w:space="0" w:color="auto"/>
        <w:bottom w:val="none" w:sz="0" w:space="0" w:color="auto"/>
        <w:right w:val="none" w:sz="0" w:space="0" w:color="auto"/>
      </w:divBdr>
      <w:divsChild>
        <w:div w:id="247273983">
          <w:marLeft w:val="0"/>
          <w:marRight w:val="0"/>
          <w:marTop w:val="0"/>
          <w:marBottom w:val="0"/>
          <w:divBdr>
            <w:top w:val="single" w:sz="2" w:space="0" w:color="D9D9E3"/>
            <w:left w:val="single" w:sz="2" w:space="0" w:color="D9D9E3"/>
            <w:bottom w:val="single" w:sz="2" w:space="0" w:color="D9D9E3"/>
            <w:right w:val="single" w:sz="2" w:space="0" w:color="D9D9E3"/>
          </w:divBdr>
          <w:divsChild>
            <w:div w:id="1043940170">
              <w:marLeft w:val="0"/>
              <w:marRight w:val="0"/>
              <w:marTop w:val="0"/>
              <w:marBottom w:val="0"/>
              <w:divBdr>
                <w:top w:val="single" w:sz="2" w:space="0" w:color="D9D9E3"/>
                <w:left w:val="single" w:sz="2" w:space="0" w:color="D9D9E3"/>
                <w:bottom w:val="single" w:sz="2" w:space="0" w:color="D9D9E3"/>
                <w:right w:val="single" w:sz="2" w:space="0" w:color="D9D9E3"/>
              </w:divBdr>
              <w:divsChild>
                <w:div w:id="591816309">
                  <w:marLeft w:val="0"/>
                  <w:marRight w:val="0"/>
                  <w:marTop w:val="0"/>
                  <w:marBottom w:val="0"/>
                  <w:divBdr>
                    <w:top w:val="single" w:sz="2" w:space="0" w:color="D9D9E3"/>
                    <w:left w:val="single" w:sz="2" w:space="0" w:color="D9D9E3"/>
                    <w:bottom w:val="single" w:sz="2" w:space="0" w:color="D9D9E3"/>
                    <w:right w:val="single" w:sz="2" w:space="0" w:color="D9D9E3"/>
                  </w:divBdr>
                  <w:divsChild>
                    <w:div w:id="628897400">
                      <w:marLeft w:val="0"/>
                      <w:marRight w:val="0"/>
                      <w:marTop w:val="0"/>
                      <w:marBottom w:val="0"/>
                      <w:divBdr>
                        <w:top w:val="single" w:sz="2" w:space="0" w:color="D9D9E3"/>
                        <w:left w:val="single" w:sz="2" w:space="0" w:color="D9D9E3"/>
                        <w:bottom w:val="single" w:sz="2" w:space="0" w:color="D9D9E3"/>
                        <w:right w:val="single" w:sz="2" w:space="0" w:color="D9D9E3"/>
                      </w:divBdr>
                      <w:divsChild>
                        <w:div w:id="2133474402">
                          <w:marLeft w:val="0"/>
                          <w:marRight w:val="0"/>
                          <w:marTop w:val="0"/>
                          <w:marBottom w:val="0"/>
                          <w:divBdr>
                            <w:top w:val="single" w:sz="2" w:space="0" w:color="D9D9E3"/>
                            <w:left w:val="single" w:sz="2" w:space="0" w:color="D9D9E3"/>
                            <w:bottom w:val="single" w:sz="2" w:space="0" w:color="D9D9E3"/>
                            <w:right w:val="single" w:sz="2" w:space="0" w:color="D9D9E3"/>
                          </w:divBdr>
                          <w:divsChild>
                            <w:div w:id="1447579086">
                              <w:marLeft w:val="0"/>
                              <w:marRight w:val="0"/>
                              <w:marTop w:val="100"/>
                              <w:marBottom w:val="100"/>
                              <w:divBdr>
                                <w:top w:val="single" w:sz="2" w:space="0" w:color="D9D9E3"/>
                                <w:left w:val="single" w:sz="2" w:space="0" w:color="D9D9E3"/>
                                <w:bottom w:val="single" w:sz="2" w:space="0" w:color="D9D9E3"/>
                                <w:right w:val="single" w:sz="2" w:space="0" w:color="D9D9E3"/>
                              </w:divBdr>
                              <w:divsChild>
                                <w:div w:id="436874659">
                                  <w:marLeft w:val="0"/>
                                  <w:marRight w:val="0"/>
                                  <w:marTop w:val="0"/>
                                  <w:marBottom w:val="0"/>
                                  <w:divBdr>
                                    <w:top w:val="single" w:sz="2" w:space="0" w:color="D9D9E3"/>
                                    <w:left w:val="single" w:sz="2" w:space="0" w:color="D9D9E3"/>
                                    <w:bottom w:val="single" w:sz="2" w:space="0" w:color="D9D9E3"/>
                                    <w:right w:val="single" w:sz="2" w:space="0" w:color="D9D9E3"/>
                                  </w:divBdr>
                                  <w:divsChild>
                                    <w:div w:id="1819833256">
                                      <w:marLeft w:val="0"/>
                                      <w:marRight w:val="0"/>
                                      <w:marTop w:val="0"/>
                                      <w:marBottom w:val="0"/>
                                      <w:divBdr>
                                        <w:top w:val="single" w:sz="2" w:space="0" w:color="D9D9E3"/>
                                        <w:left w:val="single" w:sz="2" w:space="0" w:color="D9D9E3"/>
                                        <w:bottom w:val="single" w:sz="2" w:space="0" w:color="D9D9E3"/>
                                        <w:right w:val="single" w:sz="2" w:space="0" w:color="D9D9E3"/>
                                      </w:divBdr>
                                      <w:divsChild>
                                        <w:div w:id="1117607291">
                                          <w:marLeft w:val="0"/>
                                          <w:marRight w:val="0"/>
                                          <w:marTop w:val="0"/>
                                          <w:marBottom w:val="0"/>
                                          <w:divBdr>
                                            <w:top w:val="single" w:sz="2" w:space="0" w:color="D9D9E3"/>
                                            <w:left w:val="single" w:sz="2" w:space="0" w:color="D9D9E3"/>
                                            <w:bottom w:val="single" w:sz="2" w:space="0" w:color="D9D9E3"/>
                                            <w:right w:val="single" w:sz="2" w:space="0" w:color="D9D9E3"/>
                                          </w:divBdr>
                                          <w:divsChild>
                                            <w:div w:id="382408227">
                                              <w:marLeft w:val="0"/>
                                              <w:marRight w:val="0"/>
                                              <w:marTop w:val="0"/>
                                              <w:marBottom w:val="0"/>
                                              <w:divBdr>
                                                <w:top w:val="single" w:sz="2" w:space="0" w:color="D9D9E3"/>
                                                <w:left w:val="single" w:sz="2" w:space="0" w:color="D9D9E3"/>
                                                <w:bottom w:val="single" w:sz="2" w:space="0" w:color="D9D9E3"/>
                                                <w:right w:val="single" w:sz="2" w:space="0" w:color="D9D9E3"/>
                                              </w:divBdr>
                                              <w:divsChild>
                                                <w:div w:id="1327707731">
                                                  <w:marLeft w:val="0"/>
                                                  <w:marRight w:val="0"/>
                                                  <w:marTop w:val="0"/>
                                                  <w:marBottom w:val="0"/>
                                                  <w:divBdr>
                                                    <w:top w:val="single" w:sz="2" w:space="0" w:color="D9D9E3"/>
                                                    <w:left w:val="single" w:sz="2" w:space="0" w:color="D9D9E3"/>
                                                    <w:bottom w:val="single" w:sz="2" w:space="0" w:color="D9D9E3"/>
                                                    <w:right w:val="single" w:sz="2" w:space="0" w:color="D9D9E3"/>
                                                  </w:divBdr>
                                                  <w:divsChild>
                                                    <w:div w:id="8866492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92553923">
          <w:marLeft w:val="0"/>
          <w:marRight w:val="0"/>
          <w:marTop w:val="0"/>
          <w:marBottom w:val="0"/>
          <w:divBdr>
            <w:top w:val="none" w:sz="0" w:space="0" w:color="auto"/>
            <w:left w:val="none" w:sz="0" w:space="0" w:color="auto"/>
            <w:bottom w:val="none" w:sz="0" w:space="0" w:color="auto"/>
            <w:right w:val="none" w:sz="0" w:space="0" w:color="auto"/>
          </w:divBdr>
        </w:div>
      </w:divsChild>
    </w:div>
    <w:div w:id="456531845">
      <w:bodyDiv w:val="1"/>
      <w:marLeft w:val="0"/>
      <w:marRight w:val="0"/>
      <w:marTop w:val="0"/>
      <w:marBottom w:val="0"/>
      <w:divBdr>
        <w:top w:val="none" w:sz="0" w:space="0" w:color="auto"/>
        <w:left w:val="none" w:sz="0" w:space="0" w:color="auto"/>
        <w:bottom w:val="none" w:sz="0" w:space="0" w:color="auto"/>
        <w:right w:val="none" w:sz="0" w:space="0" w:color="auto"/>
      </w:divBdr>
    </w:div>
    <w:div w:id="492337220">
      <w:bodyDiv w:val="1"/>
      <w:marLeft w:val="0"/>
      <w:marRight w:val="0"/>
      <w:marTop w:val="0"/>
      <w:marBottom w:val="0"/>
      <w:divBdr>
        <w:top w:val="none" w:sz="0" w:space="0" w:color="auto"/>
        <w:left w:val="none" w:sz="0" w:space="0" w:color="auto"/>
        <w:bottom w:val="none" w:sz="0" w:space="0" w:color="auto"/>
        <w:right w:val="none" w:sz="0" w:space="0" w:color="auto"/>
      </w:divBdr>
    </w:div>
    <w:div w:id="555817406">
      <w:bodyDiv w:val="1"/>
      <w:marLeft w:val="0"/>
      <w:marRight w:val="0"/>
      <w:marTop w:val="0"/>
      <w:marBottom w:val="0"/>
      <w:divBdr>
        <w:top w:val="none" w:sz="0" w:space="0" w:color="auto"/>
        <w:left w:val="none" w:sz="0" w:space="0" w:color="auto"/>
        <w:bottom w:val="none" w:sz="0" w:space="0" w:color="auto"/>
        <w:right w:val="none" w:sz="0" w:space="0" w:color="auto"/>
      </w:divBdr>
    </w:div>
    <w:div w:id="633021981">
      <w:bodyDiv w:val="1"/>
      <w:marLeft w:val="0"/>
      <w:marRight w:val="0"/>
      <w:marTop w:val="0"/>
      <w:marBottom w:val="0"/>
      <w:divBdr>
        <w:top w:val="none" w:sz="0" w:space="0" w:color="auto"/>
        <w:left w:val="none" w:sz="0" w:space="0" w:color="auto"/>
        <w:bottom w:val="none" w:sz="0" w:space="0" w:color="auto"/>
        <w:right w:val="none" w:sz="0" w:space="0" w:color="auto"/>
      </w:divBdr>
    </w:div>
    <w:div w:id="672418500">
      <w:bodyDiv w:val="1"/>
      <w:marLeft w:val="0"/>
      <w:marRight w:val="0"/>
      <w:marTop w:val="0"/>
      <w:marBottom w:val="0"/>
      <w:divBdr>
        <w:top w:val="none" w:sz="0" w:space="0" w:color="auto"/>
        <w:left w:val="none" w:sz="0" w:space="0" w:color="auto"/>
        <w:bottom w:val="none" w:sz="0" w:space="0" w:color="auto"/>
        <w:right w:val="none" w:sz="0" w:space="0" w:color="auto"/>
      </w:divBdr>
      <w:divsChild>
        <w:div w:id="59717740">
          <w:marLeft w:val="0"/>
          <w:marRight w:val="0"/>
          <w:marTop w:val="0"/>
          <w:marBottom w:val="0"/>
          <w:divBdr>
            <w:top w:val="single" w:sz="2" w:space="0" w:color="D9D9E3"/>
            <w:left w:val="single" w:sz="2" w:space="0" w:color="D9D9E3"/>
            <w:bottom w:val="single" w:sz="2" w:space="0" w:color="D9D9E3"/>
            <w:right w:val="single" w:sz="2" w:space="0" w:color="D9D9E3"/>
          </w:divBdr>
          <w:divsChild>
            <w:div w:id="45683570">
              <w:marLeft w:val="0"/>
              <w:marRight w:val="0"/>
              <w:marTop w:val="0"/>
              <w:marBottom w:val="0"/>
              <w:divBdr>
                <w:top w:val="single" w:sz="2" w:space="0" w:color="D9D9E3"/>
                <w:left w:val="single" w:sz="2" w:space="0" w:color="D9D9E3"/>
                <w:bottom w:val="single" w:sz="2" w:space="0" w:color="D9D9E3"/>
                <w:right w:val="single" w:sz="2" w:space="0" w:color="D9D9E3"/>
              </w:divBdr>
            </w:div>
            <w:div w:id="1543590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0955509">
      <w:bodyDiv w:val="1"/>
      <w:marLeft w:val="0"/>
      <w:marRight w:val="0"/>
      <w:marTop w:val="0"/>
      <w:marBottom w:val="0"/>
      <w:divBdr>
        <w:top w:val="none" w:sz="0" w:space="0" w:color="auto"/>
        <w:left w:val="none" w:sz="0" w:space="0" w:color="auto"/>
        <w:bottom w:val="none" w:sz="0" w:space="0" w:color="auto"/>
        <w:right w:val="none" w:sz="0" w:space="0" w:color="auto"/>
      </w:divBdr>
    </w:div>
    <w:div w:id="707685928">
      <w:bodyDiv w:val="1"/>
      <w:marLeft w:val="0"/>
      <w:marRight w:val="0"/>
      <w:marTop w:val="0"/>
      <w:marBottom w:val="0"/>
      <w:divBdr>
        <w:top w:val="none" w:sz="0" w:space="0" w:color="auto"/>
        <w:left w:val="none" w:sz="0" w:space="0" w:color="auto"/>
        <w:bottom w:val="none" w:sz="0" w:space="0" w:color="auto"/>
        <w:right w:val="none" w:sz="0" w:space="0" w:color="auto"/>
      </w:divBdr>
    </w:div>
    <w:div w:id="713432103">
      <w:bodyDiv w:val="1"/>
      <w:marLeft w:val="0"/>
      <w:marRight w:val="0"/>
      <w:marTop w:val="0"/>
      <w:marBottom w:val="0"/>
      <w:divBdr>
        <w:top w:val="none" w:sz="0" w:space="0" w:color="auto"/>
        <w:left w:val="none" w:sz="0" w:space="0" w:color="auto"/>
        <w:bottom w:val="none" w:sz="0" w:space="0" w:color="auto"/>
        <w:right w:val="none" w:sz="0" w:space="0" w:color="auto"/>
      </w:divBdr>
      <w:divsChild>
        <w:div w:id="1211303301">
          <w:marLeft w:val="0"/>
          <w:marRight w:val="0"/>
          <w:marTop w:val="0"/>
          <w:marBottom w:val="0"/>
          <w:divBdr>
            <w:top w:val="none" w:sz="0" w:space="0" w:color="auto"/>
            <w:left w:val="none" w:sz="0" w:space="0" w:color="auto"/>
            <w:bottom w:val="none" w:sz="0" w:space="0" w:color="auto"/>
            <w:right w:val="none" w:sz="0" w:space="0" w:color="auto"/>
          </w:divBdr>
        </w:div>
        <w:div w:id="1110054871">
          <w:marLeft w:val="0"/>
          <w:marRight w:val="0"/>
          <w:marTop w:val="0"/>
          <w:marBottom w:val="0"/>
          <w:divBdr>
            <w:top w:val="none" w:sz="0" w:space="0" w:color="auto"/>
            <w:left w:val="none" w:sz="0" w:space="0" w:color="auto"/>
            <w:bottom w:val="none" w:sz="0" w:space="0" w:color="auto"/>
            <w:right w:val="none" w:sz="0" w:space="0" w:color="auto"/>
          </w:divBdr>
        </w:div>
        <w:div w:id="456726985">
          <w:marLeft w:val="0"/>
          <w:marRight w:val="0"/>
          <w:marTop w:val="0"/>
          <w:marBottom w:val="0"/>
          <w:divBdr>
            <w:top w:val="none" w:sz="0" w:space="0" w:color="auto"/>
            <w:left w:val="none" w:sz="0" w:space="0" w:color="auto"/>
            <w:bottom w:val="none" w:sz="0" w:space="0" w:color="auto"/>
            <w:right w:val="none" w:sz="0" w:space="0" w:color="auto"/>
          </w:divBdr>
        </w:div>
      </w:divsChild>
    </w:div>
    <w:div w:id="749425317">
      <w:bodyDiv w:val="1"/>
      <w:marLeft w:val="0"/>
      <w:marRight w:val="0"/>
      <w:marTop w:val="0"/>
      <w:marBottom w:val="0"/>
      <w:divBdr>
        <w:top w:val="none" w:sz="0" w:space="0" w:color="auto"/>
        <w:left w:val="none" w:sz="0" w:space="0" w:color="auto"/>
        <w:bottom w:val="none" w:sz="0" w:space="0" w:color="auto"/>
        <w:right w:val="none" w:sz="0" w:space="0" w:color="auto"/>
      </w:divBdr>
    </w:div>
    <w:div w:id="762534731">
      <w:bodyDiv w:val="1"/>
      <w:marLeft w:val="0"/>
      <w:marRight w:val="0"/>
      <w:marTop w:val="0"/>
      <w:marBottom w:val="0"/>
      <w:divBdr>
        <w:top w:val="none" w:sz="0" w:space="0" w:color="auto"/>
        <w:left w:val="none" w:sz="0" w:space="0" w:color="auto"/>
        <w:bottom w:val="none" w:sz="0" w:space="0" w:color="auto"/>
        <w:right w:val="none" w:sz="0" w:space="0" w:color="auto"/>
      </w:divBdr>
    </w:div>
    <w:div w:id="800608893">
      <w:bodyDiv w:val="1"/>
      <w:marLeft w:val="0"/>
      <w:marRight w:val="0"/>
      <w:marTop w:val="0"/>
      <w:marBottom w:val="0"/>
      <w:divBdr>
        <w:top w:val="none" w:sz="0" w:space="0" w:color="auto"/>
        <w:left w:val="none" w:sz="0" w:space="0" w:color="auto"/>
        <w:bottom w:val="none" w:sz="0" w:space="0" w:color="auto"/>
        <w:right w:val="none" w:sz="0" w:space="0" w:color="auto"/>
      </w:divBdr>
    </w:div>
    <w:div w:id="822240276">
      <w:bodyDiv w:val="1"/>
      <w:marLeft w:val="0"/>
      <w:marRight w:val="0"/>
      <w:marTop w:val="0"/>
      <w:marBottom w:val="0"/>
      <w:divBdr>
        <w:top w:val="none" w:sz="0" w:space="0" w:color="auto"/>
        <w:left w:val="none" w:sz="0" w:space="0" w:color="auto"/>
        <w:bottom w:val="none" w:sz="0" w:space="0" w:color="auto"/>
        <w:right w:val="none" w:sz="0" w:space="0" w:color="auto"/>
      </w:divBdr>
    </w:div>
    <w:div w:id="826243131">
      <w:bodyDiv w:val="1"/>
      <w:marLeft w:val="0"/>
      <w:marRight w:val="0"/>
      <w:marTop w:val="0"/>
      <w:marBottom w:val="0"/>
      <w:divBdr>
        <w:top w:val="none" w:sz="0" w:space="0" w:color="auto"/>
        <w:left w:val="none" w:sz="0" w:space="0" w:color="auto"/>
        <w:bottom w:val="none" w:sz="0" w:space="0" w:color="auto"/>
        <w:right w:val="none" w:sz="0" w:space="0" w:color="auto"/>
      </w:divBdr>
    </w:div>
    <w:div w:id="844436563">
      <w:bodyDiv w:val="1"/>
      <w:marLeft w:val="0"/>
      <w:marRight w:val="0"/>
      <w:marTop w:val="0"/>
      <w:marBottom w:val="0"/>
      <w:divBdr>
        <w:top w:val="none" w:sz="0" w:space="0" w:color="auto"/>
        <w:left w:val="none" w:sz="0" w:space="0" w:color="auto"/>
        <w:bottom w:val="none" w:sz="0" w:space="0" w:color="auto"/>
        <w:right w:val="none" w:sz="0" w:space="0" w:color="auto"/>
      </w:divBdr>
    </w:div>
    <w:div w:id="853618625">
      <w:bodyDiv w:val="1"/>
      <w:marLeft w:val="0"/>
      <w:marRight w:val="0"/>
      <w:marTop w:val="0"/>
      <w:marBottom w:val="0"/>
      <w:divBdr>
        <w:top w:val="none" w:sz="0" w:space="0" w:color="auto"/>
        <w:left w:val="none" w:sz="0" w:space="0" w:color="auto"/>
        <w:bottom w:val="none" w:sz="0" w:space="0" w:color="auto"/>
        <w:right w:val="none" w:sz="0" w:space="0" w:color="auto"/>
      </w:divBdr>
    </w:div>
    <w:div w:id="874199498">
      <w:bodyDiv w:val="1"/>
      <w:marLeft w:val="0"/>
      <w:marRight w:val="0"/>
      <w:marTop w:val="0"/>
      <w:marBottom w:val="0"/>
      <w:divBdr>
        <w:top w:val="none" w:sz="0" w:space="0" w:color="auto"/>
        <w:left w:val="none" w:sz="0" w:space="0" w:color="auto"/>
        <w:bottom w:val="none" w:sz="0" w:space="0" w:color="auto"/>
        <w:right w:val="none" w:sz="0" w:space="0" w:color="auto"/>
      </w:divBdr>
    </w:div>
    <w:div w:id="890577296">
      <w:bodyDiv w:val="1"/>
      <w:marLeft w:val="0"/>
      <w:marRight w:val="0"/>
      <w:marTop w:val="0"/>
      <w:marBottom w:val="0"/>
      <w:divBdr>
        <w:top w:val="none" w:sz="0" w:space="0" w:color="auto"/>
        <w:left w:val="none" w:sz="0" w:space="0" w:color="auto"/>
        <w:bottom w:val="none" w:sz="0" w:space="0" w:color="auto"/>
        <w:right w:val="none" w:sz="0" w:space="0" w:color="auto"/>
      </w:divBdr>
    </w:div>
    <w:div w:id="941690168">
      <w:bodyDiv w:val="1"/>
      <w:marLeft w:val="0"/>
      <w:marRight w:val="0"/>
      <w:marTop w:val="0"/>
      <w:marBottom w:val="0"/>
      <w:divBdr>
        <w:top w:val="none" w:sz="0" w:space="0" w:color="auto"/>
        <w:left w:val="none" w:sz="0" w:space="0" w:color="auto"/>
        <w:bottom w:val="none" w:sz="0" w:space="0" w:color="auto"/>
        <w:right w:val="none" w:sz="0" w:space="0" w:color="auto"/>
      </w:divBdr>
    </w:div>
    <w:div w:id="949050029">
      <w:bodyDiv w:val="1"/>
      <w:marLeft w:val="0"/>
      <w:marRight w:val="0"/>
      <w:marTop w:val="0"/>
      <w:marBottom w:val="0"/>
      <w:divBdr>
        <w:top w:val="none" w:sz="0" w:space="0" w:color="auto"/>
        <w:left w:val="none" w:sz="0" w:space="0" w:color="auto"/>
        <w:bottom w:val="none" w:sz="0" w:space="0" w:color="auto"/>
        <w:right w:val="none" w:sz="0" w:space="0" w:color="auto"/>
      </w:divBdr>
    </w:div>
    <w:div w:id="962930288">
      <w:bodyDiv w:val="1"/>
      <w:marLeft w:val="0"/>
      <w:marRight w:val="0"/>
      <w:marTop w:val="0"/>
      <w:marBottom w:val="0"/>
      <w:divBdr>
        <w:top w:val="none" w:sz="0" w:space="0" w:color="auto"/>
        <w:left w:val="none" w:sz="0" w:space="0" w:color="auto"/>
        <w:bottom w:val="none" w:sz="0" w:space="0" w:color="auto"/>
        <w:right w:val="none" w:sz="0" w:space="0" w:color="auto"/>
      </w:divBdr>
    </w:div>
    <w:div w:id="1019048304">
      <w:bodyDiv w:val="1"/>
      <w:marLeft w:val="0"/>
      <w:marRight w:val="0"/>
      <w:marTop w:val="0"/>
      <w:marBottom w:val="0"/>
      <w:divBdr>
        <w:top w:val="none" w:sz="0" w:space="0" w:color="auto"/>
        <w:left w:val="none" w:sz="0" w:space="0" w:color="auto"/>
        <w:bottom w:val="none" w:sz="0" w:space="0" w:color="auto"/>
        <w:right w:val="none" w:sz="0" w:space="0" w:color="auto"/>
      </w:divBdr>
    </w:div>
    <w:div w:id="1055665129">
      <w:bodyDiv w:val="1"/>
      <w:marLeft w:val="0"/>
      <w:marRight w:val="0"/>
      <w:marTop w:val="0"/>
      <w:marBottom w:val="0"/>
      <w:divBdr>
        <w:top w:val="none" w:sz="0" w:space="0" w:color="auto"/>
        <w:left w:val="none" w:sz="0" w:space="0" w:color="auto"/>
        <w:bottom w:val="none" w:sz="0" w:space="0" w:color="auto"/>
        <w:right w:val="none" w:sz="0" w:space="0" w:color="auto"/>
      </w:divBdr>
    </w:div>
    <w:div w:id="1098022816">
      <w:bodyDiv w:val="1"/>
      <w:marLeft w:val="0"/>
      <w:marRight w:val="0"/>
      <w:marTop w:val="0"/>
      <w:marBottom w:val="0"/>
      <w:divBdr>
        <w:top w:val="none" w:sz="0" w:space="0" w:color="auto"/>
        <w:left w:val="none" w:sz="0" w:space="0" w:color="auto"/>
        <w:bottom w:val="none" w:sz="0" w:space="0" w:color="auto"/>
        <w:right w:val="none" w:sz="0" w:space="0" w:color="auto"/>
      </w:divBdr>
    </w:div>
    <w:div w:id="1154951787">
      <w:bodyDiv w:val="1"/>
      <w:marLeft w:val="0"/>
      <w:marRight w:val="0"/>
      <w:marTop w:val="0"/>
      <w:marBottom w:val="0"/>
      <w:divBdr>
        <w:top w:val="none" w:sz="0" w:space="0" w:color="auto"/>
        <w:left w:val="none" w:sz="0" w:space="0" w:color="auto"/>
        <w:bottom w:val="none" w:sz="0" w:space="0" w:color="auto"/>
        <w:right w:val="none" w:sz="0" w:space="0" w:color="auto"/>
      </w:divBdr>
    </w:div>
    <w:div w:id="1161431667">
      <w:bodyDiv w:val="1"/>
      <w:marLeft w:val="0"/>
      <w:marRight w:val="0"/>
      <w:marTop w:val="0"/>
      <w:marBottom w:val="0"/>
      <w:divBdr>
        <w:top w:val="none" w:sz="0" w:space="0" w:color="auto"/>
        <w:left w:val="none" w:sz="0" w:space="0" w:color="auto"/>
        <w:bottom w:val="none" w:sz="0" w:space="0" w:color="auto"/>
        <w:right w:val="none" w:sz="0" w:space="0" w:color="auto"/>
      </w:divBdr>
      <w:divsChild>
        <w:div w:id="625818747">
          <w:marLeft w:val="0"/>
          <w:marRight w:val="0"/>
          <w:marTop w:val="0"/>
          <w:marBottom w:val="0"/>
          <w:divBdr>
            <w:top w:val="single" w:sz="2" w:space="0" w:color="D9D9E3"/>
            <w:left w:val="single" w:sz="2" w:space="0" w:color="D9D9E3"/>
            <w:bottom w:val="single" w:sz="2" w:space="0" w:color="D9D9E3"/>
            <w:right w:val="single" w:sz="2" w:space="0" w:color="D9D9E3"/>
          </w:divBdr>
          <w:divsChild>
            <w:div w:id="234635023">
              <w:marLeft w:val="0"/>
              <w:marRight w:val="0"/>
              <w:marTop w:val="0"/>
              <w:marBottom w:val="0"/>
              <w:divBdr>
                <w:top w:val="single" w:sz="2" w:space="0" w:color="D9D9E3"/>
                <w:left w:val="single" w:sz="2" w:space="0" w:color="D9D9E3"/>
                <w:bottom w:val="single" w:sz="2" w:space="0" w:color="D9D9E3"/>
                <w:right w:val="single" w:sz="2" w:space="0" w:color="D9D9E3"/>
              </w:divBdr>
            </w:div>
            <w:div w:id="1172644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7519638">
      <w:bodyDiv w:val="1"/>
      <w:marLeft w:val="0"/>
      <w:marRight w:val="0"/>
      <w:marTop w:val="0"/>
      <w:marBottom w:val="0"/>
      <w:divBdr>
        <w:top w:val="none" w:sz="0" w:space="0" w:color="auto"/>
        <w:left w:val="none" w:sz="0" w:space="0" w:color="auto"/>
        <w:bottom w:val="none" w:sz="0" w:space="0" w:color="auto"/>
        <w:right w:val="none" w:sz="0" w:space="0" w:color="auto"/>
      </w:divBdr>
      <w:divsChild>
        <w:div w:id="15279747">
          <w:marLeft w:val="0"/>
          <w:marRight w:val="0"/>
          <w:marTop w:val="0"/>
          <w:marBottom w:val="0"/>
          <w:divBdr>
            <w:top w:val="single" w:sz="2" w:space="0" w:color="D9D9E3"/>
            <w:left w:val="single" w:sz="2" w:space="0" w:color="D9D9E3"/>
            <w:bottom w:val="single" w:sz="2" w:space="0" w:color="D9D9E3"/>
            <w:right w:val="single" w:sz="2" w:space="0" w:color="D9D9E3"/>
          </w:divBdr>
          <w:divsChild>
            <w:div w:id="1146821833">
              <w:marLeft w:val="0"/>
              <w:marRight w:val="0"/>
              <w:marTop w:val="0"/>
              <w:marBottom w:val="0"/>
              <w:divBdr>
                <w:top w:val="single" w:sz="2" w:space="0" w:color="D9D9E3"/>
                <w:left w:val="single" w:sz="2" w:space="0" w:color="D9D9E3"/>
                <w:bottom w:val="single" w:sz="2" w:space="0" w:color="D9D9E3"/>
                <w:right w:val="single" w:sz="2" w:space="0" w:color="D9D9E3"/>
              </w:divBdr>
            </w:div>
            <w:div w:id="1648126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83614733">
      <w:bodyDiv w:val="1"/>
      <w:marLeft w:val="0"/>
      <w:marRight w:val="0"/>
      <w:marTop w:val="0"/>
      <w:marBottom w:val="0"/>
      <w:divBdr>
        <w:top w:val="none" w:sz="0" w:space="0" w:color="auto"/>
        <w:left w:val="none" w:sz="0" w:space="0" w:color="auto"/>
        <w:bottom w:val="none" w:sz="0" w:space="0" w:color="auto"/>
        <w:right w:val="none" w:sz="0" w:space="0" w:color="auto"/>
      </w:divBdr>
    </w:div>
    <w:div w:id="1315648311">
      <w:bodyDiv w:val="1"/>
      <w:marLeft w:val="0"/>
      <w:marRight w:val="0"/>
      <w:marTop w:val="0"/>
      <w:marBottom w:val="0"/>
      <w:divBdr>
        <w:top w:val="none" w:sz="0" w:space="0" w:color="auto"/>
        <w:left w:val="none" w:sz="0" w:space="0" w:color="auto"/>
        <w:bottom w:val="none" w:sz="0" w:space="0" w:color="auto"/>
        <w:right w:val="none" w:sz="0" w:space="0" w:color="auto"/>
      </w:divBdr>
    </w:div>
    <w:div w:id="1342586966">
      <w:bodyDiv w:val="1"/>
      <w:marLeft w:val="0"/>
      <w:marRight w:val="0"/>
      <w:marTop w:val="0"/>
      <w:marBottom w:val="0"/>
      <w:divBdr>
        <w:top w:val="none" w:sz="0" w:space="0" w:color="auto"/>
        <w:left w:val="none" w:sz="0" w:space="0" w:color="auto"/>
        <w:bottom w:val="none" w:sz="0" w:space="0" w:color="auto"/>
        <w:right w:val="none" w:sz="0" w:space="0" w:color="auto"/>
      </w:divBdr>
    </w:div>
    <w:div w:id="1392121775">
      <w:bodyDiv w:val="1"/>
      <w:marLeft w:val="0"/>
      <w:marRight w:val="0"/>
      <w:marTop w:val="0"/>
      <w:marBottom w:val="0"/>
      <w:divBdr>
        <w:top w:val="none" w:sz="0" w:space="0" w:color="auto"/>
        <w:left w:val="none" w:sz="0" w:space="0" w:color="auto"/>
        <w:bottom w:val="none" w:sz="0" w:space="0" w:color="auto"/>
        <w:right w:val="none" w:sz="0" w:space="0" w:color="auto"/>
      </w:divBdr>
    </w:div>
    <w:div w:id="1432974119">
      <w:bodyDiv w:val="1"/>
      <w:marLeft w:val="0"/>
      <w:marRight w:val="0"/>
      <w:marTop w:val="0"/>
      <w:marBottom w:val="0"/>
      <w:divBdr>
        <w:top w:val="none" w:sz="0" w:space="0" w:color="auto"/>
        <w:left w:val="none" w:sz="0" w:space="0" w:color="auto"/>
        <w:bottom w:val="none" w:sz="0" w:space="0" w:color="auto"/>
        <w:right w:val="none" w:sz="0" w:space="0" w:color="auto"/>
      </w:divBdr>
    </w:div>
    <w:div w:id="1471633514">
      <w:bodyDiv w:val="1"/>
      <w:marLeft w:val="0"/>
      <w:marRight w:val="0"/>
      <w:marTop w:val="0"/>
      <w:marBottom w:val="0"/>
      <w:divBdr>
        <w:top w:val="none" w:sz="0" w:space="0" w:color="auto"/>
        <w:left w:val="none" w:sz="0" w:space="0" w:color="auto"/>
        <w:bottom w:val="none" w:sz="0" w:space="0" w:color="auto"/>
        <w:right w:val="none" w:sz="0" w:space="0" w:color="auto"/>
      </w:divBdr>
    </w:div>
    <w:div w:id="1522547248">
      <w:bodyDiv w:val="1"/>
      <w:marLeft w:val="0"/>
      <w:marRight w:val="0"/>
      <w:marTop w:val="0"/>
      <w:marBottom w:val="0"/>
      <w:divBdr>
        <w:top w:val="none" w:sz="0" w:space="0" w:color="auto"/>
        <w:left w:val="none" w:sz="0" w:space="0" w:color="auto"/>
        <w:bottom w:val="none" w:sz="0" w:space="0" w:color="auto"/>
        <w:right w:val="none" w:sz="0" w:space="0" w:color="auto"/>
      </w:divBdr>
    </w:div>
    <w:div w:id="1758282530">
      <w:bodyDiv w:val="1"/>
      <w:marLeft w:val="0"/>
      <w:marRight w:val="0"/>
      <w:marTop w:val="0"/>
      <w:marBottom w:val="0"/>
      <w:divBdr>
        <w:top w:val="none" w:sz="0" w:space="0" w:color="auto"/>
        <w:left w:val="none" w:sz="0" w:space="0" w:color="auto"/>
        <w:bottom w:val="none" w:sz="0" w:space="0" w:color="auto"/>
        <w:right w:val="none" w:sz="0" w:space="0" w:color="auto"/>
      </w:divBdr>
    </w:div>
    <w:div w:id="1758599162">
      <w:bodyDiv w:val="1"/>
      <w:marLeft w:val="0"/>
      <w:marRight w:val="0"/>
      <w:marTop w:val="0"/>
      <w:marBottom w:val="0"/>
      <w:divBdr>
        <w:top w:val="none" w:sz="0" w:space="0" w:color="auto"/>
        <w:left w:val="none" w:sz="0" w:space="0" w:color="auto"/>
        <w:bottom w:val="none" w:sz="0" w:space="0" w:color="auto"/>
        <w:right w:val="none" w:sz="0" w:space="0" w:color="auto"/>
      </w:divBdr>
    </w:div>
    <w:div w:id="1783497036">
      <w:bodyDiv w:val="1"/>
      <w:marLeft w:val="0"/>
      <w:marRight w:val="0"/>
      <w:marTop w:val="0"/>
      <w:marBottom w:val="0"/>
      <w:divBdr>
        <w:top w:val="none" w:sz="0" w:space="0" w:color="auto"/>
        <w:left w:val="none" w:sz="0" w:space="0" w:color="auto"/>
        <w:bottom w:val="none" w:sz="0" w:space="0" w:color="auto"/>
        <w:right w:val="none" w:sz="0" w:space="0" w:color="auto"/>
      </w:divBdr>
    </w:div>
    <w:div w:id="1890678965">
      <w:bodyDiv w:val="1"/>
      <w:marLeft w:val="0"/>
      <w:marRight w:val="0"/>
      <w:marTop w:val="0"/>
      <w:marBottom w:val="0"/>
      <w:divBdr>
        <w:top w:val="none" w:sz="0" w:space="0" w:color="auto"/>
        <w:left w:val="none" w:sz="0" w:space="0" w:color="auto"/>
        <w:bottom w:val="none" w:sz="0" w:space="0" w:color="auto"/>
        <w:right w:val="none" w:sz="0" w:space="0" w:color="auto"/>
      </w:divBdr>
    </w:div>
    <w:div w:id="1911883236">
      <w:bodyDiv w:val="1"/>
      <w:marLeft w:val="0"/>
      <w:marRight w:val="0"/>
      <w:marTop w:val="0"/>
      <w:marBottom w:val="0"/>
      <w:divBdr>
        <w:top w:val="none" w:sz="0" w:space="0" w:color="auto"/>
        <w:left w:val="none" w:sz="0" w:space="0" w:color="auto"/>
        <w:bottom w:val="none" w:sz="0" w:space="0" w:color="auto"/>
        <w:right w:val="none" w:sz="0" w:space="0" w:color="auto"/>
      </w:divBdr>
    </w:div>
    <w:div w:id="1962760966">
      <w:bodyDiv w:val="1"/>
      <w:marLeft w:val="0"/>
      <w:marRight w:val="0"/>
      <w:marTop w:val="0"/>
      <w:marBottom w:val="0"/>
      <w:divBdr>
        <w:top w:val="none" w:sz="0" w:space="0" w:color="auto"/>
        <w:left w:val="none" w:sz="0" w:space="0" w:color="auto"/>
        <w:bottom w:val="none" w:sz="0" w:space="0" w:color="auto"/>
        <w:right w:val="none" w:sz="0" w:space="0" w:color="auto"/>
      </w:divBdr>
    </w:div>
    <w:div w:id="1985544589">
      <w:bodyDiv w:val="1"/>
      <w:marLeft w:val="0"/>
      <w:marRight w:val="0"/>
      <w:marTop w:val="0"/>
      <w:marBottom w:val="0"/>
      <w:divBdr>
        <w:top w:val="none" w:sz="0" w:space="0" w:color="auto"/>
        <w:left w:val="none" w:sz="0" w:space="0" w:color="auto"/>
        <w:bottom w:val="none" w:sz="0" w:space="0" w:color="auto"/>
        <w:right w:val="none" w:sz="0" w:space="0" w:color="auto"/>
      </w:divBdr>
      <w:divsChild>
        <w:div w:id="2114472709">
          <w:marLeft w:val="0"/>
          <w:marRight w:val="0"/>
          <w:marTop w:val="0"/>
          <w:marBottom w:val="0"/>
          <w:divBdr>
            <w:top w:val="single" w:sz="2" w:space="0" w:color="D9D9E3"/>
            <w:left w:val="single" w:sz="2" w:space="0" w:color="D9D9E3"/>
            <w:bottom w:val="single" w:sz="2" w:space="0" w:color="D9D9E3"/>
            <w:right w:val="single" w:sz="2" w:space="0" w:color="D9D9E3"/>
          </w:divBdr>
          <w:divsChild>
            <w:div w:id="833648158">
              <w:marLeft w:val="0"/>
              <w:marRight w:val="0"/>
              <w:marTop w:val="0"/>
              <w:marBottom w:val="0"/>
              <w:divBdr>
                <w:top w:val="single" w:sz="2" w:space="0" w:color="D9D9E3"/>
                <w:left w:val="single" w:sz="2" w:space="0" w:color="D9D9E3"/>
                <w:bottom w:val="single" w:sz="2" w:space="0" w:color="D9D9E3"/>
                <w:right w:val="single" w:sz="2" w:space="0" w:color="D9D9E3"/>
              </w:divBdr>
            </w:div>
            <w:div w:id="10845699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6620937">
      <w:bodyDiv w:val="1"/>
      <w:marLeft w:val="0"/>
      <w:marRight w:val="0"/>
      <w:marTop w:val="0"/>
      <w:marBottom w:val="0"/>
      <w:divBdr>
        <w:top w:val="none" w:sz="0" w:space="0" w:color="auto"/>
        <w:left w:val="none" w:sz="0" w:space="0" w:color="auto"/>
        <w:bottom w:val="none" w:sz="0" w:space="0" w:color="auto"/>
        <w:right w:val="none" w:sz="0" w:space="0" w:color="auto"/>
      </w:divBdr>
    </w:div>
    <w:div w:id="2039773201">
      <w:bodyDiv w:val="1"/>
      <w:marLeft w:val="0"/>
      <w:marRight w:val="0"/>
      <w:marTop w:val="0"/>
      <w:marBottom w:val="0"/>
      <w:divBdr>
        <w:top w:val="none" w:sz="0" w:space="0" w:color="auto"/>
        <w:left w:val="none" w:sz="0" w:space="0" w:color="auto"/>
        <w:bottom w:val="none" w:sz="0" w:space="0" w:color="auto"/>
        <w:right w:val="none" w:sz="0" w:space="0" w:color="auto"/>
      </w:divBdr>
    </w:div>
    <w:div w:id="2073960586">
      <w:bodyDiv w:val="1"/>
      <w:marLeft w:val="0"/>
      <w:marRight w:val="0"/>
      <w:marTop w:val="0"/>
      <w:marBottom w:val="0"/>
      <w:divBdr>
        <w:top w:val="none" w:sz="0" w:space="0" w:color="auto"/>
        <w:left w:val="none" w:sz="0" w:space="0" w:color="auto"/>
        <w:bottom w:val="none" w:sz="0" w:space="0" w:color="auto"/>
        <w:right w:val="none" w:sz="0" w:space="0" w:color="auto"/>
      </w:divBdr>
    </w:div>
    <w:div w:id="2134781632">
      <w:bodyDiv w:val="1"/>
      <w:marLeft w:val="0"/>
      <w:marRight w:val="0"/>
      <w:marTop w:val="0"/>
      <w:marBottom w:val="0"/>
      <w:divBdr>
        <w:top w:val="none" w:sz="0" w:space="0" w:color="auto"/>
        <w:left w:val="none" w:sz="0" w:space="0" w:color="auto"/>
        <w:bottom w:val="none" w:sz="0" w:space="0" w:color="auto"/>
        <w:right w:val="none" w:sz="0" w:space="0" w:color="auto"/>
      </w:divBdr>
      <w:divsChild>
        <w:div w:id="1850867975">
          <w:marLeft w:val="0"/>
          <w:marRight w:val="0"/>
          <w:marTop w:val="0"/>
          <w:marBottom w:val="0"/>
          <w:divBdr>
            <w:top w:val="none" w:sz="0" w:space="0" w:color="auto"/>
            <w:left w:val="none" w:sz="0" w:space="0" w:color="auto"/>
            <w:bottom w:val="none" w:sz="0" w:space="0" w:color="auto"/>
            <w:right w:val="none" w:sz="0" w:space="0" w:color="auto"/>
          </w:divBdr>
        </w:div>
        <w:div w:id="10686556">
          <w:marLeft w:val="0"/>
          <w:marRight w:val="0"/>
          <w:marTop w:val="0"/>
          <w:marBottom w:val="0"/>
          <w:divBdr>
            <w:top w:val="none" w:sz="0" w:space="0" w:color="auto"/>
            <w:left w:val="none" w:sz="0" w:space="0" w:color="auto"/>
            <w:bottom w:val="none" w:sz="0" w:space="0" w:color="auto"/>
            <w:right w:val="none" w:sz="0" w:space="0" w:color="auto"/>
          </w:divBdr>
        </w:div>
        <w:div w:id="8365069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pm"/><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56DF39-3604-4E30-A505-40BFAEBE2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30189</TotalTime>
  <Pages>6</Pages>
  <Words>7388</Words>
  <Characters>42117</Characters>
  <Application>Microsoft Office Word</Application>
  <DocSecurity>0</DocSecurity>
  <Lines>350</Lines>
  <Paragraphs>98</Paragraphs>
  <ScaleCrop>false</ScaleCrop>
  <Company>IEEE</Company>
  <LinksUpToDate>false</LinksUpToDate>
  <CharactersWithSpaces>49407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wenhao zhong</cp:lastModifiedBy>
  <cp:revision>6</cp:revision>
  <cp:lastPrinted>2023-06-04T01:46:00Z</cp:lastPrinted>
  <dcterms:created xsi:type="dcterms:W3CDTF">2023-06-02T09:26:00Z</dcterms:created>
  <dcterms:modified xsi:type="dcterms:W3CDTF">2023-12-24T01:43:00Z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EquationSection">
    <vt:lpwstr>1</vt:lpwstr>
  </property>
  <property fmtid="{D5CDD505-2E9C-101B-9397-08002B2CF9AE}" pid="3" name="KSOProductBuildVer">
    <vt:lpwstr>2052-12.1.0.15712</vt:lpwstr>
  </property>
  <property fmtid="{D5CDD505-2E9C-101B-9397-08002B2CF9AE}" pid="4" name="ICV">
    <vt:lpwstr>34B8D3FCCC644CB68596E3C70B6CEB4C_12</vt:lpwstr>
  </property>
  <property fmtid="{D5CDD505-2E9C-101B-9397-08002B2CF9AE}" pid="5" name="MTEquationNumber2">
    <vt:lpwstr>(#E1)</vt:lpwstr>
  </property>
  <property fmtid="{D5CDD505-2E9C-101B-9397-08002B2CF9AE}" pid="6" name="MTDeferFieldUpdate">
    <vt:lpwstr>1</vt:lpwstr>
  </property>
  <property fmtid="{D5CDD505-2E9C-101B-9397-08002B2CF9AE}" pid="7" name="MTWinEqns">
    <vt:bool>true</vt:bool>
  </property>
  <property fmtid="{D5CDD505-2E9C-101B-9397-08002B2CF9AE}" pid="8" name="ZOTERO_PREF_1">
    <vt:lpwstr>&lt;data data-version="3" zotero-version="6.0.30"&gt;&lt;session id="UMaYvyq2"/&gt;&lt;style id="http://www.zotero.org/styles/ieee" locale="en-US" hasBibliography="1" bibliographyStyleHasBeenSet="1"/&gt;&lt;prefs&gt;&lt;pref name="fieldType" value="Field"/&gt;&lt;pref name="automaticJour</vt:lpwstr>
  </property>
  <property fmtid="{D5CDD505-2E9C-101B-9397-08002B2CF9AE}" pid="9" name="ZOTERO_PREF_2">
    <vt:lpwstr>nalAbbreviations" value="true"/&gt;&lt;/prefs&gt;&lt;/data&gt;</vt:lpwstr>
  </property>
</Properties>
</file>