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DC71498" w14:textId="3A7DC874" w:rsidR="005B6444" w:rsidRPr="0011123F" w:rsidRDefault="005B6444" w:rsidP="0011123F">
      <w:pPr>
        <w:pStyle w:val="Heading1"/>
        <w:numPr>
          <w:ilvl w:val="0"/>
          <w:numId w:val="0"/>
        </w:numPr>
      </w:pPr>
    </w:p>
    <w:p w14:paraId="65EB9BD1" w14:textId="77777777" w:rsidR="0011123F" w:rsidRPr="0011123F" w:rsidRDefault="0011123F" w:rsidP="0011123F">
      <w:pPr>
        <w:spacing w:line="100" w:lineRule="atLeast"/>
        <w:jc w:val="center"/>
        <w:rPr>
          <w:rFonts w:eastAsia="Droid Sans"/>
          <w:b/>
          <w:bCs/>
          <w:i/>
          <w:iCs/>
          <w:sz w:val="32"/>
          <w:szCs w:val="32"/>
          <w:lang w:eastAsia="hi-IN" w:bidi="hi-IN"/>
        </w:rPr>
      </w:pPr>
    </w:p>
    <w:p w14:paraId="1AC58CAD" w14:textId="77777777" w:rsidR="0011123F" w:rsidRPr="0011123F" w:rsidRDefault="0011123F" w:rsidP="0011123F">
      <w:pPr>
        <w:jc w:val="center"/>
        <w:rPr>
          <w:rFonts w:ascii="Lucida Fax" w:hAnsi="Lucida Fax" w:cs="Aharoni"/>
          <w:b/>
          <w:bCs/>
          <w:color w:val="000000"/>
          <w:sz w:val="32"/>
          <w:szCs w:val="32"/>
        </w:rPr>
      </w:pPr>
      <w:r w:rsidRPr="0011123F">
        <w:rPr>
          <w:rFonts w:ascii="Lucida Fax" w:hAnsi="Lucida Fax" w:cs="Aharoni"/>
          <w:b/>
          <w:bCs/>
          <w:color w:val="000000"/>
          <w:sz w:val="32"/>
          <w:szCs w:val="32"/>
        </w:rPr>
        <w:t>Name: Anisa Tollia</w:t>
      </w:r>
    </w:p>
    <w:p w14:paraId="27B283F8" w14:textId="77777777" w:rsidR="0011123F" w:rsidRPr="0011123F" w:rsidRDefault="0011123F" w:rsidP="0011123F">
      <w:pPr>
        <w:jc w:val="center"/>
        <w:rPr>
          <w:rFonts w:ascii="Lucida Fax" w:hAnsi="Lucida Fax" w:cs="Aharoni"/>
          <w:b/>
          <w:bCs/>
          <w:color w:val="000000"/>
          <w:sz w:val="32"/>
          <w:szCs w:val="32"/>
        </w:rPr>
      </w:pPr>
      <w:r w:rsidRPr="0011123F">
        <w:rPr>
          <w:rFonts w:ascii="Lucida Fax" w:hAnsi="Lucida Fax" w:cs="Aharoni"/>
          <w:b/>
          <w:bCs/>
          <w:color w:val="000000"/>
          <w:sz w:val="32"/>
          <w:szCs w:val="32"/>
        </w:rPr>
        <w:t>Student Number: 2021941</w:t>
      </w:r>
    </w:p>
    <w:p w14:paraId="067D80A3" w14:textId="598596BA" w:rsidR="0011123F" w:rsidRPr="0011123F" w:rsidRDefault="0011123F" w:rsidP="0011123F">
      <w:pPr>
        <w:jc w:val="center"/>
        <w:rPr>
          <w:rFonts w:ascii="Lucida Fax" w:hAnsi="Lucida Fax" w:cs="Aharoni"/>
          <w:b/>
          <w:bCs/>
          <w:color w:val="000000"/>
          <w:sz w:val="32"/>
          <w:szCs w:val="32"/>
        </w:rPr>
      </w:pPr>
      <w:r w:rsidRPr="0011123F">
        <w:rPr>
          <w:rFonts w:ascii="Lucida Fax" w:hAnsi="Lucida Fax" w:cs="Aharoni"/>
          <w:b/>
          <w:bCs/>
          <w:color w:val="000000"/>
          <w:sz w:val="32"/>
          <w:szCs w:val="32"/>
        </w:rPr>
        <w:t xml:space="preserve">Module Title: </w:t>
      </w:r>
      <w:r w:rsidR="009C0653">
        <w:rPr>
          <w:rFonts w:ascii="Lucida Fax" w:hAnsi="Lucida Fax" w:cs="Aharoni"/>
          <w:b/>
          <w:bCs/>
          <w:color w:val="000000"/>
          <w:sz w:val="32"/>
          <w:szCs w:val="32"/>
        </w:rPr>
        <w:t>Com</w:t>
      </w:r>
      <w:r w:rsidR="00471B6C">
        <w:rPr>
          <w:rFonts w:ascii="Lucida Fax" w:hAnsi="Lucida Fax" w:cs="Aharoni"/>
          <w:b/>
          <w:bCs/>
          <w:color w:val="000000"/>
          <w:sz w:val="32"/>
          <w:szCs w:val="32"/>
        </w:rPr>
        <w:t>munity Engagement</w:t>
      </w:r>
    </w:p>
    <w:p w14:paraId="17BCA1E4" w14:textId="5AB13137" w:rsidR="0011123F" w:rsidRPr="0011123F" w:rsidRDefault="0011123F" w:rsidP="0011123F">
      <w:pPr>
        <w:jc w:val="center"/>
        <w:rPr>
          <w:rFonts w:ascii="Lucida Fax" w:hAnsi="Lucida Fax" w:cs="Aharoni"/>
          <w:b/>
          <w:bCs/>
          <w:color w:val="000000"/>
          <w:sz w:val="32"/>
          <w:szCs w:val="32"/>
        </w:rPr>
      </w:pPr>
      <w:r w:rsidRPr="0011123F">
        <w:rPr>
          <w:rFonts w:ascii="Lucida Fax" w:hAnsi="Lucida Fax" w:cs="Aharoni"/>
          <w:b/>
          <w:bCs/>
          <w:color w:val="000000"/>
          <w:sz w:val="32"/>
          <w:szCs w:val="32"/>
        </w:rPr>
        <w:t xml:space="preserve">                Assignment Title: Assessment 1 </w:t>
      </w:r>
      <w:r w:rsidR="009A4E32">
        <w:rPr>
          <w:rFonts w:ascii="Lucida Fax" w:hAnsi="Lucida Fax" w:cs="Aharoni"/>
          <w:b/>
          <w:bCs/>
          <w:color w:val="000000"/>
          <w:sz w:val="32"/>
          <w:szCs w:val="32"/>
        </w:rPr>
        <w:t xml:space="preserve">Community </w:t>
      </w:r>
      <w:r w:rsidR="009C0653">
        <w:rPr>
          <w:rFonts w:ascii="Lucida Fax" w:hAnsi="Lucida Fax" w:cs="Aharoni"/>
          <w:b/>
          <w:bCs/>
          <w:color w:val="000000"/>
          <w:sz w:val="32"/>
          <w:szCs w:val="32"/>
        </w:rPr>
        <w:t>Engagement</w:t>
      </w:r>
    </w:p>
    <w:p w14:paraId="3A9B75E7" w14:textId="454A2AC8" w:rsidR="0011123F" w:rsidRPr="0011123F" w:rsidRDefault="0011123F" w:rsidP="0011123F">
      <w:pPr>
        <w:jc w:val="center"/>
        <w:rPr>
          <w:rFonts w:ascii="Lucida Fax" w:hAnsi="Lucida Fax" w:cs="Aharoni"/>
          <w:b/>
          <w:bCs/>
          <w:color w:val="000000"/>
          <w:sz w:val="32"/>
          <w:szCs w:val="32"/>
        </w:rPr>
      </w:pPr>
      <w:r w:rsidRPr="0011123F">
        <w:rPr>
          <w:rFonts w:ascii="Lucida Fax" w:hAnsi="Lucida Fax" w:cs="Aharoni"/>
          <w:b/>
          <w:bCs/>
          <w:color w:val="000000"/>
          <w:sz w:val="32"/>
          <w:szCs w:val="32"/>
        </w:rPr>
        <w:t xml:space="preserve">Module Lecturer’s Name: </w:t>
      </w:r>
      <w:r w:rsidR="00E25DF4">
        <w:rPr>
          <w:rFonts w:ascii="Lucida Fax" w:hAnsi="Lucida Fax" w:cs="Aharoni"/>
          <w:b/>
          <w:bCs/>
          <w:color w:val="000000"/>
          <w:sz w:val="32"/>
          <w:szCs w:val="32"/>
        </w:rPr>
        <w:t>A</w:t>
      </w:r>
      <w:r w:rsidR="00C132B3">
        <w:rPr>
          <w:rFonts w:ascii="Lucida Fax" w:hAnsi="Lucida Fax" w:cs="Aharoni"/>
          <w:b/>
          <w:bCs/>
          <w:color w:val="000000"/>
          <w:sz w:val="32"/>
          <w:szCs w:val="32"/>
        </w:rPr>
        <w:t xml:space="preserve">nupam </w:t>
      </w:r>
      <w:r w:rsidR="00B113FF">
        <w:rPr>
          <w:rFonts w:ascii="Lucida Fax" w:hAnsi="Lucida Fax" w:cs="Aharoni"/>
          <w:b/>
          <w:bCs/>
          <w:color w:val="000000"/>
          <w:sz w:val="32"/>
          <w:szCs w:val="32"/>
        </w:rPr>
        <w:t>Mazumdar</w:t>
      </w:r>
    </w:p>
    <w:p w14:paraId="7DC7149A" w14:textId="77777777" w:rsidR="005B6444" w:rsidRPr="009757B8" w:rsidRDefault="005B6444" w:rsidP="0011123F">
      <w:pPr>
        <w:pStyle w:val="BodyText"/>
        <w:rPr>
          <w:sz w:val="72"/>
          <w:szCs w:val="72"/>
          <w:u w:val="single"/>
        </w:rPr>
      </w:pPr>
    </w:p>
    <w:p w14:paraId="7DC7149B" w14:textId="77777777" w:rsidR="005B6444" w:rsidRDefault="00CE4258">
      <w:pPr>
        <w:pStyle w:val="ContentsHeading"/>
        <w:pageBreakBefore/>
        <w:jc w:val="center"/>
      </w:pPr>
      <w:r>
        <w:rPr>
          <w:rFonts w:ascii="Times New Roman" w:hAnsi="Times New Roman" w:cs="Times New Roman"/>
          <w:color w:val="000000"/>
        </w:rPr>
        <w:t>TABLE OF CONTENTS</w:t>
      </w:r>
    </w:p>
    <w:p w14:paraId="7DC7149C" w14:textId="77777777" w:rsidR="005B6444" w:rsidRDefault="00CE4258">
      <w:pPr>
        <w:pStyle w:val="TOC1"/>
        <w:tabs>
          <w:tab w:val="right" w:leader="dot" w:pos="9360"/>
        </w:tabs>
      </w:pPr>
      <w:r>
        <w:fldChar w:fldCharType="begin"/>
      </w:r>
      <w:r>
        <w:instrText xml:space="preserve"> TOC \f \o "1-9" \o "1-9" </w:instrText>
      </w:r>
      <w:r>
        <w:fldChar w:fldCharType="separate"/>
      </w:r>
      <w:r>
        <w:t>INTRODUCTION</w:t>
      </w:r>
      <w:r>
        <w:tab/>
      </w:r>
      <w:hyperlink w:anchor="__RefHeading__30905_507815928" w:history="1">
        <w:r>
          <w:rPr>
            <w:rStyle w:val="IndexLink"/>
          </w:rPr>
          <w:t>3</w:t>
        </w:r>
      </w:hyperlink>
    </w:p>
    <w:p w14:paraId="7DC7149D" w14:textId="77777777" w:rsidR="005B6444" w:rsidRDefault="00CE4258">
      <w:pPr>
        <w:pStyle w:val="TOC1"/>
        <w:tabs>
          <w:tab w:val="right" w:leader="dot" w:pos="9360"/>
        </w:tabs>
      </w:pPr>
      <w:r>
        <w:t>MAIN BODY</w:t>
      </w:r>
      <w:r>
        <w:tab/>
      </w:r>
      <w:hyperlink w:anchor="__RefHeading__30907_507815928" w:history="1">
        <w:r>
          <w:rPr>
            <w:rStyle w:val="IndexLink"/>
          </w:rPr>
          <w:t>3</w:t>
        </w:r>
      </w:hyperlink>
    </w:p>
    <w:p w14:paraId="7DC7149E" w14:textId="77777777" w:rsidR="005B6444" w:rsidRDefault="00CE4258">
      <w:pPr>
        <w:pStyle w:val="TOC2"/>
        <w:tabs>
          <w:tab w:val="right" w:leader="dot" w:pos="9360"/>
        </w:tabs>
      </w:pPr>
      <w:r>
        <w:t>Major community issues</w:t>
      </w:r>
      <w:r>
        <w:tab/>
      </w:r>
      <w:hyperlink w:anchor="__RefHeading__30909_507815928" w:history="1">
        <w:r>
          <w:rPr>
            <w:rStyle w:val="IndexLink"/>
          </w:rPr>
          <w:t>3</w:t>
        </w:r>
      </w:hyperlink>
    </w:p>
    <w:p w14:paraId="7DC7149F" w14:textId="77777777" w:rsidR="005B6444" w:rsidRDefault="00CE4258">
      <w:pPr>
        <w:pStyle w:val="TOC2"/>
        <w:tabs>
          <w:tab w:val="right" w:leader="dot" w:pos="9360"/>
        </w:tabs>
      </w:pPr>
      <w:r>
        <w:t>Describing programme or project</w:t>
      </w:r>
      <w:r>
        <w:tab/>
      </w:r>
      <w:hyperlink w:anchor="__RefHeading__30911_507815928" w:history="1">
        <w:r>
          <w:rPr>
            <w:rStyle w:val="IndexLink"/>
          </w:rPr>
          <w:t>3</w:t>
        </w:r>
      </w:hyperlink>
    </w:p>
    <w:p w14:paraId="7DC714A0" w14:textId="77777777" w:rsidR="005B6444" w:rsidRDefault="00CE4258">
      <w:pPr>
        <w:pStyle w:val="TOC2"/>
        <w:tabs>
          <w:tab w:val="right" w:leader="dot" w:pos="9360"/>
        </w:tabs>
      </w:pPr>
      <w:r>
        <w:t>Analysing the best practices based on community engagement principle</w:t>
      </w:r>
      <w:r>
        <w:tab/>
      </w:r>
      <w:hyperlink w:anchor="__RefHeading__30913_507815928" w:history="1">
        <w:r>
          <w:rPr>
            <w:rStyle w:val="IndexLink"/>
          </w:rPr>
          <w:t>4</w:t>
        </w:r>
      </w:hyperlink>
    </w:p>
    <w:p w14:paraId="7DC714A1" w14:textId="77777777" w:rsidR="005B6444" w:rsidRDefault="00CE4258">
      <w:pPr>
        <w:pStyle w:val="TOC2"/>
        <w:tabs>
          <w:tab w:val="right" w:leader="dot" w:pos="9360"/>
        </w:tabs>
      </w:pPr>
      <w:r>
        <w:t>Benefits of stakeholders participation in the project</w:t>
      </w:r>
      <w:r>
        <w:tab/>
      </w:r>
      <w:hyperlink w:anchor="__RefHeading__30915_507815928" w:history="1">
        <w:r>
          <w:rPr>
            <w:rStyle w:val="IndexLink"/>
          </w:rPr>
          <w:t>4</w:t>
        </w:r>
      </w:hyperlink>
    </w:p>
    <w:p w14:paraId="7DC714A2" w14:textId="77777777" w:rsidR="005B6444" w:rsidRDefault="00CE4258">
      <w:pPr>
        <w:pStyle w:val="TOC2"/>
        <w:tabs>
          <w:tab w:val="right" w:leader="dot" w:pos="9360"/>
        </w:tabs>
      </w:pPr>
      <w:r>
        <w:t>Establishing relations between stakeholders and what tactics are suitable for engaging them</w:t>
      </w:r>
      <w:r>
        <w:tab/>
      </w:r>
      <w:hyperlink w:anchor="__RefHeading__30917_507815928" w:history="1">
        <w:r>
          <w:rPr>
            <w:rStyle w:val="IndexLink"/>
          </w:rPr>
          <w:t>5</w:t>
        </w:r>
      </w:hyperlink>
    </w:p>
    <w:p w14:paraId="7DC714A3" w14:textId="77777777" w:rsidR="005B6444" w:rsidRDefault="00CE4258">
      <w:pPr>
        <w:pStyle w:val="TOC2"/>
        <w:tabs>
          <w:tab w:val="right" w:leader="dot" w:pos="9360"/>
        </w:tabs>
      </w:pPr>
      <w:r>
        <w:t>Detailed explanation of how different social media sources can be utilized as an outreach to support the project</w:t>
      </w:r>
      <w:r>
        <w:tab/>
      </w:r>
      <w:hyperlink w:anchor="__RefHeading__30919_507815928" w:history="1">
        <w:r>
          <w:rPr>
            <w:rStyle w:val="IndexLink"/>
          </w:rPr>
          <w:t>6</w:t>
        </w:r>
      </w:hyperlink>
    </w:p>
    <w:p w14:paraId="7DC714A4" w14:textId="77777777" w:rsidR="005B6444" w:rsidRDefault="00CE4258">
      <w:pPr>
        <w:pStyle w:val="TOC2"/>
        <w:tabs>
          <w:tab w:val="right" w:leader="dot" w:pos="9360"/>
        </w:tabs>
      </w:pPr>
      <w:r>
        <w:t>Exploring suitable avenues to promote community participation, inclusion to enable socio-cultural integration, multi-culturalism and collaboration</w:t>
      </w:r>
      <w:r>
        <w:tab/>
      </w:r>
      <w:hyperlink w:anchor="__RefHeading__30921_507815928" w:history="1">
        <w:r>
          <w:rPr>
            <w:rStyle w:val="IndexLink"/>
          </w:rPr>
          <w:t>6</w:t>
        </w:r>
      </w:hyperlink>
    </w:p>
    <w:p w14:paraId="7DC714A5" w14:textId="77777777" w:rsidR="005B6444" w:rsidRDefault="00CE4258">
      <w:pPr>
        <w:pStyle w:val="TOC2"/>
        <w:tabs>
          <w:tab w:val="right" w:leader="dot" w:pos="9360"/>
        </w:tabs>
      </w:pPr>
      <w:r>
        <w:t>Considering why community engagement practitioner needs to adopt a forward-looking method to educate society members on internal &amp; external factors that influence community development</w:t>
      </w:r>
      <w:r>
        <w:tab/>
      </w:r>
      <w:hyperlink w:anchor="__RefHeading__30923_507815928" w:history="1">
        <w:r>
          <w:rPr>
            <w:rStyle w:val="IndexLink"/>
          </w:rPr>
          <w:t>7</w:t>
        </w:r>
      </w:hyperlink>
    </w:p>
    <w:p w14:paraId="7DC714A6" w14:textId="77777777" w:rsidR="005B6444" w:rsidRDefault="00CE4258">
      <w:pPr>
        <w:pStyle w:val="TOC1"/>
        <w:tabs>
          <w:tab w:val="right" w:leader="dot" w:pos="9360"/>
        </w:tabs>
      </w:pPr>
      <w:r>
        <w:t>CONCLUSION</w:t>
      </w:r>
      <w:r>
        <w:tab/>
      </w:r>
      <w:hyperlink w:anchor="__RefHeading__30925_507815928" w:history="1">
        <w:r>
          <w:rPr>
            <w:rStyle w:val="IndexLink"/>
          </w:rPr>
          <w:t>7</w:t>
        </w:r>
      </w:hyperlink>
    </w:p>
    <w:p w14:paraId="7DC714A7" w14:textId="77777777" w:rsidR="005B6444" w:rsidRDefault="00CE4258">
      <w:pPr>
        <w:pStyle w:val="TOC1"/>
        <w:tabs>
          <w:tab w:val="right" w:leader="dot" w:pos="9360"/>
        </w:tabs>
      </w:pPr>
      <w:r>
        <w:t>REFERENCES</w:t>
      </w:r>
      <w:r>
        <w:tab/>
      </w:r>
      <w:hyperlink w:anchor="__RefHeading__30927_507815928" w:history="1">
        <w:r>
          <w:rPr>
            <w:rStyle w:val="IndexLink"/>
          </w:rPr>
          <w:t>9</w:t>
        </w:r>
      </w:hyperlink>
    </w:p>
    <w:p w14:paraId="7DC714A8" w14:textId="77777777" w:rsidR="005B6444" w:rsidRDefault="00CE4258">
      <w:pPr>
        <w:pStyle w:val="ContentsHeading"/>
        <w:tabs>
          <w:tab w:val="right" w:leader="dot" w:pos="9360"/>
        </w:tabs>
        <w:rPr>
          <w:color w:val="000000"/>
          <w:shd w:val="clear" w:color="auto" w:fill="FFFFFF"/>
        </w:rPr>
      </w:pPr>
      <w:r>
        <w:fldChar w:fldCharType="end"/>
      </w:r>
    </w:p>
    <w:p w14:paraId="7DC714A9" w14:textId="77777777" w:rsidR="005B6444" w:rsidRDefault="00CE4258">
      <w:pPr>
        <w:pStyle w:val="Heading1"/>
        <w:pageBreakBefore/>
      </w:pPr>
      <w:bookmarkStart w:id="0" w:name="__RefHeading__30905_507815928"/>
      <w:bookmarkStart w:id="1" w:name="__RefHeading__59248_285454971"/>
      <w:bookmarkEnd w:id="0"/>
      <w:bookmarkEnd w:id="1"/>
      <w:r>
        <w:t>INTRODUCTION</w:t>
      </w:r>
    </w:p>
    <w:p w14:paraId="7DC714AA" w14:textId="77777777" w:rsidR="005B6444" w:rsidRDefault="00CE4258">
      <w:pPr>
        <w:pStyle w:val="BodyText"/>
      </w:pPr>
      <w:r>
        <w:tab/>
        <w:t xml:space="preserve">Community engagement is defined as procedure of performing collaboratively and coordinatively with groups of individuals who attempt to overcome the negative impact of varied community challenges and efforts to enhance the living standard of all in their society. The current assignment will be based on community problems that occur within UK, such as lack of environmental sustainability and poverty. The study will describe programme, design in the context of above challenges and also define the best practices that will take regarding these. Furthermore, lastly, the report will define how different social media channels can contribute to engage the stakeholders. </w:t>
      </w:r>
    </w:p>
    <w:p w14:paraId="7DC714AB" w14:textId="77777777" w:rsidR="005B6444" w:rsidRDefault="00CE4258">
      <w:pPr>
        <w:pStyle w:val="Heading1"/>
      </w:pPr>
      <w:bookmarkStart w:id="2" w:name="__RefHeading__30907_507815928"/>
      <w:bookmarkStart w:id="3" w:name="__RefHeading__59250_285454971"/>
      <w:bookmarkEnd w:id="2"/>
      <w:bookmarkEnd w:id="3"/>
      <w:r>
        <w:t>MAIN BODY</w:t>
      </w:r>
    </w:p>
    <w:p w14:paraId="7DC714AC" w14:textId="77777777" w:rsidR="005B6444" w:rsidRDefault="00CE4258">
      <w:pPr>
        <w:pStyle w:val="Heading2"/>
        <w:rPr>
          <w:bCs w:val="0"/>
        </w:rPr>
      </w:pPr>
      <w:bookmarkStart w:id="4" w:name="__RefHeading__30909_507815928"/>
      <w:bookmarkStart w:id="5" w:name="__RefHeading__59252_285454971"/>
      <w:bookmarkEnd w:id="4"/>
      <w:bookmarkEnd w:id="5"/>
      <w:r>
        <w:t>Major community issues</w:t>
      </w:r>
    </w:p>
    <w:p w14:paraId="7DC714AD" w14:textId="77777777" w:rsidR="005B6444" w:rsidRDefault="00CE4258">
      <w:pPr>
        <w:pStyle w:val="BodyText"/>
      </w:pPr>
      <w:r>
        <w:tab/>
        <w:t xml:space="preserve">In the Britain, charity organizations such as World wildlife fund, Inc. effort to prevent the environment and whole planet from those external factors that affecting negatively upon their sustainability and effectiveness in the recent time. </w:t>
      </w:r>
    </w:p>
    <w:p w14:paraId="7DC714AE" w14:textId="77777777" w:rsidR="005B6444" w:rsidRDefault="00CE4258">
      <w:pPr>
        <w:pStyle w:val="BodyText"/>
        <w:rPr>
          <w:b/>
          <w:bCs/>
        </w:rPr>
      </w:pPr>
      <w:r>
        <w:tab/>
        <w:t>Just like this, firm deal with major community challenges in the UK. Here, specific two issues describe and these are;</w:t>
      </w:r>
    </w:p>
    <w:p w14:paraId="7DC714AF" w14:textId="77777777" w:rsidR="005B6444" w:rsidRDefault="00CE4258">
      <w:pPr>
        <w:pStyle w:val="BodyText"/>
      </w:pPr>
      <w:r>
        <w:rPr>
          <w:b/>
          <w:bCs/>
        </w:rPr>
        <w:t>Poverty-</w:t>
      </w:r>
    </w:p>
    <w:p w14:paraId="7DC714B0" w14:textId="77777777" w:rsidR="005B6444" w:rsidRDefault="00CE4258">
      <w:pPr>
        <w:pStyle w:val="BodyText"/>
        <w:rPr>
          <w:b/>
          <w:bCs/>
        </w:rPr>
      </w:pPr>
      <w:r>
        <w:tab/>
        <w:t>It is one of those issues that recently put negative impact on community well-being and people who leave under that (</w:t>
      </w:r>
      <w:proofErr w:type="spellStart"/>
      <w:r>
        <w:rPr>
          <w:color w:val="222222"/>
          <w:szCs w:val="24"/>
        </w:rPr>
        <w:t>Gohori</w:t>
      </w:r>
      <w:proofErr w:type="spellEnd"/>
      <w:r>
        <w:rPr>
          <w:color w:val="222222"/>
          <w:szCs w:val="24"/>
        </w:rPr>
        <w:t xml:space="preserve"> and van der Merwe, 2020</w:t>
      </w:r>
      <w:r>
        <w:t>). The high extent of deprivation within Britain may continue to make life a daily challenging for individuals, neighbourhoods and families where too many individuals have lower life needs, high exposure of criminal activities, high extent of unemployment and low level of educational attainment. Pandemic may become the main reason behind increasing the percentage or raise the degree of this issue.</w:t>
      </w:r>
    </w:p>
    <w:p w14:paraId="7DC714B1" w14:textId="77777777" w:rsidR="005B6444" w:rsidRDefault="00CE4258">
      <w:pPr>
        <w:pStyle w:val="BodyText"/>
      </w:pPr>
      <w:r>
        <w:rPr>
          <w:b/>
          <w:bCs/>
        </w:rPr>
        <w:t>Environmental concerns-</w:t>
      </w:r>
    </w:p>
    <w:p w14:paraId="7DC714B2" w14:textId="77777777" w:rsidR="005B6444" w:rsidRDefault="00CE4258">
      <w:pPr>
        <w:pStyle w:val="BodyText"/>
      </w:pPr>
      <w:r>
        <w:tab/>
        <w:t>Low carbon community challenge is another issue that organizations like WWF may effort to deal and also engage other individuals to do the same, in order to prevent the beauty of nature and animals who died due to water and other forms of pollutions, just because of high consumption of no-recyclable products (</w:t>
      </w:r>
      <w:r>
        <w:rPr>
          <w:color w:val="222222"/>
          <w:szCs w:val="24"/>
        </w:rPr>
        <w:t>Napper and Thompson, 2020</w:t>
      </w:r>
      <w:r>
        <w:t>).</w:t>
      </w:r>
    </w:p>
    <w:p w14:paraId="7DC714B3" w14:textId="77777777" w:rsidR="005B6444" w:rsidRDefault="00CE4258">
      <w:pPr>
        <w:pStyle w:val="Heading2"/>
        <w:rPr>
          <w:bCs w:val="0"/>
        </w:rPr>
      </w:pPr>
      <w:bookmarkStart w:id="6" w:name="__RefHeading__30911_507815928"/>
      <w:bookmarkStart w:id="7" w:name="__RefHeading__59254_285454971"/>
      <w:bookmarkEnd w:id="6"/>
      <w:bookmarkEnd w:id="7"/>
      <w:r>
        <w:t>Describing programme or project</w:t>
      </w:r>
    </w:p>
    <w:p w14:paraId="7DC714B4" w14:textId="77777777" w:rsidR="005B6444" w:rsidRDefault="00CE4258">
      <w:pPr>
        <w:pStyle w:val="BodyText"/>
      </w:pPr>
      <w:r>
        <w:tab/>
        <w:t>In order to overcome the key community challenges that had discussed above, chose firm may play vital role in term of generating awareness about these challenges, by using specific tools, techniques and methods. By doing so, it may contribute to engage those individuals who may eagerly take part in such an effective community programmes, through which they may support poor or needy people and also help others to save the environment from harmful factors. According to its programme, stakeholders may take legal action in term of presenting a report to national and international authority about each issue in specific manner, which is important for everyone includes local people, animals and other well-fare communities (</w:t>
      </w:r>
      <w:r>
        <w:rPr>
          <w:i/>
          <w:iCs/>
        </w:rPr>
        <w:t xml:space="preserve">Social Problems facing Britain, </w:t>
      </w:r>
      <w:r>
        <w:t xml:space="preserve">2020). The main objective of this project, it </w:t>
      </w:r>
      <w:proofErr w:type="spellStart"/>
      <w:r>
        <w:t>to</w:t>
      </w:r>
      <w:proofErr w:type="spellEnd"/>
      <w:r>
        <w:t xml:space="preserve"> aware everyone about the factors that influence negatively and may put adverse impact on community growth and development, which is quite essential to grow rapidly.</w:t>
      </w:r>
    </w:p>
    <w:p w14:paraId="7DC714B5" w14:textId="77777777" w:rsidR="005B6444" w:rsidRDefault="00CE4258">
      <w:pPr>
        <w:pStyle w:val="Heading2"/>
      </w:pPr>
      <w:bookmarkStart w:id="8" w:name="__RefHeading__30913_507815928"/>
      <w:bookmarkStart w:id="9" w:name="__RefHeading__59256_285454971"/>
      <w:bookmarkEnd w:id="8"/>
      <w:bookmarkEnd w:id="9"/>
      <w:r>
        <w:t>Analysing the best practices based on community engagement principle</w:t>
      </w:r>
    </w:p>
    <w:p w14:paraId="7DC714B6" w14:textId="77777777" w:rsidR="005B6444" w:rsidRDefault="00CE4258">
      <w:pPr>
        <w:pStyle w:val="BodyText"/>
      </w:pPr>
      <w:r>
        <w:tab/>
        <w:t>In order to make current project successful, it is important for developer to follow the principles of community engagement and standards, because it enables them to obtain desire outcomes. According to the community engagement norms, it is important for project handler to be clear about their purpose and aim as they clarify the main motive behind conducting the practice of programme, which help to engage each stakeholder into that (</w:t>
      </w:r>
      <w:r>
        <w:rPr>
          <w:color w:val="222222"/>
          <w:szCs w:val="24"/>
        </w:rPr>
        <w:t>Martinez and et.al., 2020</w:t>
      </w:r>
      <w:r>
        <w:t xml:space="preserve">). Effective communication is the major part of programme success, it may allow individual candidates to develop better understanding about two main community challenge that highlighted in study. Furthermore, as per the second principle, it is significant for WWF and its participants to become knowledgeable about the culture, conditions, political &amp; power structure, social networks, values and economic growth extent in the nation, where these challenges emerged and may affect negatively upon progress of economy. </w:t>
      </w:r>
    </w:p>
    <w:p w14:paraId="7DC714B7" w14:textId="77777777" w:rsidR="005B6444" w:rsidRDefault="00CE4258">
      <w:pPr>
        <w:pStyle w:val="BodyText"/>
      </w:pPr>
      <w:r>
        <w:tab/>
        <w:t>The most important practice that they may conduct is to build trust between stakeholders, because it allows everyone to work in productive and effective manner, without facing challenge as trust is the key to success or succeed in any plan or project (</w:t>
      </w:r>
      <w:proofErr w:type="spellStart"/>
      <w:r>
        <w:rPr>
          <w:color w:val="222222"/>
          <w:szCs w:val="24"/>
        </w:rPr>
        <w:t>Prevo</w:t>
      </w:r>
      <w:proofErr w:type="spellEnd"/>
      <w:r>
        <w:rPr>
          <w:color w:val="222222"/>
          <w:szCs w:val="24"/>
        </w:rPr>
        <w:t xml:space="preserve">, </w:t>
      </w:r>
      <w:proofErr w:type="spellStart"/>
      <w:r>
        <w:rPr>
          <w:color w:val="222222"/>
          <w:szCs w:val="24"/>
        </w:rPr>
        <w:t>Kremers</w:t>
      </w:r>
      <w:proofErr w:type="spellEnd"/>
      <w:r>
        <w:rPr>
          <w:color w:val="222222"/>
          <w:szCs w:val="24"/>
        </w:rPr>
        <w:t xml:space="preserve"> and Jansen,  2020</w:t>
      </w:r>
      <w:r>
        <w:t>). It may contribute to build a strong team of players who may always ready to take initiative to achieve set goals whether it is long or short.</w:t>
      </w:r>
    </w:p>
    <w:p w14:paraId="7DC714B8" w14:textId="77777777" w:rsidR="005B6444" w:rsidRDefault="00CE4258">
      <w:pPr>
        <w:pStyle w:val="Heading2"/>
      </w:pPr>
      <w:bookmarkStart w:id="10" w:name="__RefHeading__30915_507815928"/>
      <w:bookmarkStart w:id="11" w:name="__RefHeading__59258_285454971"/>
      <w:bookmarkEnd w:id="10"/>
      <w:bookmarkEnd w:id="11"/>
      <w:r>
        <w:t>Benefits of stakeholders participation in the project</w:t>
      </w:r>
    </w:p>
    <w:p w14:paraId="7DC714B9" w14:textId="77777777" w:rsidR="005B6444" w:rsidRDefault="00CE4258">
      <w:pPr>
        <w:pStyle w:val="BodyText"/>
      </w:pPr>
      <w:r>
        <w:tab/>
        <w:t>In community well-being project, local people as residents, community teams, government workers, governmental bodies, charity organizations such as WWF and developers are considered as the stakeholders, who may obtain a lot of advantages by engaging themselves in current programme. For example, all residents in the UK may gain the benefit of project, in term of improving their living standard and obtaining employment chances through which they may overcome the negative impacts of poverty (</w:t>
      </w:r>
      <w:r>
        <w:rPr>
          <w:color w:val="222222"/>
          <w:szCs w:val="24"/>
        </w:rPr>
        <w:t>Giordano and et.al., 2020</w:t>
      </w:r>
      <w:r>
        <w:t xml:space="preserve">). </w:t>
      </w:r>
    </w:p>
    <w:p w14:paraId="7DC714BA" w14:textId="77777777" w:rsidR="005B6444" w:rsidRDefault="00CE4258">
      <w:pPr>
        <w:pStyle w:val="BodyText"/>
      </w:pPr>
      <w:r>
        <w:tab/>
        <w:t xml:space="preserve">Furthermore, governmental bodies may also gain the advantage of making their nation sustainable and progressive. This project may help to eliminate the negative affect of carbon foot print on environment, which means organizations may gain the attention of those travellers who may seek to visit pollutions free and beautiful destinations where pollution level is less than other holiday locations. </w:t>
      </w:r>
    </w:p>
    <w:p w14:paraId="7DC714BB" w14:textId="77777777" w:rsidR="005B6444" w:rsidRDefault="00CE4258">
      <w:pPr>
        <w:pStyle w:val="BodyText"/>
      </w:pPr>
      <w:r>
        <w:tab/>
        <w:t>By engaging in existing project, community groups may boost the morale of other individuals to stop everyone about spreading their own shit that emerge become the main reason behind land and water pollution.</w:t>
      </w:r>
    </w:p>
    <w:p w14:paraId="7DC714BC" w14:textId="77777777" w:rsidR="005B6444" w:rsidRDefault="00CE4258">
      <w:pPr>
        <w:pStyle w:val="Heading2"/>
      </w:pPr>
      <w:bookmarkStart w:id="12" w:name="__RefHeading__30917_507815928"/>
      <w:bookmarkStart w:id="13" w:name="__RefHeading__59260_285454971"/>
      <w:bookmarkEnd w:id="12"/>
      <w:bookmarkEnd w:id="13"/>
      <w:r>
        <w:t>Establishing relations between stakeholders and what tactics are suitable for engaging them</w:t>
      </w:r>
    </w:p>
    <w:p w14:paraId="7DC714BD" w14:textId="77777777" w:rsidR="005B6444" w:rsidRDefault="00CE4258">
      <w:pPr>
        <w:pStyle w:val="BodyText"/>
      </w:pPr>
      <w:r>
        <w:tab/>
        <w:t xml:space="preserve">Community engagement practitioner may effort to develop effective and strong relationship between all stakeholders by conducting several practices. For instance, they may take action to give opportunity to collaborate and coordinate with each other, which make them able to develop better understanding about behaviour, issue, attribute and thinking of all the stakeholders. </w:t>
      </w:r>
    </w:p>
    <w:p w14:paraId="7DC714BE" w14:textId="77777777" w:rsidR="005B6444" w:rsidRDefault="00CE4258">
      <w:pPr>
        <w:pStyle w:val="BodyText"/>
      </w:pPr>
      <w:r>
        <w:tab/>
        <w:t>Furthermore, in order to engage all the people, it is quite important and beneficial to develop strategic strategies, which may encompass key approaches (</w:t>
      </w:r>
      <w:proofErr w:type="spellStart"/>
      <w:r>
        <w:rPr>
          <w:color w:val="222222"/>
          <w:szCs w:val="24"/>
        </w:rPr>
        <w:t>Islm</w:t>
      </w:r>
      <w:proofErr w:type="spellEnd"/>
      <w:r>
        <w:rPr>
          <w:color w:val="222222"/>
          <w:szCs w:val="24"/>
        </w:rPr>
        <w:t xml:space="preserve"> and et.al., 2021</w:t>
      </w:r>
      <w:r>
        <w:t>). For example, they may choose the best and most effective social media platforms, through which practitioner may engage everyone in current plan and drive their attention towards overcome community challenges such as poverty and environmental concern of individual person and UK government.</w:t>
      </w:r>
    </w:p>
    <w:p w14:paraId="7DC714BF" w14:textId="77777777" w:rsidR="005B6444" w:rsidRDefault="00CE4258">
      <w:pPr>
        <w:pStyle w:val="BodyText"/>
      </w:pPr>
      <w:r>
        <w:tab/>
      </w:r>
      <w:r>
        <w:rPr>
          <w:b/>
          <w:bCs/>
        </w:rPr>
        <w:t xml:space="preserve">Facebook, Twitter and Instagram </w:t>
      </w:r>
      <w:r>
        <w:t>are the most beneficial and useful approaches that practitioner may take into their consideration to engage everyone in environment and human well-being plan. With the help of these valuable sources, they may generate the awareness of each community challenge and gain the attention of everyone towards making their useful and precious contribution, these individuals may be those who belongs to different nation of region. Promoter may take action to create their social media account, through which they may aware people about what issues recently affecting community or economic growth (</w:t>
      </w:r>
      <w:r>
        <w:rPr>
          <w:color w:val="222222"/>
          <w:szCs w:val="24"/>
        </w:rPr>
        <w:t>Li and Feng, 2021</w:t>
      </w:r>
      <w:r>
        <w:t>). It may enable them to obtain desire outcomes in effective manner and save their time to create helpful ideas, as they may get chance to obtain this in a bulk.</w:t>
      </w:r>
    </w:p>
    <w:p w14:paraId="7DC714C0" w14:textId="77777777" w:rsidR="005B6444" w:rsidRDefault="00CE4258">
      <w:pPr>
        <w:pStyle w:val="Heading2"/>
        <w:rPr>
          <w:b/>
        </w:rPr>
      </w:pPr>
      <w:bookmarkStart w:id="14" w:name="__RefHeading__30919_507815928"/>
      <w:bookmarkStart w:id="15" w:name="__RefHeading__59262_285454971"/>
      <w:bookmarkEnd w:id="14"/>
      <w:bookmarkEnd w:id="15"/>
      <w:r>
        <w:t>Detailed explanation of how different social media sources can be utilized as an outreach to support the project</w:t>
      </w:r>
    </w:p>
    <w:p w14:paraId="7DC714C1" w14:textId="77777777" w:rsidR="005B6444" w:rsidRDefault="00CE4258">
      <w:pPr>
        <w:pStyle w:val="BodyText"/>
      </w:pPr>
      <w:r>
        <w:rPr>
          <w:b/>
          <w:bCs/>
        </w:rPr>
        <w:tab/>
      </w:r>
      <w:r>
        <w:t>Whether it is Facebook and Instagram, each social media platform may provide the benefit to current community well-being project, in term of awaking people across the nation about what challenges within UK, community and individuals who become a part of that are facing in the recent time, due to poverty and lack of environmental sustainability (</w:t>
      </w:r>
      <w:r>
        <w:rPr>
          <w:color w:val="222222"/>
          <w:szCs w:val="24"/>
        </w:rPr>
        <w:t>Hollander, and et.al., 2020</w:t>
      </w:r>
      <w:r>
        <w:t xml:space="preserve">). For example, in today's time, most of the people may utilize Instagram to promote their venture, products and services. Just like them, practitioner may also take action to advertise their motive in market, which in turn enable them to take pleasure of unexpected benefits like gathering of many individuals who may take stand to reduce carbon foot print and extent of poverty, which negatively influence everyone that unable to educate their children, fulfil their needs and give them a better lifestyle. </w:t>
      </w:r>
    </w:p>
    <w:p w14:paraId="7DC714C2" w14:textId="77777777" w:rsidR="005B6444" w:rsidRDefault="00CE4258">
      <w:pPr>
        <w:pStyle w:val="BodyText"/>
        <w:rPr>
          <w:b/>
          <w:bCs/>
        </w:rPr>
      </w:pPr>
      <w:r>
        <w:tab/>
        <w:t>The key benefit of any social media channel that a promoter may grab is engagement of those stakeholders that are capable and efficiency to support in success of project. For example, they are able to provide charity in term of money, which most of the charitable trust or organizations like chosen one may utilize to overcome the poverty (</w:t>
      </w:r>
      <w:proofErr w:type="spellStart"/>
      <w:r>
        <w:rPr>
          <w:color w:val="222222"/>
          <w:szCs w:val="24"/>
        </w:rPr>
        <w:t>Schønning</w:t>
      </w:r>
      <w:proofErr w:type="spellEnd"/>
      <w:r>
        <w:rPr>
          <w:color w:val="222222"/>
          <w:szCs w:val="24"/>
        </w:rPr>
        <w:t xml:space="preserve"> and et.al., 2020</w:t>
      </w:r>
      <w:r>
        <w:t xml:space="preserve">). Furthermore, Instagram, Twitter and Facebook promotion reach at unexpected level, which aware people about extent what they harm environment by using non-recyclable materials and products. </w:t>
      </w:r>
    </w:p>
    <w:p w14:paraId="7DC714C3" w14:textId="77777777" w:rsidR="005B6444" w:rsidRDefault="00CE4258">
      <w:pPr>
        <w:pStyle w:val="BodyText"/>
      </w:pPr>
      <w:r>
        <w:rPr>
          <w:b/>
          <w:bCs/>
        </w:rPr>
        <w:t>Creative thinking and professional skills-</w:t>
      </w:r>
    </w:p>
    <w:p w14:paraId="7DC714C4" w14:textId="77777777" w:rsidR="005B6444" w:rsidRDefault="00CE4258">
      <w:pPr>
        <w:pStyle w:val="BodyText"/>
      </w:pPr>
      <w:r>
        <w:tab/>
        <w:t xml:space="preserve">Digital technology usage is just not enough to promote community participation, and for stakeholders engagement. Skills and great knowledge about these technologies may also play important role. It is quite essential for individual participant to have creative thinking skill, which enable them to find out the appropriate and useful solution regarding how to overcome the poverty and negative impact of carbon foot print as well as forms of pollution upon environment sustainability. Furthermore, they may also effort to develop and use decision-making and problem solving as well as effective planning and collaborative skills. </w:t>
      </w:r>
    </w:p>
    <w:p w14:paraId="7DC714C5" w14:textId="77777777" w:rsidR="005B6444" w:rsidRDefault="00CE4258">
      <w:pPr>
        <w:pStyle w:val="Heading2"/>
      </w:pPr>
      <w:bookmarkStart w:id="16" w:name="__RefHeading__30921_507815928"/>
      <w:bookmarkStart w:id="17" w:name="__RefHeading__59264_285454971"/>
      <w:bookmarkEnd w:id="16"/>
      <w:bookmarkEnd w:id="17"/>
      <w:r>
        <w:t>Exploring suitable avenues to promote community participation, inclusion to enable socio-cultural integration, multi-culturalism and collaboration</w:t>
      </w:r>
    </w:p>
    <w:p w14:paraId="7DC714C6" w14:textId="77777777" w:rsidR="005B6444" w:rsidRDefault="00CE4258">
      <w:pPr>
        <w:pStyle w:val="BodyText"/>
      </w:pPr>
      <w:r>
        <w:tab/>
        <w:t>Community participation is considered as involvement of many individuals in a community project, who may take action to solve specific issue or challenge by providing appropriate solutions and in other terms. It may be promoted by using effective techniques and approaches. For example, social media channels that contribute to promote the overall process as it enable individual participants to communicate or interact with each other and ask important questions about current community project, for which they are gathering and taking initiative to work together. Facebook in the recent time is the best avenue, through which promoter may obtain unpredicted benefits in a bulk, without conducting too much efforts. It may enable them to advert-</w:t>
      </w:r>
      <w:proofErr w:type="spellStart"/>
      <w:r>
        <w:t>ize</w:t>
      </w:r>
      <w:proofErr w:type="spellEnd"/>
      <w:r>
        <w:t xml:space="preserve"> community participation, by creating official account on chosen approach, where they mention details about project and aims for which they expect from all to take part. </w:t>
      </w:r>
    </w:p>
    <w:p w14:paraId="7DC714C7" w14:textId="77777777" w:rsidR="005B6444" w:rsidRDefault="00CE4258">
      <w:pPr>
        <w:pStyle w:val="BodyText"/>
      </w:pPr>
      <w:r>
        <w:tab/>
        <w:t xml:space="preserve">It can be said that social media is just not been limited to promote venture, or developing bunch of followers, but it also helps to enhance the extent of engagement with a community in the UK, where people seek to obtain valuable support and help from those who may do so. </w:t>
      </w:r>
    </w:p>
    <w:p w14:paraId="7DC714C8" w14:textId="77777777" w:rsidR="005B6444" w:rsidRDefault="00CE4258">
      <w:pPr>
        <w:pStyle w:val="BodyText"/>
      </w:pPr>
      <w:r>
        <w:tab/>
        <w:t xml:space="preserve">With the help of these methods, collaborative practice between all stakeholders may also conduct. They may conduct practices related to socio-cultural integration and </w:t>
      </w:r>
      <w:proofErr w:type="spellStart"/>
      <w:r>
        <w:t>muti</w:t>
      </w:r>
      <w:proofErr w:type="spellEnd"/>
      <w:r>
        <w:t>-culturalism, which concerned with queries of whether ethnic minority teams become part of obtaining community from host nation.</w:t>
      </w:r>
    </w:p>
    <w:p w14:paraId="7DC714C9" w14:textId="77777777" w:rsidR="005B6444" w:rsidRDefault="00CE4258">
      <w:pPr>
        <w:pStyle w:val="Heading2"/>
      </w:pPr>
      <w:bookmarkStart w:id="18" w:name="__RefHeading__30923_507815928"/>
      <w:bookmarkStart w:id="19" w:name="__RefHeading__59266_285454971"/>
      <w:bookmarkEnd w:id="18"/>
      <w:bookmarkEnd w:id="19"/>
      <w:r>
        <w:t>Considering why community engagement practitioner needs to adopt a forward-looking method to educate society members on internal &amp; external factors that influence community development</w:t>
      </w:r>
    </w:p>
    <w:p w14:paraId="7DC714CA" w14:textId="77777777" w:rsidR="005B6444" w:rsidRDefault="00CE4258">
      <w:pPr>
        <w:pStyle w:val="BodyText"/>
      </w:pPr>
      <w:r>
        <w:tab/>
        <w:t xml:space="preserve">The main reason to effectively and appropriately adopt a forward-looking technique to educate community members on several factors whether it is external or internal, is to enhance their engagement level in community well-being programme, because due to that they may take action to overcome challenges and develop strategic strategies to reduce risk of their occurrence.  By developing better comprehending about these forces, individual participant or stakeholder may aware themselves about how to develop a plan through which they may stop emerging chance to any community challenge that may put negative impact on society growth and development.  </w:t>
      </w:r>
    </w:p>
    <w:p w14:paraId="7DC714CB" w14:textId="77777777" w:rsidR="005B6444" w:rsidRDefault="00CE4258">
      <w:pPr>
        <w:pStyle w:val="Heading1"/>
      </w:pPr>
      <w:bookmarkStart w:id="20" w:name="__RefHeading__30925_507815928"/>
      <w:bookmarkStart w:id="21" w:name="__RefHeading__59268_285454971"/>
      <w:bookmarkEnd w:id="20"/>
      <w:bookmarkEnd w:id="21"/>
      <w:r>
        <w:t>CONCLUSION</w:t>
      </w:r>
    </w:p>
    <w:p w14:paraId="7DC714CC" w14:textId="4D5E5FB8" w:rsidR="005B6444" w:rsidRDefault="00CE4258">
      <w:pPr>
        <w:pStyle w:val="BodyText"/>
      </w:pPr>
      <w:r>
        <w:tab/>
        <w:t xml:space="preserve">From the above analysis, it has been concluded that charity organizations within UK has overcome the negative impact of community challenges in effective manner, and enhanced the living standard of local people by providing appropriate support to them. By taking suitable actions and engaging key stakeholders in current programme, they have reduced that adverse impact of each issue. Furthermore, it has been analysed that usage of social media channels such as Instagram, Facebook and Twitter, gained the attention of more individuals who helped to solve problems in varied terms and also engaged other to do so, which is incredible. With the help of these sources, companies has </w:t>
      </w:r>
      <w:proofErr w:type="spellStart"/>
      <w:r>
        <w:t>build</w:t>
      </w:r>
      <w:proofErr w:type="spellEnd"/>
      <w:r>
        <w:t xml:space="preserve"> wide base of people who supported baggers and their family members who are unable to live a normal life due to lack of strong financial base. The charitable organizations in the nation by applying effective techniques and using approaches has reduce the negative affect of organizational carbon foot print on environment.</w:t>
      </w:r>
    </w:p>
    <w:p w14:paraId="388AEA83" w14:textId="77777777" w:rsidR="00CE4258" w:rsidRDefault="00CE4258">
      <w:pPr>
        <w:pStyle w:val="BodyText"/>
      </w:pPr>
    </w:p>
    <w:p w14:paraId="7DC714CD" w14:textId="77777777" w:rsidR="005B6444" w:rsidRDefault="00CE4258">
      <w:pPr>
        <w:pStyle w:val="Heading1"/>
        <w:pageBreakBefore/>
        <w:rPr>
          <w:u w:val="single"/>
        </w:rPr>
      </w:pPr>
      <w:bookmarkStart w:id="22" w:name="__RefHeading__30927_507815928"/>
      <w:bookmarkStart w:id="23" w:name="__RefHeading__3404_2070269581"/>
      <w:bookmarkStart w:id="24" w:name="__RefHeading__3395_2008210002"/>
      <w:bookmarkStart w:id="25" w:name="__RefHeading__720_1365174823"/>
      <w:bookmarkStart w:id="26" w:name="__RefHeading__4136_475863128"/>
      <w:bookmarkStart w:id="27" w:name="__RefHeading__56253_1363301983"/>
      <w:bookmarkStart w:id="28" w:name="__RefHeading__786_1352673586"/>
      <w:bookmarkStart w:id="29" w:name="__RefHeading__288_325035958"/>
      <w:bookmarkStart w:id="30" w:name="__RefHeading__59270_285454971"/>
      <w:bookmarkEnd w:id="22"/>
      <w:bookmarkEnd w:id="23"/>
      <w:bookmarkEnd w:id="24"/>
      <w:bookmarkEnd w:id="25"/>
      <w:bookmarkEnd w:id="26"/>
      <w:bookmarkEnd w:id="27"/>
      <w:bookmarkEnd w:id="28"/>
      <w:bookmarkEnd w:id="29"/>
      <w:bookmarkEnd w:id="30"/>
      <w:r>
        <w:t>REFERENCES</w:t>
      </w:r>
    </w:p>
    <w:p w14:paraId="7DC714CE" w14:textId="77777777" w:rsidR="005B6444" w:rsidRDefault="00CE4258">
      <w:pPr>
        <w:pStyle w:val="BodyText"/>
        <w:rPr>
          <w:color w:val="222222"/>
          <w:szCs w:val="24"/>
        </w:rPr>
      </w:pPr>
      <w:r>
        <w:rPr>
          <w:u w:val="single"/>
        </w:rPr>
        <w:t>Book and Journals</w:t>
      </w:r>
    </w:p>
    <w:p w14:paraId="7DC714CF" w14:textId="3D39D87A" w:rsidR="005B6444" w:rsidRDefault="00CE4258">
      <w:pPr>
        <w:pStyle w:val="BodyText"/>
        <w:spacing w:line="100" w:lineRule="atLeast"/>
        <w:ind w:left="870" w:hanging="885"/>
        <w:rPr>
          <w:color w:val="222222"/>
          <w:szCs w:val="24"/>
        </w:rPr>
      </w:pPr>
      <w:r w:rsidRPr="00CE4258">
        <w:rPr>
          <w:color w:val="222222"/>
          <w:szCs w:val="24"/>
          <w:lang w:val="it-IT"/>
        </w:rPr>
        <w:t xml:space="preserve">Giordano, R. and et.al. </w:t>
      </w:r>
      <w:r w:rsidR="005823C4">
        <w:rPr>
          <w:color w:val="222222"/>
          <w:szCs w:val="24"/>
          <w:lang w:val="it-IT"/>
        </w:rPr>
        <w:t>(</w:t>
      </w:r>
      <w:r w:rsidRPr="00CE4258">
        <w:rPr>
          <w:color w:val="222222"/>
          <w:szCs w:val="24"/>
          <w:lang w:val="it-IT"/>
        </w:rPr>
        <w:t>2020</w:t>
      </w:r>
      <w:r w:rsidR="005823C4">
        <w:rPr>
          <w:color w:val="222222"/>
          <w:szCs w:val="24"/>
          <w:lang w:val="it-IT"/>
        </w:rPr>
        <w:t>)</w:t>
      </w:r>
      <w:r w:rsidRPr="00CE4258">
        <w:rPr>
          <w:color w:val="222222"/>
          <w:szCs w:val="24"/>
          <w:lang w:val="it-IT"/>
        </w:rPr>
        <w:t xml:space="preserve">. </w:t>
      </w:r>
      <w:r>
        <w:rPr>
          <w:color w:val="222222"/>
          <w:szCs w:val="24"/>
        </w:rPr>
        <w:t>Enhancing nature-based solutions acceptance through stakeholders' engagement in co-benefits identification and trade-offs analysis. </w:t>
      </w:r>
      <w:r>
        <w:rPr>
          <w:i/>
          <w:color w:val="222222"/>
          <w:szCs w:val="24"/>
        </w:rPr>
        <w:t>Science of the Total Environment</w:t>
      </w:r>
      <w:r>
        <w:rPr>
          <w:color w:val="222222"/>
          <w:szCs w:val="24"/>
        </w:rPr>
        <w:t>. 713. p.136552.</w:t>
      </w:r>
    </w:p>
    <w:p w14:paraId="7DC714D0" w14:textId="06FA980D" w:rsidR="005B6444" w:rsidRDefault="00CE4258">
      <w:pPr>
        <w:pStyle w:val="BodyText"/>
        <w:spacing w:line="100" w:lineRule="atLeast"/>
        <w:ind w:left="870" w:hanging="885"/>
        <w:rPr>
          <w:color w:val="222222"/>
          <w:szCs w:val="24"/>
        </w:rPr>
      </w:pPr>
      <w:proofErr w:type="spellStart"/>
      <w:r w:rsidRPr="005823C4">
        <w:rPr>
          <w:color w:val="222222"/>
          <w:szCs w:val="24"/>
          <w:lang w:val="de-DE"/>
        </w:rPr>
        <w:t>Gohori</w:t>
      </w:r>
      <w:proofErr w:type="spellEnd"/>
      <w:r w:rsidRPr="005823C4">
        <w:rPr>
          <w:color w:val="222222"/>
          <w:szCs w:val="24"/>
          <w:lang w:val="de-DE"/>
        </w:rPr>
        <w:t xml:space="preserve">, O. and van der Merwe, P. </w:t>
      </w:r>
      <w:r w:rsidR="005823C4" w:rsidRPr="005823C4">
        <w:rPr>
          <w:color w:val="222222"/>
          <w:szCs w:val="24"/>
          <w:lang w:val="de-DE"/>
        </w:rPr>
        <w:t>(</w:t>
      </w:r>
      <w:r w:rsidRPr="005823C4">
        <w:rPr>
          <w:color w:val="222222"/>
          <w:szCs w:val="24"/>
          <w:lang w:val="de-DE"/>
        </w:rPr>
        <w:t>2020</w:t>
      </w:r>
      <w:r w:rsidR="005823C4">
        <w:rPr>
          <w:color w:val="222222"/>
          <w:szCs w:val="24"/>
          <w:lang w:val="de-DE"/>
        </w:rPr>
        <w:t>)</w:t>
      </w:r>
      <w:r w:rsidRPr="005823C4">
        <w:rPr>
          <w:color w:val="222222"/>
          <w:szCs w:val="24"/>
          <w:lang w:val="de-DE"/>
        </w:rPr>
        <w:t xml:space="preserve">. </w:t>
      </w:r>
      <w:r>
        <w:rPr>
          <w:color w:val="222222"/>
          <w:szCs w:val="24"/>
        </w:rPr>
        <w:t>Towards a tourism and community-development framework: An African perspective. </w:t>
      </w:r>
      <w:r>
        <w:rPr>
          <w:i/>
          <w:color w:val="222222"/>
          <w:szCs w:val="24"/>
        </w:rPr>
        <w:t>Sustainability</w:t>
      </w:r>
      <w:r>
        <w:rPr>
          <w:color w:val="222222"/>
          <w:szCs w:val="24"/>
        </w:rPr>
        <w:t>. 12(13). p.5305.</w:t>
      </w:r>
    </w:p>
    <w:p w14:paraId="7DC714D1" w14:textId="394E9F9B" w:rsidR="005B6444" w:rsidRDefault="00CE4258">
      <w:pPr>
        <w:pStyle w:val="BodyText"/>
        <w:spacing w:line="100" w:lineRule="atLeast"/>
        <w:ind w:left="870" w:hanging="885"/>
        <w:rPr>
          <w:color w:val="222222"/>
          <w:szCs w:val="24"/>
        </w:rPr>
      </w:pPr>
      <w:r>
        <w:rPr>
          <w:color w:val="222222"/>
          <w:szCs w:val="24"/>
        </w:rPr>
        <w:t xml:space="preserve">Hollander, J.B. and et.al. </w:t>
      </w:r>
      <w:r w:rsidR="005823C4">
        <w:rPr>
          <w:color w:val="222222"/>
          <w:szCs w:val="24"/>
        </w:rPr>
        <w:t>(</w:t>
      </w:r>
      <w:r>
        <w:rPr>
          <w:color w:val="222222"/>
          <w:szCs w:val="24"/>
        </w:rPr>
        <w:t>2020</w:t>
      </w:r>
      <w:r w:rsidR="005823C4">
        <w:rPr>
          <w:color w:val="222222"/>
          <w:szCs w:val="24"/>
        </w:rPr>
        <w:t>)</w:t>
      </w:r>
      <w:r>
        <w:rPr>
          <w:color w:val="222222"/>
          <w:szCs w:val="24"/>
        </w:rPr>
        <w:t>. The role of artificial intelligence in community planning. </w:t>
      </w:r>
      <w:r>
        <w:rPr>
          <w:i/>
          <w:color w:val="222222"/>
          <w:szCs w:val="24"/>
        </w:rPr>
        <w:t>International Journal of Community Well-Being.</w:t>
      </w:r>
      <w:r>
        <w:rPr>
          <w:color w:val="222222"/>
          <w:szCs w:val="24"/>
        </w:rPr>
        <w:t xml:space="preserve"> pp.1-15.</w:t>
      </w:r>
    </w:p>
    <w:p w14:paraId="7DC714D2" w14:textId="2E6B1A92" w:rsidR="005B6444" w:rsidRDefault="00CE4258">
      <w:pPr>
        <w:pStyle w:val="BodyText"/>
        <w:spacing w:line="100" w:lineRule="atLeast"/>
        <w:ind w:left="870" w:hanging="885"/>
        <w:rPr>
          <w:color w:val="222222"/>
          <w:szCs w:val="24"/>
        </w:rPr>
      </w:pPr>
      <w:proofErr w:type="spellStart"/>
      <w:r>
        <w:rPr>
          <w:color w:val="222222"/>
          <w:szCs w:val="24"/>
        </w:rPr>
        <w:t>Islm</w:t>
      </w:r>
      <w:proofErr w:type="spellEnd"/>
      <w:r>
        <w:rPr>
          <w:color w:val="222222"/>
          <w:szCs w:val="24"/>
        </w:rPr>
        <w:t xml:space="preserve">, T. and et.al. </w:t>
      </w:r>
      <w:r w:rsidR="005823C4">
        <w:rPr>
          <w:color w:val="222222"/>
          <w:szCs w:val="24"/>
        </w:rPr>
        <w:t>(</w:t>
      </w:r>
      <w:r>
        <w:rPr>
          <w:color w:val="222222"/>
          <w:szCs w:val="24"/>
        </w:rPr>
        <w:t>2021</w:t>
      </w:r>
      <w:r w:rsidR="005823C4">
        <w:rPr>
          <w:color w:val="222222"/>
          <w:szCs w:val="24"/>
        </w:rPr>
        <w:t>)</w:t>
      </w:r>
      <w:r>
        <w:rPr>
          <w:color w:val="222222"/>
          <w:szCs w:val="24"/>
        </w:rPr>
        <w:t>. Why do citizens engage in government social media accounts during COVID-19 pandemic? A Comparative Study. </w:t>
      </w:r>
      <w:r>
        <w:rPr>
          <w:i/>
          <w:color w:val="222222"/>
          <w:szCs w:val="24"/>
        </w:rPr>
        <w:t>Telematics and Informatics</w:t>
      </w:r>
      <w:r>
        <w:rPr>
          <w:color w:val="222222"/>
          <w:szCs w:val="24"/>
        </w:rPr>
        <w:t>. 62</w:t>
      </w:r>
      <w:r>
        <w:rPr>
          <w:i/>
          <w:color w:val="222222"/>
          <w:szCs w:val="24"/>
        </w:rPr>
        <w:t xml:space="preserve">. </w:t>
      </w:r>
      <w:r>
        <w:rPr>
          <w:color w:val="222222"/>
          <w:szCs w:val="24"/>
        </w:rPr>
        <w:t>p.101619.</w:t>
      </w:r>
    </w:p>
    <w:p w14:paraId="7DC714D3" w14:textId="5C70EACA" w:rsidR="005B6444" w:rsidRDefault="00CE4258">
      <w:pPr>
        <w:pStyle w:val="BodyText"/>
        <w:spacing w:line="100" w:lineRule="atLeast"/>
        <w:ind w:left="870" w:hanging="885"/>
        <w:rPr>
          <w:color w:val="222222"/>
          <w:szCs w:val="24"/>
        </w:rPr>
      </w:pPr>
      <w:r>
        <w:rPr>
          <w:color w:val="222222"/>
          <w:szCs w:val="24"/>
        </w:rPr>
        <w:t xml:space="preserve">Li, X.L. and Feng, J. </w:t>
      </w:r>
      <w:r w:rsidR="005823C4">
        <w:rPr>
          <w:color w:val="222222"/>
          <w:szCs w:val="24"/>
        </w:rPr>
        <w:t>(</w:t>
      </w:r>
      <w:r>
        <w:rPr>
          <w:color w:val="222222"/>
          <w:szCs w:val="24"/>
        </w:rPr>
        <w:t>2021</w:t>
      </w:r>
      <w:r w:rsidR="005823C4">
        <w:rPr>
          <w:color w:val="222222"/>
          <w:szCs w:val="24"/>
        </w:rPr>
        <w:t>)</w:t>
      </w:r>
      <w:r>
        <w:rPr>
          <w:color w:val="222222"/>
          <w:szCs w:val="24"/>
        </w:rPr>
        <w:t>. Empowerment or disempowerment: Exploring stakeholder engagement in nation branding through a mixed method approach to social network analysis. </w:t>
      </w:r>
      <w:r>
        <w:rPr>
          <w:i/>
          <w:color w:val="222222"/>
          <w:szCs w:val="24"/>
        </w:rPr>
        <w:t>Public Relations Review</w:t>
      </w:r>
      <w:r>
        <w:rPr>
          <w:color w:val="222222"/>
          <w:szCs w:val="24"/>
        </w:rPr>
        <w:t>. 47(3). p.102024.</w:t>
      </w:r>
    </w:p>
    <w:p w14:paraId="7DC714D4" w14:textId="222CAA78" w:rsidR="005B6444" w:rsidRDefault="00CE4258">
      <w:pPr>
        <w:pStyle w:val="BodyText"/>
        <w:spacing w:line="100" w:lineRule="atLeast"/>
        <w:ind w:left="870" w:hanging="885"/>
        <w:rPr>
          <w:color w:val="222222"/>
          <w:szCs w:val="24"/>
        </w:rPr>
      </w:pPr>
      <w:r>
        <w:rPr>
          <w:color w:val="222222"/>
          <w:szCs w:val="24"/>
        </w:rPr>
        <w:t>Martinez, L.S. and et.al.</w:t>
      </w:r>
      <w:r w:rsidR="005823C4">
        <w:rPr>
          <w:color w:val="222222"/>
          <w:szCs w:val="24"/>
        </w:rPr>
        <w:t xml:space="preserve"> (</w:t>
      </w:r>
      <w:r>
        <w:rPr>
          <w:color w:val="222222"/>
          <w:szCs w:val="24"/>
        </w:rPr>
        <w:t>2020</w:t>
      </w:r>
      <w:r w:rsidR="005823C4">
        <w:rPr>
          <w:color w:val="222222"/>
          <w:szCs w:val="24"/>
        </w:rPr>
        <w:t>)</w:t>
      </w:r>
      <w:r>
        <w:rPr>
          <w:color w:val="222222"/>
          <w:szCs w:val="24"/>
        </w:rPr>
        <w:t xml:space="preserve">. Community engagement to implement evidence-based practices in the </w:t>
      </w:r>
      <w:proofErr w:type="spellStart"/>
      <w:r>
        <w:rPr>
          <w:color w:val="222222"/>
          <w:szCs w:val="24"/>
        </w:rPr>
        <w:t>HEALing</w:t>
      </w:r>
      <w:proofErr w:type="spellEnd"/>
      <w:r>
        <w:rPr>
          <w:color w:val="222222"/>
          <w:szCs w:val="24"/>
        </w:rPr>
        <w:t xml:space="preserve"> Communities Study. </w:t>
      </w:r>
      <w:r>
        <w:rPr>
          <w:i/>
          <w:color w:val="222222"/>
          <w:szCs w:val="24"/>
        </w:rPr>
        <w:t>Drug and Alcohol Dependence</w:t>
      </w:r>
      <w:r>
        <w:rPr>
          <w:color w:val="222222"/>
          <w:szCs w:val="24"/>
        </w:rPr>
        <w:t>. 217. p.108326.</w:t>
      </w:r>
    </w:p>
    <w:p w14:paraId="7DC714D5" w14:textId="57C3AC81" w:rsidR="005B6444" w:rsidRDefault="00CE4258">
      <w:pPr>
        <w:pStyle w:val="BodyText"/>
        <w:spacing w:line="100" w:lineRule="atLeast"/>
        <w:ind w:left="870" w:hanging="885"/>
        <w:rPr>
          <w:color w:val="222222"/>
          <w:szCs w:val="24"/>
        </w:rPr>
      </w:pPr>
      <w:r>
        <w:rPr>
          <w:color w:val="222222"/>
          <w:szCs w:val="24"/>
        </w:rPr>
        <w:t>Napper, I.E. and Thompson, R.C.</w:t>
      </w:r>
      <w:r w:rsidR="005823C4">
        <w:rPr>
          <w:color w:val="222222"/>
          <w:szCs w:val="24"/>
        </w:rPr>
        <w:t xml:space="preserve"> (</w:t>
      </w:r>
      <w:r>
        <w:rPr>
          <w:color w:val="222222"/>
          <w:szCs w:val="24"/>
        </w:rPr>
        <w:t>2020</w:t>
      </w:r>
      <w:r w:rsidR="005823C4">
        <w:rPr>
          <w:color w:val="222222"/>
          <w:szCs w:val="24"/>
        </w:rPr>
        <w:t>)</w:t>
      </w:r>
      <w:r>
        <w:rPr>
          <w:color w:val="222222"/>
          <w:szCs w:val="24"/>
        </w:rPr>
        <w:t>. Plastic debris in the marine environment: History and future challenges. </w:t>
      </w:r>
      <w:r>
        <w:rPr>
          <w:i/>
          <w:color w:val="222222"/>
          <w:szCs w:val="24"/>
        </w:rPr>
        <w:t>Global Challenges</w:t>
      </w:r>
      <w:r>
        <w:rPr>
          <w:color w:val="222222"/>
          <w:szCs w:val="24"/>
        </w:rPr>
        <w:t>. 4(6). p.1900081.</w:t>
      </w:r>
    </w:p>
    <w:p w14:paraId="7DC714D6" w14:textId="5A67F412" w:rsidR="005B6444" w:rsidRDefault="00CE4258">
      <w:pPr>
        <w:pStyle w:val="BodyText"/>
        <w:spacing w:line="100" w:lineRule="atLeast"/>
        <w:ind w:left="870" w:hanging="885"/>
        <w:rPr>
          <w:color w:val="222222"/>
          <w:szCs w:val="24"/>
        </w:rPr>
      </w:pPr>
      <w:proofErr w:type="spellStart"/>
      <w:r>
        <w:rPr>
          <w:color w:val="222222"/>
          <w:szCs w:val="24"/>
        </w:rPr>
        <w:t>Prevo</w:t>
      </w:r>
      <w:proofErr w:type="spellEnd"/>
      <w:r>
        <w:rPr>
          <w:color w:val="222222"/>
          <w:szCs w:val="24"/>
        </w:rPr>
        <w:t xml:space="preserve">, L., </w:t>
      </w:r>
      <w:proofErr w:type="spellStart"/>
      <w:r>
        <w:rPr>
          <w:color w:val="222222"/>
          <w:szCs w:val="24"/>
        </w:rPr>
        <w:t>Kremers</w:t>
      </w:r>
      <w:proofErr w:type="spellEnd"/>
      <w:r>
        <w:rPr>
          <w:color w:val="222222"/>
          <w:szCs w:val="24"/>
        </w:rPr>
        <w:t xml:space="preserve">, S. and Jansen, M. </w:t>
      </w:r>
      <w:r w:rsidR="005823C4">
        <w:rPr>
          <w:color w:val="222222"/>
          <w:szCs w:val="24"/>
        </w:rPr>
        <w:t>(</w:t>
      </w:r>
      <w:r>
        <w:rPr>
          <w:color w:val="222222"/>
          <w:szCs w:val="24"/>
        </w:rPr>
        <w:t>2020</w:t>
      </w:r>
      <w:r w:rsidR="005823C4">
        <w:rPr>
          <w:color w:val="222222"/>
          <w:szCs w:val="24"/>
        </w:rPr>
        <w:t>)</w:t>
      </w:r>
      <w:r>
        <w:rPr>
          <w:color w:val="222222"/>
          <w:szCs w:val="24"/>
        </w:rPr>
        <w:t>. Small Successes make Big Wins: A retrospective case study towards community engagement of low-SES families. </w:t>
      </w:r>
      <w:r>
        <w:rPr>
          <w:i/>
          <w:color w:val="222222"/>
          <w:szCs w:val="24"/>
        </w:rPr>
        <w:t>International journal of environmental research and public health</w:t>
      </w:r>
      <w:r>
        <w:rPr>
          <w:color w:val="222222"/>
          <w:szCs w:val="24"/>
        </w:rPr>
        <w:t>. 17(2). p.612.</w:t>
      </w:r>
    </w:p>
    <w:p w14:paraId="7DC714D7" w14:textId="4945B530" w:rsidR="005B6444" w:rsidRDefault="00CE4258">
      <w:pPr>
        <w:pStyle w:val="BodyText"/>
        <w:spacing w:line="100" w:lineRule="atLeast"/>
        <w:ind w:left="870" w:hanging="885"/>
        <w:rPr>
          <w:szCs w:val="24"/>
          <w:u w:val="single"/>
        </w:rPr>
      </w:pPr>
      <w:proofErr w:type="spellStart"/>
      <w:r>
        <w:rPr>
          <w:color w:val="222222"/>
          <w:szCs w:val="24"/>
        </w:rPr>
        <w:t>Schønning</w:t>
      </w:r>
      <w:proofErr w:type="spellEnd"/>
      <w:r>
        <w:rPr>
          <w:color w:val="222222"/>
          <w:szCs w:val="24"/>
        </w:rPr>
        <w:t xml:space="preserve">, V. and et.al. </w:t>
      </w:r>
      <w:r w:rsidR="005823C4">
        <w:rPr>
          <w:color w:val="222222"/>
          <w:szCs w:val="24"/>
        </w:rPr>
        <w:t>(</w:t>
      </w:r>
      <w:r>
        <w:rPr>
          <w:color w:val="222222"/>
          <w:szCs w:val="24"/>
        </w:rPr>
        <w:t>2020</w:t>
      </w:r>
      <w:r w:rsidR="005823C4">
        <w:rPr>
          <w:color w:val="222222"/>
          <w:szCs w:val="24"/>
        </w:rPr>
        <w:t>)</w:t>
      </w:r>
      <w:r>
        <w:rPr>
          <w:color w:val="222222"/>
          <w:szCs w:val="24"/>
        </w:rPr>
        <w:t>. Social media use and mental health and well-being among adolescents–a scoping review. </w:t>
      </w:r>
      <w:r>
        <w:rPr>
          <w:i/>
          <w:color w:val="222222"/>
          <w:szCs w:val="24"/>
        </w:rPr>
        <w:t>Frontiers in psychology</w:t>
      </w:r>
      <w:r>
        <w:rPr>
          <w:color w:val="222222"/>
          <w:szCs w:val="24"/>
        </w:rPr>
        <w:t>. 11. p.1949.</w:t>
      </w:r>
    </w:p>
    <w:p w14:paraId="7DC714D8" w14:textId="77777777" w:rsidR="005B6444" w:rsidRDefault="00CE4258">
      <w:pPr>
        <w:pStyle w:val="BodyText"/>
        <w:rPr>
          <w:i/>
          <w:iCs/>
        </w:rPr>
      </w:pPr>
      <w:r>
        <w:rPr>
          <w:szCs w:val="24"/>
          <w:u w:val="single"/>
        </w:rPr>
        <w:t>Online</w:t>
      </w:r>
    </w:p>
    <w:p w14:paraId="7DC714D9" w14:textId="77777777" w:rsidR="005B6444" w:rsidRDefault="00CE4258">
      <w:pPr>
        <w:pStyle w:val="BodyText"/>
        <w:spacing w:line="100" w:lineRule="atLeast"/>
        <w:ind w:left="855" w:hanging="840"/>
        <w:rPr>
          <w:i/>
          <w:iCs/>
        </w:rPr>
      </w:pPr>
      <w:r>
        <w:rPr>
          <w:i/>
          <w:iCs/>
        </w:rPr>
        <w:t xml:space="preserve">10 Tips on How to Promote Public Participation. </w:t>
      </w:r>
      <w:r>
        <w:t>2020. [Online]. Available Through: &lt;https://metroquest.com/10-tips-on-how-to-promote-public-participation/&gt;</w:t>
      </w:r>
    </w:p>
    <w:p w14:paraId="7DC714DA" w14:textId="77777777" w:rsidR="005B6444" w:rsidRDefault="00CE4258">
      <w:pPr>
        <w:pStyle w:val="BodyText"/>
        <w:spacing w:line="100" w:lineRule="atLeast"/>
        <w:ind w:left="855" w:hanging="840"/>
      </w:pPr>
      <w:r>
        <w:rPr>
          <w:i/>
          <w:iCs/>
        </w:rPr>
        <w:t xml:space="preserve">Social Problems facing Britain. </w:t>
      </w:r>
      <w:r>
        <w:t>2020. [Online]. Available Through: &lt;https://revisesociology.com/2020/01/08/24396/&gt;</w:t>
      </w:r>
    </w:p>
    <w:p w14:paraId="7DC714DB" w14:textId="77777777" w:rsidR="005B6444" w:rsidRDefault="005B6444">
      <w:pPr>
        <w:pStyle w:val="BodyText"/>
      </w:pPr>
    </w:p>
    <w:p w14:paraId="7DC714DC" w14:textId="77777777" w:rsidR="005B6444" w:rsidRDefault="005B6444">
      <w:pPr>
        <w:pStyle w:val="BodyText"/>
        <w:spacing w:line="100" w:lineRule="atLeast"/>
        <w:ind w:left="847" w:hanging="865"/>
        <w:rPr>
          <w:sz w:val="48"/>
          <w:szCs w:val="24"/>
        </w:rPr>
      </w:pPr>
    </w:p>
    <w:p w14:paraId="7DC714DD" w14:textId="77777777" w:rsidR="005B6444" w:rsidRDefault="005B6444">
      <w:pPr>
        <w:rPr>
          <w:sz w:val="48"/>
          <w:szCs w:val="24"/>
        </w:rPr>
      </w:pPr>
    </w:p>
    <w:p w14:paraId="7DC714DE" w14:textId="77777777" w:rsidR="005B6444" w:rsidRDefault="005B6444">
      <w:pPr>
        <w:rPr>
          <w:sz w:val="48"/>
          <w:szCs w:val="24"/>
        </w:rPr>
      </w:pPr>
    </w:p>
    <w:p w14:paraId="7DC714DF" w14:textId="77777777" w:rsidR="005B6444" w:rsidRDefault="005B6444">
      <w:pPr>
        <w:rPr>
          <w:sz w:val="48"/>
          <w:szCs w:val="24"/>
        </w:rPr>
      </w:pPr>
    </w:p>
    <w:p w14:paraId="7DC714E0" w14:textId="77777777" w:rsidR="005B6444" w:rsidRDefault="005B6444">
      <w:pPr>
        <w:rPr>
          <w:sz w:val="48"/>
          <w:szCs w:val="24"/>
        </w:rPr>
      </w:pPr>
    </w:p>
    <w:p w14:paraId="7DC714E1" w14:textId="77777777" w:rsidR="005B6444" w:rsidRDefault="005B6444">
      <w:pPr>
        <w:rPr>
          <w:sz w:val="48"/>
          <w:szCs w:val="24"/>
        </w:rPr>
      </w:pPr>
    </w:p>
    <w:p w14:paraId="7DC714E2" w14:textId="77777777" w:rsidR="005B6444" w:rsidRDefault="005B6444"/>
    <w:sectPr w:rsidR="005B6444">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OpenSymbol">
    <w:altName w:val="Yu Gothic"/>
    <w:charset w:val="8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Calibri Light">
    <w:panose1 w:val="020F0302020204030204"/>
    <w:charset w:val="00"/>
    <w:family w:val="swiss"/>
    <w:pitch w:val="variable"/>
    <w:sig w:usb0="A00002EF" w:usb1="4000207B" w:usb2="00000000" w:usb3="00000000" w:csb0="0000009F" w:csb1="00000000"/>
  </w:font>
  <w:font w:name="Lucida Fax">
    <w:panose1 w:val="02060602050505020204"/>
    <w:charset w:val="00"/>
    <w:family w:val="roman"/>
    <w:pitch w:val="variable"/>
    <w:sig w:usb0="00000003" w:usb1="00000000" w:usb2="00000000" w:usb3="00000000" w:csb0="00000001" w:csb1="00000000"/>
  </w:font>
  <w:font w:name="Aharoni">
    <w:charset w:val="B1"/>
    <w:family w:val="auto"/>
    <w:pitch w:val="variable"/>
    <w:sig w:usb0="00000803" w:usb1="00000000" w:usb2="00000000" w:usb3="00000000" w:csb0="00000021"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8"/>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444"/>
    <w:rsid w:val="00010233"/>
    <w:rsid w:val="0011123F"/>
    <w:rsid w:val="001C4616"/>
    <w:rsid w:val="004678E2"/>
    <w:rsid w:val="0047095B"/>
    <w:rsid w:val="00471B6C"/>
    <w:rsid w:val="004F5743"/>
    <w:rsid w:val="005823C4"/>
    <w:rsid w:val="005B6444"/>
    <w:rsid w:val="00613F3D"/>
    <w:rsid w:val="009757B8"/>
    <w:rsid w:val="009A4E32"/>
    <w:rsid w:val="009C0653"/>
    <w:rsid w:val="00B113FF"/>
    <w:rsid w:val="00C132B3"/>
    <w:rsid w:val="00CB7734"/>
    <w:rsid w:val="00CE4258"/>
    <w:rsid w:val="00E25DF4"/>
  </w:rsids>
  <m:mathPr>
    <m:mathFont m:val="Cambria Math"/>
    <m:brkBin m:val="before"/>
    <m:brkBinSub m:val="--"/>
    <m:smallFrac m:val="0"/>
    <m:dispDef/>
    <m:lMargin m:val="0"/>
    <m:rMargin m:val="0"/>
    <m:defJc m:val="centerGroup"/>
    <m:wrapIndent m:val="1440"/>
    <m:intLim m:val="subSup"/>
    <m:naryLim m:val="undOvr"/>
  </m:mathPr>
  <w:themeFontLang w:val="el-GR"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7DC71495"/>
  <w15:chartTrackingRefBased/>
  <w15:docId w15:val="{0B080BA1-C9EA-4F7B-9FBB-3BD0C79C1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l-GR"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val="en-GB"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lang w:val="en"/>
    </w:rPr>
  </w:style>
  <w:style w:type="character" w:customStyle="1" w:styleId="WW8Num2z1">
    <w:name w:val="WW8Num2z1"/>
    <w:rPr>
      <w:rFonts w:ascii="OpenSymbol" w:hAnsi="OpenSymbol" w:cs="Courier New"/>
    </w:rPr>
  </w:style>
  <w:style w:type="character" w:customStyle="1" w:styleId="DefaultParagraphFont1">
    <w:name w:val="Default Paragraph Font1"/>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80"/>
      <w:u w:val="single"/>
    </w:rPr>
  </w:style>
  <w:style w:type="character" w:styleId="Emphasis">
    <w:name w:val="Emphasis"/>
    <w:qFormat/>
    <w:rPr>
      <w:i/>
      <w:iCs/>
    </w:rPr>
  </w:style>
  <w:style w:type="character" w:customStyle="1" w:styleId="IndexLink">
    <w:name w:val="Index Link"/>
  </w:style>
  <w:style w:type="character" w:customStyle="1" w:styleId="NumberingSymbols">
    <w:name w:val="Numbering Symbols"/>
  </w:style>
  <w:style w:type="character" w:customStyle="1" w:styleId="Bullets">
    <w:name w:val="Bullets"/>
    <w:rPr>
      <w:rFonts w:ascii="OpenSymbol" w:eastAsia="OpenSymbol" w:hAnsi="OpenSymbol" w:cs="OpenSymbol"/>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TOCHeading1">
    <w:name w:val="TOC Heading1"/>
    <w:basedOn w:val="Heading1"/>
    <w:next w:val="Normal"/>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style>
  <w:style w:type="paragraph" w:customStyle="1" w:styleId="TableContents">
    <w:name w:val="Table Contents"/>
    <w:basedOn w:val="Normal"/>
    <w:pPr>
      <w:suppressLineNumbers/>
    </w:pPr>
    <w:rPr>
      <w:rFonts w:eastAsia="Times New Roman"/>
    </w:rPr>
  </w:style>
  <w:style w:type="paragraph" w:styleId="TOC2">
    <w:name w:val="toc 2"/>
    <w:basedOn w:val="Normal"/>
    <w:next w:val="Normal"/>
    <w:pPr>
      <w:ind w:left="240"/>
    </w:pPr>
  </w:style>
  <w:style w:type="paragraph" w:customStyle="1" w:styleId="NormalWeb1">
    <w:name w:val="Normal (Web)1"/>
    <w:basedOn w:val="Normal"/>
    <w:pPr>
      <w:suppressAutoHyphens w:val="0"/>
      <w:spacing w:before="280" w:after="280" w:line="240" w:lineRule="auto"/>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customStyle="1" w:styleId="Illustration">
    <w:name w:val="Illustration"/>
    <w:basedOn w:val="Caption1"/>
  </w:style>
  <w:style w:type="paragraph" w:customStyle="1" w:styleId="Framecontents">
    <w:name w:val="Frame contents"/>
    <w:basedOn w:val="BodyText"/>
  </w:style>
  <w:style w:type="paragraph" w:customStyle="1" w:styleId="ListParagraph1">
    <w:name w:val="List Paragraph1"/>
    <w:basedOn w:val="Normal"/>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2492</Words>
  <Characters>14205</Characters>
  <Application>Microsoft Office Word</Application>
  <DocSecurity>4</DocSecurity>
  <Lines>118</Lines>
  <Paragraphs>33</Paragraphs>
  <ScaleCrop>false</ScaleCrop>
  <Company/>
  <LinksUpToDate>false</LinksUpToDate>
  <CharactersWithSpaces>16664</CharactersWithSpaces>
  <SharedDoc>false</SharedDoc>
  <HLinks>
    <vt:vector size="72" baseType="variant">
      <vt:variant>
        <vt:i4>3145804</vt:i4>
      </vt:variant>
      <vt:variant>
        <vt:i4>35</vt:i4>
      </vt:variant>
      <vt:variant>
        <vt:i4>0</vt:i4>
      </vt:variant>
      <vt:variant>
        <vt:i4>5</vt:i4>
      </vt:variant>
      <vt:variant>
        <vt:lpwstr/>
      </vt:variant>
      <vt:variant>
        <vt:lpwstr>__RefHeading__30927_507815928</vt:lpwstr>
      </vt:variant>
      <vt:variant>
        <vt:i4>3145806</vt:i4>
      </vt:variant>
      <vt:variant>
        <vt:i4>32</vt:i4>
      </vt:variant>
      <vt:variant>
        <vt:i4>0</vt:i4>
      </vt:variant>
      <vt:variant>
        <vt:i4>5</vt:i4>
      </vt:variant>
      <vt:variant>
        <vt:lpwstr/>
      </vt:variant>
      <vt:variant>
        <vt:lpwstr>__RefHeading__30925_507815928</vt:lpwstr>
      </vt:variant>
      <vt:variant>
        <vt:i4>3145800</vt:i4>
      </vt:variant>
      <vt:variant>
        <vt:i4>29</vt:i4>
      </vt:variant>
      <vt:variant>
        <vt:i4>0</vt:i4>
      </vt:variant>
      <vt:variant>
        <vt:i4>5</vt:i4>
      </vt:variant>
      <vt:variant>
        <vt:lpwstr/>
      </vt:variant>
      <vt:variant>
        <vt:lpwstr>__RefHeading__30923_507815928</vt:lpwstr>
      </vt:variant>
      <vt:variant>
        <vt:i4>3145802</vt:i4>
      </vt:variant>
      <vt:variant>
        <vt:i4>26</vt:i4>
      </vt:variant>
      <vt:variant>
        <vt:i4>0</vt:i4>
      </vt:variant>
      <vt:variant>
        <vt:i4>5</vt:i4>
      </vt:variant>
      <vt:variant>
        <vt:lpwstr/>
      </vt:variant>
      <vt:variant>
        <vt:lpwstr>__RefHeading__30921_507815928</vt:lpwstr>
      </vt:variant>
      <vt:variant>
        <vt:i4>3342402</vt:i4>
      </vt:variant>
      <vt:variant>
        <vt:i4>23</vt:i4>
      </vt:variant>
      <vt:variant>
        <vt:i4>0</vt:i4>
      </vt:variant>
      <vt:variant>
        <vt:i4>5</vt:i4>
      </vt:variant>
      <vt:variant>
        <vt:lpwstr/>
      </vt:variant>
      <vt:variant>
        <vt:lpwstr>__RefHeading__30919_507815928</vt:lpwstr>
      </vt:variant>
      <vt:variant>
        <vt:i4>3342412</vt:i4>
      </vt:variant>
      <vt:variant>
        <vt:i4>20</vt:i4>
      </vt:variant>
      <vt:variant>
        <vt:i4>0</vt:i4>
      </vt:variant>
      <vt:variant>
        <vt:i4>5</vt:i4>
      </vt:variant>
      <vt:variant>
        <vt:lpwstr/>
      </vt:variant>
      <vt:variant>
        <vt:lpwstr>__RefHeading__30917_507815928</vt:lpwstr>
      </vt:variant>
      <vt:variant>
        <vt:i4>3342414</vt:i4>
      </vt:variant>
      <vt:variant>
        <vt:i4>17</vt:i4>
      </vt:variant>
      <vt:variant>
        <vt:i4>0</vt:i4>
      </vt:variant>
      <vt:variant>
        <vt:i4>5</vt:i4>
      </vt:variant>
      <vt:variant>
        <vt:lpwstr/>
      </vt:variant>
      <vt:variant>
        <vt:lpwstr>__RefHeading__30915_507815928</vt:lpwstr>
      </vt:variant>
      <vt:variant>
        <vt:i4>3342408</vt:i4>
      </vt:variant>
      <vt:variant>
        <vt:i4>14</vt:i4>
      </vt:variant>
      <vt:variant>
        <vt:i4>0</vt:i4>
      </vt:variant>
      <vt:variant>
        <vt:i4>5</vt:i4>
      </vt:variant>
      <vt:variant>
        <vt:lpwstr/>
      </vt:variant>
      <vt:variant>
        <vt:lpwstr>__RefHeading__30913_507815928</vt:lpwstr>
      </vt:variant>
      <vt:variant>
        <vt:i4>3342410</vt:i4>
      </vt:variant>
      <vt:variant>
        <vt:i4>11</vt:i4>
      </vt:variant>
      <vt:variant>
        <vt:i4>0</vt:i4>
      </vt:variant>
      <vt:variant>
        <vt:i4>5</vt:i4>
      </vt:variant>
      <vt:variant>
        <vt:lpwstr/>
      </vt:variant>
      <vt:variant>
        <vt:lpwstr>__RefHeading__30911_507815928</vt:lpwstr>
      </vt:variant>
      <vt:variant>
        <vt:i4>3276866</vt:i4>
      </vt:variant>
      <vt:variant>
        <vt:i4>8</vt:i4>
      </vt:variant>
      <vt:variant>
        <vt:i4>0</vt:i4>
      </vt:variant>
      <vt:variant>
        <vt:i4>5</vt:i4>
      </vt:variant>
      <vt:variant>
        <vt:lpwstr/>
      </vt:variant>
      <vt:variant>
        <vt:lpwstr>__RefHeading__30909_507815928</vt:lpwstr>
      </vt:variant>
      <vt:variant>
        <vt:i4>3276876</vt:i4>
      </vt:variant>
      <vt:variant>
        <vt:i4>5</vt:i4>
      </vt:variant>
      <vt:variant>
        <vt:i4>0</vt:i4>
      </vt:variant>
      <vt:variant>
        <vt:i4>5</vt:i4>
      </vt:variant>
      <vt:variant>
        <vt:lpwstr/>
      </vt:variant>
      <vt:variant>
        <vt:lpwstr>__RefHeading__30907_507815928</vt:lpwstr>
      </vt:variant>
      <vt:variant>
        <vt:i4>3276878</vt:i4>
      </vt:variant>
      <vt:variant>
        <vt:i4>2</vt:i4>
      </vt:variant>
      <vt:variant>
        <vt:i4>0</vt:i4>
      </vt:variant>
      <vt:variant>
        <vt:i4>5</vt:i4>
      </vt:variant>
      <vt:variant>
        <vt:lpwstr/>
      </vt:variant>
      <vt:variant>
        <vt:lpwstr>__RefHeading__30905_507815928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Anisa Tollia</cp:lastModifiedBy>
  <cp:revision>17</cp:revision>
  <cp:lastPrinted>1900-01-01T00:00:00Z</cp:lastPrinted>
  <dcterms:created xsi:type="dcterms:W3CDTF">2021-09-02T10:05:00Z</dcterms:created>
  <dcterms:modified xsi:type="dcterms:W3CDTF">2021-09-02T10:20:00Z</dcterms:modified>
</cp:coreProperties>
</file>