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8AFA" w14:textId="54DCD08B" w:rsidR="00F516BA" w:rsidRDefault="00F516BA" w:rsidP="00E01F4C">
      <w:pPr>
        <w:spacing w:line="360" w:lineRule="auto"/>
      </w:pPr>
      <w:bookmarkStart w:id="0" w:name="_Toc158469875"/>
      <w:bookmarkStart w:id="1" w:name="_Toc158470171"/>
      <w:r w:rsidRPr="00E813B1">
        <w:rPr>
          <w:noProof/>
        </w:rPr>
        <w:drawing>
          <wp:anchor distT="0" distB="0" distL="114300" distR="114300" simplePos="0" relativeHeight="251659264" behindDoc="0" locked="0" layoutInCell="1" allowOverlap="1" wp14:anchorId="0BB542A8" wp14:editId="21A61F2A">
            <wp:simplePos x="0" y="0"/>
            <wp:positionH relativeFrom="column">
              <wp:posOffset>-709207</wp:posOffset>
            </wp:positionH>
            <wp:positionV relativeFrom="paragraph">
              <wp:posOffset>371</wp:posOffset>
            </wp:positionV>
            <wp:extent cx="2091447" cy="917818"/>
            <wp:effectExtent l="0" t="0" r="4445" b="0"/>
            <wp:wrapSquare wrapText="bothSides"/>
            <wp:docPr id="2008590288" name="Picture 2008590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91447" cy="91781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3351CC60" w14:textId="294EF369" w:rsidR="00F516BA" w:rsidRDefault="00F516BA" w:rsidP="00E01F4C">
      <w:pPr>
        <w:spacing w:line="360" w:lineRule="auto"/>
      </w:pPr>
    </w:p>
    <w:p w14:paraId="50BF70E2" w14:textId="77777777" w:rsidR="00F516BA" w:rsidRDefault="00F516BA" w:rsidP="00E01F4C">
      <w:pPr>
        <w:pStyle w:val="BodyText"/>
        <w:spacing w:line="360" w:lineRule="auto"/>
        <w:jc w:val="center"/>
        <w:rPr>
          <w:b/>
          <w:bCs/>
          <w:sz w:val="56"/>
          <w:szCs w:val="56"/>
        </w:rPr>
      </w:pPr>
      <w:bookmarkStart w:id="2" w:name="_Toc158469876"/>
      <w:bookmarkStart w:id="3" w:name="_Toc158470172"/>
    </w:p>
    <w:p w14:paraId="2441B78A" w14:textId="076571C5" w:rsidR="00F516BA" w:rsidRPr="00A07D77" w:rsidRDefault="00F516BA" w:rsidP="00AA6EE5">
      <w:pPr>
        <w:pStyle w:val="BodyText"/>
        <w:spacing w:line="360" w:lineRule="auto"/>
        <w:jc w:val="center"/>
        <w:rPr>
          <w:rFonts w:ascii="Arial" w:hAnsi="Arial" w:cs="Arial"/>
          <w:sz w:val="56"/>
          <w:szCs w:val="56"/>
        </w:rPr>
      </w:pPr>
      <w:r w:rsidRPr="00A07D77">
        <w:rPr>
          <w:rFonts w:ascii="Arial" w:hAnsi="Arial" w:cs="Arial"/>
          <w:b/>
          <w:bCs/>
          <w:sz w:val="56"/>
          <w:szCs w:val="56"/>
        </w:rPr>
        <w:t>Module name:</w:t>
      </w:r>
      <w:r w:rsidR="00AA6EE5">
        <w:rPr>
          <w:rFonts w:ascii="Arial" w:hAnsi="Arial" w:cs="Arial"/>
          <w:b/>
          <w:bCs/>
          <w:sz w:val="56"/>
          <w:szCs w:val="56"/>
        </w:rPr>
        <w:t xml:space="preserve"> </w:t>
      </w:r>
      <w:bookmarkEnd w:id="2"/>
      <w:bookmarkEnd w:id="3"/>
      <w:r w:rsidR="00A56A3C" w:rsidRPr="00C71542">
        <w:rPr>
          <w:rFonts w:ascii="Arial" w:hAnsi="Arial" w:cs="Arial"/>
          <w:sz w:val="56"/>
          <w:szCs w:val="56"/>
        </w:rPr>
        <w:t>Leading and Implementing Change</w:t>
      </w:r>
    </w:p>
    <w:p w14:paraId="7357B08F" w14:textId="66F21BA8" w:rsidR="00F516BA" w:rsidRPr="00A07D77" w:rsidRDefault="00F516BA" w:rsidP="008957C9">
      <w:pPr>
        <w:pStyle w:val="BodyText"/>
        <w:spacing w:line="360" w:lineRule="auto"/>
        <w:jc w:val="center"/>
        <w:rPr>
          <w:rFonts w:ascii="Arial" w:hAnsi="Arial" w:cs="Arial"/>
          <w:b/>
          <w:bCs/>
          <w:sz w:val="56"/>
          <w:szCs w:val="56"/>
        </w:rPr>
      </w:pPr>
      <w:bookmarkStart w:id="4" w:name="_Toc158469877"/>
      <w:bookmarkStart w:id="5" w:name="_Toc158470173"/>
      <w:r w:rsidRPr="00A07D77">
        <w:rPr>
          <w:rFonts w:ascii="Arial" w:hAnsi="Arial" w:cs="Arial"/>
          <w:b/>
          <w:bCs/>
          <w:sz w:val="56"/>
          <w:szCs w:val="56"/>
        </w:rPr>
        <w:t xml:space="preserve">Module code: </w:t>
      </w:r>
      <w:bookmarkEnd w:id="4"/>
      <w:bookmarkEnd w:id="5"/>
      <w:r w:rsidR="00C944E7" w:rsidRPr="00A07D77">
        <w:rPr>
          <w:rFonts w:ascii="Arial" w:hAnsi="Arial" w:cs="Arial"/>
          <w:sz w:val="56"/>
          <w:szCs w:val="56"/>
        </w:rPr>
        <w:t xml:space="preserve">LCLM </w:t>
      </w:r>
      <w:r w:rsidR="009A4CEF">
        <w:rPr>
          <w:rFonts w:ascii="Arial" w:hAnsi="Arial" w:cs="Arial"/>
          <w:sz w:val="56"/>
          <w:szCs w:val="56"/>
        </w:rPr>
        <w:t>6</w:t>
      </w:r>
      <w:r w:rsidR="00C944E7" w:rsidRPr="00A07D77">
        <w:rPr>
          <w:rFonts w:ascii="Arial" w:hAnsi="Arial" w:cs="Arial"/>
          <w:sz w:val="56"/>
          <w:szCs w:val="56"/>
        </w:rPr>
        <w:t>000</w:t>
      </w:r>
      <w:r w:rsidR="00552C08">
        <w:rPr>
          <w:rFonts w:ascii="Arial" w:hAnsi="Arial" w:cs="Arial"/>
          <w:sz w:val="56"/>
          <w:szCs w:val="56"/>
        </w:rPr>
        <w:t>3</w:t>
      </w:r>
    </w:p>
    <w:p w14:paraId="63DE640D" w14:textId="6390A3DF" w:rsidR="00AA6EE5" w:rsidRPr="00A56A3C" w:rsidRDefault="00F516BA" w:rsidP="00A56A3C">
      <w:pPr>
        <w:pStyle w:val="BodyText"/>
        <w:spacing w:line="360" w:lineRule="auto"/>
        <w:jc w:val="center"/>
        <w:rPr>
          <w:rFonts w:ascii="Arial" w:hAnsi="Arial" w:cs="Arial"/>
          <w:b/>
          <w:bCs/>
          <w:sz w:val="56"/>
          <w:szCs w:val="56"/>
          <w:shd w:val="clear" w:color="auto" w:fill="FFFFFF"/>
        </w:rPr>
      </w:pPr>
      <w:bookmarkStart w:id="6" w:name="_Toc158469878"/>
      <w:bookmarkStart w:id="7" w:name="_Toc158470174"/>
      <w:r w:rsidRPr="00A07D77">
        <w:rPr>
          <w:rFonts w:ascii="Arial" w:hAnsi="Arial" w:cs="Arial"/>
          <w:b/>
          <w:bCs/>
          <w:sz w:val="56"/>
          <w:szCs w:val="56"/>
        </w:rPr>
        <w:t>Lecture name:</w:t>
      </w:r>
      <w:r w:rsidRPr="00A07D77">
        <w:rPr>
          <w:rFonts w:ascii="Arial" w:hAnsi="Arial" w:cs="Arial"/>
          <w:b/>
          <w:bCs/>
          <w:sz w:val="56"/>
          <w:szCs w:val="56"/>
          <w:shd w:val="clear" w:color="auto" w:fill="FFFFFF"/>
        </w:rPr>
        <w:t xml:space="preserve"> </w:t>
      </w:r>
      <w:bookmarkEnd w:id="6"/>
      <w:bookmarkEnd w:id="7"/>
      <w:r w:rsidR="00A56A3C" w:rsidRPr="00885559">
        <w:rPr>
          <w:rFonts w:ascii="Arial" w:hAnsi="Arial" w:cs="Arial"/>
          <w:sz w:val="56"/>
          <w:szCs w:val="56"/>
        </w:rPr>
        <w:t>Ivan Rodriguez Hernandez</w:t>
      </w:r>
    </w:p>
    <w:p w14:paraId="00C3B034" w14:textId="3E6CB857" w:rsidR="00F516BA" w:rsidRPr="008957C9" w:rsidRDefault="00F516BA" w:rsidP="008957C9">
      <w:pPr>
        <w:pStyle w:val="BodyText"/>
        <w:spacing w:line="360" w:lineRule="auto"/>
        <w:jc w:val="center"/>
        <w:rPr>
          <w:rFonts w:ascii="Arial" w:hAnsi="Arial" w:cs="Arial"/>
          <w:sz w:val="56"/>
          <w:szCs w:val="56"/>
        </w:rPr>
      </w:pPr>
      <w:bookmarkStart w:id="8" w:name="_Toc158469879"/>
      <w:bookmarkStart w:id="9" w:name="_Toc158470175"/>
      <w:r w:rsidRPr="00A07D77">
        <w:rPr>
          <w:rFonts w:ascii="Arial" w:hAnsi="Arial" w:cs="Arial"/>
          <w:b/>
          <w:bCs/>
          <w:sz w:val="56"/>
          <w:szCs w:val="56"/>
        </w:rPr>
        <w:t xml:space="preserve">Student name: </w:t>
      </w:r>
      <w:bookmarkEnd w:id="8"/>
      <w:bookmarkEnd w:id="9"/>
      <w:r w:rsidR="00034049">
        <w:rPr>
          <w:rFonts w:ascii="Arial" w:hAnsi="Arial" w:cs="Arial"/>
          <w:sz w:val="56"/>
          <w:szCs w:val="56"/>
        </w:rPr>
        <w:t xml:space="preserve">Yanis </w:t>
      </w:r>
      <w:r w:rsidR="009A4CEF">
        <w:rPr>
          <w:rFonts w:ascii="Arial" w:hAnsi="Arial" w:cs="Arial"/>
          <w:sz w:val="56"/>
          <w:szCs w:val="56"/>
        </w:rPr>
        <w:t>Popov</w:t>
      </w:r>
    </w:p>
    <w:p w14:paraId="6E4B5A5C" w14:textId="57A2F628" w:rsidR="00F516BA" w:rsidRPr="00A07D77" w:rsidRDefault="00F516BA" w:rsidP="00E01F4C">
      <w:pPr>
        <w:pStyle w:val="BodyText"/>
        <w:spacing w:line="360" w:lineRule="auto"/>
        <w:jc w:val="center"/>
        <w:rPr>
          <w:rFonts w:ascii="Arial" w:hAnsi="Arial" w:cs="Arial"/>
          <w:b/>
          <w:bCs/>
          <w:color w:val="242130"/>
          <w:sz w:val="56"/>
          <w:szCs w:val="56"/>
          <w:shd w:val="clear" w:color="auto" w:fill="FFFFFF"/>
        </w:rPr>
      </w:pPr>
      <w:bookmarkStart w:id="10" w:name="_Toc158469880"/>
      <w:bookmarkStart w:id="11" w:name="_Toc158470176"/>
      <w:r w:rsidRPr="00A07D77">
        <w:rPr>
          <w:rFonts w:ascii="Arial" w:hAnsi="Arial" w:cs="Arial"/>
          <w:b/>
          <w:bCs/>
          <w:sz w:val="56"/>
          <w:szCs w:val="56"/>
        </w:rPr>
        <w:t xml:space="preserve">Student number: </w:t>
      </w:r>
      <w:r w:rsidRPr="00A07D77">
        <w:rPr>
          <w:rFonts w:ascii="Arial" w:hAnsi="Arial" w:cs="Arial"/>
          <w:color w:val="242130"/>
          <w:sz w:val="56"/>
          <w:szCs w:val="56"/>
          <w:shd w:val="clear" w:color="auto" w:fill="FFFFFF"/>
        </w:rPr>
        <w:t>224123</w:t>
      </w:r>
      <w:bookmarkEnd w:id="10"/>
      <w:bookmarkEnd w:id="11"/>
      <w:r w:rsidR="00034049">
        <w:rPr>
          <w:rFonts w:ascii="Arial" w:hAnsi="Arial" w:cs="Arial"/>
          <w:color w:val="242130"/>
          <w:sz w:val="56"/>
          <w:szCs w:val="56"/>
          <w:shd w:val="clear" w:color="auto" w:fill="FFFFFF"/>
        </w:rPr>
        <w:t>9</w:t>
      </w:r>
    </w:p>
    <w:p w14:paraId="138510B6" w14:textId="77777777" w:rsidR="0054042F" w:rsidRDefault="0054042F" w:rsidP="00E01F4C">
      <w:pPr>
        <w:spacing w:line="360" w:lineRule="auto"/>
        <w:rPr>
          <w:lang w:val="en-US"/>
        </w:rPr>
      </w:pPr>
    </w:p>
    <w:p w14:paraId="386E90D7" w14:textId="49FE3C25" w:rsidR="008957C9" w:rsidRPr="00354BBC" w:rsidRDefault="00354BBC" w:rsidP="00354BBC">
      <w:pPr>
        <w:spacing w:line="360" w:lineRule="auto"/>
        <w:jc w:val="center"/>
        <w:rPr>
          <w:rFonts w:ascii="Arial" w:hAnsi="Arial" w:cs="Arial"/>
          <w:b/>
          <w:bCs/>
          <w:sz w:val="56"/>
          <w:szCs w:val="56"/>
          <w:lang w:val="en-US"/>
        </w:rPr>
      </w:pPr>
      <w:r w:rsidRPr="00354BBC">
        <w:rPr>
          <w:rFonts w:ascii="Arial" w:hAnsi="Arial" w:cs="Arial"/>
          <w:b/>
          <w:bCs/>
          <w:sz w:val="56"/>
          <w:szCs w:val="56"/>
        </w:rPr>
        <w:t>A Strategic Change Plan for Concero Education</w:t>
      </w:r>
    </w:p>
    <w:p w14:paraId="4E7896B7" w14:textId="77777777" w:rsidR="008957C9" w:rsidRDefault="008957C9" w:rsidP="00E01F4C">
      <w:pPr>
        <w:spacing w:line="360" w:lineRule="auto"/>
        <w:rPr>
          <w:lang w:val="en-US"/>
        </w:rPr>
      </w:pPr>
    </w:p>
    <w:p w14:paraId="34D164FB" w14:textId="77777777" w:rsidR="00F4377C" w:rsidRDefault="00F4377C" w:rsidP="00E01F4C">
      <w:pPr>
        <w:spacing w:line="360" w:lineRule="auto"/>
        <w:rPr>
          <w:lang w:val="en-US"/>
        </w:rPr>
      </w:pPr>
    </w:p>
    <w:p w14:paraId="0244FB8C" w14:textId="77777777" w:rsidR="008957C9" w:rsidRDefault="008957C9" w:rsidP="00E01F4C">
      <w:pPr>
        <w:spacing w:line="360" w:lineRule="auto"/>
        <w:rPr>
          <w:lang w:val="en-US"/>
        </w:rPr>
      </w:pPr>
    </w:p>
    <w:sdt>
      <w:sdtPr>
        <w:rPr>
          <w:rFonts w:asciiTheme="minorHAnsi" w:eastAsiaTheme="minorHAnsi" w:hAnsiTheme="minorHAnsi" w:cstheme="minorBidi"/>
          <w:b w:val="0"/>
          <w:bCs w:val="0"/>
          <w:color w:val="auto"/>
          <w:kern w:val="2"/>
          <w:sz w:val="24"/>
          <w:szCs w:val="24"/>
          <w:lang w:val="en-GB" w:eastAsia="en-GB"/>
          <w14:ligatures w14:val="standardContextual"/>
        </w:rPr>
        <w:id w:val="-502819331"/>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24D9F79D" w14:textId="2506AAE1" w:rsidR="00EB38C4" w:rsidRDefault="00EB38C4" w:rsidP="00E01F4C">
          <w:pPr>
            <w:pStyle w:val="TOCHeading"/>
            <w:spacing w:line="360" w:lineRule="auto"/>
          </w:pPr>
          <w:r>
            <w:t>Table of Contents</w:t>
          </w:r>
        </w:p>
        <w:p w14:paraId="46F83342" w14:textId="6BFDE2ED" w:rsidR="000B5259" w:rsidRDefault="00EB38C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406604" w:history="1">
            <w:r w:rsidR="000B5259" w:rsidRPr="00A74B05">
              <w:rPr>
                <w:rStyle w:val="Hyperlink"/>
                <w:rFonts w:ascii="Arial" w:hAnsi="Arial" w:cs="Arial"/>
                <w:noProof/>
              </w:rPr>
              <w:t>1.Organisational Profile and Strategic Context</w:t>
            </w:r>
            <w:r w:rsidR="000B5259">
              <w:rPr>
                <w:noProof/>
                <w:webHidden/>
              </w:rPr>
              <w:tab/>
            </w:r>
            <w:r w:rsidR="000B5259">
              <w:rPr>
                <w:noProof/>
                <w:webHidden/>
              </w:rPr>
              <w:fldChar w:fldCharType="begin"/>
            </w:r>
            <w:r w:rsidR="000B5259">
              <w:rPr>
                <w:noProof/>
                <w:webHidden/>
              </w:rPr>
              <w:instrText xml:space="preserve"> PAGEREF _Toc214406604 \h </w:instrText>
            </w:r>
            <w:r w:rsidR="000B5259">
              <w:rPr>
                <w:noProof/>
                <w:webHidden/>
              </w:rPr>
            </w:r>
            <w:r w:rsidR="000B5259">
              <w:rPr>
                <w:noProof/>
                <w:webHidden/>
              </w:rPr>
              <w:fldChar w:fldCharType="separate"/>
            </w:r>
            <w:r w:rsidR="000B5259">
              <w:rPr>
                <w:noProof/>
                <w:webHidden/>
              </w:rPr>
              <w:t>4</w:t>
            </w:r>
            <w:r w:rsidR="000B5259">
              <w:rPr>
                <w:noProof/>
                <w:webHidden/>
              </w:rPr>
              <w:fldChar w:fldCharType="end"/>
            </w:r>
          </w:hyperlink>
        </w:p>
        <w:p w14:paraId="3AD33827" w14:textId="03A10E44" w:rsidR="000B5259" w:rsidRDefault="000B5259">
          <w:pPr>
            <w:pStyle w:val="TOC1"/>
            <w:tabs>
              <w:tab w:val="right" w:leader="dot" w:pos="9016"/>
            </w:tabs>
            <w:rPr>
              <w:rFonts w:eastAsiaTheme="minorEastAsia"/>
              <w:b w:val="0"/>
              <w:bCs w:val="0"/>
              <w:i w:val="0"/>
              <w:iCs w:val="0"/>
              <w:noProof/>
              <w:lang w:eastAsia="en-GB"/>
            </w:rPr>
          </w:pPr>
          <w:hyperlink w:anchor="_Toc214406605" w:history="1">
            <w:r w:rsidRPr="00A74B05">
              <w:rPr>
                <w:rStyle w:val="Hyperlink"/>
                <w:rFonts w:ascii="Arial" w:hAnsi="Arial" w:cs="Arial"/>
                <w:noProof/>
              </w:rPr>
              <w:t>2.External Pressures Shaping Concero Education (PESTLE Analysis)</w:t>
            </w:r>
            <w:r>
              <w:rPr>
                <w:noProof/>
                <w:webHidden/>
              </w:rPr>
              <w:tab/>
            </w:r>
            <w:r>
              <w:rPr>
                <w:noProof/>
                <w:webHidden/>
              </w:rPr>
              <w:fldChar w:fldCharType="begin"/>
            </w:r>
            <w:r>
              <w:rPr>
                <w:noProof/>
                <w:webHidden/>
              </w:rPr>
              <w:instrText xml:space="preserve"> PAGEREF _Toc214406605 \h </w:instrText>
            </w:r>
            <w:r>
              <w:rPr>
                <w:noProof/>
                <w:webHidden/>
              </w:rPr>
            </w:r>
            <w:r>
              <w:rPr>
                <w:noProof/>
                <w:webHidden/>
              </w:rPr>
              <w:fldChar w:fldCharType="separate"/>
            </w:r>
            <w:r>
              <w:rPr>
                <w:noProof/>
                <w:webHidden/>
              </w:rPr>
              <w:t>5</w:t>
            </w:r>
            <w:r>
              <w:rPr>
                <w:noProof/>
                <w:webHidden/>
              </w:rPr>
              <w:fldChar w:fldCharType="end"/>
            </w:r>
          </w:hyperlink>
        </w:p>
        <w:p w14:paraId="541E0D74" w14:textId="0B4E6527" w:rsidR="000B5259" w:rsidRDefault="000B5259">
          <w:pPr>
            <w:pStyle w:val="TOC2"/>
            <w:tabs>
              <w:tab w:val="right" w:leader="dot" w:pos="9016"/>
            </w:tabs>
            <w:rPr>
              <w:rFonts w:eastAsiaTheme="minorEastAsia"/>
              <w:b w:val="0"/>
              <w:bCs w:val="0"/>
              <w:noProof/>
              <w:sz w:val="24"/>
              <w:szCs w:val="24"/>
              <w:lang w:eastAsia="en-GB"/>
            </w:rPr>
          </w:pPr>
          <w:hyperlink w:anchor="_Toc214406606" w:history="1">
            <w:r w:rsidRPr="00A74B05">
              <w:rPr>
                <w:rStyle w:val="Hyperlink"/>
                <w:rFonts w:ascii="Arial" w:hAnsi="Arial" w:cs="Arial"/>
                <w:noProof/>
              </w:rPr>
              <w:t>2.1 Political Factors</w:t>
            </w:r>
            <w:r>
              <w:rPr>
                <w:noProof/>
                <w:webHidden/>
              </w:rPr>
              <w:tab/>
            </w:r>
            <w:r>
              <w:rPr>
                <w:noProof/>
                <w:webHidden/>
              </w:rPr>
              <w:fldChar w:fldCharType="begin"/>
            </w:r>
            <w:r>
              <w:rPr>
                <w:noProof/>
                <w:webHidden/>
              </w:rPr>
              <w:instrText xml:space="preserve"> PAGEREF _Toc214406606 \h </w:instrText>
            </w:r>
            <w:r>
              <w:rPr>
                <w:noProof/>
                <w:webHidden/>
              </w:rPr>
            </w:r>
            <w:r>
              <w:rPr>
                <w:noProof/>
                <w:webHidden/>
              </w:rPr>
              <w:fldChar w:fldCharType="separate"/>
            </w:r>
            <w:r>
              <w:rPr>
                <w:noProof/>
                <w:webHidden/>
              </w:rPr>
              <w:t>5</w:t>
            </w:r>
            <w:r>
              <w:rPr>
                <w:noProof/>
                <w:webHidden/>
              </w:rPr>
              <w:fldChar w:fldCharType="end"/>
            </w:r>
          </w:hyperlink>
        </w:p>
        <w:p w14:paraId="1FF6FA74" w14:textId="4F5FE391" w:rsidR="000B5259" w:rsidRDefault="000B5259">
          <w:pPr>
            <w:pStyle w:val="TOC2"/>
            <w:tabs>
              <w:tab w:val="right" w:leader="dot" w:pos="9016"/>
            </w:tabs>
            <w:rPr>
              <w:rFonts w:eastAsiaTheme="minorEastAsia"/>
              <w:b w:val="0"/>
              <w:bCs w:val="0"/>
              <w:noProof/>
              <w:sz w:val="24"/>
              <w:szCs w:val="24"/>
              <w:lang w:eastAsia="en-GB"/>
            </w:rPr>
          </w:pPr>
          <w:hyperlink w:anchor="_Toc214406607" w:history="1">
            <w:r w:rsidRPr="00A74B05">
              <w:rPr>
                <w:rStyle w:val="Hyperlink"/>
                <w:rFonts w:ascii="Arial" w:hAnsi="Arial" w:cs="Arial"/>
                <w:noProof/>
              </w:rPr>
              <w:t>2.2 Economic Factors</w:t>
            </w:r>
            <w:r>
              <w:rPr>
                <w:noProof/>
                <w:webHidden/>
              </w:rPr>
              <w:tab/>
            </w:r>
            <w:r>
              <w:rPr>
                <w:noProof/>
                <w:webHidden/>
              </w:rPr>
              <w:fldChar w:fldCharType="begin"/>
            </w:r>
            <w:r>
              <w:rPr>
                <w:noProof/>
                <w:webHidden/>
              </w:rPr>
              <w:instrText xml:space="preserve"> PAGEREF _Toc214406607 \h </w:instrText>
            </w:r>
            <w:r>
              <w:rPr>
                <w:noProof/>
                <w:webHidden/>
              </w:rPr>
            </w:r>
            <w:r>
              <w:rPr>
                <w:noProof/>
                <w:webHidden/>
              </w:rPr>
              <w:fldChar w:fldCharType="separate"/>
            </w:r>
            <w:r>
              <w:rPr>
                <w:noProof/>
                <w:webHidden/>
              </w:rPr>
              <w:t>5</w:t>
            </w:r>
            <w:r>
              <w:rPr>
                <w:noProof/>
                <w:webHidden/>
              </w:rPr>
              <w:fldChar w:fldCharType="end"/>
            </w:r>
          </w:hyperlink>
        </w:p>
        <w:p w14:paraId="60F2E96A" w14:textId="1479E241" w:rsidR="000B5259" w:rsidRDefault="000B5259">
          <w:pPr>
            <w:pStyle w:val="TOC2"/>
            <w:tabs>
              <w:tab w:val="right" w:leader="dot" w:pos="9016"/>
            </w:tabs>
            <w:rPr>
              <w:rFonts w:eastAsiaTheme="minorEastAsia"/>
              <w:b w:val="0"/>
              <w:bCs w:val="0"/>
              <w:noProof/>
              <w:sz w:val="24"/>
              <w:szCs w:val="24"/>
              <w:lang w:eastAsia="en-GB"/>
            </w:rPr>
          </w:pPr>
          <w:hyperlink w:anchor="_Toc214406608" w:history="1">
            <w:r w:rsidRPr="00A74B05">
              <w:rPr>
                <w:rStyle w:val="Hyperlink"/>
                <w:rFonts w:ascii="Arial" w:hAnsi="Arial" w:cs="Arial"/>
                <w:noProof/>
              </w:rPr>
              <w:t>2.3 Social Factors</w:t>
            </w:r>
            <w:r>
              <w:rPr>
                <w:noProof/>
                <w:webHidden/>
              </w:rPr>
              <w:tab/>
            </w:r>
            <w:r>
              <w:rPr>
                <w:noProof/>
                <w:webHidden/>
              </w:rPr>
              <w:fldChar w:fldCharType="begin"/>
            </w:r>
            <w:r>
              <w:rPr>
                <w:noProof/>
                <w:webHidden/>
              </w:rPr>
              <w:instrText xml:space="preserve"> PAGEREF _Toc214406608 \h </w:instrText>
            </w:r>
            <w:r>
              <w:rPr>
                <w:noProof/>
                <w:webHidden/>
              </w:rPr>
            </w:r>
            <w:r>
              <w:rPr>
                <w:noProof/>
                <w:webHidden/>
              </w:rPr>
              <w:fldChar w:fldCharType="separate"/>
            </w:r>
            <w:r>
              <w:rPr>
                <w:noProof/>
                <w:webHidden/>
              </w:rPr>
              <w:t>5</w:t>
            </w:r>
            <w:r>
              <w:rPr>
                <w:noProof/>
                <w:webHidden/>
              </w:rPr>
              <w:fldChar w:fldCharType="end"/>
            </w:r>
          </w:hyperlink>
        </w:p>
        <w:p w14:paraId="61F166F7" w14:textId="76DCC841" w:rsidR="000B5259" w:rsidRDefault="000B5259">
          <w:pPr>
            <w:pStyle w:val="TOC2"/>
            <w:tabs>
              <w:tab w:val="right" w:leader="dot" w:pos="9016"/>
            </w:tabs>
            <w:rPr>
              <w:rFonts w:eastAsiaTheme="minorEastAsia"/>
              <w:b w:val="0"/>
              <w:bCs w:val="0"/>
              <w:noProof/>
              <w:sz w:val="24"/>
              <w:szCs w:val="24"/>
              <w:lang w:eastAsia="en-GB"/>
            </w:rPr>
          </w:pPr>
          <w:hyperlink w:anchor="_Toc214406609" w:history="1">
            <w:r w:rsidRPr="00A74B05">
              <w:rPr>
                <w:rStyle w:val="Hyperlink"/>
                <w:rFonts w:ascii="Arial" w:hAnsi="Arial" w:cs="Arial"/>
                <w:noProof/>
              </w:rPr>
              <w:t>2.4 Technological Factors</w:t>
            </w:r>
            <w:r>
              <w:rPr>
                <w:noProof/>
                <w:webHidden/>
              </w:rPr>
              <w:tab/>
            </w:r>
            <w:r>
              <w:rPr>
                <w:noProof/>
                <w:webHidden/>
              </w:rPr>
              <w:fldChar w:fldCharType="begin"/>
            </w:r>
            <w:r>
              <w:rPr>
                <w:noProof/>
                <w:webHidden/>
              </w:rPr>
              <w:instrText xml:space="preserve"> PAGEREF _Toc214406609 \h </w:instrText>
            </w:r>
            <w:r>
              <w:rPr>
                <w:noProof/>
                <w:webHidden/>
              </w:rPr>
            </w:r>
            <w:r>
              <w:rPr>
                <w:noProof/>
                <w:webHidden/>
              </w:rPr>
              <w:fldChar w:fldCharType="separate"/>
            </w:r>
            <w:r>
              <w:rPr>
                <w:noProof/>
                <w:webHidden/>
              </w:rPr>
              <w:t>5</w:t>
            </w:r>
            <w:r>
              <w:rPr>
                <w:noProof/>
                <w:webHidden/>
              </w:rPr>
              <w:fldChar w:fldCharType="end"/>
            </w:r>
          </w:hyperlink>
        </w:p>
        <w:p w14:paraId="0507FB4F" w14:textId="5C10C505" w:rsidR="000B5259" w:rsidRDefault="000B5259">
          <w:pPr>
            <w:pStyle w:val="TOC2"/>
            <w:tabs>
              <w:tab w:val="right" w:leader="dot" w:pos="9016"/>
            </w:tabs>
            <w:rPr>
              <w:rFonts w:eastAsiaTheme="minorEastAsia"/>
              <w:b w:val="0"/>
              <w:bCs w:val="0"/>
              <w:noProof/>
              <w:sz w:val="24"/>
              <w:szCs w:val="24"/>
              <w:lang w:eastAsia="en-GB"/>
            </w:rPr>
          </w:pPr>
          <w:hyperlink w:anchor="_Toc214406610" w:history="1">
            <w:r w:rsidRPr="00A74B05">
              <w:rPr>
                <w:rStyle w:val="Hyperlink"/>
                <w:rFonts w:ascii="Arial" w:hAnsi="Arial" w:cs="Arial"/>
                <w:noProof/>
              </w:rPr>
              <w:t>2.5 Legal Factors</w:t>
            </w:r>
            <w:r>
              <w:rPr>
                <w:noProof/>
                <w:webHidden/>
              </w:rPr>
              <w:tab/>
            </w:r>
            <w:r>
              <w:rPr>
                <w:noProof/>
                <w:webHidden/>
              </w:rPr>
              <w:fldChar w:fldCharType="begin"/>
            </w:r>
            <w:r>
              <w:rPr>
                <w:noProof/>
                <w:webHidden/>
              </w:rPr>
              <w:instrText xml:space="preserve"> PAGEREF _Toc214406610 \h </w:instrText>
            </w:r>
            <w:r>
              <w:rPr>
                <w:noProof/>
                <w:webHidden/>
              </w:rPr>
            </w:r>
            <w:r>
              <w:rPr>
                <w:noProof/>
                <w:webHidden/>
              </w:rPr>
              <w:fldChar w:fldCharType="separate"/>
            </w:r>
            <w:r>
              <w:rPr>
                <w:noProof/>
                <w:webHidden/>
              </w:rPr>
              <w:t>6</w:t>
            </w:r>
            <w:r>
              <w:rPr>
                <w:noProof/>
                <w:webHidden/>
              </w:rPr>
              <w:fldChar w:fldCharType="end"/>
            </w:r>
          </w:hyperlink>
        </w:p>
        <w:p w14:paraId="1E40B68E" w14:textId="1D08B6EF" w:rsidR="000B5259" w:rsidRDefault="000B5259">
          <w:pPr>
            <w:pStyle w:val="TOC2"/>
            <w:tabs>
              <w:tab w:val="right" w:leader="dot" w:pos="9016"/>
            </w:tabs>
            <w:rPr>
              <w:rFonts w:eastAsiaTheme="minorEastAsia"/>
              <w:b w:val="0"/>
              <w:bCs w:val="0"/>
              <w:noProof/>
              <w:sz w:val="24"/>
              <w:szCs w:val="24"/>
              <w:lang w:eastAsia="en-GB"/>
            </w:rPr>
          </w:pPr>
          <w:hyperlink w:anchor="_Toc214406611" w:history="1">
            <w:r w:rsidRPr="00A74B05">
              <w:rPr>
                <w:rStyle w:val="Hyperlink"/>
                <w:rFonts w:ascii="Arial" w:hAnsi="Arial" w:cs="Arial"/>
                <w:noProof/>
              </w:rPr>
              <w:t>2.6 Environmental Factors</w:t>
            </w:r>
            <w:r>
              <w:rPr>
                <w:noProof/>
                <w:webHidden/>
              </w:rPr>
              <w:tab/>
            </w:r>
            <w:r>
              <w:rPr>
                <w:noProof/>
                <w:webHidden/>
              </w:rPr>
              <w:fldChar w:fldCharType="begin"/>
            </w:r>
            <w:r>
              <w:rPr>
                <w:noProof/>
                <w:webHidden/>
              </w:rPr>
              <w:instrText xml:space="preserve"> PAGEREF _Toc214406611 \h </w:instrText>
            </w:r>
            <w:r>
              <w:rPr>
                <w:noProof/>
                <w:webHidden/>
              </w:rPr>
            </w:r>
            <w:r>
              <w:rPr>
                <w:noProof/>
                <w:webHidden/>
              </w:rPr>
              <w:fldChar w:fldCharType="separate"/>
            </w:r>
            <w:r>
              <w:rPr>
                <w:noProof/>
                <w:webHidden/>
              </w:rPr>
              <w:t>6</w:t>
            </w:r>
            <w:r>
              <w:rPr>
                <w:noProof/>
                <w:webHidden/>
              </w:rPr>
              <w:fldChar w:fldCharType="end"/>
            </w:r>
          </w:hyperlink>
        </w:p>
        <w:p w14:paraId="33A8298C" w14:textId="35318260" w:rsidR="000B5259" w:rsidRDefault="000B5259">
          <w:pPr>
            <w:pStyle w:val="TOC1"/>
            <w:tabs>
              <w:tab w:val="right" w:leader="dot" w:pos="9016"/>
            </w:tabs>
            <w:rPr>
              <w:rFonts w:eastAsiaTheme="minorEastAsia"/>
              <w:b w:val="0"/>
              <w:bCs w:val="0"/>
              <w:i w:val="0"/>
              <w:iCs w:val="0"/>
              <w:noProof/>
              <w:lang w:eastAsia="en-GB"/>
            </w:rPr>
          </w:pPr>
          <w:hyperlink w:anchor="_Toc214406612" w:history="1">
            <w:r w:rsidRPr="00A74B05">
              <w:rPr>
                <w:rStyle w:val="Hyperlink"/>
                <w:rFonts w:ascii="Arial" w:hAnsi="Arial" w:cs="Arial"/>
                <w:noProof/>
              </w:rPr>
              <w:t>3.Internal Capabilities and Constraints (SWOT Analysis)</w:t>
            </w:r>
            <w:r>
              <w:rPr>
                <w:noProof/>
                <w:webHidden/>
              </w:rPr>
              <w:tab/>
            </w:r>
            <w:r>
              <w:rPr>
                <w:noProof/>
                <w:webHidden/>
              </w:rPr>
              <w:fldChar w:fldCharType="begin"/>
            </w:r>
            <w:r>
              <w:rPr>
                <w:noProof/>
                <w:webHidden/>
              </w:rPr>
              <w:instrText xml:space="preserve"> PAGEREF _Toc214406612 \h </w:instrText>
            </w:r>
            <w:r>
              <w:rPr>
                <w:noProof/>
                <w:webHidden/>
              </w:rPr>
            </w:r>
            <w:r>
              <w:rPr>
                <w:noProof/>
                <w:webHidden/>
              </w:rPr>
              <w:fldChar w:fldCharType="separate"/>
            </w:r>
            <w:r>
              <w:rPr>
                <w:noProof/>
                <w:webHidden/>
              </w:rPr>
              <w:t>7</w:t>
            </w:r>
            <w:r>
              <w:rPr>
                <w:noProof/>
                <w:webHidden/>
              </w:rPr>
              <w:fldChar w:fldCharType="end"/>
            </w:r>
          </w:hyperlink>
        </w:p>
        <w:p w14:paraId="554EB008" w14:textId="4DB71D30" w:rsidR="000B5259" w:rsidRDefault="000B5259">
          <w:pPr>
            <w:pStyle w:val="TOC2"/>
            <w:tabs>
              <w:tab w:val="right" w:leader="dot" w:pos="9016"/>
            </w:tabs>
            <w:rPr>
              <w:rFonts w:eastAsiaTheme="minorEastAsia"/>
              <w:b w:val="0"/>
              <w:bCs w:val="0"/>
              <w:noProof/>
              <w:sz w:val="24"/>
              <w:szCs w:val="24"/>
              <w:lang w:eastAsia="en-GB"/>
            </w:rPr>
          </w:pPr>
          <w:hyperlink w:anchor="_Toc214406613" w:history="1">
            <w:r w:rsidRPr="00A74B05">
              <w:rPr>
                <w:rStyle w:val="Hyperlink"/>
                <w:rFonts w:ascii="Arial" w:hAnsi="Arial" w:cs="Arial"/>
                <w:noProof/>
              </w:rPr>
              <w:t>3.1 Strengths</w:t>
            </w:r>
            <w:r>
              <w:rPr>
                <w:noProof/>
                <w:webHidden/>
              </w:rPr>
              <w:tab/>
            </w:r>
            <w:r>
              <w:rPr>
                <w:noProof/>
                <w:webHidden/>
              </w:rPr>
              <w:fldChar w:fldCharType="begin"/>
            </w:r>
            <w:r>
              <w:rPr>
                <w:noProof/>
                <w:webHidden/>
              </w:rPr>
              <w:instrText xml:space="preserve"> PAGEREF _Toc214406613 \h </w:instrText>
            </w:r>
            <w:r>
              <w:rPr>
                <w:noProof/>
                <w:webHidden/>
              </w:rPr>
            </w:r>
            <w:r>
              <w:rPr>
                <w:noProof/>
                <w:webHidden/>
              </w:rPr>
              <w:fldChar w:fldCharType="separate"/>
            </w:r>
            <w:r>
              <w:rPr>
                <w:noProof/>
                <w:webHidden/>
              </w:rPr>
              <w:t>7</w:t>
            </w:r>
            <w:r>
              <w:rPr>
                <w:noProof/>
                <w:webHidden/>
              </w:rPr>
              <w:fldChar w:fldCharType="end"/>
            </w:r>
          </w:hyperlink>
        </w:p>
        <w:p w14:paraId="46C40A62" w14:textId="4250038D" w:rsidR="000B5259" w:rsidRDefault="000B5259">
          <w:pPr>
            <w:pStyle w:val="TOC2"/>
            <w:tabs>
              <w:tab w:val="right" w:leader="dot" w:pos="9016"/>
            </w:tabs>
            <w:rPr>
              <w:rFonts w:eastAsiaTheme="minorEastAsia"/>
              <w:b w:val="0"/>
              <w:bCs w:val="0"/>
              <w:noProof/>
              <w:sz w:val="24"/>
              <w:szCs w:val="24"/>
              <w:lang w:eastAsia="en-GB"/>
            </w:rPr>
          </w:pPr>
          <w:hyperlink w:anchor="_Toc214406614" w:history="1">
            <w:r w:rsidRPr="00A74B05">
              <w:rPr>
                <w:rStyle w:val="Hyperlink"/>
                <w:rFonts w:ascii="Arial" w:hAnsi="Arial" w:cs="Arial"/>
                <w:noProof/>
              </w:rPr>
              <w:t>3.2 Weaknesses</w:t>
            </w:r>
            <w:r>
              <w:rPr>
                <w:noProof/>
                <w:webHidden/>
              </w:rPr>
              <w:tab/>
            </w:r>
            <w:r>
              <w:rPr>
                <w:noProof/>
                <w:webHidden/>
              </w:rPr>
              <w:fldChar w:fldCharType="begin"/>
            </w:r>
            <w:r>
              <w:rPr>
                <w:noProof/>
                <w:webHidden/>
              </w:rPr>
              <w:instrText xml:space="preserve"> PAGEREF _Toc214406614 \h </w:instrText>
            </w:r>
            <w:r>
              <w:rPr>
                <w:noProof/>
                <w:webHidden/>
              </w:rPr>
            </w:r>
            <w:r>
              <w:rPr>
                <w:noProof/>
                <w:webHidden/>
              </w:rPr>
              <w:fldChar w:fldCharType="separate"/>
            </w:r>
            <w:r>
              <w:rPr>
                <w:noProof/>
                <w:webHidden/>
              </w:rPr>
              <w:t>7</w:t>
            </w:r>
            <w:r>
              <w:rPr>
                <w:noProof/>
                <w:webHidden/>
              </w:rPr>
              <w:fldChar w:fldCharType="end"/>
            </w:r>
          </w:hyperlink>
        </w:p>
        <w:p w14:paraId="69CF2585" w14:textId="63CF292B" w:rsidR="000B5259" w:rsidRDefault="000B5259">
          <w:pPr>
            <w:pStyle w:val="TOC2"/>
            <w:tabs>
              <w:tab w:val="right" w:leader="dot" w:pos="9016"/>
            </w:tabs>
            <w:rPr>
              <w:rFonts w:eastAsiaTheme="minorEastAsia"/>
              <w:b w:val="0"/>
              <w:bCs w:val="0"/>
              <w:noProof/>
              <w:sz w:val="24"/>
              <w:szCs w:val="24"/>
              <w:lang w:eastAsia="en-GB"/>
            </w:rPr>
          </w:pPr>
          <w:hyperlink w:anchor="_Toc214406615" w:history="1">
            <w:r w:rsidRPr="00A74B05">
              <w:rPr>
                <w:rStyle w:val="Hyperlink"/>
                <w:rFonts w:ascii="Arial" w:hAnsi="Arial" w:cs="Arial"/>
                <w:noProof/>
              </w:rPr>
              <w:t>3.3 Opportunities</w:t>
            </w:r>
            <w:r>
              <w:rPr>
                <w:noProof/>
                <w:webHidden/>
              </w:rPr>
              <w:tab/>
            </w:r>
            <w:r>
              <w:rPr>
                <w:noProof/>
                <w:webHidden/>
              </w:rPr>
              <w:fldChar w:fldCharType="begin"/>
            </w:r>
            <w:r>
              <w:rPr>
                <w:noProof/>
                <w:webHidden/>
              </w:rPr>
              <w:instrText xml:space="preserve"> PAGEREF _Toc214406615 \h </w:instrText>
            </w:r>
            <w:r>
              <w:rPr>
                <w:noProof/>
                <w:webHidden/>
              </w:rPr>
            </w:r>
            <w:r>
              <w:rPr>
                <w:noProof/>
                <w:webHidden/>
              </w:rPr>
              <w:fldChar w:fldCharType="separate"/>
            </w:r>
            <w:r>
              <w:rPr>
                <w:noProof/>
                <w:webHidden/>
              </w:rPr>
              <w:t>7</w:t>
            </w:r>
            <w:r>
              <w:rPr>
                <w:noProof/>
                <w:webHidden/>
              </w:rPr>
              <w:fldChar w:fldCharType="end"/>
            </w:r>
          </w:hyperlink>
        </w:p>
        <w:p w14:paraId="4ADF49F0" w14:textId="38BDFC09" w:rsidR="000B5259" w:rsidRDefault="000B5259">
          <w:pPr>
            <w:pStyle w:val="TOC2"/>
            <w:tabs>
              <w:tab w:val="right" w:leader="dot" w:pos="9016"/>
            </w:tabs>
            <w:rPr>
              <w:rFonts w:eastAsiaTheme="minorEastAsia"/>
              <w:b w:val="0"/>
              <w:bCs w:val="0"/>
              <w:noProof/>
              <w:sz w:val="24"/>
              <w:szCs w:val="24"/>
              <w:lang w:eastAsia="en-GB"/>
            </w:rPr>
          </w:pPr>
          <w:hyperlink w:anchor="_Toc214406616" w:history="1">
            <w:r w:rsidRPr="00A74B05">
              <w:rPr>
                <w:rStyle w:val="Hyperlink"/>
                <w:rFonts w:ascii="Arial" w:hAnsi="Arial" w:cs="Arial"/>
                <w:noProof/>
              </w:rPr>
              <w:t>3.4 Threats</w:t>
            </w:r>
            <w:r>
              <w:rPr>
                <w:noProof/>
                <w:webHidden/>
              </w:rPr>
              <w:tab/>
            </w:r>
            <w:r>
              <w:rPr>
                <w:noProof/>
                <w:webHidden/>
              </w:rPr>
              <w:fldChar w:fldCharType="begin"/>
            </w:r>
            <w:r>
              <w:rPr>
                <w:noProof/>
                <w:webHidden/>
              </w:rPr>
              <w:instrText xml:space="preserve"> PAGEREF _Toc214406616 \h </w:instrText>
            </w:r>
            <w:r>
              <w:rPr>
                <w:noProof/>
                <w:webHidden/>
              </w:rPr>
            </w:r>
            <w:r>
              <w:rPr>
                <w:noProof/>
                <w:webHidden/>
              </w:rPr>
              <w:fldChar w:fldCharType="separate"/>
            </w:r>
            <w:r>
              <w:rPr>
                <w:noProof/>
                <w:webHidden/>
              </w:rPr>
              <w:t>8</w:t>
            </w:r>
            <w:r>
              <w:rPr>
                <w:noProof/>
                <w:webHidden/>
              </w:rPr>
              <w:fldChar w:fldCharType="end"/>
            </w:r>
          </w:hyperlink>
        </w:p>
        <w:p w14:paraId="7324683B" w14:textId="5B6A903A" w:rsidR="000B5259" w:rsidRDefault="000B5259">
          <w:pPr>
            <w:pStyle w:val="TOC1"/>
            <w:tabs>
              <w:tab w:val="right" w:leader="dot" w:pos="9016"/>
            </w:tabs>
            <w:rPr>
              <w:rFonts w:eastAsiaTheme="minorEastAsia"/>
              <w:b w:val="0"/>
              <w:bCs w:val="0"/>
              <w:i w:val="0"/>
              <w:iCs w:val="0"/>
              <w:noProof/>
              <w:lang w:eastAsia="en-GB"/>
            </w:rPr>
          </w:pPr>
          <w:hyperlink w:anchor="_Toc214406617" w:history="1">
            <w:r w:rsidRPr="00A74B05">
              <w:rPr>
                <w:rStyle w:val="Hyperlink"/>
                <w:rFonts w:ascii="Arial" w:hAnsi="Arial" w:cs="Arial"/>
                <w:noProof/>
              </w:rPr>
              <w:t>4.Strategic Change Challenges and Risks</w:t>
            </w:r>
            <w:r>
              <w:rPr>
                <w:noProof/>
                <w:webHidden/>
              </w:rPr>
              <w:tab/>
            </w:r>
            <w:r>
              <w:rPr>
                <w:noProof/>
                <w:webHidden/>
              </w:rPr>
              <w:fldChar w:fldCharType="begin"/>
            </w:r>
            <w:r>
              <w:rPr>
                <w:noProof/>
                <w:webHidden/>
              </w:rPr>
              <w:instrText xml:space="preserve"> PAGEREF _Toc214406617 \h </w:instrText>
            </w:r>
            <w:r>
              <w:rPr>
                <w:noProof/>
                <w:webHidden/>
              </w:rPr>
            </w:r>
            <w:r>
              <w:rPr>
                <w:noProof/>
                <w:webHidden/>
              </w:rPr>
              <w:fldChar w:fldCharType="separate"/>
            </w:r>
            <w:r>
              <w:rPr>
                <w:noProof/>
                <w:webHidden/>
              </w:rPr>
              <w:t>9</w:t>
            </w:r>
            <w:r>
              <w:rPr>
                <w:noProof/>
                <w:webHidden/>
              </w:rPr>
              <w:fldChar w:fldCharType="end"/>
            </w:r>
          </w:hyperlink>
        </w:p>
        <w:p w14:paraId="56BF9CCA" w14:textId="09909644" w:rsidR="000B5259" w:rsidRDefault="000B5259">
          <w:pPr>
            <w:pStyle w:val="TOC2"/>
            <w:tabs>
              <w:tab w:val="right" w:leader="dot" w:pos="9016"/>
            </w:tabs>
            <w:rPr>
              <w:rFonts w:eastAsiaTheme="minorEastAsia"/>
              <w:b w:val="0"/>
              <w:bCs w:val="0"/>
              <w:noProof/>
              <w:sz w:val="24"/>
              <w:szCs w:val="24"/>
              <w:lang w:eastAsia="en-GB"/>
            </w:rPr>
          </w:pPr>
          <w:hyperlink w:anchor="_Toc214406618" w:history="1">
            <w:r w:rsidRPr="00A74B05">
              <w:rPr>
                <w:rStyle w:val="Hyperlink"/>
                <w:rFonts w:ascii="Arial" w:hAnsi="Arial" w:cs="Arial"/>
                <w:noProof/>
              </w:rPr>
              <w:t>4.1 Organisational Capacity and Resource Constraints</w:t>
            </w:r>
            <w:r>
              <w:rPr>
                <w:noProof/>
                <w:webHidden/>
              </w:rPr>
              <w:tab/>
            </w:r>
            <w:r>
              <w:rPr>
                <w:noProof/>
                <w:webHidden/>
              </w:rPr>
              <w:fldChar w:fldCharType="begin"/>
            </w:r>
            <w:r>
              <w:rPr>
                <w:noProof/>
                <w:webHidden/>
              </w:rPr>
              <w:instrText xml:space="preserve"> PAGEREF _Toc214406618 \h </w:instrText>
            </w:r>
            <w:r>
              <w:rPr>
                <w:noProof/>
                <w:webHidden/>
              </w:rPr>
            </w:r>
            <w:r>
              <w:rPr>
                <w:noProof/>
                <w:webHidden/>
              </w:rPr>
              <w:fldChar w:fldCharType="separate"/>
            </w:r>
            <w:r>
              <w:rPr>
                <w:noProof/>
                <w:webHidden/>
              </w:rPr>
              <w:t>9</w:t>
            </w:r>
            <w:r>
              <w:rPr>
                <w:noProof/>
                <w:webHidden/>
              </w:rPr>
              <w:fldChar w:fldCharType="end"/>
            </w:r>
          </w:hyperlink>
        </w:p>
        <w:p w14:paraId="0FEEC6E1" w14:textId="038BCFDF" w:rsidR="000B5259" w:rsidRDefault="000B5259">
          <w:pPr>
            <w:pStyle w:val="TOC2"/>
            <w:tabs>
              <w:tab w:val="right" w:leader="dot" w:pos="9016"/>
            </w:tabs>
            <w:rPr>
              <w:rFonts w:eastAsiaTheme="minorEastAsia"/>
              <w:b w:val="0"/>
              <w:bCs w:val="0"/>
              <w:noProof/>
              <w:sz w:val="24"/>
              <w:szCs w:val="24"/>
              <w:lang w:eastAsia="en-GB"/>
            </w:rPr>
          </w:pPr>
          <w:hyperlink w:anchor="_Toc214406619" w:history="1">
            <w:r w:rsidRPr="00A74B05">
              <w:rPr>
                <w:rStyle w:val="Hyperlink"/>
                <w:rFonts w:ascii="Arial" w:hAnsi="Arial" w:cs="Arial"/>
                <w:noProof/>
              </w:rPr>
              <w:t>4.2 Change Readiness and Cultural Resistance</w:t>
            </w:r>
            <w:r>
              <w:rPr>
                <w:noProof/>
                <w:webHidden/>
              </w:rPr>
              <w:tab/>
            </w:r>
            <w:r>
              <w:rPr>
                <w:noProof/>
                <w:webHidden/>
              </w:rPr>
              <w:fldChar w:fldCharType="begin"/>
            </w:r>
            <w:r>
              <w:rPr>
                <w:noProof/>
                <w:webHidden/>
              </w:rPr>
              <w:instrText xml:space="preserve"> PAGEREF _Toc214406619 \h </w:instrText>
            </w:r>
            <w:r>
              <w:rPr>
                <w:noProof/>
                <w:webHidden/>
              </w:rPr>
            </w:r>
            <w:r>
              <w:rPr>
                <w:noProof/>
                <w:webHidden/>
              </w:rPr>
              <w:fldChar w:fldCharType="separate"/>
            </w:r>
            <w:r>
              <w:rPr>
                <w:noProof/>
                <w:webHidden/>
              </w:rPr>
              <w:t>9</w:t>
            </w:r>
            <w:r>
              <w:rPr>
                <w:noProof/>
                <w:webHidden/>
              </w:rPr>
              <w:fldChar w:fldCharType="end"/>
            </w:r>
          </w:hyperlink>
        </w:p>
        <w:p w14:paraId="565062E1" w14:textId="4263574F" w:rsidR="000B5259" w:rsidRDefault="000B5259">
          <w:pPr>
            <w:pStyle w:val="TOC2"/>
            <w:tabs>
              <w:tab w:val="right" w:leader="dot" w:pos="9016"/>
            </w:tabs>
            <w:rPr>
              <w:rFonts w:eastAsiaTheme="minorEastAsia"/>
              <w:b w:val="0"/>
              <w:bCs w:val="0"/>
              <w:noProof/>
              <w:sz w:val="24"/>
              <w:szCs w:val="24"/>
              <w:lang w:eastAsia="en-GB"/>
            </w:rPr>
          </w:pPr>
          <w:hyperlink w:anchor="_Toc214406620" w:history="1">
            <w:r w:rsidRPr="00A74B05">
              <w:rPr>
                <w:rStyle w:val="Hyperlink"/>
                <w:rFonts w:ascii="Arial" w:hAnsi="Arial" w:cs="Arial"/>
                <w:noProof/>
              </w:rPr>
              <w:t>4.3 Knowledge and Skills Gaps</w:t>
            </w:r>
            <w:r>
              <w:rPr>
                <w:noProof/>
                <w:webHidden/>
              </w:rPr>
              <w:tab/>
            </w:r>
            <w:r>
              <w:rPr>
                <w:noProof/>
                <w:webHidden/>
              </w:rPr>
              <w:fldChar w:fldCharType="begin"/>
            </w:r>
            <w:r>
              <w:rPr>
                <w:noProof/>
                <w:webHidden/>
              </w:rPr>
              <w:instrText xml:space="preserve"> PAGEREF _Toc214406620 \h </w:instrText>
            </w:r>
            <w:r>
              <w:rPr>
                <w:noProof/>
                <w:webHidden/>
              </w:rPr>
            </w:r>
            <w:r>
              <w:rPr>
                <w:noProof/>
                <w:webHidden/>
              </w:rPr>
              <w:fldChar w:fldCharType="separate"/>
            </w:r>
            <w:r>
              <w:rPr>
                <w:noProof/>
                <w:webHidden/>
              </w:rPr>
              <w:t>9</w:t>
            </w:r>
            <w:r>
              <w:rPr>
                <w:noProof/>
                <w:webHidden/>
              </w:rPr>
              <w:fldChar w:fldCharType="end"/>
            </w:r>
          </w:hyperlink>
        </w:p>
        <w:p w14:paraId="64EE33F8" w14:textId="7EFAAD36" w:rsidR="000B5259" w:rsidRDefault="000B5259">
          <w:pPr>
            <w:pStyle w:val="TOC2"/>
            <w:tabs>
              <w:tab w:val="right" w:leader="dot" w:pos="9016"/>
            </w:tabs>
            <w:rPr>
              <w:rFonts w:eastAsiaTheme="minorEastAsia"/>
              <w:b w:val="0"/>
              <w:bCs w:val="0"/>
              <w:noProof/>
              <w:sz w:val="24"/>
              <w:szCs w:val="24"/>
              <w:lang w:eastAsia="en-GB"/>
            </w:rPr>
          </w:pPr>
          <w:hyperlink w:anchor="_Toc214406621" w:history="1">
            <w:r w:rsidRPr="00A74B05">
              <w:rPr>
                <w:rStyle w:val="Hyperlink"/>
                <w:rFonts w:ascii="Arial" w:hAnsi="Arial" w:cs="Arial"/>
                <w:noProof/>
              </w:rPr>
              <w:t>4.4 Operational and Reputational Risk</w:t>
            </w:r>
            <w:r>
              <w:rPr>
                <w:noProof/>
                <w:webHidden/>
              </w:rPr>
              <w:tab/>
            </w:r>
            <w:r>
              <w:rPr>
                <w:noProof/>
                <w:webHidden/>
              </w:rPr>
              <w:fldChar w:fldCharType="begin"/>
            </w:r>
            <w:r>
              <w:rPr>
                <w:noProof/>
                <w:webHidden/>
              </w:rPr>
              <w:instrText xml:space="preserve"> PAGEREF _Toc214406621 \h </w:instrText>
            </w:r>
            <w:r>
              <w:rPr>
                <w:noProof/>
                <w:webHidden/>
              </w:rPr>
            </w:r>
            <w:r>
              <w:rPr>
                <w:noProof/>
                <w:webHidden/>
              </w:rPr>
              <w:fldChar w:fldCharType="separate"/>
            </w:r>
            <w:r>
              <w:rPr>
                <w:noProof/>
                <w:webHidden/>
              </w:rPr>
              <w:t>9</w:t>
            </w:r>
            <w:r>
              <w:rPr>
                <w:noProof/>
                <w:webHidden/>
              </w:rPr>
              <w:fldChar w:fldCharType="end"/>
            </w:r>
          </w:hyperlink>
        </w:p>
        <w:p w14:paraId="214C8FF5" w14:textId="6CF820F2" w:rsidR="000B5259" w:rsidRDefault="000B5259">
          <w:pPr>
            <w:pStyle w:val="TOC2"/>
            <w:tabs>
              <w:tab w:val="right" w:leader="dot" w:pos="9016"/>
            </w:tabs>
            <w:rPr>
              <w:rFonts w:eastAsiaTheme="minorEastAsia"/>
              <w:b w:val="0"/>
              <w:bCs w:val="0"/>
              <w:noProof/>
              <w:sz w:val="24"/>
              <w:szCs w:val="24"/>
              <w:lang w:eastAsia="en-GB"/>
            </w:rPr>
          </w:pPr>
          <w:hyperlink w:anchor="_Toc214406622" w:history="1">
            <w:r w:rsidRPr="00A74B05">
              <w:rPr>
                <w:rStyle w:val="Hyperlink"/>
                <w:rFonts w:ascii="Arial" w:hAnsi="Arial" w:cs="Arial"/>
                <w:noProof/>
              </w:rPr>
              <w:t>4.5 Strategic Alignment and Leadership Gaps</w:t>
            </w:r>
            <w:r>
              <w:rPr>
                <w:noProof/>
                <w:webHidden/>
              </w:rPr>
              <w:tab/>
            </w:r>
            <w:r>
              <w:rPr>
                <w:noProof/>
                <w:webHidden/>
              </w:rPr>
              <w:fldChar w:fldCharType="begin"/>
            </w:r>
            <w:r>
              <w:rPr>
                <w:noProof/>
                <w:webHidden/>
              </w:rPr>
              <w:instrText xml:space="preserve"> PAGEREF _Toc214406622 \h </w:instrText>
            </w:r>
            <w:r>
              <w:rPr>
                <w:noProof/>
                <w:webHidden/>
              </w:rPr>
            </w:r>
            <w:r>
              <w:rPr>
                <w:noProof/>
                <w:webHidden/>
              </w:rPr>
              <w:fldChar w:fldCharType="separate"/>
            </w:r>
            <w:r>
              <w:rPr>
                <w:noProof/>
                <w:webHidden/>
              </w:rPr>
              <w:t>10</w:t>
            </w:r>
            <w:r>
              <w:rPr>
                <w:noProof/>
                <w:webHidden/>
              </w:rPr>
              <w:fldChar w:fldCharType="end"/>
            </w:r>
          </w:hyperlink>
        </w:p>
        <w:p w14:paraId="113B5BD6" w14:textId="66A910DF" w:rsidR="000B5259" w:rsidRDefault="000B5259">
          <w:pPr>
            <w:pStyle w:val="TOC1"/>
            <w:tabs>
              <w:tab w:val="right" w:leader="dot" w:pos="9016"/>
            </w:tabs>
            <w:rPr>
              <w:rFonts w:eastAsiaTheme="minorEastAsia"/>
              <w:b w:val="0"/>
              <w:bCs w:val="0"/>
              <w:i w:val="0"/>
              <w:iCs w:val="0"/>
              <w:noProof/>
              <w:lang w:eastAsia="en-GB"/>
            </w:rPr>
          </w:pPr>
          <w:hyperlink w:anchor="_Toc214406623" w:history="1">
            <w:r w:rsidRPr="00A74B05">
              <w:rPr>
                <w:rStyle w:val="Hyperlink"/>
                <w:rFonts w:ascii="Arial" w:hAnsi="Arial" w:cs="Arial"/>
                <w:noProof/>
              </w:rPr>
              <w:t>5.Evaluation of Change Management Models</w:t>
            </w:r>
            <w:r>
              <w:rPr>
                <w:noProof/>
                <w:webHidden/>
              </w:rPr>
              <w:tab/>
            </w:r>
            <w:r>
              <w:rPr>
                <w:noProof/>
                <w:webHidden/>
              </w:rPr>
              <w:fldChar w:fldCharType="begin"/>
            </w:r>
            <w:r>
              <w:rPr>
                <w:noProof/>
                <w:webHidden/>
              </w:rPr>
              <w:instrText xml:space="preserve"> PAGEREF _Toc214406623 \h </w:instrText>
            </w:r>
            <w:r>
              <w:rPr>
                <w:noProof/>
                <w:webHidden/>
              </w:rPr>
            </w:r>
            <w:r>
              <w:rPr>
                <w:noProof/>
                <w:webHidden/>
              </w:rPr>
              <w:fldChar w:fldCharType="separate"/>
            </w:r>
            <w:r>
              <w:rPr>
                <w:noProof/>
                <w:webHidden/>
              </w:rPr>
              <w:t>10</w:t>
            </w:r>
            <w:r>
              <w:rPr>
                <w:noProof/>
                <w:webHidden/>
              </w:rPr>
              <w:fldChar w:fldCharType="end"/>
            </w:r>
          </w:hyperlink>
        </w:p>
        <w:p w14:paraId="2D3ECC34" w14:textId="39DA64BB" w:rsidR="000B5259" w:rsidRDefault="000B5259">
          <w:pPr>
            <w:pStyle w:val="TOC2"/>
            <w:tabs>
              <w:tab w:val="right" w:leader="dot" w:pos="9016"/>
            </w:tabs>
            <w:rPr>
              <w:rFonts w:eastAsiaTheme="minorEastAsia"/>
              <w:b w:val="0"/>
              <w:bCs w:val="0"/>
              <w:noProof/>
              <w:sz w:val="24"/>
              <w:szCs w:val="24"/>
              <w:lang w:eastAsia="en-GB"/>
            </w:rPr>
          </w:pPr>
          <w:hyperlink w:anchor="_Toc214406624" w:history="1">
            <w:r w:rsidRPr="00A74B05">
              <w:rPr>
                <w:rStyle w:val="Hyperlink"/>
                <w:rFonts w:ascii="Arial" w:hAnsi="Arial" w:cs="Arial"/>
                <w:noProof/>
              </w:rPr>
              <w:t>5.1 Lewin’s Three-Step Model: Foundational but Simplistic</w:t>
            </w:r>
            <w:r>
              <w:rPr>
                <w:noProof/>
                <w:webHidden/>
              </w:rPr>
              <w:tab/>
            </w:r>
            <w:r>
              <w:rPr>
                <w:noProof/>
                <w:webHidden/>
              </w:rPr>
              <w:fldChar w:fldCharType="begin"/>
            </w:r>
            <w:r>
              <w:rPr>
                <w:noProof/>
                <w:webHidden/>
              </w:rPr>
              <w:instrText xml:space="preserve"> PAGEREF _Toc214406624 \h </w:instrText>
            </w:r>
            <w:r>
              <w:rPr>
                <w:noProof/>
                <w:webHidden/>
              </w:rPr>
            </w:r>
            <w:r>
              <w:rPr>
                <w:noProof/>
                <w:webHidden/>
              </w:rPr>
              <w:fldChar w:fldCharType="separate"/>
            </w:r>
            <w:r>
              <w:rPr>
                <w:noProof/>
                <w:webHidden/>
              </w:rPr>
              <w:t>10</w:t>
            </w:r>
            <w:r>
              <w:rPr>
                <w:noProof/>
                <w:webHidden/>
              </w:rPr>
              <w:fldChar w:fldCharType="end"/>
            </w:r>
          </w:hyperlink>
        </w:p>
        <w:p w14:paraId="5D2CA7DA" w14:textId="4EA38204" w:rsidR="000B5259" w:rsidRDefault="000B5259">
          <w:pPr>
            <w:pStyle w:val="TOC2"/>
            <w:tabs>
              <w:tab w:val="right" w:leader="dot" w:pos="9016"/>
            </w:tabs>
            <w:rPr>
              <w:rFonts w:eastAsiaTheme="minorEastAsia"/>
              <w:b w:val="0"/>
              <w:bCs w:val="0"/>
              <w:noProof/>
              <w:sz w:val="24"/>
              <w:szCs w:val="24"/>
              <w:lang w:eastAsia="en-GB"/>
            </w:rPr>
          </w:pPr>
          <w:hyperlink w:anchor="_Toc214406625" w:history="1">
            <w:r w:rsidRPr="00A74B05">
              <w:rPr>
                <w:rStyle w:val="Hyperlink"/>
                <w:rFonts w:ascii="Arial" w:hAnsi="Arial" w:cs="Arial"/>
                <w:noProof/>
              </w:rPr>
              <w:t>5.2 Kotter’s Eight-Step Process: Momentum and Structure</w:t>
            </w:r>
            <w:r>
              <w:rPr>
                <w:noProof/>
                <w:webHidden/>
              </w:rPr>
              <w:tab/>
            </w:r>
            <w:r>
              <w:rPr>
                <w:noProof/>
                <w:webHidden/>
              </w:rPr>
              <w:fldChar w:fldCharType="begin"/>
            </w:r>
            <w:r>
              <w:rPr>
                <w:noProof/>
                <w:webHidden/>
              </w:rPr>
              <w:instrText xml:space="preserve"> PAGEREF _Toc214406625 \h </w:instrText>
            </w:r>
            <w:r>
              <w:rPr>
                <w:noProof/>
                <w:webHidden/>
              </w:rPr>
            </w:r>
            <w:r>
              <w:rPr>
                <w:noProof/>
                <w:webHidden/>
              </w:rPr>
              <w:fldChar w:fldCharType="separate"/>
            </w:r>
            <w:r>
              <w:rPr>
                <w:noProof/>
                <w:webHidden/>
              </w:rPr>
              <w:t>11</w:t>
            </w:r>
            <w:r>
              <w:rPr>
                <w:noProof/>
                <w:webHidden/>
              </w:rPr>
              <w:fldChar w:fldCharType="end"/>
            </w:r>
          </w:hyperlink>
        </w:p>
        <w:p w14:paraId="1530428B" w14:textId="607C3285" w:rsidR="000B5259" w:rsidRDefault="000B5259">
          <w:pPr>
            <w:pStyle w:val="TOC2"/>
            <w:tabs>
              <w:tab w:val="right" w:leader="dot" w:pos="9016"/>
            </w:tabs>
            <w:rPr>
              <w:rFonts w:eastAsiaTheme="minorEastAsia"/>
              <w:b w:val="0"/>
              <w:bCs w:val="0"/>
              <w:noProof/>
              <w:sz w:val="24"/>
              <w:szCs w:val="24"/>
              <w:lang w:eastAsia="en-GB"/>
            </w:rPr>
          </w:pPr>
          <w:hyperlink w:anchor="_Toc214406626" w:history="1">
            <w:r w:rsidRPr="00A74B05">
              <w:rPr>
                <w:rStyle w:val="Hyperlink"/>
                <w:rFonts w:ascii="Arial" w:hAnsi="Arial" w:cs="Arial"/>
                <w:noProof/>
              </w:rPr>
              <w:t>5.3 ADKAR: Individual-Level Behaviour Change</w:t>
            </w:r>
            <w:r>
              <w:rPr>
                <w:noProof/>
                <w:webHidden/>
              </w:rPr>
              <w:tab/>
            </w:r>
            <w:r>
              <w:rPr>
                <w:noProof/>
                <w:webHidden/>
              </w:rPr>
              <w:fldChar w:fldCharType="begin"/>
            </w:r>
            <w:r>
              <w:rPr>
                <w:noProof/>
                <w:webHidden/>
              </w:rPr>
              <w:instrText xml:space="preserve"> PAGEREF _Toc214406626 \h </w:instrText>
            </w:r>
            <w:r>
              <w:rPr>
                <w:noProof/>
                <w:webHidden/>
              </w:rPr>
            </w:r>
            <w:r>
              <w:rPr>
                <w:noProof/>
                <w:webHidden/>
              </w:rPr>
              <w:fldChar w:fldCharType="separate"/>
            </w:r>
            <w:r>
              <w:rPr>
                <w:noProof/>
                <w:webHidden/>
              </w:rPr>
              <w:t>11</w:t>
            </w:r>
            <w:r>
              <w:rPr>
                <w:noProof/>
                <w:webHidden/>
              </w:rPr>
              <w:fldChar w:fldCharType="end"/>
            </w:r>
          </w:hyperlink>
        </w:p>
        <w:p w14:paraId="77759AFF" w14:textId="18AD8571" w:rsidR="000B5259" w:rsidRDefault="000B5259">
          <w:pPr>
            <w:pStyle w:val="TOC2"/>
            <w:tabs>
              <w:tab w:val="right" w:leader="dot" w:pos="9016"/>
            </w:tabs>
            <w:rPr>
              <w:rFonts w:eastAsiaTheme="minorEastAsia"/>
              <w:b w:val="0"/>
              <w:bCs w:val="0"/>
              <w:noProof/>
              <w:sz w:val="24"/>
              <w:szCs w:val="24"/>
              <w:lang w:eastAsia="en-GB"/>
            </w:rPr>
          </w:pPr>
          <w:hyperlink w:anchor="_Toc214406627" w:history="1">
            <w:r w:rsidRPr="00A74B05">
              <w:rPr>
                <w:rStyle w:val="Hyperlink"/>
                <w:rFonts w:ascii="Arial" w:hAnsi="Arial" w:cs="Arial"/>
                <w:noProof/>
              </w:rPr>
              <w:t>5.4 McKinsey 7-S Framework: Ensuring Organisational Alignment</w:t>
            </w:r>
            <w:r>
              <w:rPr>
                <w:noProof/>
                <w:webHidden/>
              </w:rPr>
              <w:tab/>
            </w:r>
            <w:r>
              <w:rPr>
                <w:noProof/>
                <w:webHidden/>
              </w:rPr>
              <w:fldChar w:fldCharType="begin"/>
            </w:r>
            <w:r>
              <w:rPr>
                <w:noProof/>
                <w:webHidden/>
              </w:rPr>
              <w:instrText xml:space="preserve"> PAGEREF _Toc214406627 \h </w:instrText>
            </w:r>
            <w:r>
              <w:rPr>
                <w:noProof/>
                <w:webHidden/>
              </w:rPr>
            </w:r>
            <w:r>
              <w:rPr>
                <w:noProof/>
                <w:webHidden/>
              </w:rPr>
              <w:fldChar w:fldCharType="separate"/>
            </w:r>
            <w:r>
              <w:rPr>
                <w:noProof/>
                <w:webHidden/>
              </w:rPr>
              <w:t>11</w:t>
            </w:r>
            <w:r>
              <w:rPr>
                <w:noProof/>
                <w:webHidden/>
              </w:rPr>
              <w:fldChar w:fldCharType="end"/>
            </w:r>
          </w:hyperlink>
        </w:p>
        <w:p w14:paraId="75C813EE" w14:textId="124B091D" w:rsidR="000B5259" w:rsidRDefault="000B5259">
          <w:pPr>
            <w:pStyle w:val="TOC2"/>
            <w:tabs>
              <w:tab w:val="right" w:leader="dot" w:pos="9016"/>
            </w:tabs>
            <w:rPr>
              <w:rFonts w:eastAsiaTheme="minorEastAsia"/>
              <w:b w:val="0"/>
              <w:bCs w:val="0"/>
              <w:noProof/>
              <w:sz w:val="24"/>
              <w:szCs w:val="24"/>
              <w:lang w:eastAsia="en-GB"/>
            </w:rPr>
          </w:pPr>
          <w:hyperlink w:anchor="_Toc214406628" w:history="1">
            <w:r w:rsidRPr="00A74B05">
              <w:rPr>
                <w:rStyle w:val="Hyperlink"/>
                <w:rFonts w:ascii="Arial" w:hAnsi="Arial" w:cs="Arial"/>
                <w:noProof/>
              </w:rPr>
              <w:t>5.5 Comparative Synthesis and Relevance to Concero</w:t>
            </w:r>
            <w:r>
              <w:rPr>
                <w:noProof/>
                <w:webHidden/>
              </w:rPr>
              <w:tab/>
            </w:r>
            <w:r>
              <w:rPr>
                <w:noProof/>
                <w:webHidden/>
              </w:rPr>
              <w:fldChar w:fldCharType="begin"/>
            </w:r>
            <w:r>
              <w:rPr>
                <w:noProof/>
                <w:webHidden/>
              </w:rPr>
              <w:instrText xml:space="preserve"> PAGEREF _Toc214406628 \h </w:instrText>
            </w:r>
            <w:r>
              <w:rPr>
                <w:noProof/>
                <w:webHidden/>
              </w:rPr>
            </w:r>
            <w:r>
              <w:rPr>
                <w:noProof/>
                <w:webHidden/>
              </w:rPr>
              <w:fldChar w:fldCharType="separate"/>
            </w:r>
            <w:r>
              <w:rPr>
                <w:noProof/>
                <w:webHidden/>
              </w:rPr>
              <w:t>11</w:t>
            </w:r>
            <w:r>
              <w:rPr>
                <w:noProof/>
                <w:webHidden/>
              </w:rPr>
              <w:fldChar w:fldCharType="end"/>
            </w:r>
          </w:hyperlink>
        </w:p>
        <w:p w14:paraId="17B195DD" w14:textId="729E25DC" w:rsidR="000B5259" w:rsidRDefault="000B5259">
          <w:pPr>
            <w:pStyle w:val="TOC1"/>
            <w:tabs>
              <w:tab w:val="right" w:leader="dot" w:pos="9016"/>
            </w:tabs>
            <w:rPr>
              <w:rFonts w:eastAsiaTheme="minorEastAsia"/>
              <w:b w:val="0"/>
              <w:bCs w:val="0"/>
              <w:i w:val="0"/>
              <w:iCs w:val="0"/>
              <w:noProof/>
              <w:lang w:eastAsia="en-GB"/>
            </w:rPr>
          </w:pPr>
          <w:hyperlink w:anchor="_Toc214406629" w:history="1">
            <w:r w:rsidRPr="00A74B05">
              <w:rPr>
                <w:rStyle w:val="Hyperlink"/>
                <w:rFonts w:ascii="Arial" w:hAnsi="Arial" w:cs="Arial"/>
                <w:noProof/>
              </w:rPr>
              <w:t>6. Leadership and Organisational Culture</w:t>
            </w:r>
            <w:r>
              <w:rPr>
                <w:noProof/>
                <w:webHidden/>
              </w:rPr>
              <w:tab/>
            </w:r>
            <w:r>
              <w:rPr>
                <w:noProof/>
                <w:webHidden/>
              </w:rPr>
              <w:fldChar w:fldCharType="begin"/>
            </w:r>
            <w:r>
              <w:rPr>
                <w:noProof/>
                <w:webHidden/>
              </w:rPr>
              <w:instrText xml:space="preserve"> PAGEREF _Toc214406629 \h </w:instrText>
            </w:r>
            <w:r>
              <w:rPr>
                <w:noProof/>
                <w:webHidden/>
              </w:rPr>
            </w:r>
            <w:r>
              <w:rPr>
                <w:noProof/>
                <w:webHidden/>
              </w:rPr>
              <w:fldChar w:fldCharType="separate"/>
            </w:r>
            <w:r>
              <w:rPr>
                <w:noProof/>
                <w:webHidden/>
              </w:rPr>
              <w:t>12</w:t>
            </w:r>
            <w:r>
              <w:rPr>
                <w:noProof/>
                <w:webHidden/>
              </w:rPr>
              <w:fldChar w:fldCharType="end"/>
            </w:r>
          </w:hyperlink>
        </w:p>
        <w:p w14:paraId="12CEF144" w14:textId="28ABFB64" w:rsidR="000B5259" w:rsidRDefault="000B5259">
          <w:pPr>
            <w:pStyle w:val="TOC2"/>
            <w:tabs>
              <w:tab w:val="right" w:leader="dot" w:pos="9016"/>
            </w:tabs>
            <w:rPr>
              <w:rFonts w:eastAsiaTheme="minorEastAsia"/>
              <w:b w:val="0"/>
              <w:bCs w:val="0"/>
              <w:noProof/>
              <w:sz w:val="24"/>
              <w:szCs w:val="24"/>
              <w:lang w:eastAsia="en-GB"/>
            </w:rPr>
          </w:pPr>
          <w:hyperlink w:anchor="_Toc214406630" w:history="1">
            <w:r w:rsidRPr="00A74B05">
              <w:rPr>
                <w:rStyle w:val="Hyperlink"/>
                <w:rFonts w:ascii="Arial" w:hAnsi="Arial" w:cs="Arial"/>
                <w:noProof/>
              </w:rPr>
              <w:t>6.1 The Central Role of Leadership in Change</w:t>
            </w:r>
            <w:r>
              <w:rPr>
                <w:noProof/>
                <w:webHidden/>
              </w:rPr>
              <w:tab/>
            </w:r>
            <w:r>
              <w:rPr>
                <w:noProof/>
                <w:webHidden/>
              </w:rPr>
              <w:fldChar w:fldCharType="begin"/>
            </w:r>
            <w:r>
              <w:rPr>
                <w:noProof/>
                <w:webHidden/>
              </w:rPr>
              <w:instrText xml:space="preserve"> PAGEREF _Toc214406630 \h </w:instrText>
            </w:r>
            <w:r>
              <w:rPr>
                <w:noProof/>
                <w:webHidden/>
              </w:rPr>
            </w:r>
            <w:r>
              <w:rPr>
                <w:noProof/>
                <w:webHidden/>
              </w:rPr>
              <w:fldChar w:fldCharType="separate"/>
            </w:r>
            <w:r>
              <w:rPr>
                <w:noProof/>
                <w:webHidden/>
              </w:rPr>
              <w:t>12</w:t>
            </w:r>
            <w:r>
              <w:rPr>
                <w:noProof/>
                <w:webHidden/>
              </w:rPr>
              <w:fldChar w:fldCharType="end"/>
            </w:r>
          </w:hyperlink>
        </w:p>
        <w:p w14:paraId="280A771A" w14:textId="3EAA9E11" w:rsidR="000B5259" w:rsidRDefault="000B5259">
          <w:pPr>
            <w:pStyle w:val="TOC2"/>
            <w:tabs>
              <w:tab w:val="right" w:leader="dot" w:pos="9016"/>
            </w:tabs>
            <w:rPr>
              <w:rFonts w:eastAsiaTheme="minorEastAsia"/>
              <w:b w:val="0"/>
              <w:bCs w:val="0"/>
              <w:noProof/>
              <w:sz w:val="24"/>
              <w:szCs w:val="24"/>
              <w:lang w:eastAsia="en-GB"/>
            </w:rPr>
          </w:pPr>
          <w:hyperlink w:anchor="_Toc214406631" w:history="1">
            <w:r w:rsidRPr="00A74B05">
              <w:rPr>
                <w:rStyle w:val="Hyperlink"/>
                <w:rFonts w:ascii="Arial" w:hAnsi="Arial" w:cs="Arial"/>
                <w:noProof/>
              </w:rPr>
              <w:t>6.2 Appropriate Leadership Style for Concero</w:t>
            </w:r>
            <w:r>
              <w:rPr>
                <w:noProof/>
                <w:webHidden/>
              </w:rPr>
              <w:tab/>
            </w:r>
            <w:r>
              <w:rPr>
                <w:noProof/>
                <w:webHidden/>
              </w:rPr>
              <w:fldChar w:fldCharType="begin"/>
            </w:r>
            <w:r>
              <w:rPr>
                <w:noProof/>
                <w:webHidden/>
              </w:rPr>
              <w:instrText xml:space="preserve"> PAGEREF _Toc214406631 \h </w:instrText>
            </w:r>
            <w:r>
              <w:rPr>
                <w:noProof/>
                <w:webHidden/>
              </w:rPr>
            </w:r>
            <w:r>
              <w:rPr>
                <w:noProof/>
                <w:webHidden/>
              </w:rPr>
              <w:fldChar w:fldCharType="separate"/>
            </w:r>
            <w:r>
              <w:rPr>
                <w:noProof/>
                <w:webHidden/>
              </w:rPr>
              <w:t>13</w:t>
            </w:r>
            <w:r>
              <w:rPr>
                <w:noProof/>
                <w:webHidden/>
              </w:rPr>
              <w:fldChar w:fldCharType="end"/>
            </w:r>
          </w:hyperlink>
        </w:p>
        <w:p w14:paraId="3487D92B" w14:textId="4396BBF2" w:rsidR="000B5259" w:rsidRDefault="000B5259">
          <w:pPr>
            <w:pStyle w:val="TOC2"/>
            <w:tabs>
              <w:tab w:val="right" w:leader="dot" w:pos="9016"/>
            </w:tabs>
            <w:rPr>
              <w:rFonts w:eastAsiaTheme="minorEastAsia"/>
              <w:b w:val="0"/>
              <w:bCs w:val="0"/>
              <w:noProof/>
              <w:sz w:val="24"/>
              <w:szCs w:val="24"/>
              <w:lang w:eastAsia="en-GB"/>
            </w:rPr>
          </w:pPr>
          <w:hyperlink w:anchor="_Toc214406632" w:history="1">
            <w:r w:rsidRPr="00A74B05">
              <w:rPr>
                <w:rStyle w:val="Hyperlink"/>
                <w:rFonts w:ascii="Arial" w:hAnsi="Arial" w:cs="Arial"/>
                <w:noProof/>
              </w:rPr>
              <w:t>6.3 Current Cultural Characteristics and Their Impact</w:t>
            </w:r>
            <w:r>
              <w:rPr>
                <w:noProof/>
                <w:webHidden/>
              </w:rPr>
              <w:tab/>
            </w:r>
            <w:r>
              <w:rPr>
                <w:noProof/>
                <w:webHidden/>
              </w:rPr>
              <w:fldChar w:fldCharType="begin"/>
            </w:r>
            <w:r>
              <w:rPr>
                <w:noProof/>
                <w:webHidden/>
              </w:rPr>
              <w:instrText xml:space="preserve"> PAGEREF _Toc214406632 \h </w:instrText>
            </w:r>
            <w:r>
              <w:rPr>
                <w:noProof/>
                <w:webHidden/>
              </w:rPr>
            </w:r>
            <w:r>
              <w:rPr>
                <w:noProof/>
                <w:webHidden/>
              </w:rPr>
              <w:fldChar w:fldCharType="separate"/>
            </w:r>
            <w:r>
              <w:rPr>
                <w:noProof/>
                <w:webHidden/>
              </w:rPr>
              <w:t>13</w:t>
            </w:r>
            <w:r>
              <w:rPr>
                <w:noProof/>
                <w:webHidden/>
              </w:rPr>
              <w:fldChar w:fldCharType="end"/>
            </w:r>
          </w:hyperlink>
        </w:p>
        <w:p w14:paraId="5AA30D5A" w14:textId="2657E709" w:rsidR="000B5259" w:rsidRDefault="000B5259">
          <w:pPr>
            <w:pStyle w:val="TOC2"/>
            <w:tabs>
              <w:tab w:val="right" w:leader="dot" w:pos="9016"/>
            </w:tabs>
            <w:rPr>
              <w:rFonts w:eastAsiaTheme="minorEastAsia"/>
              <w:b w:val="0"/>
              <w:bCs w:val="0"/>
              <w:noProof/>
              <w:sz w:val="24"/>
              <w:szCs w:val="24"/>
              <w:lang w:eastAsia="en-GB"/>
            </w:rPr>
          </w:pPr>
          <w:hyperlink w:anchor="_Toc214406633" w:history="1">
            <w:r w:rsidRPr="00A74B05">
              <w:rPr>
                <w:rStyle w:val="Hyperlink"/>
                <w:rFonts w:ascii="Arial" w:hAnsi="Arial" w:cs="Arial"/>
                <w:noProof/>
              </w:rPr>
              <w:t>6.4 Shaping Culture to Support Change</w:t>
            </w:r>
            <w:r>
              <w:rPr>
                <w:noProof/>
                <w:webHidden/>
              </w:rPr>
              <w:tab/>
            </w:r>
            <w:r>
              <w:rPr>
                <w:noProof/>
                <w:webHidden/>
              </w:rPr>
              <w:fldChar w:fldCharType="begin"/>
            </w:r>
            <w:r>
              <w:rPr>
                <w:noProof/>
                <w:webHidden/>
              </w:rPr>
              <w:instrText xml:space="preserve"> PAGEREF _Toc214406633 \h </w:instrText>
            </w:r>
            <w:r>
              <w:rPr>
                <w:noProof/>
                <w:webHidden/>
              </w:rPr>
            </w:r>
            <w:r>
              <w:rPr>
                <w:noProof/>
                <w:webHidden/>
              </w:rPr>
              <w:fldChar w:fldCharType="separate"/>
            </w:r>
            <w:r>
              <w:rPr>
                <w:noProof/>
                <w:webHidden/>
              </w:rPr>
              <w:t>13</w:t>
            </w:r>
            <w:r>
              <w:rPr>
                <w:noProof/>
                <w:webHidden/>
              </w:rPr>
              <w:fldChar w:fldCharType="end"/>
            </w:r>
          </w:hyperlink>
        </w:p>
        <w:p w14:paraId="3C442185" w14:textId="60F9B0C5" w:rsidR="000B5259" w:rsidRDefault="000B5259">
          <w:pPr>
            <w:pStyle w:val="TOC2"/>
            <w:tabs>
              <w:tab w:val="right" w:leader="dot" w:pos="9016"/>
            </w:tabs>
            <w:rPr>
              <w:rFonts w:eastAsiaTheme="minorEastAsia"/>
              <w:b w:val="0"/>
              <w:bCs w:val="0"/>
              <w:noProof/>
              <w:sz w:val="24"/>
              <w:szCs w:val="24"/>
              <w:lang w:eastAsia="en-GB"/>
            </w:rPr>
          </w:pPr>
          <w:hyperlink w:anchor="_Toc214406634" w:history="1">
            <w:r w:rsidRPr="00A74B05">
              <w:rPr>
                <w:rStyle w:val="Hyperlink"/>
                <w:rFonts w:ascii="Arial" w:hAnsi="Arial" w:cs="Arial"/>
                <w:noProof/>
              </w:rPr>
              <w:t>6.5 Building Leadership Capacity</w:t>
            </w:r>
            <w:r>
              <w:rPr>
                <w:noProof/>
                <w:webHidden/>
              </w:rPr>
              <w:tab/>
            </w:r>
            <w:r>
              <w:rPr>
                <w:noProof/>
                <w:webHidden/>
              </w:rPr>
              <w:fldChar w:fldCharType="begin"/>
            </w:r>
            <w:r>
              <w:rPr>
                <w:noProof/>
                <w:webHidden/>
              </w:rPr>
              <w:instrText xml:space="preserve"> PAGEREF _Toc214406634 \h </w:instrText>
            </w:r>
            <w:r>
              <w:rPr>
                <w:noProof/>
                <w:webHidden/>
              </w:rPr>
            </w:r>
            <w:r>
              <w:rPr>
                <w:noProof/>
                <w:webHidden/>
              </w:rPr>
              <w:fldChar w:fldCharType="separate"/>
            </w:r>
            <w:r>
              <w:rPr>
                <w:noProof/>
                <w:webHidden/>
              </w:rPr>
              <w:t>14</w:t>
            </w:r>
            <w:r>
              <w:rPr>
                <w:noProof/>
                <w:webHidden/>
              </w:rPr>
              <w:fldChar w:fldCharType="end"/>
            </w:r>
          </w:hyperlink>
        </w:p>
        <w:p w14:paraId="1CC6AD68" w14:textId="1070651E" w:rsidR="000B5259" w:rsidRDefault="000B5259">
          <w:pPr>
            <w:pStyle w:val="TOC1"/>
            <w:tabs>
              <w:tab w:val="right" w:leader="dot" w:pos="9016"/>
            </w:tabs>
            <w:rPr>
              <w:rFonts w:eastAsiaTheme="minorEastAsia"/>
              <w:b w:val="0"/>
              <w:bCs w:val="0"/>
              <w:i w:val="0"/>
              <w:iCs w:val="0"/>
              <w:noProof/>
              <w:lang w:eastAsia="en-GB"/>
            </w:rPr>
          </w:pPr>
          <w:hyperlink w:anchor="_Toc214406635" w:history="1">
            <w:r w:rsidRPr="00A74B05">
              <w:rPr>
                <w:rStyle w:val="Hyperlink"/>
                <w:rFonts w:ascii="Arial" w:hAnsi="Arial" w:cs="Arial"/>
                <w:noProof/>
              </w:rPr>
              <w:t>7.Integrated Change Strategy for Concero Education</w:t>
            </w:r>
            <w:r>
              <w:rPr>
                <w:noProof/>
                <w:webHidden/>
              </w:rPr>
              <w:tab/>
            </w:r>
            <w:r>
              <w:rPr>
                <w:noProof/>
                <w:webHidden/>
              </w:rPr>
              <w:fldChar w:fldCharType="begin"/>
            </w:r>
            <w:r>
              <w:rPr>
                <w:noProof/>
                <w:webHidden/>
              </w:rPr>
              <w:instrText xml:space="preserve"> PAGEREF _Toc214406635 \h </w:instrText>
            </w:r>
            <w:r>
              <w:rPr>
                <w:noProof/>
                <w:webHidden/>
              </w:rPr>
            </w:r>
            <w:r>
              <w:rPr>
                <w:noProof/>
                <w:webHidden/>
              </w:rPr>
              <w:fldChar w:fldCharType="separate"/>
            </w:r>
            <w:r>
              <w:rPr>
                <w:noProof/>
                <w:webHidden/>
              </w:rPr>
              <w:t>14</w:t>
            </w:r>
            <w:r>
              <w:rPr>
                <w:noProof/>
                <w:webHidden/>
              </w:rPr>
              <w:fldChar w:fldCharType="end"/>
            </w:r>
          </w:hyperlink>
        </w:p>
        <w:p w14:paraId="0CF72A34" w14:textId="3D1ABA17" w:rsidR="000B5259" w:rsidRDefault="000B5259">
          <w:pPr>
            <w:pStyle w:val="TOC2"/>
            <w:tabs>
              <w:tab w:val="right" w:leader="dot" w:pos="9016"/>
            </w:tabs>
            <w:rPr>
              <w:rFonts w:eastAsiaTheme="minorEastAsia"/>
              <w:b w:val="0"/>
              <w:bCs w:val="0"/>
              <w:noProof/>
              <w:sz w:val="24"/>
              <w:szCs w:val="24"/>
              <w:lang w:eastAsia="en-GB"/>
            </w:rPr>
          </w:pPr>
          <w:hyperlink w:anchor="_Toc214406636" w:history="1">
            <w:r w:rsidRPr="00A74B05">
              <w:rPr>
                <w:rStyle w:val="Hyperlink"/>
                <w:rFonts w:ascii="Arial" w:hAnsi="Arial" w:cs="Arial"/>
                <w:noProof/>
              </w:rPr>
              <w:t>7.1 Strategic Change Objectives</w:t>
            </w:r>
            <w:r>
              <w:rPr>
                <w:noProof/>
                <w:webHidden/>
              </w:rPr>
              <w:tab/>
            </w:r>
            <w:r>
              <w:rPr>
                <w:noProof/>
                <w:webHidden/>
              </w:rPr>
              <w:fldChar w:fldCharType="begin"/>
            </w:r>
            <w:r>
              <w:rPr>
                <w:noProof/>
                <w:webHidden/>
              </w:rPr>
              <w:instrText xml:space="preserve"> PAGEREF _Toc214406636 \h </w:instrText>
            </w:r>
            <w:r>
              <w:rPr>
                <w:noProof/>
                <w:webHidden/>
              </w:rPr>
            </w:r>
            <w:r>
              <w:rPr>
                <w:noProof/>
                <w:webHidden/>
              </w:rPr>
              <w:fldChar w:fldCharType="separate"/>
            </w:r>
            <w:r>
              <w:rPr>
                <w:noProof/>
                <w:webHidden/>
              </w:rPr>
              <w:t>14</w:t>
            </w:r>
            <w:r>
              <w:rPr>
                <w:noProof/>
                <w:webHidden/>
              </w:rPr>
              <w:fldChar w:fldCharType="end"/>
            </w:r>
          </w:hyperlink>
        </w:p>
        <w:p w14:paraId="011AC1F2" w14:textId="53A1F7D9" w:rsidR="000B5259" w:rsidRDefault="000B5259">
          <w:pPr>
            <w:pStyle w:val="TOC2"/>
            <w:tabs>
              <w:tab w:val="right" w:leader="dot" w:pos="9016"/>
            </w:tabs>
            <w:rPr>
              <w:rFonts w:eastAsiaTheme="minorEastAsia"/>
              <w:b w:val="0"/>
              <w:bCs w:val="0"/>
              <w:noProof/>
              <w:sz w:val="24"/>
              <w:szCs w:val="24"/>
              <w:lang w:eastAsia="en-GB"/>
            </w:rPr>
          </w:pPr>
          <w:hyperlink w:anchor="_Toc214406637" w:history="1">
            <w:r w:rsidRPr="00A74B05">
              <w:rPr>
                <w:rStyle w:val="Hyperlink"/>
                <w:rFonts w:ascii="Arial" w:hAnsi="Arial" w:cs="Arial"/>
                <w:noProof/>
              </w:rPr>
              <w:t>7.2 High-Level Financial Plan</w:t>
            </w:r>
            <w:r>
              <w:rPr>
                <w:noProof/>
                <w:webHidden/>
              </w:rPr>
              <w:tab/>
            </w:r>
            <w:r>
              <w:rPr>
                <w:noProof/>
                <w:webHidden/>
              </w:rPr>
              <w:fldChar w:fldCharType="begin"/>
            </w:r>
            <w:r>
              <w:rPr>
                <w:noProof/>
                <w:webHidden/>
              </w:rPr>
              <w:instrText xml:space="preserve"> PAGEREF _Toc214406637 \h </w:instrText>
            </w:r>
            <w:r>
              <w:rPr>
                <w:noProof/>
                <w:webHidden/>
              </w:rPr>
            </w:r>
            <w:r>
              <w:rPr>
                <w:noProof/>
                <w:webHidden/>
              </w:rPr>
              <w:fldChar w:fldCharType="separate"/>
            </w:r>
            <w:r>
              <w:rPr>
                <w:noProof/>
                <w:webHidden/>
              </w:rPr>
              <w:t>15</w:t>
            </w:r>
            <w:r>
              <w:rPr>
                <w:noProof/>
                <w:webHidden/>
              </w:rPr>
              <w:fldChar w:fldCharType="end"/>
            </w:r>
          </w:hyperlink>
        </w:p>
        <w:p w14:paraId="7A8F051A" w14:textId="3E7D3D40" w:rsidR="000B5259" w:rsidRDefault="000B5259">
          <w:pPr>
            <w:pStyle w:val="TOC2"/>
            <w:tabs>
              <w:tab w:val="right" w:leader="dot" w:pos="9016"/>
            </w:tabs>
            <w:rPr>
              <w:rFonts w:eastAsiaTheme="minorEastAsia"/>
              <w:b w:val="0"/>
              <w:bCs w:val="0"/>
              <w:noProof/>
              <w:sz w:val="24"/>
              <w:szCs w:val="24"/>
              <w:lang w:eastAsia="en-GB"/>
            </w:rPr>
          </w:pPr>
          <w:hyperlink w:anchor="_Toc214406638" w:history="1">
            <w:r w:rsidRPr="00A74B05">
              <w:rPr>
                <w:rStyle w:val="Hyperlink"/>
                <w:rFonts w:ascii="Arial" w:hAnsi="Arial" w:cs="Arial"/>
                <w:noProof/>
              </w:rPr>
              <w:t>7.3 Communication and Engagement Plan</w:t>
            </w:r>
            <w:r>
              <w:rPr>
                <w:noProof/>
                <w:webHidden/>
              </w:rPr>
              <w:tab/>
            </w:r>
            <w:r>
              <w:rPr>
                <w:noProof/>
                <w:webHidden/>
              </w:rPr>
              <w:fldChar w:fldCharType="begin"/>
            </w:r>
            <w:r>
              <w:rPr>
                <w:noProof/>
                <w:webHidden/>
              </w:rPr>
              <w:instrText xml:space="preserve"> PAGEREF _Toc214406638 \h </w:instrText>
            </w:r>
            <w:r>
              <w:rPr>
                <w:noProof/>
                <w:webHidden/>
              </w:rPr>
            </w:r>
            <w:r>
              <w:rPr>
                <w:noProof/>
                <w:webHidden/>
              </w:rPr>
              <w:fldChar w:fldCharType="separate"/>
            </w:r>
            <w:r>
              <w:rPr>
                <w:noProof/>
                <w:webHidden/>
              </w:rPr>
              <w:t>15</w:t>
            </w:r>
            <w:r>
              <w:rPr>
                <w:noProof/>
                <w:webHidden/>
              </w:rPr>
              <w:fldChar w:fldCharType="end"/>
            </w:r>
          </w:hyperlink>
        </w:p>
        <w:p w14:paraId="5BC3AC62" w14:textId="4F10A4E6" w:rsidR="000B5259" w:rsidRDefault="000B5259">
          <w:pPr>
            <w:pStyle w:val="TOC2"/>
            <w:tabs>
              <w:tab w:val="right" w:leader="dot" w:pos="9016"/>
            </w:tabs>
            <w:rPr>
              <w:rFonts w:eastAsiaTheme="minorEastAsia"/>
              <w:b w:val="0"/>
              <w:bCs w:val="0"/>
              <w:noProof/>
              <w:sz w:val="24"/>
              <w:szCs w:val="24"/>
              <w:lang w:eastAsia="en-GB"/>
            </w:rPr>
          </w:pPr>
          <w:hyperlink w:anchor="_Toc214406639" w:history="1">
            <w:r w:rsidRPr="00A74B05">
              <w:rPr>
                <w:rStyle w:val="Hyperlink"/>
                <w:rFonts w:ascii="Arial" w:hAnsi="Arial" w:cs="Arial"/>
                <w:noProof/>
              </w:rPr>
              <w:t>7.4 Evaluation and Performance Monitoring</w:t>
            </w:r>
            <w:r>
              <w:rPr>
                <w:noProof/>
                <w:webHidden/>
              </w:rPr>
              <w:tab/>
            </w:r>
            <w:r>
              <w:rPr>
                <w:noProof/>
                <w:webHidden/>
              </w:rPr>
              <w:fldChar w:fldCharType="begin"/>
            </w:r>
            <w:r>
              <w:rPr>
                <w:noProof/>
                <w:webHidden/>
              </w:rPr>
              <w:instrText xml:space="preserve"> PAGEREF _Toc214406639 \h </w:instrText>
            </w:r>
            <w:r>
              <w:rPr>
                <w:noProof/>
                <w:webHidden/>
              </w:rPr>
            </w:r>
            <w:r>
              <w:rPr>
                <w:noProof/>
                <w:webHidden/>
              </w:rPr>
              <w:fldChar w:fldCharType="separate"/>
            </w:r>
            <w:r>
              <w:rPr>
                <w:noProof/>
                <w:webHidden/>
              </w:rPr>
              <w:t>16</w:t>
            </w:r>
            <w:r>
              <w:rPr>
                <w:noProof/>
                <w:webHidden/>
              </w:rPr>
              <w:fldChar w:fldCharType="end"/>
            </w:r>
          </w:hyperlink>
        </w:p>
        <w:p w14:paraId="7CB90D3B" w14:textId="3C6E2EBB" w:rsidR="000B5259" w:rsidRDefault="000B5259">
          <w:pPr>
            <w:pStyle w:val="TOC2"/>
            <w:tabs>
              <w:tab w:val="right" w:leader="dot" w:pos="9016"/>
            </w:tabs>
            <w:rPr>
              <w:rFonts w:eastAsiaTheme="minorEastAsia"/>
              <w:b w:val="0"/>
              <w:bCs w:val="0"/>
              <w:noProof/>
              <w:sz w:val="24"/>
              <w:szCs w:val="24"/>
              <w:lang w:eastAsia="en-GB"/>
            </w:rPr>
          </w:pPr>
          <w:hyperlink w:anchor="_Toc214406640" w:history="1">
            <w:r w:rsidRPr="00A74B05">
              <w:rPr>
                <w:rStyle w:val="Hyperlink"/>
                <w:rFonts w:ascii="Arial" w:hAnsi="Arial" w:cs="Arial"/>
                <w:noProof/>
              </w:rPr>
              <w:t>7.5 Risk Register and Mitigation Plan</w:t>
            </w:r>
            <w:r>
              <w:rPr>
                <w:noProof/>
                <w:webHidden/>
              </w:rPr>
              <w:tab/>
            </w:r>
            <w:r>
              <w:rPr>
                <w:noProof/>
                <w:webHidden/>
              </w:rPr>
              <w:fldChar w:fldCharType="begin"/>
            </w:r>
            <w:r>
              <w:rPr>
                <w:noProof/>
                <w:webHidden/>
              </w:rPr>
              <w:instrText xml:space="preserve"> PAGEREF _Toc214406640 \h </w:instrText>
            </w:r>
            <w:r>
              <w:rPr>
                <w:noProof/>
                <w:webHidden/>
              </w:rPr>
            </w:r>
            <w:r>
              <w:rPr>
                <w:noProof/>
                <w:webHidden/>
              </w:rPr>
              <w:fldChar w:fldCharType="separate"/>
            </w:r>
            <w:r>
              <w:rPr>
                <w:noProof/>
                <w:webHidden/>
              </w:rPr>
              <w:t>16</w:t>
            </w:r>
            <w:r>
              <w:rPr>
                <w:noProof/>
                <w:webHidden/>
              </w:rPr>
              <w:fldChar w:fldCharType="end"/>
            </w:r>
          </w:hyperlink>
        </w:p>
        <w:p w14:paraId="623D8445" w14:textId="27AC720F" w:rsidR="000B5259" w:rsidRDefault="000B5259">
          <w:pPr>
            <w:pStyle w:val="TOC1"/>
            <w:tabs>
              <w:tab w:val="right" w:leader="dot" w:pos="9016"/>
            </w:tabs>
            <w:rPr>
              <w:rFonts w:eastAsiaTheme="minorEastAsia"/>
              <w:b w:val="0"/>
              <w:bCs w:val="0"/>
              <w:i w:val="0"/>
              <w:iCs w:val="0"/>
              <w:noProof/>
              <w:lang w:eastAsia="en-GB"/>
            </w:rPr>
          </w:pPr>
          <w:hyperlink w:anchor="_Toc214406641" w:history="1">
            <w:r w:rsidRPr="00A74B05">
              <w:rPr>
                <w:rStyle w:val="Hyperlink"/>
                <w:rFonts w:ascii="Arial" w:hAnsi="Arial" w:cs="Arial"/>
                <w:noProof/>
              </w:rPr>
              <w:t>8.Conclusion and Recommendations</w:t>
            </w:r>
            <w:r>
              <w:rPr>
                <w:noProof/>
                <w:webHidden/>
              </w:rPr>
              <w:tab/>
            </w:r>
            <w:r>
              <w:rPr>
                <w:noProof/>
                <w:webHidden/>
              </w:rPr>
              <w:fldChar w:fldCharType="begin"/>
            </w:r>
            <w:r>
              <w:rPr>
                <w:noProof/>
                <w:webHidden/>
              </w:rPr>
              <w:instrText xml:space="preserve"> PAGEREF _Toc214406641 \h </w:instrText>
            </w:r>
            <w:r>
              <w:rPr>
                <w:noProof/>
                <w:webHidden/>
              </w:rPr>
            </w:r>
            <w:r>
              <w:rPr>
                <w:noProof/>
                <w:webHidden/>
              </w:rPr>
              <w:fldChar w:fldCharType="separate"/>
            </w:r>
            <w:r>
              <w:rPr>
                <w:noProof/>
                <w:webHidden/>
              </w:rPr>
              <w:t>16</w:t>
            </w:r>
            <w:r>
              <w:rPr>
                <w:noProof/>
                <w:webHidden/>
              </w:rPr>
              <w:fldChar w:fldCharType="end"/>
            </w:r>
          </w:hyperlink>
        </w:p>
        <w:p w14:paraId="6D084439" w14:textId="2F5E3C23" w:rsidR="000B5259" w:rsidRDefault="000B5259">
          <w:pPr>
            <w:pStyle w:val="TOC2"/>
            <w:tabs>
              <w:tab w:val="right" w:leader="dot" w:pos="9016"/>
            </w:tabs>
            <w:rPr>
              <w:rFonts w:eastAsiaTheme="minorEastAsia"/>
              <w:b w:val="0"/>
              <w:bCs w:val="0"/>
              <w:noProof/>
              <w:sz w:val="24"/>
              <w:szCs w:val="24"/>
              <w:lang w:eastAsia="en-GB"/>
            </w:rPr>
          </w:pPr>
          <w:hyperlink w:anchor="_Toc214406642" w:history="1">
            <w:r w:rsidRPr="00A74B05">
              <w:rPr>
                <w:rStyle w:val="Hyperlink"/>
                <w:rFonts w:ascii="Arial" w:hAnsi="Arial" w:cs="Arial"/>
                <w:noProof/>
              </w:rPr>
              <w:t>Key Recommendations</w:t>
            </w:r>
            <w:r>
              <w:rPr>
                <w:noProof/>
                <w:webHidden/>
              </w:rPr>
              <w:tab/>
            </w:r>
            <w:r>
              <w:rPr>
                <w:noProof/>
                <w:webHidden/>
              </w:rPr>
              <w:fldChar w:fldCharType="begin"/>
            </w:r>
            <w:r>
              <w:rPr>
                <w:noProof/>
                <w:webHidden/>
              </w:rPr>
              <w:instrText xml:space="preserve"> PAGEREF _Toc214406642 \h </w:instrText>
            </w:r>
            <w:r>
              <w:rPr>
                <w:noProof/>
                <w:webHidden/>
              </w:rPr>
            </w:r>
            <w:r>
              <w:rPr>
                <w:noProof/>
                <w:webHidden/>
              </w:rPr>
              <w:fldChar w:fldCharType="separate"/>
            </w:r>
            <w:r>
              <w:rPr>
                <w:noProof/>
                <w:webHidden/>
              </w:rPr>
              <w:t>17</w:t>
            </w:r>
            <w:r>
              <w:rPr>
                <w:noProof/>
                <w:webHidden/>
              </w:rPr>
              <w:fldChar w:fldCharType="end"/>
            </w:r>
          </w:hyperlink>
        </w:p>
        <w:p w14:paraId="712E33E4" w14:textId="25FE5F3C" w:rsidR="000B5259" w:rsidRDefault="000B5259">
          <w:pPr>
            <w:pStyle w:val="TOC1"/>
            <w:tabs>
              <w:tab w:val="right" w:leader="dot" w:pos="9016"/>
            </w:tabs>
            <w:rPr>
              <w:rFonts w:eastAsiaTheme="minorEastAsia"/>
              <w:b w:val="0"/>
              <w:bCs w:val="0"/>
              <w:i w:val="0"/>
              <w:iCs w:val="0"/>
              <w:noProof/>
              <w:lang w:eastAsia="en-GB"/>
            </w:rPr>
          </w:pPr>
          <w:hyperlink w:anchor="_Toc214406643" w:history="1">
            <w:r w:rsidRPr="00A74B05">
              <w:rPr>
                <w:rStyle w:val="Hyperlink"/>
                <w:rFonts w:ascii="Arial" w:hAnsi="Arial" w:cs="Arial"/>
                <w:noProof/>
              </w:rPr>
              <w:t>9. Reference:</w:t>
            </w:r>
            <w:r>
              <w:rPr>
                <w:noProof/>
                <w:webHidden/>
              </w:rPr>
              <w:tab/>
            </w:r>
            <w:r>
              <w:rPr>
                <w:noProof/>
                <w:webHidden/>
              </w:rPr>
              <w:fldChar w:fldCharType="begin"/>
            </w:r>
            <w:r>
              <w:rPr>
                <w:noProof/>
                <w:webHidden/>
              </w:rPr>
              <w:instrText xml:space="preserve"> PAGEREF _Toc214406643 \h </w:instrText>
            </w:r>
            <w:r>
              <w:rPr>
                <w:noProof/>
                <w:webHidden/>
              </w:rPr>
            </w:r>
            <w:r>
              <w:rPr>
                <w:noProof/>
                <w:webHidden/>
              </w:rPr>
              <w:fldChar w:fldCharType="separate"/>
            </w:r>
            <w:r>
              <w:rPr>
                <w:noProof/>
                <w:webHidden/>
              </w:rPr>
              <w:t>18</w:t>
            </w:r>
            <w:r>
              <w:rPr>
                <w:noProof/>
                <w:webHidden/>
              </w:rPr>
              <w:fldChar w:fldCharType="end"/>
            </w:r>
          </w:hyperlink>
        </w:p>
        <w:p w14:paraId="58FD0A0A" w14:textId="1489B555" w:rsidR="00EB38C4" w:rsidRDefault="00EB38C4" w:rsidP="00E01F4C">
          <w:pPr>
            <w:spacing w:line="360" w:lineRule="auto"/>
          </w:pPr>
          <w:r>
            <w:rPr>
              <w:b/>
              <w:bCs/>
              <w:noProof/>
            </w:rPr>
            <w:fldChar w:fldCharType="end"/>
          </w:r>
        </w:p>
      </w:sdtContent>
    </w:sdt>
    <w:p w14:paraId="54F43A86" w14:textId="77777777" w:rsidR="00E01F4C" w:rsidRDefault="00E01F4C" w:rsidP="00E01F4C">
      <w:pPr>
        <w:spacing w:line="360" w:lineRule="auto"/>
      </w:pPr>
    </w:p>
    <w:p w14:paraId="03D4E3AB" w14:textId="77777777" w:rsidR="00D54703" w:rsidRDefault="00D54703" w:rsidP="00AA6EE5">
      <w:pPr>
        <w:jc w:val="both"/>
        <w:rPr>
          <w:rFonts w:ascii="Arial" w:hAnsi="Arial" w:cs="Arial"/>
          <w:color w:val="000000" w:themeColor="text1"/>
          <w:sz w:val="32"/>
          <w:szCs w:val="32"/>
          <w:u w:val="single"/>
        </w:rPr>
      </w:pPr>
    </w:p>
    <w:p w14:paraId="409ED9C0" w14:textId="77777777" w:rsidR="00CA6C19" w:rsidRDefault="00CA6C19" w:rsidP="00AA6EE5">
      <w:pPr>
        <w:jc w:val="both"/>
        <w:rPr>
          <w:rFonts w:ascii="Arial" w:hAnsi="Arial" w:cs="Arial"/>
          <w:color w:val="000000" w:themeColor="text1"/>
          <w:sz w:val="32"/>
          <w:szCs w:val="32"/>
          <w:u w:val="single"/>
        </w:rPr>
      </w:pPr>
    </w:p>
    <w:p w14:paraId="0D965B63" w14:textId="77777777" w:rsidR="00CA6C19" w:rsidRDefault="00CA6C19" w:rsidP="00AA6EE5">
      <w:pPr>
        <w:jc w:val="both"/>
        <w:rPr>
          <w:rFonts w:ascii="Arial" w:hAnsi="Arial" w:cs="Arial"/>
          <w:color w:val="000000" w:themeColor="text1"/>
          <w:sz w:val="32"/>
          <w:szCs w:val="32"/>
          <w:u w:val="single"/>
        </w:rPr>
      </w:pPr>
    </w:p>
    <w:p w14:paraId="1F2930C3" w14:textId="77777777" w:rsidR="00CA6C19" w:rsidRDefault="00CA6C19" w:rsidP="00AA6EE5">
      <w:pPr>
        <w:jc w:val="both"/>
        <w:rPr>
          <w:rFonts w:ascii="Arial" w:hAnsi="Arial" w:cs="Arial"/>
          <w:color w:val="000000" w:themeColor="text1"/>
          <w:sz w:val="32"/>
          <w:szCs w:val="32"/>
          <w:u w:val="single"/>
        </w:rPr>
      </w:pPr>
    </w:p>
    <w:p w14:paraId="66B44C76" w14:textId="77777777" w:rsidR="00CA6C19" w:rsidRDefault="00CA6C19" w:rsidP="00AA6EE5">
      <w:pPr>
        <w:jc w:val="both"/>
        <w:rPr>
          <w:rFonts w:ascii="Arial" w:hAnsi="Arial" w:cs="Arial"/>
          <w:color w:val="000000" w:themeColor="text1"/>
          <w:sz w:val="32"/>
          <w:szCs w:val="32"/>
          <w:u w:val="single"/>
        </w:rPr>
      </w:pPr>
    </w:p>
    <w:p w14:paraId="72A4D3B5" w14:textId="77777777" w:rsidR="00CA6C19" w:rsidRDefault="00CA6C19" w:rsidP="00AA6EE5">
      <w:pPr>
        <w:jc w:val="both"/>
        <w:rPr>
          <w:rFonts w:ascii="Arial" w:hAnsi="Arial" w:cs="Arial"/>
          <w:color w:val="000000" w:themeColor="text1"/>
          <w:sz w:val="32"/>
          <w:szCs w:val="32"/>
          <w:u w:val="single"/>
        </w:rPr>
      </w:pPr>
    </w:p>
    <w:p w14:paraId="095F46EB" w14:textId="77777777" w:rsidR="00CA6C19" w:rsidRDefault="00CA6C19" w:rsidP="00AA6EE5">
      <w:pPr>
        <w:jc w:val="both"/>
        <w:rPr>
          <w:rFonts w:ascii="Arial" w:hAnsi="Arial" w:cs="Arial"/>
          <w:color w:val="000000" w:themeColor="text1"/>
          <w:sz w:val="32"/>
          <w:szCs w:val="32"/>
          <w:u w:val="single"/>
        </w:rPr>
      </w:pPr>
    </w:p>
    <w:p w14:paraId="0520AAC2" w14:textId="77777777" w:rsidR="00CA6C19" w:rsidRDefault="00CA6C19" w:rsidP="00AA6EE5">
      <w:pPr>
        <w:jc w:val="both"/>
        <w:rPr>
          <w:rFonts w:ascii="Arial" w:hAnsi="Arial" w:cs="Arial"/>
          <w:color w:val="000000" w:themeColor="text1"/>
          <w:sz w:val="32"/>
          <w:szCs w:val="32"/>
          <w:u w:val="single"/>
        </w:rPr>
      </w:pPr>
    </w:p>
    <w:p w14:paraId="260895B8" w14:textId="77777777" w:rsidR="00CA6C19" w:rsidRDefault="00CA6C19" w:rsidP="00AA6EE5">
      <w:pPr>
        <w:jc w:val="both"/>
        <w:rPr>
          <w:rFonts w:ascii="Arial" w:hAnsi="Arial" w:cs="Arial"/>
          <w:color w:val="000000" w:themeColor="text1"/>
          <w:sz w:val="32"/>
          <w:szCs w:val="32"/>
          <w:u w:val="single"/>
        </w:rPr>
      </w:pPr>
    </w:p>
    <w:p w14:paraId="5671262F" w14:textId="77777777" w:rsidR="00CA6C19" w:rsidRDefault="00CA6C19" w:rsidP="00AA6EE5">
      <w:pPr>
        <w:jc w:val="both"/>
        <w:rPr>
          <w:rFonts w:ascii="Arial" w:hAnsi="Arial" w:cs="Arial"/>
          <w:color w:val="000000" w:themeColor="text1"/>
          <w:sz w:val="32"/>
          <w:szCs w:val="32"/>
          <w:u w:val="single"/>
        </w:rPr>
      </w:pPr>
    </w:p>
    <w:p w14:paraId="0B46A8FA" w14:textId="77777777" w:rsidR="00F4377C" w:rsidRDefault="00F4377C" w:rsidP="00F4377C">
      <w:pPr>
        <w:pStyle w:val="Heading1"/>
        <w:spacing w:line="360" w:lineRule="auto"/>
        <w:rPr>
          <w:rFonts w:ascii="Arial" w:hAnsi="Arial" w:cs="Arial"/>
          <w:b/>
          <w:bCs/>
          <w:color w:val="000000" w:themeColor="text1"/>
          <w:sz w:val="36"/>
          <w:szCs w:val="36"/>
        </w:rPr>
      </w:pPr>
    </w:p>
    <w:p w14:paraId="4BD5B65B" w14:textId="77777777" w:rsidR="00F4377C" w:rsidRDefault="00F4377C" w:rsidP="00F4377C">
      <w:pPr>
        <w:pStyle w:val="Heading1"/>
        <w:spacing w:line="360" w:lineRule="auto"/>
        <w:rPr>
          <w:rFonts w:ascii="Arial" w:hAnsi="Arial" w:cs="Arial"/>
          <w:b/>
          <w:bCs/>
          <w:color w:val="000000" w:themeColor="text1"/>
          <w:sz w:val="36"/>
          <w:szCs w:val="36"/>
        </w:rPr>
      </w:pPr>
    </w:p>
    <w:p w14:paraId="01B03514" w14:textId="77777777" w:rsidR="00F4377C" w:rsidRDefault="00F4377C" w:rsidP="00F4377C">
      <w:pPr>
        <w:pStyle w:val="Heading1"/>
        <w:spacing w:line="360" w:lineRule="auto"/>
        <w:rPr>
          <w:rFonts w:ascii="Arial" w:hAnsi="Arial" w:cs="Arial"/>
          <w:b/>
          <w:bCs/>
          <w:color w:val="000000" w:themeColor="text1"/>
          <w:sz w:val="36"/>
          <w:szCs w:val="36"/>
        </w:rPr>
      </w:pPr>
    </w:p>
    <w:p w14:paraId="3B7B5DE9" w14:textId="77777777" w:rsidR="00F4377C" w:rsidRDefault="00F4377C" w:rsidP="00F4377C">
      <w:pPr>
        <w:pStyle w:val="Heading1"/>
        <w:spacing w:line="360" w:lineRule="auto"/>
        <w:rPr>
          <w:rFonts w:ascii="Arial" w:hAnsi="Arial" w:cs="Arial"/>
          <w:b/>
          <w:bCs/>
          <w:color w:val="000000" w:themeColor="text1"/>
          <w:sz w:val="36"/>
          <w:szCs w:val="36"/>
        </w:rPr>
      </w:pPr>
    </w:p>
    <w:p w14:paraId="3DF6D5A2" w14:textId="77777777" w:rsidR="00F4377C" w:rsidRDefault="00F4377C" w:rsidP="00F4377C">
      <w:pPr>
        <w:pStyle w:val="Heading1"/>
        <w:spacing w:line="360" w:lineRule="auto"/>
        <w:rPr>
          <w:rFonts w:ascii="Arial" w:hAnsi="Arial" w:cs="Arial"/>
          <w:b/>
          <w:bCs/>
          <w:color w:val="000000" w:themeColor="text1"/>
          <w:sz w:val="36"/>
          <w:szCs w:val="36"/>
        </w:rPr>
      </w:pPr>
    </w:p>
    <w:p w14:paraId="0FEC6382" w14:textId="77777777" w:rsidR="00F4377C" w:rsidRDefault="00F4377C" w:rsidP="00F4377C"/>
    <w:p w14:paraId="0BD132F2" w14:textId="77777777" w:rsidR="00F4377C" w:rsidRDefault="00F4377C" w:rsidP="00F4377C"/>
    <w:p w14:paraId="49495906" w14:textId="77777777" w:rsidR="00F4377C" w:rsidRDefault="00F4377C" w:rsidP="00F4377C"/>
    <w:p w14:paraId="122E6E9D" w14:textId="77777777" w:rsidR="00F4377C" w:rsidRDefault="00F4377C" w:rsidP="00F4377C"/>
    <w:p w14:paraId="2A9904FA" w14:textId="5C6453B6" w:rsidR="00CA6C19" w:rsidRDefault="00F4377C" w:rsidP="00F4377C">
      <w:pPr>
        <w:pStyle w:val="Heading1"/>
        <w:spacing w:line="360" w:lineRule="auto"/>
        <w:rPr>
          <w:rFonts w:ascii="Arial" w:hAnsi="Arial" w:cs="Arial"/>
          <w:b/>
          <w:bCs/>
          <w:color w:val="000000" w:themeColor="text1"/>
          <w:sz w:val="36"/>
          <w:szCs w:val="36"/>
          <w:u w:val="single"/>
        </w:rPr>
      </w:pPr>
      <w:bookmarkStart w:id="12" w:name="_Toc214406604"/>
      <w:r>
        <w:rPr>
          <w:rFonts w:ascii="Arial" w:hAnsi="Arial" w:cs="Arial"/>
          <w:b/>
          <w:bCs/>
          <w:color w:val="000000" w:themeColor="text1"/>
          <w:sz w:val="36"/>
          <w:szCs w:val="36"/>
        </w:rPr>
        <w:lastRenderedPageBreak/>
        <w:t>1.</w:t>
      </w:r>
      <w:r w:rsidR="00CA6C19" w:rsidRPr="00F4377C">
        <w:rPr>
          <w:rFonts w:ascii="Arial" w:hAnsi="Arial" w:cs="Arial"/>
          <w:b/>
          <w:bCs/>
          <w:color w:val="000000" w:themeColor="text1"/>
          <w:sz w:val="36"/>
          <w:szCs w:val="36"/>
          <w:u w:val="single"/>
        </w:rPr>
        <w:t>Organisational Profile and Strategic Context</w:t>
      </w:r>
      <w:bookmarkEnd w:id="12"/>
    </w:p>
    <w:p w14:paraId="05E44258" w14:textId="5621B53D" w:rsidR="00B07D6F" w:rsidRPr="00B07D6F" w:rsidRDefault="00B07D6F" w:rsidP="00B07D6F">
      <w:pPr>
        <w:spacing w:line="360" w:lineRule="auto"/>
        <w:jc w:val="both"/>
        <w:rPr>
          <w:rFonts w:ascii="Arial" w:hAnsi="Arial" w:cs="Arial"/>
          <w:sz w:val="22"/>
          <w:szCs w:val="22"/>
          <w:lang w:eastAsia="en-US"/>
        </w:rPr>
      </w:pPr>
      <w:r w:rsidRPr="00B07D6F">
        <w:rPr>
          <w:rFonts w:ascii="Arial" w:hAnsi="Arial" w:cs="Arial"/>
          <w:sz w:val="22"/>
          <w:szCs w:val="22"/>
        </w:rPr>
        <w:t>Concero Education is a UK-based provider of IT services and educational technology (EdTech), with a focus on cybersecurity, cloud infrastructure, managed ICT support, and accessibility solutions for elementary and secondary schools. Since its founding in 2008, the organisation has developed into a reliable partner for West Midlands schools as well as the larger UK education sector. With about 40 employees, including technicians, engineers, and training specialists, Concero is positioned as a small-to-medium business with a strong emphasis on individualised and responsive service.</w:t>
      </w:r>
    </w:p>
    <w:p w14:paraId="09DBD9B3" w14:textId="4C03E095" w:rsidR="007B7B3A" w:rsidRDefault="007B7B3A" w:rsidP="007B7B3A">
      <w:pPr>
        <w:spacing w:line="360" w:lineRule="auto"/>
        <w:jc w:val="both"/>
        <w:rPr>
          <w:rFonts w:ascii="Arial" w:hAnsi="Arial" w:cs="Arial"/>
          <w:sz w:val="22"/>
          <w:szCs w:val="22"/>
        </w:rPr>
      </w:pPr>
      <w:r>
        <w:rPr>
          <w:rFonts w:ascii="Arial" w:hAnsi="Arial" w:cs="Arial"/>
          <w:noProof/>
          <w:sz w:val="22"/>
          <w:szCs w:val="22"/>
          <w14:ligatures w14:val="standardContextual"/>
        </w:rPr>
        <w:drawing>
          <wp:inline distT="0" distB="0" distL="0" distR="0" wp14:anchorId="4BCBA472" wp14:editId="0F1FD168">
            <wp:extent cx="2400300" cy="1620322"/>
            <wp:effectExtent l="0" t="0" r="0" b="5715"/>
            <wp:docPr id="720297089"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97089" name="Picture 1" descr="A blue and black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1565" cy="1641428"/>
                    </a:xfrm>
                    <a:prstGeom prst="rect">
                      <a:avLst/>
                    </a:prstGeom>
                  </pic:spPr>
                </pic:pic>
              </a:graphicData>
            </a:graphic>
          </wp:inline>
        </w:drawing>
      </w:r>
    </w:p>
    <w:p w14:paraId="5B39A4FB" w14:textId="41C07B86" w:rsidR="007B7B3A" w:rsidRDefault="007B7B3A" w:rsidP="007B7B3A">
      <w:pPr>
        <w:spacing w:line="360" w:lineRule="auto"/>
        <w:jc w:val="both"/>
        <w:rPr>
          <w:rFonts w:ascii="Arial" w:hAnsi="Arial" w:cs="Arial"/>
          <w:b/>
          <w:bCs/>
          <w:sz w:val="16"/>
          <w:szCs w:val="16"/>
        </w:rPr>
      </w:pPr>
      <w:r w:rsidRPr="007B7B3A">
        <w:rPr>
          <w:rFonts w:ascii="Arial" w:hAnsi="Arial" w:cs="Arial"/>
          <w:b/>
          <w:bCs/>
          <w:sz w:val="16"/>
          <w:szCs w:val="16"/>
        </w:rPr>
        <w:t>Figure 1: Concero Education Logo (Concero, 2025)</w:t>
      </w:r>
    </w:p>
    <w:p w14:paraId="14E92B3D" w14:textId="77777777" w:rsidR="00B07D6F" w:rsidRDefault="00B07D6F" w:rsidP="007B7B3A">
      <w:pPr>
        <w:spacing w:line="360" w:lineRule="auto"/>
        <w:jc w:val="both"/>
        <w:rPr>
          <w:rFonts w:ascii="Arial" w:hAnsi="Arial" w:cs="Arial"/>
          <w:b/>
          <w:bCs/>
          <w:sz w:val="16"/>
          <w:szCs w:val="16"/>
        </w:rPr>
      </w:pPr>
    </w:p>
    <w:p w14:paraId="52831736" w14:textId="4CAD3CD4" w:rsidR="00B07D6F" w:rsidRPr="00B07D6F" w:rsidRDefault="00B07D6F" w:rsidP="007B7B3A">
      <w:pPr>
        <w:spacing w:line="360" w:lineRule="auto"/>
        <w:jc w:val="both"/>
        <w:rPr>
          <w:rFonts w:ascii="Arial" w:hAnsi="Arial" w:cs="Arial"/>
          <w:sz w:val="22"/>
          <w:szCs w:val="22"/>
        </w:rPr>
      </w:pPr>
      <w:r w:rsidRPr="00B07D6F">
        <w:rPr>
          <w:rFonts w:ascii="Arial" w:hAnsi="Arial" w:cs="Arial"/>
          <w:sz w:val="22"/>
          <w:szCs w:val="22"/>
        </w:rPr>
        <w:t>Concero provides digital training, hardware and software deployment, network management, and security compliance. It seeks to assist schools in developing dependable and secure digital systems by serving as a strategic partner.</w:t>
      </w:r>
    </w:p>
    <w:p w14:paraId="761AD51F" w14:textId="6FA6F01D" w:rsidR="00B07D6F" w:rsidRPr="00B07D6F" w:rsidRDefault="00B07D6F" w:rsidP="007B7B3A">
      <w:pPr>
        <w:spacing w:line="360" w:lineRule="auto"/>
        <w:jc w:val="both"/>
        <w:rPr>
          <w:rFonts w:ascii="Arial" w:hAnsi="Arial" w:cs="Arial"/>
          <w:sz w:val="22"/>
          <w:szCs w:val="22"/>
        </w:rPr>
      </w:pPr>
      <w:r w:rsidRPr="00B07D6F">
        <w:rPr>
          <w:rFonts w:ascii="Arial" w:hAnsi="Arial" w:cs="Arial"/>
          <w:sz w:val="22"/>
          <w:szCs w:val="22"/>
        </w:rPr>
        <w:t>The UK education sector has changed because of rapid technological advancement and the Covid-19 pandemic's acceleration of remote learning (Selwyn, 20</w:t>
      </w:r>
      <w:r>
        <w:rPr>
          <w:rFonts w:ascii="Arial" w:hAnsi="Arial" w:cs="Arial"/>
          <w:sz w:val="22"/>
          <w:szCs w:val="22"/>
        </w:rPr>
        <w:t>21</w:t>
      </w:r>
      <w:r w:rsidRPr="00B07D6F">
        <w:rPr>
          <w:rFonts w:ascii="Arial" w:hAnsi="Arial" w:cs="Arial"/>
          <w:sz w:val="22"/>
          <w:szCs w:val="22"/>
        </w:rPr>
        <w:t xml:space="preserve">; Williamson </w:t>
      </w:r>
      <w:r>
        <w:rPr>
          <w:rFonts w:ascii="Arial" w:hAnsi="Arial" w:cs="Arial"/>
          <w:sz w:val="22"/>
          <w:szCs w:val="22"/>
        </w:rPr>
        <w:t>and</w:t>
      </w:r>
      <w:r w:rsidRPr="00B07D6F">
        <w:rPr>
          <w:rFonts w:ascii="Arial" w:hAnsi="Arial" w:cs="Arial"/>
          <w:sz w:val="22"/>
          <w:szCs w:val="22"/>
        </w:rPr>
        <w:t xml:space="preserve"> Hogan, 2020). Concero profited from the rise in demand, but schools now have tighter budgets and demand more sophisticated digital solutions.</w:t>
      </w:r>
    </w:p>
    <w:p w14:paraId="29863ED1" w14:textId="70878B56" w:rsidR="00B07D6F" w:rsidRPr="00B07D6F" w:rsidRDefault="00B07D6F" w:rsidP="007B7B3A">
      <w:pPr>
        <w:spacing w:line="360" w:lineRule="auto"/>
        <w:jc w:val="both"/>
        <w:rPr>
          <w:rFonts w:ascii="Arial" w:hAnsi="Arial" w:cs="Arial"/>
          <w:sz w:val="22"/>
          <w:szCs w:val="22"/>
        </w:rPr>
      </w:pPr>
      <w:r w:rsidRPr="00B07D6F">
        <w:rPr>
          <w:rFonts w:ascii="Arial" w:hAnsi="Arial" w:cs="Arial"/>
          <w:sz w:val="22"/>
          <w:szCs w:val="22"/>
        </w:rPr>
        <w:t xml:space="preserve">Additionally, the organisation works in a highly regulated environment where strict adherence to Department for Education safeguarding standards and the UK GDPR is required. To preserve trust, cybersecurity and data privacy are still essential (Livingstone &amp; </w:t>
      </w:r>
      <w:proofErr w:type="spellStart"/>
      <w:r w:rsidRPr="00B07D6F">
        <w:rPr>
          <w:rFonts w:ascii="Arial" w:hAnsi="Arial" w:cs="Arial"/>
          <w:sz w:val="22"/>
          <w:szCs w:val="22"/>
        </w:rPr>
        <w:t>Stoilova</w:t>
      </w:r>
      <w:proofErr w:type="spellEnd"/>
      <w:r w:rsidRPr="00B07D6F">
        <w:rPr>
          <w:rFonts w:ascii="Arial" w:hAnsi="Arial" w:cs="Arial"/>
          <w:sz w:val="22"/>
          <w:szCs w:val="22"/>
        </w:rPr>
        <w:t>, 2021).</w:t>
      </w:r>
    </w:p>
    <w:p w14:paraId="71517195" w14:textId="4D8559C8" w:rsidR="00B07D6F" w:rsidRPr="00B07D6F" w:rsidRDefault="00B07D6F" w:rsidP="007B7B3A">
      <w:pPr>
        <w:spacing w:line="360" w:lineRule="auto"/>
        <w:jc w:val="both"/>
        <w:rPr>
          <w:rFonts w:ascii="Arial" w:hAnsi="Arial" w:cs="Arial"/>
          <w:sz w:val="22"/>
          <w:szCs w:val="22"/>
        </w:rPr>
      </w:pPr>
      <w:proofErr w:type="spellStart"/>
      <w:r w:rsidRPr="00B07D6F">
        <w:rPr>
          <w:rFonts w:ascii="Arial" w:hAnsi="Arial" w:cs="Arial"/>
          <w:sz w:val="22"/>
          <w:szCs w:val="22"/>
        </w:rPr>
        <w:t>Concero's</w:t>
      </w:r>
      <w:proofErr w:type="spellEnd"/>
      <w:r w:rsidRPr="00B07D6F">
        <w:rPr>
          <w:rFonts w:ascii="Arial" w:hAnsi="Arial" w:cs="Arial"/>
          <w:sz w:val="22"/>
          <w:szCs w:val="22"/>
        </w:rPr>
        <w:t xml:space="preserve"> ability to implement automation, artificial intelligence, and advanced analytics is constrained by its small size and reliance on human-dependent processes, despite its strong customer relationships. Investing in technology, aligning cultures, and developing leaders are necessary to address this (Al-Ali et al., 2017).</w:t>
      </w:r>
    </w:p>
    <w:p w14:paraId="2119D573" w14:textId="50C1D154" w:rsidR="00B07D6F" w:rsidRPr="00B07D6F" w:rsidRDefault="00B07D6F" w:rsidP="007B7B3A">
      <w:pPr>
        <w:spacing w:line="360" w:lineRule="auto"/>
        <w:jc w:val="both"/>
        <w:rPr>
          <w:rFonts w:ascii="Arial" w:hAnsi="Arial" w:cs="Arial"/>
          <w:b/>
          <w:bCs/>
          <w:sz w:val="22"/>
          <w:szCs w:val="22"/>
        </w:rPr>
      </w:pPr>
      <w:r w:rsidRPr="00B07D6F">
        <w:rPr>
          <w:rFonts w:ascii="Arial" w:hAnsi="Arial" w:cs="Arial"/>
          <w:sz w:val="22"/>
          <w:szCs w:val="22"/>
        </w:rPr>
        <w:t>Concero needs to move towards a scalable, cloud-based service model backed by digital transformation to remain competitive. Aligning people, procedures, and technology will increase resilience and allow the organisation to keep providing schools with safe, excellent services (Verhoef et al., 2021).</w:t>
      </w:r>
    </w:p>
    <w:p w14:paraId="339F32B6" w14:textId="0048D466" w:rsidR="00E11B61" w:rsidRPr="00F4377C" w:rsidRDefault="00F4377C" w:rsidP="007B7B3A">
      <w:pPr>
        <w:pStyle w:val="Heading1"/>
        <w:spacing w:line="360" w:lineRule="auto"/>
        <w:rPr>
          <w:rStyle w:val="Strong"/>
          <w:rFonts w:ascii="Arial" w:hAnsi="Arial" w:cs="Arial"/>
          <w:color w:val="000000" w:themeColor="text1"/>
          <w:sz w:val="36"/>
          <w:szCs w:val="36"/>
          <w:u w:val="single"/>
        </w:rPr>
      </w:pPr>
      <w:bookmarkStart w:id="13" w:name="_Toc214406605"/>
      <w:r>
        <w:rPr>
          <w:rStyle w:val="Strong"/>
          <w:rFonts w:ascii="Arial" w:hAnsi="Arial" w:cs="Arial"/>
          <w:color w:val="000000" w:themeColor="text1"/>
          <w:sz w:val="36"/>
          <w:szCs w:val="36"/>
          <w:u w:val="single"/>
        </w:rPr>
        <w:lastRenderedPageBreak/>
        <w:t>2.</w:t>
      </w:r>
      <w:r w:rsidR="00E11B61" w:rsidRPr="00F4377C">
        <w:rPr>
          <w:rStyle w:val="Strong"/>
          <w:rFonts w:ascii="Arial" w:hAnsi="Arial" w:cs="Arial"/>
          <w:color w:val="000000" w:themeColor="text1"/>
          <w:sz w:val="36"/>
          <w:szCs w:val="36"/>
          <w:u w:val="single"/>
        </w:rPr>
        <w:t>External Pressures Shaping Concero Education (PESTLE Analysis)</w:t>
      </w:r>
      <w:bookmarkEnd w:id="13"/>
    </w:p>
    <w:p w14:paraId="7D36C4F7" w14:textId="19A1EE0A" w:rsidR="00E11B61" w:rsidRPr="007B7B3A" w:rsidRDefault="007B7B3A" w:rsidP="007B7B3A">
      <w:pPr>
        <w:spacing w:line="360" w:lineRule="auto"/>
        <w:jc w:val="both"/>
        <w:rPr>
          <w:rFonts w:ascii="Arial" w:hAnsi="Arial" w:cs="Arial"/>
          <w:sz w:val="21"/>
          <w:szCs w:val="21"/>
        </w:rPr>
      </w:pPr>
      <w:r w:rsidRPr="007B7B3A">
        <w:rPr>
          <w:rFonts w:ascii="Arial" w:hAnsi="Arial" w:cs="Arial"/>
          <w:sz w:val="22"/>
          <w:szCs w:val="22"/>
        </w:rPr>
        <w:t>Concero Education offers cloud infrastructure, cybersecurity, accessibility, and ICT support to schools in the rapidly developing educational technology (EdTech) sector in the UK. But the environment in which it functions is changing due to a confluence of political, economic, social, technological, legal, and environmental forces. When taken as a whole, these factors show how urgent it is that Concero implement a single, integrated transformation: switching to a service model that is digitally enabled, scalable, and secure.</w:t>
      </w:r>
    </w:p>
    <w:p w14:paraId="31DF1E17" w14:textId="310D0257" w:rsidR="00E11B61" w:rsidRPr="00E11B61" w:rsidRDefault="00F4377C" w:rsidP="00E11B61">
      <w:pPr>
        <w:pStyle w:val="Heading2"/>
        <w:spacing w:line="360" w:lineRule="auto"/>
        <w:rPr>
          <w:rFonts w:ascii="Arial" w:hAnsi="Arial" w:cs="Arial"/>
          <w:b/>
          <w:bCs/>
          <w:color w:val="000000" w:themeColor="text1"/>
          <w:sz w:val="28"/>
          <w:szCs w:val="28"/>
        </w:rPr>
      </w:pPr>
      <w:bookmarkStart w:id="14" w:name="_Toc214406606"/>
      <w:r>
        <w:rPr>
          <w:rFonts w:ascii="Arial" w:hAnsi="Arial" w:cs="Arial"/>
          <w:b/>
          <w:bCs/>
          <w:color w:val="000000" w:themeColor="text1"/>
          <w:sz w:val="28"/>
          <w:szCs w:val="28"/>
        </w:rPr>
        <w:t xml:space="preserve">2.1 </w:t>
      </w:r>
      <w:r w:rsidR="00E11B61" w:rsidRPr="00E11B61">
        <w:rPr>
          <w:rFonts w:ascii="Arial" w:hAnsi="Arial" w:cs="Arial"/>
          <w:b/>
          <w:bCs/>
          <w:color w:val="000000" w:themeColor="text1"/>
          <w:sz w:val="28"/>
          <w:szCs w:val="28"/>
        </w:rPr>
        <w:t>Political Factors</w:t>
      </w:r>
      <w:bookmarkEnd w:id="14"/>
    </w:p>
    <w:p w14:paraId="4266FE8F" w14:textId="04692876" w:rsidR="00E11B61" w:rsidRPr="007B7B3A" w:rsidRDefault="007B7B3A" w:rsidP="00E11B61">
      <w:pPr>
        <w:spacing w:line="360" w:lineRule="auto"/>
        <w:jc w:val="both"/>
        <w:rPr>
          <w:rFonts w:ascii="Arial" w:hAnsi="Arial" w:cs="Arial"/>
          <w:sz w:val="21"/>
          <w:szCs w:val="21"/>
        </w:rPr>
      </w:pPr>
      <w:r w:rsidRPr="007B7B3A">
        <w:rPr>
          <w:rFonts w:ascii="Arial" w:hAnsi="Arial" w:cs="Arial"/>
          <w:sz w:val="22"/>
          <w:szCs w:val="22"/>
        </w:rPr>
        <w:t xml:space="preserve">The education sector in the United Kingdom is significantly shaped by government policies and regulations. While Ofsted inspections increasingly assess schools' digital infrastructure and safeguarding, the Department for Education (DfE) sets digital priorities. Political focus is turning to digital resilience as cyber threats increase. Concero must, however, continue to be flexible and in line with national agendas due to the uncertainty caused by frequent policy changes and shifting funding priorities (Greany </w:t>
      </w:r>
      <w:r w:rsidR="00B07D6F">
        <w:rPr>
          <w:rFonts w:ascii="Arial" w:hAnsi="Arial" w:cs="Arial"/>
          <w:sz w:val="22"/>
          <w:szCs w:val="22"/>
        </w:rPr>
        <w:t>and</w:t>
      </w:r>
      <w:r w:rsidRPr="007B7B3A">
        <w:rPr>
          <w:rFonts w:ascii="Arial" w:hAnsi="Arial" w:cs="Arial"/>
          <w:sz w:val="22"/>
          <w:szCs w:val="22"/>
        </w:rPr>
        <w:t xml:space="preserve"> Higham, 2018).</w:t>
      </w:r>
    </w:p>
    <w:p w14:paraId="0163DF5E" w14:textId="5D44CDD0" w:rsidR="00E11B61" w:rsidRDefault="00F4377C" w:rsidP="00E11B61">
      <w:pPr>
        <w:pStyle w:val="Heading2"/>
        <w:spacing w:line="360" w:lineRule="auto"/>
        <w:rPr>
          <w:rFonts w:ascii="Arial" w:hAnsi="Arial" w:cs="Arial"/>
          <w:b/>
          <w:bCs/>
          <w:color w:val="000000" w:themeColor="text1"/>
          <w:sz w:val="28"/>
          <w:szCs w:val="28"/>
        </w:rPr>
      </w:pPr>
      <w:bookmarkStart w:id="15" w:name="_Toc214406607"/>
      <w:r>
        <w:rPr>
          <w:rFonts w:ascii="Arial" w:hAnsi="Arial" w:cs="Arial"/>
          <w:b/>
          <w:bCs/>
          <w:color w:val="000000" w:themeColor="text1"/>
          <w:sz w:val="28"/>
          <w:szCs w:val="28"/>
        </w:rPr>
        <w:t xml:space="preserve">2.2 </w:t>
      </w:r>
      <w:r w:rsidR="00E11B61" w:rsidRPr="00E11B61">
        <w:rPr>
          <w:rFonts w:ascii="Arial" w:hAnsi="Arial" w:cs="Arial"/>
          <w:b/>
          <w:bCs/>
          <w:color w:val="000000" w:themeColor="text1"/>
          <w:sz w:val="28"/>
          <w:szCs w:val="28"/>
        </w:rPr>
        <w:t>Economic Factors</w:t>
      </w:r>
      <w:bookmarkEnd w:id="15"/>
    </w:p>
    <w:p w14:paraId="1BFF09F4" w14:textId="6B71AFA6" w:rsidR="00E11B61" w:rsidRPr="006D66CF" w:rsidRDefault="006D66CF" w:rsidP="00E11B61">
      <w:pPr>
        <w:spacing w:line="360" w:lineRule="auto"/>
        <w:jc w:val="both"/>
        <w:rPr>
          <w:rFonts w:ascii="Arial" w:hAnsi="Arial" w:cs="Arial"/>
          <w:sz w:val="21"/>
          <w:szCs w:val="21"/>
        </w:rPr>
      </w:pPr>
      <w:r w:rsidRPr="006D66CF">
        <w:rPr>
          <w:rFonts w:ascii="Arial" w:hAnsi="Arial" w:cs="Arial"/>
          <w:sz w:val="22"/>
          <w:szCs w:val="22"/>
        </w:rPr>
        <w:t>Because of the legacy of COVID-19 and the cost-of-living crisis, school budgets are still under pressure. This has increased demand for cloud-based ICT that lowers operating and upfront costs. Research indicates that businesses that offer savings and efficiency tend to increase their market share during recessions (</w:t>
      </w:r>
      <w:proofErr w:type="spellStart"/>
      <w:r w:rsidRPr="006D66CF">
        <w:rPr>
          <w:rFonts w:ascii="Arial" w:hAnsi="Arial" w:cs="Arial"/>
          <w:sz w:val="22"/>
          <w:szCs w:val="22"/>
        </w:rPr>
        <w:t>Dekimpe</w:t>
      </w:r>
      <w:proofErr w:type="spellEnd"/>
      <w:r w:rsidRPr="006D66CF">
        <w:rPr>
          <w:rFonts w:ascii="Arial" w:hAnsi="Arial" w:cs="Arial"/>
          <w:sz w:val="22"/>
          <w:szCs w:val="22"/>
        </w:rPr>
        <w:t xml:space="preserve"> </w:t>
      </w:r>
      <w:r w:rsidR="00B07D6F">
        <w:rPr>
          <w:rFonts w:ascii="Arial" w:hAnsi="Arial" w:cs="Arial"/>
          <w:sz w:val="22"/>
          <w:szCs w:val="22"/>
        </w:rPr>
        <w:t>and</w:t>
      </w:r>
      <w:r w:rsidRPr="006D66CF">
        <w:rPr>
          <w:rFonts w:ascii="Arial" w:hAnsi="Arial" w:cs="Arial"/>
          <w:sz w:val="22"/>
          <w:szCs w:val="22"/>
        </w:rPr>
        <w:t xml:space="preserve"> </w:t>
      </w:r>
      <w:proofErr w:type="spellStart"/>
      <w:r w:rsidRPr="006D66CF">
        <w:rPr>
          <w:rFonts w:ascii="Arial" w:hAnsi="Arial" w:cs="Arial"/>
          <w:sz w:val="22"/>
          <w:szCs w:val="22"/>
        </w:rPr>
        <w:t>Deleersnyder</w:t>
      </w:r>
      <w:proofErr w:type="spellEnd"/>
      <w:r w:rsidRPr="006D66CF">
        <w:rPr>
          <w:rFonts w:ascii="Arial" w:hAnsi="Arial" w:cs="Arial"/>
          <w:sz w:val="22"/>
          <w:szCs w:val="22"/>
        </w:rPr>
        <w:t>, 2018). Concero needs to position itself as an affordable supplier of scalable cloud solutions without sacrificing dependability if it wants to be successful.</w:t>
      </w:r>
    </w:p>
    <w:p w14:paraId="6E975A47" w14:textId="18CFE525" w:rsidR="00E11B61" w:rsidRDefault="00F4377C" w:rsidP="00E11B61">
      <w:pPr>
        <w:pStyle w:val="Heading2"/>
        <w:spacing w:line="360" w:lineRule="auto"/>
        <w:rPr>
          <w:rFonts w:ascii="Arial" w:hAnsi="Arial" w:cs="Arial"/>
          <w:b/>
          <w:bCs/>
          <w:color w:val="000000" w:themeColor="text1"/>
          <w:sz w:val="28"/>
          <w:szCs w:val="28"/>
        </w:rPr>
      </w:pPr>
      <w:bookmarkStart w:id="16" w:name="_Toc214406608"/>
      <w:r>
        <w:rPr>
          <w:rFonts w:ascii="Arial" w:hAnsi="Arial" w:cs="Arial"/>
          <w:b/>
          <w:bCs/>
          <w:color w:val="000000" w:themeColor="text1"/>
          <w:sz w:val="28"/>
          <w:szCs w:val="28"/>
        </w:rPr>
        <w:t xml:space="preserve">2.3 </w:t>
      </w:r>
      <w:r w:rsidR="00E11B61" w:rsidRPr="00E11B61">
        <w:rPr>
          <w:rFonts w:ascii="Arial" w:hAnsi="Arial" w:cs="Arial"/>
          <w:b/>
          <w:bCs/>
          <w:color w:val="000000" w:themeColor="text1"/>
          <w:sz w:val="28"/>
          <w:szCs w:val="28"/>
        </w:rPr>
        <w:t>Social Factors</w:t>
      </w:r>
      <w:bookmarkEnd w:id="16"/>
    </w:p>
    <w:p w14:paraId="1D898C37" w14:textId="25653DD2" w:rsidR="00E11B61" w:rsidRPr="006D66CF" w:rsidRDefault="006D66CF" w:rsidP="006D66CF">
      <w:pPr>
        <w:spacing w:line="360" w:lineRule="auto"/>
        <w:jc w:val="both"/>
        <w:rPr>
          <w:rFonts w:ascii="Arial" w:hAnsi="Arial" w:cs="Arial"/>
          <w:sz w:val="21"/>
          <w:szCs w:val="21"/>
        </w:rPr>
      </w:pPr>
      <w:r w:rsidRPr="006D66CF">
        <w:rPr>
          <w:rFonts w:ascii="Arial" w:hAnsi="Arial" w:cs="Arial"/>
          <w:sz w:val="22"/>
          <w:szCs w:val="22"/>
        </w:rPr>
        <w:t xml:space="preserve">Technology-enabled learning environments are becoming increasingly expected by society. The public demanded greater equity after the pandemic revealed disparities in digital access (Williamson </w:t>
      </w:r>
      <w:r w:rsidR="00B07D6F">
        <w:rPr>
          <w:rFonts w:ascii="Arial" w:hAnsi="Arial" w:cs="Arial"/>
          <w:sz w:val="22"/>
          <w:szCs w:val="22"/>
        </w:rPr>
        <w:t>and</w:t>
      </w:r>
      <w:r w:rsidRPr="006D66CF">
        <w:rPr>
          <w:rFonts w:ascii="Arial" w:hAnsi="Arial" w:cs="Arial"/>
          <w:sz w:val="22"/>
          <w:szCs w:val="22"/>
        </w:rPr>
        <w:t xml:space="preserve"> Hogan, 2020). While accessibility for people with special needs is becoming more important, parents, students, and educators now expect seamless digital learning (Selwyn, 20</w:t>
      </w:r>
      <w:r w:rsidR="00B07D6F">
        <w:rPr>
          <w:rFonts w:ascii="Arial" w:hAnsi="Arial" w:cs="Arial"/>
          <w:sz w:val="22"/>
          <w:szCs w:val="22"/>
        </w:rPr>
        <w:t>21</w:t>
      </w:r>
      <w:r w:rsidRPr="006D66CF">
        <w:rPr>
          <w:rFonts w:ascii="Arial" w:hAnsi="Arial" w:cs="Arial"/>
          <w:sz w:val="22"/>
          <w:szCs w:val="22"/>
        </w:rPr>
        <w:t>). Therefore, Concero faces both chances to encourage inclusion and reputational risks if its services are viewed as insufficient.</w:t>
      </w:r>
    </w:p>
    <w:p w14:paraId="3D491163" w14:textId="22216485" w:rsidR="00E11B61" w:rsidRDefault="00F4377C" w:rsidP="006817B6">
      <w:pPr>
        <w:pStyle w:val="Heading2"/>
        <w:spacing w:line="360" w:lineRule="auto"/>
        <w:jc w:val="both"/>
        <w:rPr>
          <w:rFonts w:ascii="Arial" w:hAnsi="Arial" w:cs="Arial"/>
          <w:b/>
          <w:bCs/>
          <w:color w:val="000000" w:themeColor="text1"/>
          <w:sz w:val="28"/>
          <w:szCs w:val="28"/>
        </w:rPr>
      </w:pPr>
      <w:bookmarkStart w:id="17" w:name="_Toc214406609"/>
      <w:r>
        <w:rPr>
          <w:rFonts w:ascii="Arial" w:hAnsi="Arial" w:cs="Arial"/>
          <w:b/>
          <w:bCs/>
          <w:color w:val="000000" w:themeColor="text1"/>
          <w:sz w:val="28"/>
          <w:szCs w:val="28"/>
        </w:rPr>
        <w:t xml:space="preserve">2.4 </w:t>
      </w:r>
      <w:r w:rsidR="00E11B61" w:rsidRPr="006817B6">
        <w:rPr>
          <w:rFonts w:ascii="Arial" w:hAnsi="Arial" w:cs="Arial"/>
          <w:b/>
          <w:bCs/>
          <w:color w:val="000000" w:themeColor="text1"/>
          <w:sz w:val="28"/>
          <w:szCs w:val="28"/>
        </w:rPr>
        <w:t>Technological Factors</w:t>
      </w:r>
      <w:bookmarkEnd w:id="17"/>
    </w:p>
    <w:p w14:paraId="651858B0" w14:textId="047CEECC" w:rsidR="006817B6" w:rsidRPr="006D66CF" w:rsidRDefault="006D66CF" w:rsidP="006817B6">
      <w:pPr>
        <w:spacing w:line="360" w:lineRule="auto"/>
        <w:jc w:val="both"/>
        <w:rPr>
          <w:rFonts w:ascii="Arial" w:hAnsi="Arial" w:cs="Arial"/>
          <w:sz w:val="21"/>
          <w:szCs w:val="21"/>
        </w:rPr>
      </w:pPr>
      <w:r w:rsidRPr="006D66CF">
        <w:rPr>
          <w:rFonts w:ascii="Arial" w:hAnsi="Arial" w:cs="Arial"/>
          <w:sz w:val="22"/>
          <w:szCs w:val="22"/>
        </w:rPr>
        <w:t xml:space="preserve">The performance bar for EdTech providers is rising due to the rapid innovation in cloud platforms, virtual learning environments, and AI-based analytics. Smaller businesses like </w:t>
      </w:r>
      <w:r w:rsidRPr="006D66CF">
        <w:rPr>
          <w:rFonts w:ascii="Arial" w:hAnsi="Arial" w:cs="Arial"/>
          <w:sz w:val="22"/>
          <w:szCs w:val="22"/>
        </w:rPr>
        <w:lastRenderedPageBreak/>
        <w:t>Concero run the risk of becoming obsolete if they don't continuously innovate because schools demand solutions that are flexible and future-ready (Zawacki-Richter et al., 2019). According to Verhoef et al. (2021), a successful transformation necessitates not only the adoption of tools but also the alignment of processes, structures, and culture with digital delivery.</w:t>
      </w:r>
    </w:p>
    <w:p w14:paraId="0E8E43AC" w14:textId="09FF5F51" w:rsidR="006817B6" w:rsidRPr="006817B6" w:rsidRDefault="00F4377C" w:rsidP="006817B6">
      <w:pPr>
        <w:pStyle w:val="Heading2"/>
        <w:spacing w:line="360" w:lineRule="auto"/>
        <w:rPr>
          <w:rFonts w:ascii="Arial" w:hAnsi="Arial" w:cs="Arial"/>
          <w:b/>
          <w:bCs/>
          <w:color w:val="000000" w:themeColor="text1"/>
          <w:sz w:val="21"/>
          <w:szCs w:val="21"/>
        </w:rPr>
      </w:pPr>
      <w:bookmarkStart w:id="18" w:name="_Toc214406610"/>
      <w:r>
        <w:rPr>
          <w:rFonts w:ascii="Arial" w:hAnsi="Arial" w:cs="Arial"/>
          <w:b/>
          <w:bCs/>
          <w:color w:val="000000" w:themeColor="text1"/>
          <w:sz w:val="28"/>
          <w:szCs w:val="28"/>
        </w:rPr>
        <w:t xml:space="preserve">2.5 </w:t>
      </w:r>
      <w:r w:rsidR="006817B6" w:rsidRPr="006817B6">
        <w:rPr>
          <w:rFonts w:ascii="Arial" w:hAnsi="Arial" w:cs="Arial"/>
          <w:b/>
          <w:bCs/>
          <w:color w:val="000000" w:themeColor="text1"/>
          <w:sz w:val="28"/>
          <w:szCs w:val="28"/>
        </w:rPr>
        <w:t>Legal Factors</w:t>
      </w:r>
      <w:bookmarkEnd w:id="18"/>
    </w:p>
    <w:p w14:paraId="00E3DD3E" w14:textId="3EC3A052" w:rsidR="00CA6C19" w:rsidRPr="006D66CF" w:rsidRDefault="006D66CF" w:rsidP="006817B6">
      <w:pPr>
        <w:spacing w:line="360" w:lineRule="auto"/>
        <w:jc w:val="both"/>
        <w:rPr>
          <w:rFonts w:ascii="Arial" w:hAnsi="Arial" w:cs="Arial"/>
          <w:sz w:val="20"/>
          <w:szCs w:val="20"/>
        </w:rPr>
      </w:pPr>
      <w:r w:rsidRPr="006D66CF">
        <w:rPr>
          <w:rFonts w:ascii="Arial" w:hAnsi="Arial" w:cs="Arial"/>
          <w:sz w:val="22"/>
          <w:szCs w:val="22"/>
        </w:rPr>
        <w:t xml:space="preserve">The legal system is stringent, particularly when it comes to data. Adherence to safeguarding standards, the UK GDPR, and the Data Protection Act (2018) cannot be compromised. According to Livingstone and </w:t>
      </w:r>
      <w:proofErr w:type="spellStart"/>
      <w:r w:rsidRPr="006D66CF">
        <w:rPr>
          <w:rFonts w:ascii="Arial" w:hAnsi="Arial" w:cs="Arial"/>
          <w:sz w:val="22"/>
          <w:szCs w:val="22"/>
        </w:rPr>
        <w:t>Stoilova</w:t>
      </w:r>
      <w:proofErr w:type="spellEnd"/>
      <w:r w:rsidRPr="006D66CF">
        <w:rPr>
          <w:rFonts w:ascii="Arial" w:hAnsi="Arial" w:cs="Arial"/>
          <w:sz w:val="22"/>
          <w:szCs w:val="22"/>
        </w:rPr>
        <w:t xml:space="preserve"> (2021), data privacy is now a cornerstone of EdTech trust. Any violation would harm </w:t>
      </w:r>
      <w:proofErr w:type="spellStart"/>
      <w:r w:rsidRPr="006D66CF">
        <w:rPr>
          <w:rFonts w:ascii="Arial" w:hAnsi="Arial" w:cs="Arial"/>
          <w:sz w:val="22"/>
          <w:szCs w:val="22"/>
        </w:rPr>
        <w:t>Concero's</w:t>
      </w:r>
      <w:proofErr w:type="spellEnd"/>
      <w:r w:rsidRPr="006D66CF">
        <w:rPr>
          <w:rFonts w:ascii="Arial" w:hAnsi="Arial" w:cs="Arial"/>
          <w:sz w:val="22"/>
          <w:szCs w:val="22"/>
        </w:rPr>
        <w:t xml:space="preserve"> reputation with schools in addition to resulting in legal repercussions.</w:t>
      </w:r>
    </w:p>
    <w:p w14:paraId="06E95001" w14:textId="4CA3020D" w:rsidR="00CA6C19" w:rsidRDefault="00F4377C" w:rsidP="006817B6">
      <w:pPr>
        <w:pStyle w:val="Heading2"/>
        <w:spacing w:line="360" w:lineRule="auto"/>
        <w:rPr>
          <w:rFonts w:ascii="Arial" w:hAnsi="Arial" w:cs="Arial"/>
          <w:b/>
          <w:bCs/>
          <w:color w:val="000000" w:themeColor="text1"/>
          <w:sz w:val="28"/>
          <w:szCs w:val="28"/>
        </w:rPr>
      </w:pPr>
      <w:bookmarkStart w:id="19" w:name="_Toc214406611"/>
      <w:r>
        <w:rPr>
          <w:rFonts w:ascii="Arial" w:hAnsi="Arial" w:cs="Arial"/>
          <w:b/>
          <w:bCs/>
          <w:color w:val="000000" w:themeColor="text1"/>
          <w:sz w:val="28"/>
          <w:szCs w:val="28"/>
        </w:rPr>
        <w:t xml:space="preserve">2.6 </w:t>
      </w:r>
      <w:r w:rsidR="006817B6" w:rsidRPr="006817B6">
        <w:rPr>
          <w:rFonts w:ascii="Arial" w:hAnsi="Arial" w:cs="Arial"/>
          <w:b/>
          <w:bCs/>
          <w:color w:val="000000" w:themeColor="text1"/>
          <w:sz w:val="28"/>
          <w:szCs w:val="28"/>
        </w:rPr>
        <w:t>Environmental Factors</w:t>
      </w:r>
      <w:bookmarkEnd w:id="19"/>
    </w:p>
    <w:p w14:paraId="19CF203A" w14:textId="53B637EE" w:rsidR="006D66CF" w:rsidRDefault="006D66CF" w:rsidP="006D66CF">
      <w:pPr>
        <w:spacing w:line="360" w:lineRule="auto"/>
        <w:jc w:val="both"/>
        <w:rPr>
          <w:rFonts w:ascii="Arial" w:hAnsi="Arial" w:cs="Arial"/>
          <w:sz w:val="22"/>
          <w:szCs w:val="22"/>
        </w:rPr>
      </w:pPr>
      <w:r w:rsidRPr="006D66CF">
        <w:rPr>
          <w:rFonts w:ascii="Arial" w:hAnsi="Arial" w:cs="Arial"/>
          <w:sz w:val="22"/>
          <w:szCs w:val="22"/>
        </w:rPr>
        <w:t>Purchasing decisions are increasingly taking sustainability into account. Schools look for vendors who are dedicated to managing e-waste, green IT, and carbon reduction. Concero can improve its market position by providing energy-efficient digital tools and circular IT lifecycle services, which are in line with the UK's Net Zero commitments (Salvia et al., 2019).</w:t>
      </w:r>
    </w:p>
    <w:p w14:paraId="7BB54C04" w14:textId="4F6D2BF6" w:rsidR="006D66CF" w:rsidRDefault="006D66CF" w:rsidP="006D66CF">
      <w:pPr>
        <w:spacing w:line="360" w:lineRule="auto"/>
        <w:jc w:val="both"/>
        <w:rPr>
          <w:rFonts w:ascii="Arial" w:hAnsi="Arial" w:cs="Arial"/>
          <w:sz w:val="22"/>
          <w:szCs w:val="22"/>
        </w:rPr>
      </w:pPr>
      <w:r w:rsidRPr="006D66CF">
        <w:rPr>
          <w:rFonts w:ascii="Arial" w:hAnsi="Arial" w:cs="Arial"/>
          <w:sz w:val="22"/>
          <w:szCs w:val="22"/>
        </w:rPr>
        <w:t xml:space="preserve">All things considered, Concero works in a challenging, heavily regulated, and resource-constrained setting. Political agendas, limited funds, the need for digital equity in society, the speed at which technology is developing, and sustainability standards all influence the purchases made by schools. Instead of requiring several distinct responses, these external pressures point to a single necessity: Concero needs to speed up its digital transformation </w:t>
      </w:r>
      <w:proofErr w:type="gramStart"/>
      <w:r w:rsidRPr="006D66CF">
        <w:rPr>
          <w:rFonts w:ascii="Arial" w:hAnsi="Arial" w:cs="Arial"/>
          <w:sz w:val="22"/>
          <w:szCs w:val="22"/>
        </w:rPr>
        <w:t>in order to</w:t>
      </w:r>
      <w:proofErr w:type="gramEnd"/>
      <w:r w:rsidRPr="006D66CF">
        <w:rPr>
          <w:rFonts w:ascii="Arial" w:hAnsi="Arial" w:cs="Arial"/>
          <w:sz w:val="22"/>
          <w:szCs w:val="22"/>
        </w:rPr>
        <w:t xml:space="preserve"> increase resilience, provide efficiency, and maintain its competitiveness in the UK EdTech market.</w:t>
      </w:r>
    </w:p>
    <w:p w14:paraId="456088C3" w14:textId="19E4E91C" w:rsidR="006D66CF" w:rsidRDefault="006D66CF" w:rsidP="006D66CF">
      <w:pPr>
        <w:spacing w:line="360" w:lineRule="auto"/>
        <w:jc w:val="both"/>
        <w:rPr>
          <w:rFonts w:ascii="Arial" w:hAnsi="Arial" w:cs="Arial"/>
          <w:sz w:val="21"/>
          <w:szCs w:val="21"/>
          <w:lang w:eastAsia="en-US"/>
        </w:rPr>
      </w:pPr>
      <w:r w:rsidRPr="006D66CF">
        <w:rPr>
          <w:rFonts w:ascii="Arial" w:hAnsi="Arial" w:cs="Arial"/>
          <w:noProof/>
          <w:sz w:val="21"/>
          <w:szCs w:val="21"/>
          <w:lang w:eastAsia="en-US"/>
        </w:rPr>
        <w:drawing>
          <wp:inline distT="0" distB="0" distL="0" distR="0" wp14:anchorId="7DCF87DF" wp14:editId="229D841D">
            <wp:extent cx="5731510" cy="1830070"/>
            <wp:effectExtent l="0" t="0" r="0" b="0"/>
            <wp:docPr id="2076181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1648" name="Picture 1" descr="A screenshot of a computer&#10;&#10;AI-generated content may be incorrect."/>
                    <pic:cNvPicPr/>
                  </pic:nvPicPr>
                  <pic:blipFill>
                    <a:blip r:embed="rId11"/>
                    <a:stretch>
                      <a:fillRect/>
                    </a:stretch>
                  </pic:blipFill>
                  <pic:spPr>
                    <a:xfrm>
                      <a:off x="0" y="0"/>
                      <a:ext cx="5731510" cy="1830070"/>
                    </a:xfrm>
                    <a:prstGeom prst="rect">
                      <a:avLst/>
                    </a:prstGeom>
                  </pic:spPr>
                </pic:pic>
              </a:graphicData>
            </a:graphic>
          </wp:inline>
        </w:drawing>
      </w:r>
    </w:p>
    <w:p w14:paraId="6DEA9074" w14:textId="5000B433" w:rsidR="006D66CF" w:rsidRPr="006D66CF" w:rsidRDefault="006D66CF" w:rsidP="006D66CF">
      <w:pPr>
        <w:spacing w:line="360" w:lineRule="auto"/>
        <w:jc w:val="both"/>
        <w:rPr>
          <w:rFonts w:ascii="Arial" w:hAnsi="Arial" w:cs="Arial"/>
          <w:b/>
          <w:bCs/>
          <w:sz w:val="16"/>
          <w:szCs w:val="16"/>
          <w:lang w:eastAsia="en-US"/>
        </w:rPr>
      </w:pPr>
      <w:r w:rsidRPr="006D66CF">
        <w:rPr>
          <w:rFonts w:ascii="Arial" w:hAnsi="Arial" w:cs="Arial"/>
          <w:b/>
          <w:bCs/>
          <w:sz w:val="16"/>
          <w:szCs w:val="16"/>
        </w:rPr>
        <w:t>Figure 2: PESTLE Analysis of Concero (</w:t>
      </w:r>
      <w:r>
        <w:rPr>
          <w:rFonts w:ascii="Arial" w:hAnsi="Arial" w:cs="Arial"/>
          <w:b/>
          <w:bCs/>
          <w:sz w:val="16"/>
          <w:szCs w:val="16"/>
        </w:rPr>
        <w:t>Yanis Popov</w:t>
      </w:r>
      <w:r w:rsidRPr="006D66CF">
        <w:rPr>
          <w:rFonts w:ascii="Arial" w:hAnsi="Arial" w:cs="Arial"/>
          <w:b/>
          <w:bCs/>
          <w:sz w:val="16"/>
          <w:szCs w:val="16"/>
        </w:rPr>
        <w:t>, 2025)</w:t>
      </w:r>
    </w:p>
    <w:p w14:paraId="4B26345F" w14:textId="005E22E9" w:rsidR="00856166" w:rsidRPr="00F4377C" w:rsidRDefault="00F4377C" w:rsidP="00856166">
      <w:pPr>
        <w:pStyle w:val="Heading1"/>
        <w:spacing w:line="360" w:lineRule="auto"/>
        <w:rPr>
          <w:rFonts w:ascii="Arial" w:hAnsi="Arial" w:cs="Arial"/>
          <w:b/>
          <w:bCs/>
          <w:color w:val="000000" w:themeColor="text1"/>
          <w:sz w:val="36"/>
          <w:szCs w:val="36"/>
          <w:u w:val="single"/>
        </w:rPr>
      </w:pPr>
      <w:bookmarkStart w:id="20" w:name="_Toc214406612"/>
      <w:r>
        <w:rPr>
          <w:rFonts w:ascii="Arial" w:hAnsi="Arial" w:cs="Arial"/>
          <w:b/>
          <w:bCs/>
          <w:color w:val="000000" w:themeColor="text1"/>
          <w:sz w:val="36"/>
          <w:szCs w:val="36"/>
          <w:u w:val="single"/>
        </w:rPr>
        <w:lastRenderedPageBreak/>
        <w:t>3.</w:t>
      </w:r>
      <w:r w:rsidR="00856166" w:rsidRPr="00F4377C">
        <w:rPr>
          <w:rFonts w:ascii="Arial" w:hAnsi="Arial" w:cs="Arial"/>
          <w:b/>
          <w:bCs/>
          <w:color w:val="000000" w:themeColor="text1"/>
          <w:sz w:val="36"/>
          <w:szCs w:val="36"/>
          <w:u w:val="single"/>
        </w:rPr>
        <w:t>Internal Capabilities and Constraints (SWOT Analysis)</w:t>
      </w:r>
      <w:bookmarkEnd w:id="20"/>
    </w:p>
    <w:p w14:paraId="3F21348A" w14:textId="5408F5B8" w:rsidR="00856166" w:rsidRDefault="006D66CF" w:rsidP="00856166">
      <w:pPr>
        <w:spacing w:line="360" w:lineRule="auto"/>
        <w:jc w:val="both"/>
        <w:rPr>
          <w:rFonts w:ascii="Arial" w:hAnsi="Arial" w:cs="Arial"/>
          <w:sz w:val="22"/>
          <w:szCs w:val="22"/>
        </w:rPr>
      </w:pPr>
      <w:r w:rsidRPr="006D66CF">
        <w:rPr>
          <w:rFonts w:ascii="Arial" w:hAnsi="Arial" w:cs="Arial"/>
          <w:sz w:val="22"/>
          <w:szCs w:val="22"/>
        </w:rPr>
        <w:t xml:space="preserve">Concero Education's internal resources and limitations determine its capacity to adapt to outside pressures. According to the SWOT analysis, the business has solid industry knowledge and customer confidence, but it also has structural flaws that restrict its ability to grow. These elements clearly support the pursuit of a single, integrated strategic shift: </w:t>
      </w:r>
      <w:proofErr w:type="spellStart"/>
      <w:r w:rsidRPr="006D66CF">
        <w:rPr>
          <w:rFonts w:ascii="Arial" w:hAnsi="Arial" w:cs="Arial"/>
          <w:sz w:val="22"/>
          <w:szCs w:val="22"/>
        </w:rPr>
        <w:t>Concero's</w:t>
      </w:r>
      <w:proofErr w:type="spellEnd"/>
      <w:r w:rsidRPr="006D66CF">
        <w:rPr>
          <w:rFonts w:ascii="Arial" w:hAnsi="Arial" w:cs="Arial"/>
          <w:sz w:val="22"/>
          <w:szCs w:val="22"/>
        </w:rPr>
        <w:t xml:space="preserve"> digital transformation via a cloud-based, scalable, and secure service model.</w:t>
      </w:r>
    </w:p>
    <w:p w14:paraId="67000958" w14:textId="3A39F352" w:rsidR="00856166" w:rsidRDefault="00F4377C" w:rsidP="00856166">
      <w:pPr>
        <w:pStyle w:val="Heading2"/>
        <w:spacing w:line="360" w:lineRule="auto"/>
        <w:rPr>
          <w:rFonts w:ascii="Arial" w:hAnsi="Arial" w:cs="Arial"/>
          <w:b/>
          <w:bCs/>
          <w:color w:val="000000" w:themeColor="text1"/>
          <w:sz w:val="28"/>
          <w:szCs w:val="28"/>
        </w:rPr>
      </w:pPr>
      <w:bookmarkStart w:id="21" w:name="_Toc214406613"/>
      <w:r>
        <w:rPr>
          <w:rFonts w:ascii="Arial" w:hAnsi="Arial" w:cs="Arial"/>
          <w:b/>
          <w:bCs/>
          <w:color w:val="000000" w:themeColor="text1"/>
          <w:sz w:val="28"/>
          <w:szCs w:val="28"/>
        </w:rPr>
        <w:t xml:space="preserve">3.1 </w:t>
      </w:r>
      <w:r w:rsidR="00856166" w:rsidRPr="00856166">
        <w:rPr>
          <w:rFonts w:ascii="Arial" w:hAnsi="Arial" w:cs="Arial"/>
          <w:b/>
          <w:bCs/>
          <w:color w:val="000000" w:themeColor="text1"/>
          <w:sz w:val="28"/>
          <w:szCs w:val="28"/>
        </w:rPr>
        <w:t>Strengths</w:t>
      </w:r>
      <w:bookmarkEnd w:id="21"/>
    </w:p>
    <w:p w14:paraId="3D606C83" w14:textId="77777777" w:rsidR="006D66CF" w:rsidRPr="006D66CF" w:rsidRDefault="006D66CF" w:rsidP="006D66CF">
      <w:pPr>
        <w:pStyle w:val="ListParagraph"/>
        <w:numPr>
          <w:ilvl w:val="0"/>
          <w:numId w:val="78"/>
        </w:numPr>
        <w:spacing w:line="360" w:lineRule="auto"/>
        <w:jc w:val="both"/>
        <w:rPr>
          <w:rFonts w:ascii="Arial" w:hAnsi="Arial" w:cs="Arial"/>
          <w:b/>
          <w:bCs/>
          <w:sz w:val="22"/>
          <w:szCs w:val="22"/>
        </w:rPr>
      </w:pPr>
      <w:r w:rsidRPr="006D66CF">
        <w:rPr>
          <w:rFonts w:ascii="Arial" w:hAnsi="Arial" w:cs="Arial"/>
          <w:b/>
          <w:bCs/>
          <w:sz w:val="22"/>
          <w:szCs w:val="22"/>
        </w:rPr>
        <w:t xml:space="preserve">Sector-specific expertise: </w:t>
      </w:r>
    </w:p>
    <w:p w14:paraId="26AB1D81" w14:textId="48E2BC59" w:rsidR="00856166" w:rsidRDefault="006D66CF" w:rsidP="006D66CF">
      <w:pPr>
        <w:spacing w:line="360" w:lineRule="auto"/>
        <w:jc w:val="both"/>
        <w:rPr>
          <w:rFonts w:ascii="Arial" w:hAnsi="Arial" w:cs="Arial"/>
          <w:sz w:val="22"/>
          <w:szCs w:val="22"/>
        </w:rPr>
      </w:pPr>
      <w:r w:rsidRPr="006D66CF">
        <w:rPr>
          <w:rFonts w:ascii="Arial" w:hAnsi="Arial" w:cs="Arial"/>
          <w:sz w:val="22"/>
          <w:szCs w:val="22"/>
        </w:rPr>
        <w:t>Concero has a competitive edge over generalist IT providers due to its in-depth understanding of school ICT requirements, compliance, and pedagogy (Ng &amp; Kwok, 2017).</w:t>
      </w:r>
    </w:p>
    <w:p w14:paraId="75DC479D" w14:textId="77777777" w:rsidR="006D66CF" w:rsidRPr="006D66CF" w:rsidRDefault="006D66CF" w:rsidP="006D66CF">
      <w:pPr>
        <w:pStyle w:val="ListParagraph"/>
        <w:numPr>
          <w:ilvl w:val="0"/>
          <w:numId w:val="78"/>
        </w:numPr>
        <w:spacing w:line="360" w:lineRule="auto"/>
        <w:jc w:val="both"/>
        <w:rPr>
          <w:rFonts w:ascii="Arial" w:hAnsi="Arial" w:cs="Arial"/>
          <w:b/>
          <w:bCs/>
          <w:sz w:val="22"/>
          <w:szCs w:val="22"/>
        </w:rPr>
      </w:pPr>
      <w:r w:rsidRPr="006D66CF">
        <w:rPr>
          <w:rFonts w:ascii="Arial" w:hAnsi="Arial" w:cs="Arial"/>
          <w:b/>
          <w:bCs/>
          <w:sz w:val="22"/>
          <w:szCs w:val="22"/>
        </w:rPr>
        <w:t xml:space="preserve">Trust-based service culture: </w:t>
      </w:r>
    </w:p>
    <w:p w14:paraId="10EF2CDD" w14:textId="326C06DB" w:rsidR="006D66CF" w:rsidRDefault="006D66CF" w:rsidP="006D66CF">
      <w:pPr>
        <w:spacing w:line="360" w:lineRule="auto"/>
        <w:jc w:val="both"/>
        <w:rPr>
          <w:rFonts w:ascii="Arial" w:hAnsi="Arial" w:cs="Arial"/>
          <w:sz w:val="22"/>
          <w:szCs w:val="22"/>
        </w:rPr>
      </w:pPr>
      <w:r w:rsidRPr="006D66CF">
        <w:rPr>
          <w:rFonts w:ascii="Arial" w:hAnsi="Arial" w:cs="Arial"/>
          <w:sz w:val="22"/>
          <w:szCs w:val="22"/>
        </w:rPr>
        <w:t>Long-standing connections with educational institutions encourage allegiance and lessen opposition to the adoption of new technologies (Selwyn, 20</w:t>
      </w:r>
      <w:r w:rsidR="00B07D6F">
        <w:rPr>
          <w:rFonts w:ascii="Arial" w:hAnsi="Arial" w:cs="Arial"/>
          <w:sz w:val="22"/>
          <w:szCs w:val="22"/>
        </w:rPr>
        <w:t>21</w:t>
      </w:r>
      <w:r w:rsidRPr="006D66CF">
        <w:rPr>
          <w:rFonts w:ascii="Arial" w:hAnsi="Arial" w:cs="Arial"/>
          <w:sz w:val="22"/>
          <w:szCs w:val="22"/>
        </w:rPr>
        <w:t>).</w:t>
      </w:r>
    </w:p>
    <w:p w14:paraId="2EAE05CB" w14:textId="77777777" w:rsidR="006D66CF" w:rsidRPr="006D66CF" w:rsidRDefault="006D66CF" w:rsidP="006D66CF">
      <w:pPr>
        <w:pStyle w:val="ListParagraph"/>
        <w:numPr>
          <w:ilvl w:val="0"/>
          <w:numId w:val="78"/>
        </w:numPr>
        <w:spacing w:line="360" w:lineRule="auto"/>
        <w:jc w:val="both"/>
        <w:rPr>
          <w:rFonts w:ascii="Arial" w:hAnsi="Arial" w:cs="Arial"/>
          <w:b/>
          <w:bCs/>
          <w:sz w:val="22"/>
          <w:szCs w:val="22"/>
        </w:rPr>
      </w:pPr>
      <w:r w:rsidRPr="006D66CF">
        <w:rPr>
          <w:rFonts w:ascii="Arial" w:hAnsi="Arial" w:cs="Arial"/>
          <w:b/>
          <w:bCs/>
          <w:sz w:val="22"/>
          <w:szCs w:val="22"/>
        </w:rPr>
        <w:t xml:space="preserve">Flexibility and agility: </w:t>
      </w:r>
    </w:p>
    <w:p w14:paraId="6177F128" w14:textId="4437E08B" w:rsidR="006D66CF" w:rsidRPr="006D66CF" w:rsidRDefault="006D66CF" w:rsidP="006D66CF">
      <w:pPr>
        <w:spacing w:line="360" w:lineRule="auto"/>
        <w:jc w:val="both"/>
        <w:rPr>
          <w:rFonts w:ascii="Arial" w:hAnsi="Arial" w:cs="Arial"/>
          <w:sz w:val="22"/>
          <w:szCs w:val="22"/>
        </w:rPr>
      </w:pPr>
      <w:r w:rsidRPr="006D66CF">
        <w:rPr>
          <w:rFonts w:ascii="Arial" w:hAnsi="Arial" w:cs="Arial"/>
          <w:sz w:val="22"/>
          <w:szCs w:val="22"/>
        </w:rPr>
        <w:t>Compared to larger competitors, a lean structure facilitates speedy decision-making, enabling the implementation of transformation initiatives more quickly (Verhoef et al., 2021).</w:t>
      </w:r>
    </w:p>
    <w:p w14:paraId="2DEC00B0" w14:textId="16363036" w:rsidR="00856166" w:rsidRDefault="00F4377C" w:rsidP="006D66CF">
      <w:pPr>
        <w:pStyle w:val="Heading2"/>
        <w:spacing w:line="360" w:lineRule="auto"/>
        <w:rPr>
          <w:rStyle w:val="Strong"/>
          <w:rFonts w:ascii="Arial" w:hAnsi="Arial" w:cs="Arial"/>
          <w:color w:val="000000" w:themeColor="text1"/>
          <w:sz w:val="28"/>
          <w:szCs w:val="28"/>
        </w:rPr>
      </w:pPr>
      <w:bookmarkStart w:id="22" w:name="_Toc214406614"/>
      <w:r>
        <w:rPr>
          <w:rStyle w:val="Strong"/>
          <w:rFonts w:ascii="Arial" w:hAnsi="Arial" w:cs="Arial"/>
          <w:color w:val="000000" w:themeColor="text1"/>
          <w:sz w:val="28"/>
          <w:szCs w:val="28"/>
        </w:rPr>
        <w:t xml:space="preserve">3.2 </w:t>
      </w:r>
      <w:r w:rsidR="00856166" w:rsidRPr="00856166">
        <w:rPr>
          <w:rStyle w:val="Strong"/>
          <w:rFonts w:ascii="Arial" w:hAnsi="Arial" w:cs="Arial"/>
          <w:color w:val="000000" w:themeColor="text1"/>
          <w:sz w:val="28"/>
          <w:szCs w:val="28"/>
        </w:rPr>
        <w:t>Weaknesses</w:t>
      </w:r>
      <w:bookmarkEnd w:id="22"/>
    </w:p>
    <w:p w14:paraId="779CC736" w14:textId="253FA4AC" w:rsidR="006D66CF" w:rsidRPr="001623A9" w:rsidRDefault="006D66CF" w:rsidP="001623A9">
      <w:pPr>
        <w:pStyle w:val="ListParagraph"/>
        <w:numPr>
          <w:ilvl w:val="0"/>
          <w:numId w:val="78"/>
        </w:numPr>
        <w:spacing w:line="360" w:lineRule="auto"/>
        <w:jc w:val="both"/>
        <w:rPr>
          <w:rFonts w:ascii="Arial" w:hAnsi="Arial" w:cs="Arial"/>
          <w:b/>
          <w:bCs/>
          <w:sz w:val="22"/>
          <w:szCs w:val="22"/>
        </w:rPr>
      </w:pPr>
      <w:r w:rsidRPr="001623A9">
        <w:rPr>
          <w:rFonts w:ascii="Arial" w:hAnsi="Arial" w:cs="Arial"/>
          <w:b/>
          <w:bCs/>
          <w:color w:val="172B4D"/>
          <w:sz w:val="22"/>
          <w:szCs w:val="22"/>
          <w:shd w:val="clear" w:color="auto" w:fill="FFFFFF"/>
        </w:rPr>
        <w:t>Over-reliance on people-dependent processes:</w:t>
      </w:r>
    </w:p>
    <w:p w14:paraId="6DA5EDCC" w14:textId="17A5839D" w:rsidR="006D66CF" w:rsidRPr="001623A9" w:rsidRDefault="006D66CF" w:rsidP="001623A9">
      <w:pPr>
        <w:spacing w:line="360" w:lineRule="auto"/>
        <w:jc w:val="both"/>
        <w:rPr>
          <w:rFonts w:ascii="Arial" w:hAnsi="Arial" w:cs="Arial"/>
          <w:sz w:val="22"/>
          <w:szCs w:val="22"/>
        </w:rPr>
      </w:pPr>
      <w:r w:rsidRPr="001623A9">
        <w:rPr>
          <w:rFonts w:ascii="Arial" w:hAnsi="Arial" w:cs="Arial"/>
          <w:sz w:val="22"/>
          <w:szCs w:val="22"/>
        </w:rPr>
        <w:t>Instead of using codified systems, a large portion of service delivery relies on individual technicians, which restricts scalability and increases operational risk (Vial, 20</w:t>
      </w:r>
      <w:r w:rsidR="00B07D6F">
        <w:rPr>
          <w:rFonts w:ascii="Arial" w:hAnsi="Arial" w:cs="Arial"/>
          <w:sz w:val="22"/>
          <w:szCs w:val="22"/>
        </w:rPr>
        <w:t>21</w:t>
      </w:r>
      <w:r w:rsidRPr="001623A9">
        <w:rPr>
          <w:rFonts w:ascii="Arial" w:hAnsi="Arial" w:cs="Arial"/>
          <w:sz w:val="22"/>
          <w:szCs w:val="22"/>
        </w:rPr>
        <w:t>).</w:t>
      </w:r>
    </w:p>
    <w:p w14:paraId="31979551" w14:textId="48795EAA" w:rsidR="006D66CF"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Limited resources for innovation</w:t>
      </w:r>
      <w:r w:rsidRPr="001623A9">
        <w:rPr>
          <w:rFonts w:ascii="Arial" w:hAnsi="Arial" w:cs="Arial"/>
          <w:sz w:val="22"/>
          <w:szCs w:val="22"/>
        </w:rPr>
        <w:t>:</w:t>
      </w:r>
    </w:p>
    <w:p w14:paraId="4B56DC86" w14:textId="07D2042A"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According to Bouwman et al. (2019), Concero lacks the financial and technological resources necessary to compete with bigger rivals in R&amp;D, analytics, and AI development.</w:t>
      </w:r>
    </w:p>
    <w:p w14:paraId="71C16F44" w14:textId="069E2887"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Skills gaps</w:t>
      </w:r>
      <w:r w:rsidRPr="001623A9">
        <w:rPr>
          <w:rFonts w:ascii="Arial" w:hAnsi="Arial" w:cs="Arial"/>
          <w:sz w:val="22"/>
          <w:szCs w:val="22"/>
        </w:rPr>
        <w:t>:</w:t>
      </w:r>
    </w:p>
    <w:p w14:paraId="40A01322" w14:textId="2C051DC1"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 xml:space="preserve">Underdeveloped staff development in cutting-edge fields like cybersecurity and cloud orchestration could impede transformation initiatives (Ertmer </w:t>
      </w:r>
      <w:r w:rsidR="00B07D6F">
        <w:rPr>
          <w:rFonts w:ascii="Arial" w:hAnsi="Arial" w:cs="Arial"/>
          <w:sz w:val="22"/>
          <w:szCs w:val="22"/>
        </w:rPr>
        <w:t>and</w:t>
      </w:r>
      <w:r w:rsidRPr="001623A9">
        <w:rPr>
          <w:rFonts w:ascii="Arial" w:hAnsi="Arial" w:cs="Arial"/>
          <w:sz w:val="22"/>
          <w:szCs w:val="22"/>
        </w:rPr>
        <w:t xml:space="preserve"> Ottenbreit-Leftwich, 2010).</w:t>
      </w:r>
    </w:p>
    <w:p w14:paraId="37BB43B6" w14:textId="75DC301E" w:rsidR="00856166" w:rsidRDefault="00F4377C" w:rsidP="001623A9">
      <w:pPr>
        <w:pStyle w:val="Heading2"/>
        <w:spacing w:line="360" w:lineRule="auto"/>
        <w:rPr>
          <w:rFonts w:ascii="Arial" w:hAnsi="Arial" w:cs="Arial"/>
          <w:b/>
          <w:bCs/>
          <w:color w:val="000000" w:themeColor="text1"/>
          <w:sz w:val="28"/>
          <w:szCs w:val="28"/>
        </w:rPr>
      </w:pPr>
      <w:bookmarkStart w:id="23" w:name="_Toc214406615"/>
      <w:r>
        <w:rPr>
          <w:rFonts w:ascii="Arial" w:hAnsi="Arial" w:cs="Arial"/>
          <w:b/>
          <w:bCs/>
          <w:color w:val="000000" w:themeColor="text1"/>
          <w:sz w:val="28"/>
          <w:szCs w:val="28"/>
        </w:rPr>
        <w:t xml:space="preserve">3.3 </w:t>
      </w:r>
      <w:r w:rsidR="00856166" w:rsidRPr="00856166">
        <w:rPr>
          <w:rFonts w:ascii="Arial" w:hAnsi="Arial" w:cs="Arial"/>
          <w:b/>
          <w:bCs/>
          <w:color w:val="000000" w:themeColor="text1"/>
          <w:sz w:val="28"/>
          <w:szCs w:val="28"/>
        </w:rPr>
        <w:t>Opportunities</w:t>
      </w:r>
      <w:bookmarkEnd w:id="23"/>
    </w:p>
    <w:p w14:paraId="64737F6E" w14:textId="3899E170"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Cloud migration leadership</w:t>
      </w:r>
      <w:r w:rsidRPr="001623A9">
        <w:rPr>
          <w:rFonts w:ascii="Arial" w:hAnsi="Arial" w:cs="Arial"/>
          <w:sz w:val="22"/>
          <w:szCs w:val="22"/>
        </w:rPr>
        <w:t>:</w:t>
      </w:r>
    </w:p>
    <w:p w14:paraId="442DC8E3" w14:textId="3DDAACAC"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Helping schools switch from on-site to cloud-based platforms allows for cost savings and scalability.</w:t>
      </w:r>
    </w:p>
    <w:p w14:paraId="087D5A1D" w14:textId="1586A722"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Cybersecurity differentiation</w:t>
      </w:r>
      <w:r w:rsidRPr="001623A9">
        <w:rPr>
          <w:rFonts w:ascii="Arial" w:hAnsi="Arial" w:cs="Arial"/>
          <w:sz w:val="22"/>
          <w:szCs w:val="22"/>
        </w:rPr>
        <w:t>:</w:t>
      </w:r>
    </w:p>
    <w:p w14:paraId="42683754" w14:textId="323E1630"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lastRenderedPageBreak/>
        <w:t>Growing cyberthreats present Concero with a chance to establish a solid reputation as a reliable supplier of safe educational systems.</w:t>
      </w:r>
    </w:p>
    <w:p w14:paraId="1A2A8691" w14:textId="15700A46"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Data-driven decision tools</w:t>
      </w:r>
      <w:r w:rsidRPr="001623A9">
        <w:rPr>
          <w:rFonts w:ascii="Arial" w:hAnsi="Arial" w:cs="Arial"/>
          <w:sz w:val="22"/>
          <w:szCs w:val="22"/>
        </w:rPr>
        <w:t>:</w:t>
      </w:r>
    </w:p>
    <w:p w14:paraId="2A4CECA2" w14:textId="0CB853BC"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 xml:space="preserve">Schools can gain a competitive edge by assisting them in using analytics to enhance results (Ertmer </w:t>
      </w:r>
      <w:r w:rsidR="00B07D6F">
        <w:rPr>
          <w:rFonts w:ascii="Arial" w:hAnsi="Arial" w:cs="Arial"/>
          <w:sz w:val="22"/>
          <w:szCs w:val="22"/>
        </w:rPr>
        <w:t>and</w:t>
      </w:r>
      <w:r w:rsidRPr="001623A9">
        <w:rPr>
          <w:rFonts w:ascii="Arial" w:hAnsi="Arial" w:cs="Arial"/>
          <w:sz w:val="22"/>
          <w:szCs w:val="22"/>
        </w:rPr>
        <w:t xml:space="preserve"> Ottenbreit-Leftwich, 2010).</w:t>
      </w:r>
    </w:p>
    <w:p w14:paraId="73B8D4F0" w14:textId="7D5CD6EB"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Sustainable IT services</w:t>
      </w:r>
      <w:r w:rsidRPr="001623A9">
        <w:rPr>
          <w:rFonts w:ascii="Arial" w:hAnsi="Arial" w:cs="Arial"/>
          <w:sz w:val="22"/>
          <w:szCs w:val="22"/>
        </w:rPr>
        <w:t>:</w:t>
      </w:r>
    </w:p>
    <w:p w14:paraId="48DEC311" w14:textId="3EE9C459"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Energy-efficient technologies, recycling e-waste, and green lifecycle management are all in line with Net Zero objectives (Salvia et al., 2019).</w:t>
      </w:r>
    </w:p>
    <w:p w14:paraId="0F7CB1FE" w14:textId="4D47719F" w:rsidR="00856166" w:rsidRDefault="00F4377C" w:rsidP="00856166">
      <w:pPr>
        <w:pStyle w:val="Heading2"/>
        <w:spacing w:line="360" w:lineRule="auto"/>
        <w:rPr>
          <w:rFonts w:ascii="Arial" w:hAnsi="Arial" w:cs="Arial"/>
          <w:b/>
          <w:bCs/>
          <w:color w:val="000000" w:themeColor="text1"/>
          <w:sz w:val="28"/>
          <w:szCs w:val="28"/>
        </w:rPr>
      </w:pPr>
      <w:bookmarkStart w:id="24" w:name="_Toc214406616"/>
      <w:r>
        <w:rPr>
          <w:rFonts w:ascii="Arial" w:hAnsi="Arial" w:cs="Arial"/>
          <w:b/>
          <w:bCs/>
          <w:color w:val="000000" w:themeColor="text1"/>
          <w:sz w:val="28"/>
          <w:szCs w:val="28"/>
        </w:rPr>
        <w:t xml:space="preserve">3.4 </w:t>
      </w:r>
      <w:r w:rsidR="00856166" w:rsidRPr="00856166">
        <w:rPr>
          <w:rFonts w:ascii="Arial" w:hAnsi="Arial" w:cs="Arial"/>
          <w:b/>
          <w:bCs/>
          <w:color w:val="000000" w:themeColor="text1"/>
          <w:sz w:val="28"/>
          <w:szCs w:val="28"/>
        </w:rPr>
        <w:t>Threats</w:t>
      </w:r>
      <w:bookmarkEnd w:id="24"/>
    </w:p>
    <w:p w14:paraId="1F0065EF" w14:textId="1D242458"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Large competitors</w:t>
      </w:r>
      <w:r w:rsidRPr="001623A9">
        <w:rPr>
          <w:rFonts w:ascii="Arial" w:hAnsi="Arial" w:cs="Arial"/>
          <w:sz w:val="22"/>
          <w:szCs w:val="22"/>
        </w:rPr>
        <w:t>:</w:t>
      </w:r>
    </w:p>
    <w:p w14:paraId="055B94EB" w14:textId="6FFBC11A" w:rsidR="001623A9" w:rsidRPr="001623A9" w:rsidRDefault="001623A9" w:rsidP="001623A9">
      <w:pPr>
        <w:spacing w:line="360" w:lineRule="auto"/>
        <w:jc w:val="both"/>
        <w:rPr>
          <w:rFonts w:ascii="Arial" w:hAnsi="Arial" w:cs="Arial"/>
          <w:sz w:val="22"/>
          <w:szCs w:val="22"/>
        </w:rPr>
      </w:pPr>
      <w:proofErr w:type="spellStart"/>
      <w:r w:rsidRPr="001623A9">
        <w:rPr>
          <w:rFonts w:ascii="Arial" w:hAnsi="Arial" w:cs="Arial"/>
          <w:sz w:val="22"/>
          <w:szCs w:val="22"/>
        </w:rPr>
        <w:t>Concero's</w:t>
      </w:r>
      <w:proofErr w:type="spellEnd"/>
      <w:r w:rsidRPr="001623A9">
        <w:rPr>
          <w:rFonts w:ascii="Arial" w:hAnsi="Arial" w:cs="Arial"/>
          <w:sz w:val="22"/>
          <w:szCs w:val="22"/>
        </w:rPr>
        <w:t xml:space="preserve"> market share is at risk from national providers with greater resources.</w:t>
      </w:r>
    </w:p>
    <w:p w14:paraId="3B1DEFAC" w14:textId="4B64E8D7"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Talent retention risks</w:t>
      </w:r>
      <w:r w:rsidRPr="001623A9">
        <w:rPr>
          <w:rFonts w:ascii="Arial" w:hAnsi="Arial" w:cs="Arial"/>
          <w:sz w:val="22"/>
          <w:szCs w:val="22"/>
        </w:rPr>
        <w:t>:</w:t>
      </w:r>
    </w:p>
    <w:p w14:paraId="0279A8AE" w14:textId="35825DCE"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Service continuity may be weakened if skilled technicians depart for larger organisations or higher salaries.</w:t>
      </w:r>
    </w:p>
    <w:p w14:paraId="1AB04ECB" w14:textId="6234B528" w:rsidR="001623A9" w:rsidRPr="001623A9" w:rsidRDefault="001623A9" w:rsidP="001623A9">
      <w:pPr>
        <w:pStyle w:val="ListParagraph"/>
        <w:numPr>
          <w:ilvl w:val="0"/>
          <w:numId w:val="78"/>
        </w:numPr>
        <w:spacing w:line="360" w:lineRule="auto"/>
        <w:jc w:val="both"/>
        <w:rPr>
          <w:rFonts w:ascii="Arial" w:hAnsi="Arial" w:cs="Arial"/>
          <w:sz w:val="22"/>
          <w:szCs w:val="22"/>
        </w:rPr>
      </w:pPr>
      <w:r w:rsidRPr="001623A9">
        <w:rPr>
          <w:rStyle w:val="Strong"/>
          <w:rFonts w:ascii="Arial" w:hAnsi="Arial" w:cs="Arial"/>
          <w:sz w:val="22"/>
          <w:szCs w:val="22"/>
        </w:rPr>
        <w:t>Compliance and reputational risks</w:t>
      </w:r>
      <w:r w:rsidRPr="001623A9">
        <w:rPr>
          <w:rFonts w:ascii="Arial" w:hAnsi="Arial" w:cs="Arial"/>
          <w:sz w:val="22"/>
          <w:szCs w:val="22"/>
        </w:rPr>
        <w:t>:</w:t>
      </w:r>
    </w:p>
    <w:p w14:paraId="74A8005C" w14:textId="6895EEB7" w:rsidR="001623A9" w:rsidRPr="001623A9" w:rsidRDefault="001623A9" w:rsidP="001623A9">
      <w:pPr>
        <w:spacing w:line="360" w:lineRule="auto"/>
        <w:jc w:val="both"/>
        <w:rPr>
          <w:rFonts w:ascii="Arial" w:hAnsi="Arial" w:cs="Arial"/>
          <w:sz w:val="22"/>
          <w:szCs w:val="22"/>
        </w:rPr>
      </w:pPr>
      <w:r w:rsidRPr="001623A9">
        <w:rPr>
          <w:rFonts w:ascii="Arial" w:hAnsi="Arial" w:cs="Arial"/>
          <w:sz w:val="22"/>
          <w:szCs w:val="22"/>
        </w:rPr>
        <w:t xml:space="preserve">One cybersecurity lapse could lead to lost contracts and erode trust (Livingstone &amp; </w:t>
      </w:r>
      <w:proofErr w:type="spellStart"/>
      <w:r w:rsidRPr="001623A9">
        <w:rPr>
          <w:rFonts w:ascii="Arial" w:hAnsi="Arial" w:cs="Arial"/>
          <w:sz w:val="22"/>
          <w:szCs w:val="22"/>
        </w:rPr>
        <w:t>Stoilova</w:t>
      </w:r>
      <w:proofErr w:type="spellEnd"/>
      <w:r w:rsidRPr="001623A9">
        <w:rPr>
          <w:rFonts w:ascii="Arial" w:hAnsi="Arial" w:cs="Arial"/>
          <w:sz w:val="22"/>
          <w:szCs w:val="22"/>
        </w:rPr>
        <w:t>, 2021).</w:t>
      </w:r>
    </w:p>
    <w:p w14:paraId="5677C5D6" w14:textId="690D37B7" w:rsidR="001623A9" w:rsidRDefault="001623A9" w:rsidP="001623A9">
      <w:pPr>
        <w:spacing w:line="360" w:lineRule="auto"/>
        <w:jc w:val="both"/>
        <w:rPr>
          <w:rFonts w:ascii="Arial" w:hAnsi="Arial" w:cs="Arial"/>
          <w:sz w:val="22"/>
          <w:szCs w:val="22"/>
        </w:rPr>
      </w:pPr>
      <w:proofErr w:type="spellStart"/>
      <w:r w:rsidRPr="001623A9">
        <w:rPr>
          <w:rFonts w:ascii="Arial" w:hAnsi="Arial" w:cs="Arial"/>
          <w:sz w:val="22"/>
          <w:szCs w:val="22"/>
        </w:rPr>
        <w:t>Concero's</w:t>
      </w:r>
      <w:proofErr w:type="spellEnd"/>
      <w:r w:rsidRPr="001623A9">
        <w:rPr>
          <w:rFonts w:ascii="Arial" w:hAnsi="Arial" w:cs="Arial"/>
          <w:sz w:val="22"/>
          <w:szCs w:val="22"/>
        </w:rPr>
        <w:t xml:space="preserve"> agility, industry knowledge, and trust-based culture make it a strong candidate for change. However, growth is constrained by shortcomings in workforce skills, innovation resources, and scalability. The strategic imperative to convert operations into a scalable, secure, and digitally enabled service model is indicated by opportunities in cloud services, cybersecurity, analytics, and sustainability.</w:t>
      </w:r>
    </w:p>
    <w:p w14:paraId="004CA268" w14:textId="436730DC" w:rsidR="001623A9" w:rsidRDefault="001623A9" w:rsidP="001623A9">
      <w:pPr>
        <w:spacing w:line="360" w:lineRule="auto"/>
        <w:jc w:val="both"/>
        <w:rPr>
          <w:rFonts w:ascii="Arial" w:hAnsi="Arial" w:cs="Arial"/>
          <w:sz w:val="22"/>
          <w:szCs w:val="22"/>
        </w:rPr>
      </w:pPr>
      <w:r w:rsidRPr="001623A9">
        <w:rPr>
          <w:rFonts w:ascii="Arial" w:hAnsi="Arial" w:cs="Arial"/>
          <w:noProof/>
          <w:sz w:val="22"/>
          <w:szCs w:val="22"/>
        </w:rPr>
        <w:drawing>
          <wp:inline distT="0" distB="0" distL="0" distR="0" wp14:anchorId="68CA4C40" wp14:editId="1D2E0EAD">
            <wp:extent cx="4965700" cy="2578100"/>
            <wp:effectExtent l="0" t="0" r="0" b="0"/>
            <wp:docPr id="1172342455" name="Picture 1" descr="A table of characteristics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42455" name="Picture 1" descr="A table of characteristics of a company&#10;&#10;AI-generated content may be incorrect."/>
                    <pic:cNvPicPr/>
                  </pic:nvPicPr>
                  <pic:blipFill>
                    <a:blip r:embed="rId12"/>
                    <a:stretch>
                      <a:fillRect/>
                    </a:stretch>
                  </pic:blipFill>
                  <pic:spPr>
                    <a:xfrm>
                      <a:off x="0" y="0"/>
                      <a:ext cx="4965700" cy="2578100"/>
                    </a:xfrm>
                    <a:prstGeom prst="rect">
                      <a:avLst/>
                    </a:prstGeom>
                  </pic:spPr>
                </pic:pic>
              </a:graphicData>
            </a:graphic>
          </wp:inline>
        </w:drawing>
      </w:r>
    </w:p>
    <w:p w14:paraId="0FBF3B8F" w14:textId="03FDAC89" w:rsidR="001623A9" w:rsidRPr="001623A9" w:rsidRDefault="001623A9" w:rsidP="001623A9">
      <w:pPr>
        <w:spacing w:line="360" w:lineRule="auto"/>
        <w:jc w:val="both"/>
        <w:rPr>
          <w:rFonts w:ascii="Arial" w:hAnsi="Arial" w:cs="Arial"/>
          <w:b/>
          <w:bCs/>
          <w:sz w:val="16"/>
          <w:szCs w:val="16"/>
        </w:rPr>
      </w:pPr>
      <w:r w:rsidRPr="001623A9">
        <w:rPr>
          <w:rFonts w:ascii="Arial" w:hAnsi="Arial" w:cs="Arial"/>
          <w:b/>
          <w:bCs/>
          <w:sz w:val="16"/>
          <w:szCs w:val="16"/>
        </w:rPr>
        <w:t>Figure 3: SWOT Analysis of Concero (Yanis Popov, 2025)</w:t>
      </w:r>
    </w:p>
    <w:p w14:paraId="488D1804" w14:textId="7091CB6B" w:rsidR="00856166" w:rsidRPr="00F4377C" w:rsidRDefault="00F4377C" w:rsidP="00DB3FCC">
      <w:pPr>
        <w:pStyle w:val="Heading1"/>
        <w:spacing w:line="360" w:lineRule="auto"/>
        <w:jc w:val="both"/>
        <w:rPr>
          <w:rFonts w:ascii="Arial" w:hAnsi="Arial" w:cs="Arial"/>
          <w:b/>
          <w:bCs/>
          <w:color w:val="000000" w:themeColor="text1"/>
          <w:sz w:val="36"/>
          <w:szCs w:val="36"/>
          <w:u w:val="single"/>
        </w:rPr>
      </w:pPr>
      <w:bookmarkStart w:id="25" w:name="_Toc214406617"/>
      <w:r w:rsidRPr="00F4377C">
        <w:rPr>
          <w:rFonts w:ascii="Arial" w:hAnsi="Arial" w:cs="Arial"/>
          <w:b/>
          <w:bCs/>
          <w:color w:val="000000" w:themeColor="text1"/>
          <w:sz w:val="36"/>
          <w:szCs w:val="36"/>
          <w:u w:val="single"/>
        </w:rPr>
        <w:lastRenderedPageBreak/>
        <w:t>4.</w:t>
      </w:r>
      <w:r w:rsidR="00DB3FCC" w:rsidRPr="00F4377C">
        <w:rPr>
          <w:rFonts w:ascii="Arial" w:hAnsi="Arial" w:cs="Arial"/>
          <w:b/>
          <w:bCs/>
          <w:color w:val="000000" w:themeColor="text1"/>
          <w:sz w:val="36"/>
          <w:szCs w:val="36"/>
          <w:u w:val="single"/>
        </w:rPr>
        <w:t>Strategic Change Challenges and Risks</w:t>
      </w:r>
      <w:bookmarkEnd w:id="25"/>
    </w:p>
    <w:p w14:paraId="1954999A" w14:textId="2606BD73" w:rsidR="00DB3FCC" w:rsidRPr="00013895" w:rsidRDefault="001623A9" w:rsidP="00DB3FCC">
      <w:pPr>
        <w:spacing w:line="360" w:lineRule="auto"/>
        <w:jc w:val="both"/>
        <w:rPr>
          <w:rFonts w:ascii="Arial" w:hAnsi="Arial" w:cs="Arial"/>
          <w:sz w:val="21"/>
          <w:szCs w:val="21"/>
        </w:rPr>
      </w:pPr>
      <w:r w:rsidRPr="00013895">
        <w:rPr>
          <w:rFonts w:ascii="Arial" w:hAnsi="Arial" w:cs="Arial"/>
          <w:sz w:val="22"/>
          <w:szCs w:val="22"/>
        </w:rPr>
        <w:t xml:space="preserve">It will be difficult to execute strategic change, even with Concero Education's industry experience and dependable clientele. The business works in a complicated environment that is influenced by changing laws, financial limitations, quick changes in technology, and rising demands for compliance and sustainability. These outside factors combine with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internal flaws, such as a lack of resources, a lack of skilled workers, and a reliance on personnel-dependent procedures, to create significant risks that need to be properly controlled if the company's digital transformation project is to be successful.</w:t>
      </w:r>
    </w:p>
    <w:p w14:paraId="7D79525B" w14:textId="284E87B8" w:rsidR="00DB3FCC" w:rsidRDefault="00F4377C" w:rsidP="00DB3FCC">
      <w:pPr>
        <w:pStyle w:val="Heading2"/>
        <w:spacing w:line="360" w:lineRule="auto"/>
        <w:rPr>
          <w:rFonts w:ascii="Arial" w:hAnsi="Arial" w:cs="Arial"/>
          <w:b/>
          <w:bCs/>
          <w:color w:val="000000" w:themeColor="text1"/>
          <w:sz w:val="28"/>
          <w:szCs w:val="28"/>
        </w:rPr>
      </w:pPr>
      <w:bookmarkStart w:id="26" w:name="_Toc214406618"/>
      <w:r>
        <w:rPr>
          <w:rFonts w:ascii="Arial" w:hAnsi="Arial" w:cs="Arial"/>
          <w:b/>
          <w:bCs/>
          <w:color w:val="000000" w:themeColor="text1"/>
          <w:sz w:val="28"/>
          <w:szCs w:val="28"/>
        </w:rPr>
        <w:t xml:space="preserve">4.1 </w:t>
      </w:r>
      <w:r w:rsidR="00DB3FCC" w:rsidRPr="00DB3FCC">
        <w:rPr>
          <w:rFonts w:ascii="Arial" w:hAnsi="Arial" w:cs="Arial"/>
          <w:b/>
          <w:bCs/>
          <w:color w:val="000000" w:themeColor="text1"/>
          <w:sz w:val="28"/>
          <w:szCs w:val="28"/>
        </w:rPr>
        <w:t>Organisational Capacity and Resource Constraints</w:t>
      </w:r>
      <w:bookmarkEnd w:id="26"/>
    </w:p>
    <w:p w14:paraId="735A6B42" w14:textId="40C25959" w:rsidR="00DB3FCC" w:rsidRPr="00013895" w:rsidRDefault="00013895" w:rsidP="00DB3FCC">
      <w:pPr>
        <w:spacing w:line="360" w:lineRule="auto"/>
        <w:jc w:val="both"/>
        <w:rPr>
          <w:rFonts w:ascii="Arial" w:hAnsi="Arial" w:cs="Arial"/>
          <w:sz w:val="21"/>
          <w:szCs w:val="21"/>
        </w:rPr>
      </w:pPr>
      <w:r w:rsidRPr="00013895">
        <w:rPr>
          <w:rFonts w:ascii="Arial" w:hAnsi="Arial" w:cs="Arial"/>
          <w:sz w:val="22"/>
          <w:szCs w:val="22"/>
        </w:rPr>
        <w:t>Concero is a small-to-medium-sized business (SME), so it does not have the same financial or human resources as its larger competitors. This leads to conflict between continuing to provide daily services and making investments in new systems like cybersecurity, cloud infrastructure, and employee training. SMEs frequently find it difficult to pursue digital transformation because operational demands take precedence over strategic innovation, claim Bouwman et al. (2019). Concero runs the risk of overworking its staff and eroding customer confidence if it doesn't plan.</w:t>
      </w:r>
    </w:p>
    <w:p w14:paraId="704EF285" w14:textId="0D43D20F" w:rsidR="00DB3FCC" w:rsidRDefault="00F4377C" w:rsidP="00DB3FCC">
      <w:pPr>
        <w:pStyle w:val="Heading2"/>
        <w:spacing w:line="360" w:lineRule="auto"/>
        <w:rPr>
          <w:rFonts w:ascii="Arial" w:hAnsi="Arial" w:cs="Arial"/>
          <w:b/>
          <w:bCs/>
          <w:color w:val="000000" w:themeColor="text1"/>
          <w:sz w:val="28"/>
          <w:szCs w:val="28"/>
        </w:rPr>
      </w:pPr>
      <w:bookmarkStart w:id="27" w:name="_Toc214406619"/>
      <w:r>
        <w:rPr>
          <w:rFonts w:ascii="Arial" w:hAnsi="Arial" w:cs="Arial"/>
          <w:b/>
          <w:bCs/>
          <w:color w:val="000000" w:themeColor="text1"/>
          <w:sz w:val="28"/>
          <w:szCs w:val="28"/>
        </w:rPr>
        <w:t xml:space="preserve">4.2 </w:t>
      </w:r>
      <w:r w:rsidR="00DB3FCC" w:rsidRPr="00DB3FCC">
        <w:rPr>
          <w:rFonts w:ascii="Arial" w:hAnsi="Arial" w:cs="Arial"/>
          <w:b/>
          <w:bCs/>
          <w:color w:val="000000" w:themeColor="text1"/>
          <w:sz w:val="28"/>
          <w:szCs w:val="28"/>
        </w:rPr>
        <w:t>Change Readiness and Cultural Resistance</w:t>
      </w:r>
      <w:bookmarkEnd w:id="27"/>
    </w:p>
    <w:p w14:paraId="50B338C2" w14:textId="1454E70B" w:rsidR="00DB3FCC" w:rsidRPr="00013895" w:rsidRDefault="00013895" w:rsidP="00DB3FCC">
      <w:pPr>
        <w:spacing w:line="360" w:lineRule="auto"/>
        <w:jc w:val="both"/>
        <w:rPr>
          <w:rFonts w:ascii="Arial" w:hAnsi="Arial" w:cs="Arial"/>
          <w:sz w:val="21"/>
          <w:szCs w:val="21"/>
        </w:rPr>
      </w:pPr>
      <w:r w:rsidRPr="00013895">
        <w:rPr>
          <w:rFonts w:ascii="Arial" w:hAnsi="Arial" w:cs="Arial"/>
          <w:sz w:val="22"/>
          <w:szCs w:val="22"/>
        </w:rPr>
        <w:t xml:space="preserve">Although valuable,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informal, relationship-based culture and strong service ethos may encourage resistance to change. Employees used to autonomy and flexibility may view new systems, automation, and compliance protocols as a threat. Instead of being against change per se, resistance frequently results from a fear of losing identity or routines, as </w:t>
      </w:r>
      <w:proofErr w:type="spellStart"/>
      <w:r w:rsidR="00B07D6F" w:rsidRPr="009964E4">
        <w:rPr>
          <w:rFonts w:ascii="Arial" w:hAnsi="Arial" w:cs="Arial"/>
          <w:sz w:val="22"/>
          <w:szCs w:val="22"/>
        </w:rPr>
        <w:t>Oreg</w:t>
      </w:r>
      <w:proofErr w:type="spellEnd"/>
      <w:r w:rsidR="00B07D6F" w:rsidRPr="009964E4">
        <w:rPr>
          <w:rFonts w:ascii="Arial" w:hAnsi="Arial" w:cs="Arial"/>
          <w:sz w:val="22"/>
          <w:szCs w:val="22"/>
        </w:rPr>
        <w:t xml:space="preserve"> </w:t>
      </w:r>
      <w:proofErr w:type="gramStart"/>
      <w:r w:rsidR="00B07D6F" w:rsidRPr="009964E4">
        <w:rPr>
          <w:rFonts w:ascii="Arial" w:hAnsi="Arial" w:cs="Arial"/>
          <w:sz w:val="22"/>
          <w:szCs w:val="22"/>
        </w:rPr>
        <w:t>et al.,</w:t>
      </w:r>
      <w:r w:rsidRPr="00013895">
        <w:rPr>
          <w:rFonts w:ascii="Arial" w:hAnsi="Arial" w:cs="Arial"/>
          <w:sz w:val="22"/>
          <w:szCs w:val="22"/>
        </w:rPr>
        <w:t>(</w:t>
      </w:r>
      <w:proofErr w:type="gramEnd"/>
      <w:r w:rsidRPr="00013895">
        <w:rPr>
          <w:rFonts w:ascii="Arial" w:hAnsi="Arial" w:cs="Arial"/>
          <w:sz w:val="22"/>
          <w:szCs w:val="22"/>
        </w:rPr>
        <w:t>2011) point out. Therefore, fostering buy-in via participation, communication, and psychological safety will be essential to the transformation</w:t>
      </w:r>
    </w:p>
    <w:p w14:paraId="77D11D7B" w14:textId="09AF90FD" w:rsidR="00DB3FCC" w:rsidRDefault="00F4377C" w:rsidP="00DB3FCC">
      <w:pPr>
        <w:pStyle w:val="Heading2"/>
        <w:spacing w:line="360" w:lineRule="auto"/>
        <w:rPr>
          <w:rFonts w:ascii="Arial" w:hAnsi="Arial" w:cs="Arial"/>
          <w:b/>
          <w:bCs/>
          <w:color w:val="000000" w:themeColor="text1"/>
          <w:sz w:val="28"/>
          <w:szCs w:val="28"/>
        </w:rPr>
      </w:pPr>
      <w:bookmarkStart w:id="28" w:name="_Toc214406620"/>
      <w:r>
        <w:rPr>
          <w:rFonts w:ascii="Arial" w:hAnsi="Arial" w:cs="Arial"/>
          <w:b/>
          <w:bCs/>
          <w:color w:val="000000" w:themeColor="text1"/>
          <w:sz w:val="28"/>
          <w:szCs w:val="28"/>
        </w:rPr>
        <w:t xml:space="preserve">4.3 </w:t>
      </w:r>
      <w:r w:rsidR="00DB3FCC" w:rsidRPr="00DB3FCC">
        <w:rPr>
          <w:rFonts w:ascii="Arial" w:hAnsi="Arial" w:cs="Arial"/>
          <w:b/>
          <w:bCs/>
          <w:color w:val="000000" w:themeColor="text1"/>
          <w:sz w:val="28"/>
          <w:szCs w:val="28"/>
        </w:rPr>
        <w:t>Knowledge and Skills Gaps</w:t>
      </w:r>
      <w:bookmarkEnd w:id="28"/>
    </w:p>
    <w:p w14:paraId="2E160052" w14:textId="1E7ED584" w:rsidR="00DB3FCC" w:rsidRPr="00013895" w:rsidRDefault="00013895" w:rsidP="00013895">
      <w:pPr>
        <w:spacing w:line="360" w:lineRule="auto"/>
        <w:jc w:val="both"/>
        <w:rPr>
          <w:rFonts w:ascii="Arial" w:hAnsi="Arial" w:cs="Arial"/>
          <w:sz w:val="21"/>
          <w:szCs w:val="21"/>
        </w:rPr>
      </w:pPr>
      <w:r w:rsidRPr="00013895">
        <w:rPr>
          <w:rFonts w:ascii="Arial" w:hAnsi="Arial" w:cs="Arial"/>
          <w:sz w:val="22"/>
          <w:szCs w:val="22"/>
        </w:rPr>
        <w:t xml:space="preserve">Although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staff has experience with traditional systems, they are not proficient in cloud orchestration, cybersecurity, or AI-driven analytics. One of the most common obstacles to digital transformation in SMEs, according to Vial (20</w:t>
      </w:r>
      <w:r w:rsidR="00B07D6F">
        <w:rPr>
          <w:rFonts w:ascii="Arial" w:hAnsi="Arial" w:cs="Arial"/>
          <w:sz w:val="22"/>
          <w:szCs w:val="22"/>
        </w:rPr>
        <w:t>21</w:t>
      </w:r>
      <w:r w:rsidRPr="00013895">
        <w:rPr>
          <w:rFonts w:ascii="Arial" w:hAnsi="Arial" w:cs="Arial"/>
          <w:sz w:val="22"/>
          <w:szCs w:val="22"/>
        </w:rPr>
        <w:t>), is a lack of skills. Concero runs the risk of project delays, low adoption, or even system failures if it tries to deploy cutting-edge technologies without making professional development investments. Building capacity will require selective hiring, mentorship, and structured training.</w:t>
      </w:r>
    </w:p>
    <w:p w14:paraId="3BA966AF" w14:textId="7C7D8113" w:rsidR="00DB3FCC" w:rsidRDefault="00F4377C" w:rsidP="00DB3FCC">
      <w:pPr>
        <w:pStyle w:val="Heading2"/>
        <w:rPr>
          <w:rFonts w:ascii="Arial" w:hAnsi="Arial" w:cs="Arial"/>
          <w:b/>
          <w:bCs/>
          <w:color w:val="000000" w:themeColor="text1"/>
          <w:sz w:val="28"/>
          <w:szCs w:val="28"/>
        </w:rPr>
      </w:pPr>
      <w:bookmarkStart w:id="29" w:name="_Toc214406621"/>
      <w:r>
        <w:rPr>
          <w:rFonts w:ascii="Arial" w:hAnsi="Arial" w:cs="Arial"/>
          <w:b/>
          <w:bCs/>
          <w:color w:val="000000" w:themeColor="text1"/>
          <w:sz w:val="28"/>
          <w:szCs w:val="28"/>
        </w:rPr>
        <w:t xml:space="preserve">4.4 </w:t>
      </w:r>
      <w:r w:rsidR="00DB3FCC" w:rsidRPr="00DB3FCC">
        <w:rPr>
          <w:rFonts w:ascii="Arial" w:hAnsi="Arial" w:cs="Arial"/>
          <w:b/>
          <w:bCs/>
          <w:color w:val="000000" w:themeColor="text1"/>
          <w:sz w:val="28"/>
          <w:szCs w:val="28"/>
        </w:rPr>
        <w:t>Operational and Reputational Risk</w:t>
      </w:r>
      <w:bookmarkEnd w:id="29"/>
    </w:p>
    <w:p w14:paraId="0387F92D" w14:textId="4BDC0D5B" w:rsidR="00DB3FCC" w:rsidRPr="00013895" w:rsidRDefault="00013895" w:rsidP="00013895">
      <w:pPr>
        <w:spacing w:line="360" w:lineRule="auto"/>
        <w:jc w:val="both"/>
        <w:rPr>
          <w:rFonts w:ascii="Arial" w:hAnsi="Arial" w:cs="Arial"/>
          <w:sz w:val="21"/>
          <w:szCs w:val="21"/>
        </w:rPr>
      </w:pPr>
      <w:r w:rsidRPr="00013895">
        <w:rPr>
          <w:rFonts w:ascii="Arial" w:hAnsi="Arial" w:cs="Arial"/>
          <w:sz w:val="22"/>
          <w:szCs w:val="22"/>
        </w:rPr>
        <w:t xml:space="preserve">Change poses a significant risk to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reputation and legal standing because it involves sensitive school data. Upgrades to the system could introduce vulnerabilities, and any </w:t>
      </w:r>
      <w:r w:rsidRPr="00013895">
        <w:rPr>
          <w:rFonts w:ascii="Arial" w:hAnsi="Arial" w:cs="Arial"/>
          <w:sz w:val="22"/>
          <w:szCs w:val="22"/>
        </w:rPr>
        <w:lastRenderedPageBreak/>
        <w:t xml:space="preserve">noncompliance could erode confidence and cost you contracts. Credibility in EdTech requires data security and privacy, as argued by Livingstone and </w:t>
      </w:r>
      <w:proofErr w:type="spellStart"/>
      <w:r w:rsidRPr="00013895">
        <w:rPr>
          <w:rFonts w:ascii="Arial" w:hAnsi="Arial" w:cs="Arial"/>
          <w:sz w:val="22"/>
          <w:szCs w:val="22"/>
        </w:rPr>
        <w:t>Stoilova</w:t>
      </w:r>
      <w:proofErr w:type="spellEnd"/>
      <w:r w:rsidRPr="00013895">
        <w:rPr>
          <w:rFonts w:ascii="Arial" w:hAnsi="Arial" w:cs="Arial"/>
          <w:sz w:val="22"/>
          <w:szCs w:val="22"/>
        </w:rPr>
        <w:t xml:space="preserve"> (2021). </w:t>
      </w:r>
      <w:proofErr w:type="gramStart"/>
      <w:r w:rsidRPr="00013895">
        <w:rPr>
          <w:rFonts w:ascii="Arial" w:hAnsi="Arial" w:cs="Arial"/>
          <w:sz w:val="22"/>
          <w:szCs w:val="22"/>
        </w:rPr>
        <w:t>In order to</w:t>
      </w:r>
      <w:proofErr w:type="gramEnd"/>
      <w:r w:rsidRPr="00013895">
        <w:rPr>
          <w:rFonts w:ascii="Arial" w:hAnsi="Arial" w:cs="Arial"/>
          <w:sz w:val="22"/>
          <w:szCs w:val="22"/>
        </w:rPr>
        <w:t xml:space="preserve"> guarantee service dependability throughout the transition, Concero must control this risk through phased rollouts, rigorous quality assurance, and continuous monitoring.</w:t>
      </w:r>
    </w:p>
    <w:p w14:paraId="42E5753C" w14:textId="368A9D5E" w:rsidR="00DB3FCC" w:rsidRDefault="00F4377C" w:rsidP="00152330">
      <w:pPr>
        <w:pStyle w:val="Heading2"/>
        <w:spacing w:line="360" w:lineRule="auto"/>
        <w:rPr>
          <w:rFonts w:ascii="Arial" w:hAnsi="Arial" w:cs="Arial"/>
          <w:b/>
          <w:bCs/>
          <w:color w:val="000000" w:themeColor="text1"/>
          <w:sz w:val="28"/>
          <w:szCs w:val="28"/>
        </w:rPr>
      </w:pPr>
      <w:bookmarkStart w:id="30" w:name="_Toc214406622"/>
      <w:r>
        <w:rPr>
          <w:rFonts w:ascii="Arial" w:hAnsi="Arial" w:cs="Arial"/>
          <w:b/>
          <w:bCs/>
          <w:color w:val="000000" w:themeColor="text1"/>
          <w:sz w:val="28"/>
          <w:szCs w:val="28"/>
        </w:rPr>
        <w:t xml:space="preserve">4.5 </w:t>
      </w:r>
      <w:r w:rsidR="00152330" w:rsidRPr="00152330">
        <w:rPr>
          <w:rFonts w:ascii="Arial" w:hAnsi="Arial" w:cs="Arial"/>
          <w:b/>
          <w:bCs/>
          <w:color w:val="000000" w:themeColor="text1"/>
          <w:sz w:val="28"/>
          <w:szCs w:val="28"/>
        </w:rPr>
        <w:t>Strategic Alignment and Leadership Gaps</w:t>
      </w:r>
      <w:bookmarkEnd w:id="30"/>
    </w:p>
    <w:p w14:paraId="0273ACC6" w14:textId="2CF5CD86" w:rsidR="00152330" w:rsidRDefault="00013895" w:rsidP="00013895">
      <w:pPr>
        <w:spacing w:line="360" w:lineRule="auto"/>
        <w:jc w:val="both"/>
        <w:rPr>
          <w:rFonts w:ascii="Arial" w:hAnsi="Arial" w:cs="Arial"/>
          <w:sz w:val="22"/>
          <w:szCs w:val="22"/>
        </w:rPr>
      </w:pPr>
      <w:r w:rsidRPr="00013895">
        <w:rPr>
          <w:rFonts w:ascii="Arial" w:hAnsi="Arial" w:cs="Arial"/>
          <w:sz w:val="22"/>
          <w:szCs w:val="22"/>
        </w:rPr>
        <w:t xml:space="preserve">Another difficulty is leadership ability. Due to their intense involvement in daily operations,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leaders have little time for long-term planning and change management. However, to guarantee that new systems, culture, and procedures reinforce one another, strategic alignment and leadership commitment are necessary (Al-Ali et al., 2017). The digital transformation runs the risk of stalling or yielding only modest gains in the absence of clear, committed leadership.</w:t>
      </w:r>
    </w:p>
    <w:p w14:paraId="410A2B40" w14:textId="75C87545" w:rsidR="00013895" w:rsidRDefault="00013895" w:rsidP="00013895">
      <w:pPr>
        <w:spacing w:line="360" w:lineRule="auto"/>
        <w:jc w:val="both"/>
        <w:rPr>
          <w:rFonts w:ascii="Arial" w:hAnsi="Arial" w:cs="Arial"/>
          <w:sz w:val="22"/>
          <w:szCs w:val="22"/>
        </w:rPr>
      </w:pPr>
      <w:r w:rsidRPr="00013895">
        <w:rPr>
          <w:rFonts w:ascii="Arial" w:hAnsi="Arial" w:cs="Arial"/>
          <w:sz w:val="22"/>
          <w:szCs w:val="22"/>
        </w:rPr>
        <w:t xml:space="preserve">Significant risks are associated with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digital transformation, including a lack of funding, cultural opposition, a lack of skills, operational weaknesses, and a lack of leadership. However, these difficulties can be lessened and the transformation effectively accomplished with strong governance, workforce capability investment, phased implementation, and dedicated leadership.</w:t>
      </w:r>
    </w:p>
    <w:p w14:paraId="1FD8AA9B" w14:textId="6DB69BD9" w:rsidR="00013895" w:rsidRDefault="00013895" w:rsidP="00013895">
      <w:pPr>
        <w:spacing w:line="360" w:lineRule="auto"/>
        <w:jc w:val="both"/>
        <w:rPr>
          <w:rFonts w:ascii="Arial" w:hAnsi="Arial" w:cs="Arial"/>
          <w:sz w:val="21"/>
          <w:szCs w:val="21"/>
        </w:rPr>
      </w:pPr>
      <w:r w:rsidRPr="00013895">
        <w:rPr>
          <w:rFonts w:ascii="Arial" w:hAnsi="Arial" w:cs="Arial"/>
          <w:noProof/>
          <w:sz w:val="21"/>
          <w:szCs w:val="21"/>
        </w:rPr>
        <w:drawing>
          <wp:inline distT="0" distB="0" distL="0" distR="0" wp14:anchorId="1185D5B0" wp14:editId="13AA5003">
            <wp:extent cx="3974471" cy="881176"/>
            <wp:effectExtent l="0" t="0" r="635" b="0"/>
            <wp:docPr id="39250569" name="Picture 1" descr="A close-up of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0569" name="Picture 1" descr="A close-up of a list of words&#10;&#10;AI-generated content may be incorrect."/>
                    <pic:cNvPicPr/>
                  </pic:nvPicPr>
                  <pic:blipFill>
                    <a:blip r:embed="rId13"/>
                    <a:stretch>
                      <a:fillRect/>
                    </a:stretch>
                  </pic:blipFill>
                  <pic:spPr>
                    <a:xfrm>
                      <a:off x="0" y="0"/>
                      <a:ext cx="4091005" cy="907013"/>
                    </a:xfrm>
                    <a:prstGeom prst="rect">
                      <a:avLst/>
                    </a:prstGeom>
                  </pic:spPr>
                </pic:pic>
              </a:graphicData>
            </a:graphic>
          </wp:inline>
        </w:drawing>
      </w:r>
    </w:p>
    <w:p w14:paraId="39A4DB5E" w14:textId="61BE6C62" w:rsidR="00013895" w:rsidRPr="00013895" w:rsidRDefault="00013895" w:rsidP="00013895">
      <w:pPr>
        <w:spacing w:line="360" w:lineRule="auto"/>
        <w:jc w:val="both"/>
        <w:rPr>
          <w:rFonts w:ascii="Arial" w:hAnsi="Arial" w:cs="Arial"/>
          <w:sz w:val="16"/>
          <w:szCs w:val="16"/>
        </w:rPr>
      </w:pPr>
      <w:r w:rsidRPr="00013895">
        <w:rPr>
          <w:rFonts w:ascii="Arial" w:hAnsi="Arial" w:cs="Arial"/>
          <w:b/>
          <w:bCs/>
          <w:sz w:val="16"/>
          <w:szCs w:val="16"/>
        </w:rPr>
        <w:t xml:space="preserve">Figure 4: Risk Management for </w:t>
      </w:r>
      <w:proofErr w:type="spellStart"/>
      <w:r w:rsidRPr="00013895">
        <w:rPr>
          <w:rFonts w:ascii="Arial" w:hAnsi="Arial" w:cs="Arial"/>
          <w:b/>
          <w:bCs/>
          <w:sz w:val="16"/>
          <w:szCs w:val="16"/>
        </w:rPr>
        <w:t>Concero’s</w:t>
      </w:r>
      <w:proofErr w:type="spellEnd"/>
      <w:r w:rsidRPr="00013895">
        <w:rPr>
          <w:rFonts w:ascii="Arial" w:hAnsi="Arial" w:cs="Arial"/>
          <w:b/>
          <w:bCs/>
          <w:sz w:val="16"/>
          <w:szCs w:val="16"/>
        </w:rPr>
        <w:t xml:space="preserve"> Digital Transformation (Yanis Popov, 2025)</w:t>
      </w:r>
    </w:p>
    <w:p w14:paraId="0B9B8372" w14:textId="3B542033" w:rsidR="00A02ED7" w:rsidRPr="00F4377C" w:rsidRDefault="00F4377C" w:rsidP="00A02ED7">
      <w:pPr>
        <w:pStyle w:val="Heading1"/>
        <w:spacing w:line="360" w:lineRule="auto"/>
        <w:rPr>
          <w:rFonts w:ascii="Arial" w:hAnsi="Arial" w:cs="Arial"/>
          <w:b/>
          <w:bCs/>
          <w:color w:val="000000" w:themeColor="text1"/>
          <w:sz w:val="36"/>
          <w:szCs w:val="36"/>
          <w:u w:val="single"/>
        </w:rPr>
      </w:pPr>
      <w:bookmarkStart w:id="31" w:name="_Toc214406623"/>
      <w:r w:rsidRPr="00F4377C">
        <w:rPr>
          <w:rFonts w:ascii="Arial" w:hAnsi="Arial" w:cs="Arial"/>
          <w:b/>
          <w:bCs/>
          <w:color w:val="000000" w:themeColor="text1"/>
          <w:sz w:val="36"/>
          <w:szCs w:val="36"/>
          <w:u w:val="single"/>
        </w:rPr>
        <w:t>5.</w:t>
      </w:r>
      <w:r w:rsidR="00A02ED7" w:rsidRPr="00F4377C">
        <w:rPr>
          <w:rFonts w:ascii="Arial" w:hAnsi="Arial" w:cs="Arial"/>
          <w:b/>
          <w:bCs/>
          <w:color w:val="000000" w:themeColor="text1"/>
          <w:sz w:val="36"/>
          <w:szCs w:val="36"/>
          <w:u w:val="single"/>
        </w:rPr>
        <w:t>Evaluation of Change Management Models</w:t>
      </w:r>
      <w:bookmarkEnd w:id="31"/>
    </w:p>
    <w:p w14:paraId="32FCCA36" w14:textId="741EE9A7" w:rsidR="00A02ED7" w:rsidRPr="00013895" w:rsidRDefault="00013895" w:rsidP="00013895">
      <w:pPr>
        <w:spacing w:line="360" w:lineRule="auto"/>
        <w:jc w:val="both"/>
        <w:rPr>
          <w:rFonts w:ascii="Arial" w:hAnsi="Arial" w:cs="Arial"/>
          <w:sz w:val="21"/>
          <w:szCs w:val="21"/>
        </w:rPr>
      </w:pPr>
      <w:r w:rsidRPr="00013895">
        <w:rPr>
          <w:rFonts w:ascii="Arial" w:hAnsi="Arial" w:cs="Arial"/>
          <w:sz w:val="22"/>
          <w:szCs w:val="22"/>
        </w:rPr>
        <w:t xml:space="preserve">To carry out its digital transformation while reducing disruption and increasing organisational capacity, Concero Education will require a methodical approach. Given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small size, resource constraints, and people-centric culture, choosing the appropriate framework is essential. This section assesses four popular models: the ADKAR model, Kotter's Eight-Step Process, Lewin's Three-Step Model, and the McKinsey 7-S Framework. It contends that a hybrid strategy that incorporates their complementary advantages will be the most successful way to implement </w:t>
      </w:r>
      <w:proofErr w:type="spellStart"/>
      <w:r w:rsidRPr="00013895">
        <w:rPr>
          <w:rFonts w:ascii="Arial" w:hAnsi="Arial" w:cs="Arial"/>
          <w:sz w:val="22"/>
          <w:szCs w:val="22"/>
        </w:rPr>
        <w:t>Concero's</w:t>
      </w:r>
      <w:proofErr w:type="spellEnd"/>
      <w:r w:rsidRPr="00013895">
        <w:rPr>
          <w:rFonts w:ascii="Arial" w:hAnsi="Arial" w:cs="Arial"/>
          <w:sz w:val="22"/>
          <w:szCs w:val="22"/>
        </w:rPr>
        <w:t xml:space="preserve"> transformation.</w:t>
      </w:r>
    </w:p>
    <w:p w14:paraId="58FC4F73" w14:textId="0E1568B6" w:rsidR="00A02ED7" w:rsidRDefault="00F4377C" w:rsidP="00A02ED7">
      <w:pPr>
        <w:pStyle w:val="Heading2"/>
        <w:spacing w:line="360" w:lineRule="auto"/>
        <w:rPr>
          <w:rFonts w:ascii="Arial" w:hAnsi="Arial" w:cs="Arial"/>
          <w:b/>
          <w:bCs/>
          <w:color w:val="000000" w:themeColor="text1"/>
          <w:sz w:val="28"/>
          <w:szCs w:val="28"/>
        </w:rPr>
      </w:pPr>
      <w:bookmarkStart w:id="32" w:name="_Toc214406624"/>
      <w:r>
        <w:rPr>
          <w:rFonts w:ascii="Arial" w:hAnsi="Arial" w:cs="Arial"/>
          <w:b/>
          <w:bCs/>
          <w:color w:val="000000" w:themeColor="text1"/>
          <w:sz w:val="28"/>
          <w:szCs w:val="28"/>
        </w:rPr>
        <w:t xml:space="preserve">5.1 </w:t>
      </w:r>
      <w:r w:rsidR="00A02ED7" w:rsidRPr="00A02ED7">
        <w:rPr>
          <w:rFonts w:ascii="Arial" w:hAnsi="Arial" w:cs="Arial"/>
          <w:b/>
          <w:bCs/>
          <w:color w:val="000000" w:themeColor="text1"/>
          <w:sz w:val="28"/>
          <w:szCs w:val="28"/>
        </w:rPr>
        <w:t>Lewin’s Three-Step Model: Foundational but Simplistic</w:t>
      </w:r>
      <w:bookmarkEnd w:id="32"/>
    </w:p>
    <w:p w14:paraId="18C2F2B8" w14:textId="2516677B" w:rsidR="00A02ED7" w:rsidRPr="00E823CB" w:rsidRDefault="00E823CB" w:rsidP="00E823CB">
      <w:pPr>
        <w:spacing w:line="360" w:lineRule="auto"/>
        <w:jc w:val="both"/>
        <w:rPr>
          <w:rFonts w:ascii="Arial" w:hAnsi="Arial" w:cs="Arial"/>
          <w:sz w:val="21"/>
          <w:szCs w:val="21"/>
          <w:lang w:eastAsia="en-US"/>
        </w:rPr>
      </w:pPr>
      <w:r w:rsidRPr="00E823CB">
        <w:rPr>
          <w:rFonts w:ascii="Arial" w:hAnsi="Arial" w:cs="Arial"/>
          <w:sz w:val="22"/>
          <w:szCs w:val="22"/>
        </w:rPr>
        <w:t xml:space="preserve">Three stages are described in Lewin's seminal model (1951): unfreezing, changing, and refreezing. The unfreezing stage is especially helpful for Concero, where staff members are very devoted to their current routines, to get them ready for new systems and mindsets </w:t>
      </w:r>
      <w:r w:rsidRPr="00E823CB">
        <w:rPr>
          <w:rFonts w:ascii="Arial" w:hAnsi="Arial" w:cs="Arial"/>
          <w:sz w:val="22"/>
          <w:szCs w:val="22"/>
        </w:rPr>
        <w:lastRenderedPageBreak/>
        <w:t>(Burnes, 2004). Its linear structure, however, is too basic for the ongoing modifications required by digital transformation (Vial, 20</w:t>
      </w:r>
      <w:r w:rsidR="00B07D6F">
        <w:rPr>
          <w:rFonts w:ascii="Arial" w:hAnsi="Arial" w:cs="Arial"/>
          <w:sz w:val="22"/>
          <w:szCs w:val="22"/>
        </w:rPr>
        <w:t>21</w:t>
      </w:r>
      <w:r w:rsidRPr="00E823CB">
        <w:rPr>
          <w:rFonts w:ascii="Arial" w:hAnsi="Arial" w:cs="Arial"/>
          <w:sz w:val="22"/>
          <w:szCs w:val="22"/>
        </w:rPr>
        <w:t>). As a result, Lewin's framework can serve as the basis for sequencing change, but it needs assistance from more intricate models.</w:t>
      </w:r>
    </w:p>
    <w:p w14:paraId="39D80F73" w14:textId="3EDDE288" w:rsidR="00A02ED7" w:rsidRDefault="00F4377C" w:rsidP="00E823CB">
      <w:pPr>
        <w:pStyle w:val="Heading2"/>
        <w:spacing w:line="360" w:lineRule="auto"/>
        <w:rPr>
          <w:rFonts w:ascii="Arial" w:hAnsi="Arial" w:cs="Arial"/>
          <w:b/>
          <w:bCs/>
          <w:color w:val="000000" w:themeColor="text1"/>
          <w:sz w:val="28"/>
          <w:szCs w:val="28"/>
        </w:rPr>
      </w:pPr>
      <w:bookmarkStart w:id="33" w:name="_Toc214406625"/>
      <w:r>
        <w:rPr>
          <w:rFonts w:ascii="Arial" w:hAnsi="Arial" w:cs="Arial"/>
          <w:b/>
          <w:bCs/>
          <w:color w:val="000000" w:themeColor="text1"/>
          <w:sz w:val="28"/>
          <w:szCs w:val="28"/>
        </w:rPr>
        <w:t xml:space="preserve">5.2 </w:t>
      </w:r>
      <w:r w:rsidR="00A02ED7" w:rsidRPr="00A02ED7">
        <w:rPr>
          <w:rFonts w:ascii="Arial" w:hAnsi="Arial" w:cs="Arial"/>
          <w:b/>
          <w:bCs/>
          <w:color w:val="000000" w:themeColor="text1"/>
          <w:sz w:val="28"/>
          <w:szCs w:val="28"/>
        </w:rPr>
        <w:t>Kotter’s Eight-Step Process: Momentum and Structure</w:t>
      </w:r>
      <w:bookmarkEnd w:id="33"/>
    </w:p>
    <w:p w14:paraId="30E98D51" w14:textId="155D5310" w:rsidR="00E823CB" w:rsidRPr="00E823CB" w:rsidRDefault="00E823CB" w:rsidP="00E823CB">
      <w:pPr>
        <w:spacing w:line="360" w:lineRule="auto"/>
        <w:jc w:val="both"/>
        <w:rPr>
          <w:rFonts w:ascii="Arial" w:hAnsi="Arial" w:cs="Arial"/>
          <w:sz w:val="22"/>
          <w:szCs w:val="22"/>
          <w:lang w:eastAsia="en-US"/>
        </w:rPr>
      </w:pPr>
      <w:r w:rsidRPr="00E823CB">
        <w:rPr>
          <w:rFonts w:ascii="Arial" w:hAnsi="Arial" w:cs="Arial"/>
          <w:sz w:val="22"/>
          <w:szCs w:val="22"/>
        </w:rPr>
        <w:t xml:space="preserve">By placing more emphasis on urgency, leadership, and momentum, Kotter's (1996) model builds upon Lewin. According to Concero, overcoming cultural inertia and preserving morale during resource-intensive changes require actions like assembling a guiding coalition, formulating a vision, and producing quick victories (Al-Ali et al., 2017). However, its top-down, hierarchical structure might be too inflexible for </w:t>
      </w:r>
      <w:proofErr w:type="spellStart"/>
      <w:r w:rsidRPr="00E823CB">
        <w:rPr>
          <w:rFonts w:ascii="Arial" w:hAnsi="Arial" w:cs="Arial"/>
          <w:sz w:val="22"/>
          <w:szCs w:val="22"/>
        </w:rPr>
        <w:t>Concero's</w:t>
      </w:r>
      <w:proofErr w:type="spellEnd"/>
      <w:r w:rsidRPr="00E823CB">
        <w:rPr>
          <w:rFonts w:ascii="Arial" w:hAnsi="Arial" w:cs="Arial"/>
          <w:sz w:val="22"/>
          <w:szCs w:val="22"/>
        </w:rPr>
        <w:t xml:space="preserve"> flat organisational structure (Pollack </w:t>
      </w:r>
      <w:r w:rsidR="00B07D6F">
        <w:rPr>
          <w:rFonts w:ascii="Arial" w:hAnsi="Arial" w:cs="Arial"/>
          <w:sz w:val="22"/>
          <w:szCs w:val="22"/>
        </w:rPr>
        <w:t>and</w:t>
      </w:r>
      <w:r w:rsidRPr="00E823CB">
        <w:rPr>
          <w:rFonts w:ascii="Arial" w:hAnsi="Arial" w:cs="Arial"/>
          <w:sz w:val="22"/>
          <w:szCs w:val="22"/>
        </w:rPr>
        <w:t xml:space="preserve"> Pollack, 2015). Kotter's procedure would be more successful if it were modified to involve staff involvement.</w:t>
      </w:r>
    </w:p>
    <w:p w14:paraId="613E5070" w14:textId="132B1330" w:rsidR="00A02ED7" w:rsidRDefault="00F4377C" w:rsidP="00A02ED7">
      <w:pPr>
        <w:pStyle w:val="Heading2"/>
        <w:spacing w:line="360" w:lineRule="auto"/>
        <w:rPr>
          <w:rFonts w:ascii="Arial" w:hAnsi="Arial" w:cs="Arial"/>
          <w:b/>
          <w:bCs/>
          <w:color w:val="000000" w:themeColor="text1"/>
          <w:sz w:val="28"/>
          <w:szCs w:val="28"/>
        </w:rPr>
      </w:pPr>
      <w:bookmarkStart w:id="34" w:name="_Toc214406626"/>
      <w:r>
        <w:rPr>
          <w:rFonts w:ascii="Arial" w:hAnsi="Arial" w:cs="Arial"/>
          <w:b/>
          <w:bCs/>
          <w:color w:val="000000" w:themeColor="text1"/>
          <w:sz w:val="28"/>
          <w:szCs w:val="28"/>
        </w:rPr>
        <w:t xml:space="preserve">5.3 </w:t>
      </w:r>
      <w:r w:rsidR="00A02ED7" w:rsidRPr="00A02ED7">
        <w:rPr>
          <w:rFonts w:ascii="Arial" w:hAnsi="Arial" w:cs="Arial"/>
          <w:b/>
          <w:bCs/>
          <w:color w:val="000000" w:themeColor="text1"/>
          <w:sz w:val="28"/>
          <w:szCs w:val="28"/>
        </w:rPr>
        <w:t>ADKAR: Individual-Level Behaviour Change</w:t>
      </w:r>
      <w:bookmarkEnd w:id="34"/>
    </w:p>
    <w:p w14:paraId="37E7889D" w14:textId="4B572B6C" w:rsidR="00E823CB" w:rsidRPr="00E823CB" w:rsidRDefault="00E823CB" w:rsidP="00E823CB">
      <w:pPr>
        <w:spacing w:line="360" w:lineRule="auto"/>
        <w:jc w:val="both"/>
        <w:rPr>
          <w:rFonts w:ascii="Arial" w:hAnsi="Arial" w:cs="Arial"/>
          <w:sz w:val="22"/>
          <w:szCs w:val="22"/>
          <w:lang w:eastAsia="en-US"/>
        </w:rPr>
      </w:pPr>
      <w:r w:rsidRPr="00E823CB">
        <w:rPr>
          <w:rFonts w:ascii="Arial" w:hAnsi="Arial" w:cs="Arial"/>
          <w:sz w:val="22"/>
          <w:szCs w:val="22"/>
        </w:rPr>
        <w:t xml:space="preserve">Individual awareness, desire, knowledge, ability, and reinforcement are highlighted in Hiatt's ADKAR model (2006). This is particularly important for Concero because the success of digital transformation will depend on how well frontline technicians adopt new tools. To determine whether barriers are caused by skills, motivation, or reinforcement, ADKAR offers a diagnostic tool (Ertmer </w:t>
      </w:r>
      <w:r w:rsidR="00B07D6F">
        <w:rPr>
          <w:rFonts w:ascii="Arial" w:hAnsi="Arial" w:cs="Arial"/>
          <w:sz w:val="22"/>
          <w:szCs w:val="22"/>
        </w:rPr>
        <w:t>and</w:t>
      </w:r>
      <w:r w:rsidRPr="00E823CB">
        <w:rPr>
          <w:rFonts w:ascii="Arial" w:hAnsi="Arial" w:cs="Arial"/>
          <w:sz w:val="22"/>
          <w:szCs w:val="22"/>
        </w:rPr>
        <w:t xml:space="preserve"> Ottenbreit-Leftwich, 2010). But because ADKAR doesn't focus on systems, it needs to be combined with more comprehensive models that take strategy and culture into account.</w:t>
      </w:r>
    </w:p>
    <w:p w14:paraId="53C76AA8" w14:textId="482F1C5F" w:rsidR="00A02ED7" w:rsidRDefault="00F4377C" w:rsidP="00A02ED7">
      <w:pPr>
        <w:pStyle w:val="Heading2"/>
        <w:spacing w:line="360" w:lineRule="auto"/>
        <w:rPr>
          <w:rFonts w:ascii="Arial" w:hAnsi="Arial" w:cs="Arial"/>
          <w:b/>
          <w:bCs/>
          <w:color w:val="000000" w:themeColor="text1"/>
          <w:sz w:val="28"/>
          <w:szCs w:val="28"/>
        </w:rPr>
      </w:pPr>
      <w:bookmarkStart w:id="35" w:name="_Toc214406627"/>
      <w:r>
        <w:rPr>
          <w:rFonts w:ascii="Arial" w:hAnsi="Arial" w:cs="Arial"/>
          <w:b/>
          <w:bCs/>
          <w:color w:val="000000" w:themeColor="text1"/>
          <w:sz w:val="28"/>
          <w:szCs w:val="28"/>
        </w:rPr>
        <w:t xml:space="preserve">5.4 </w:t>
      </w:r>
      <w:r w:rsidR="00A02ED7" w:rsidRPr="00A02ED7">
        <w:rPr>
          <w:rFonts w:ascii="Arial" w:hAnsi="Arial" w:cs="Arial"/>
          <w:b/>
          <w:bCs/>
          <w:color w:val="000000" w:themeColor="text1"/>
          <w:sz w:val="28"/>
          <w:szCs w:val="28"/>
        </w:rPr>
        <w:t>McKinsey 7-S Framework: Ensuring Organisational Alignment</w:t>
      </w:r>
      <w:bookmarkEnd w:id="35"/>
    </w:p>
    <w:p w14:paraId="6F04E0DB" w14:textId="215F9BA0" w:rsidR="00E823CB" w:rsidRPr="00E823CB" w:rsidRDefault="00E823CB" w:rsidP="00E823CB">
      <w:pPr>
        <w:spacing w:line="360" w:lineRule="auto"/>
        <w:jc w:val="both"/>
        <w:rPr>
          <w:rFonts w:ascii="Arial" w:hAnsi="Arial" w:cs="Arial"/>
          <w:sz w:val="22"/>
          <w:szCs w:val="22"/>
          <w:lang w:eastAsia="en-US"/>
        </w:rPr>
      </w:pPr>
      <w:r w:rsidRPr="00E823CB">
        <w:rPr>
          <w:rFonts w:ascii="Arial" w:hAnsi="Arial" w:cs="Arial"/>
          <w:sz w:val="22"/>
          <w:szCs w:val="22"/>
        </w:rPr>
        <w:t xml:space="preserve">The goal of the McKinsey 7-S model (Waterman et al., 1980) is to align shared values, staff, skills, systems, structure, strategy, and style. This is crucial for Concero: staff training, new leadership behaviours, and cultural change are required to support new technologies (Verhoef et al., 2021). The model assists in identifying misalignments that could impede transformation, such as those between </w:t>
      </w:r>
      <w:proofErr w:type="spellStart"/>
      <w:r w:rsidRPr="00E823CB">
        <w:rPr>
          <w:rFonts w:ascii="Arial" w:hAnsi="Arial" w:cs="Arial"/>
          <w:sz w:val="22"/>
          <w:szCs w:val="22"/>
        </w:rPr>
        <w:t>Concero's</w:t>
      </w:r>
      <w:proofErr w:type="spellEnd"/>
      <w:r w:rsidRPr="00E823CB">
        <w:rPr>
          <w:rFonts w:ascii="Arial" w:hAnsi="Arial" w:cs="Arial"/>
          <w:sz w:val="22"/>
          <w:szCs w:val="22"/>
        </w:rPr>
        <w:t xml:space="preserve"> informal structure and its innovative ambitions, even though it is diagnostic rather than prescriptive (</w:t>
      </w:r>
      <w:proofErr w:type="spellStart"/>
      <w:r w:rsidRPr="00E823CB">
        <w:rPr>
          <w:rFonts w:ascii="Arial" w:hAnsi="Arial" w:cs="Arial"/>
          <w:sz w:val="22"/>
          <w:szCs w:val="22"/>
        </w:rPr>
        <w:t>Ravanfar</w:t>
      </w:r>
      <w:proofErr w:type="spellEnd"/>
      <w:r w:rsidRPr="00E823CB">
        <w:rPr>
          <w:rFonts w:ascii="Arial" w:hAnsi="Arial" w:cs="Arial"/>
          <w:sz w:val="22"/>
          <w:szCs w:val="22"/>
        </w:rPr>
        <w:t>, 2015).</w:t>
      </w:r>
    </w:p>
    <w:p w14:paraId="2B8B84B7" w14:textId="7F00EED2" w:rsidR="00A02ED7" w:rsidRDefault="00F4377C" w:rsidP="00A02ED7">
      <w:pPr>
        <w:pStyle w:val="Heading2"/>
        <w:spacing w:line="360" w:lineRule="auto"/>
        <w:rPr>
          <w:rFonts w:ascii="Arial" w:hAnsi="Arial" w:cs="Arial"/>
          <w:b/>
          <w:bCs/>
          <w:color w:val="000000" w:themeColor="text1"/>
          <w:sz w:val="28"/>
          <w:szCs w:val="28"/>
        </w:rPr>
      </w:pPr>
      <w:bookmarkStart w:id="36" w:name="_Toc214406628"/>
      <w:r>
        <w:rPr>
          <w:rFonts w:ascii="Arial" w:hAnsi="Arial" w:cs="Arial"/>
          <w:b/>
          <w:bCs/>
          <w:color w:val="000000" w:themeColor="text1"/>
          <w:sz w:val="28"/>
          <w:szCs w:val="28"/>
        </w:rPr>
        <w:t xml:space="preserve">5.5 </w:t>
      </w:r>
      <w:r w:rsidR="00A02ED7" w:rsidRPr="00A02ED7">
        <w:rPr>
          <w:rFonts w:ascii="Arial" w:hAnsi="Arial" w:cs="Arial"/>
          <w:b/>
          <w:bCs/>
          <w:color w:val="000000" w:themeColor="text1"/>
          <w:sz w:val="28"/>
          <w:szCs w:val="28"/>
        </w:rPr>
        <w:t>Comparative Synthesis and Relevance to Concero</w:t>
      </w:r>
      <w:bookmarkEnd w:id="36"/>
    </w:p>
    <w:p w14:paraId="0ABDEDF0" w14:textId="78EDFF66" w:rsidR="00E823CB" w:rsidRPr="00E823CB" w:rsidRDefault="00E823CB" w:rsidP="00E823CB">
      <w:pPr>
        <w:spacing w:line="360" w:lineRule="auto"/>
        <w:jc w:val="both"/>
        <w:rPr>
          <w:rFonts w:ascii="Arial" w:hAnsi="Arial" w:cs="Arial"/>
          <w:sz w:val="22"/>
          <w:szCs w:val="22"/>
        </w:rPr>
      </w:pPr>
      <w:r w:rsidRPr="00E823CB">
        <w:rPr>
          <w:rFonts w:ascii="Arial" w:hAnsi="Arial" w:cs="Arial"/>
          <w:sz w:val="22"/>
          <w:szCs w:val="22"/>
        </w:rPr>
        <w:t xml:space="preserve">Each model offers distinct advantages but is insufficient on its own. A </w:t>
      </w:r>
      <w:r w:rsidRPr="00E823CB">
        <w:rPr>
          <w:rStyle w:val="Strong"/>
          <w:rFonts w:ascii="Arial" w:eastAsiaTheme="majorEastAsia" w:hAnsi="Arial" w:cs="Arial"/>
          <w:sz w:val="22"/>
          <w:szCs w:val="22"/>
        </w:rPr>
        <w:t>blended approach</w:t>
      </w:r>
      <w:r w:rsidRPr="00E823CB">
        <w:rPr>
          <w:rFonts w:ascii="Arial" w:hAnsi="Arial" w:cs="Arial"/>
          <w:sz w:val="22"/>
          <w:szCs w:val="22"/>
        </w:rPr>
        <w:t xml:space="preserve"> is therefore most appropriate for </w:t>
      </w:r>
      <w:proofErr w:type="spellStart"/>
      <w:r w:rsidRPr="00E823CB">
        <w:rPr>
          <w:rFonts w:ascii="Arial" w:hAnsi="Arial" w:cs="Arial"/>
          <w:sz w:val="22"/>
          <w:szCs w:val="22"/>
        </w:rPr>
        <w:t>Concero’s</w:t>
      </w:r>
      <w:proofErr w:type="spellEnd"/>
      <w:r w:rsidRPr="00E823CB">
        <w:rPr>
          <w:rFonts w:ascii="Arial" w:hAnsi="Arial" w:cs="Arial"/>
          <w:sz w:val="22"/>
          <w:szCs w:val="22"/>
        </w:rPr>
        <w:t xml:space="preserve"> digital transformation:</w:t>
      </w:r>
    </w:p>
    <w:p w14:paraId="533FD4F0" w14:textId="51688B25" w:rsidR="00E823CB" w:rsidRPr="00E823CB" w:rsidRDefault="00E823CB" w:rsidP="00E823CB">
      <w:pPr>
        <w:pStyle w:val="ListParagraph"/>
        <w:numPr>
          <w:ilvl w:val="0"/>
          <w:numId w:val="78"/>
        </w:numPr>
        <w:spacing w:line="360" w:lineRule="auto"/>
        <w:jc w:val="both"/>
        <w:rPr>
          <w:rFonts w:ascii="Arial" w:hAnsi="Arial" w:cs="Arial"/>
          <w:sz w:val="22"/>
          <w:szCs w:val="22"/>
        </w:rPr>
      </w:pPr>
      <w:r w:rsidRPr="00E823CB">
        <w:rPr>
          <w:rFonts w:ascii="Arial" w:hAnsi="Arial" w:cs="Arial"/>
          <w:sz w:val="22"/>
          <w:szCs w:val="22"/>
        </w:rPr>
        <w:t>The general sequence is given by Lewin.</w:t>
      </w:r>
    </w:p>
    <w:p w14:paraId="69235CA9" w14:textId="210B3CCC" w:rsidR="00E823CB" w:rsidRPr="00E823CB" w:rsidRDefault="00E823CB" w:rsidP="00E823CB">
      <w:pPr>
        <w:pStyle w:val="ListParagraph"/>
        <w:numPr>
          <w:ilvl w:val="0"/>
          <w:numId w:val="78"/>
        </w:numPr>
        <w:spacing w:line="360" w:lineRule="auto"/>
        <w:jc w:val="both"/>
        <w:rPr>
          <w:rFonts w:ascii="Arial" w:hAnsi="Arial" w:cs="Arial"/>
          <w:sz w:val="22"/>
          <w:szCs w:val="22"/>
        </w:rPr>
      </w:pPr>
      <w:r w:rsidRPr="00E823CB">
        <w:rPr>
          <w:rFonts w:ascii="Arial" w:hAnsi="Arial" w:cs="Arial"/>
          <w:sz w:val="22"/>
          <w:szCs w:val="22"/>
        </w:rPr>
        <w:t>Kotter creates momentum, urgency, and vision.</w:t>
      </w:r>
    </w:p>
    <w:p w14:paraId="459D4FC3" w14:textId="464F1C26" w:rsidR="00E823CB" w:rsidRPr="00E823CB" w:rsidRDefault="00E823CB" w:rsidP="00E823CB">
      <w:pPr>
        <w:pStyle w:val="ListParagraph"/>
        <w:numPr>
          <w:ilvl w:val="0"/>
          <w:numId w:val="78"/>
        </w:numPr>
        <w:spacing w:line="360" w:lineRule="auto"/>
        <w:jc w:val="both"/>
        <w:rPr>
          <w:rFonts w:ascii="Arial" w:hAnsi="Arial" w:cs="Arial"/>
          <w:sz w:val="22"/>
          <w:szCs w:val="22"/>
        </w:rPr>
      </w:pPr>
      <w:r w:rsidRPr="00E823CB">
        <w:rPr>
          <w:rFonts w:ascii="Arial" w:hAnsi="Arial" w:cs="Arial"/>
          <w:sz w:val="22"/>
          <w:szCs w:val="22"/>
        </w:rPr>
        <w:t>ADKAR guarantees technicians' individual adoption.</w:t>
      </w:r>
    </w:p>
    <w:p w14:paraId="28A6D318" w14:textId="6FFB36AD" w:rsidR="00E823CB" w:rsidRPr="00E823CB" w:rsidRDefault="00E823CB" w:rsidP="00E823CB">
      <w:pPr>
        <w:pStyle w:val="ListParagraph"/>
        <w:numPr>
          <w:ilvl w:val="0"/>
          <w:numId w:val="78"/>
        </w:numPr>
        <w:spacing w:line="360" w:lineRule="auto"/>
        <w:jc w:val="both"/>
        <w:rPr>
          <w:rFonts w:ascii="Arial" w:hAnsi="Arial" w:cs="Arial"/>
          <w:sz w:val="22"/>
          <w:szCs w:val="22"/>
        </w:rPr>
      </w:pPr>
      <w:r w:rsidRPr="00E823CB">
        <w:rPr>
          <w:rFonts w:ascii="Arial" w:hAnsi="Arial" w:cs="Arial"/>
          <w:sz w:val="22"/>
          <w:szCs w:val="22"/>
        </w:rPr>
        <w:lastRenderedPageBreak/>
        <w:t>Organisational alignment between people, processes, and systems is confirmed by McKinsey 7-S.</w:t>
      </w:r>
    </w:p>
    <w:p w14:paraId="73269060" w14:textId="1F3E2176" w:rsidR="00E823CB" w:rsidRDefault="00E823CB" w:rsidP="00E823CB">
      <w:pPr>
        <w:spacing w:line="360" w:lineRule="auto"/>
        <w:jc w:val="both"/>
        <w:rPr>
          <w:rFonts w:ascii="Arial" w:hAnsi="Arial" w:cs="Arial"/>
          <w:sz w:val="22"/>
          <w:szCs w:val="22"/>
        </w:rPr>
      </w:pPr>
      <w:proofErr w:type="spellStart"/>
      <w:r w:rsidRPr="00E823CB">
        <w:rPr>
          <w:rFonts w:ascii="Arial" w:hAnsi="Arial" w:cs="Arial"/>
          <w:sz w:val="22"/>
          <w:szCs w:val="22"/>
        </w:rPr>
        <w:t>Concero's</w:t>
      </w:r>
      <w:proofErr w:type="spellEnd"/>
      <w:r w:rsidRPr="00E823CB">
        <w:rPr>
          <w:rFonts w:ascii="Arial" w:hAnsi="Arial" w:cs="Arial"/>
          <w:sz w:val="22"/>
          <w:szCs w:val="22"/>
        </w:rPr>
        <w:t xml:space="preserve"> main risks—leadership gaps, cultural resistance, skills shortages, and structural misalignments—are all addressed by this hybrid framework. Concero can pursue its digital transformation with both strategic clarity and pragmatic adaptability by combining models.</w:t>
      </w:r>
    </w:p>
    <w:p w14:paraId="78AD765B" w14:textId="2A0A610F" w:rsidR="00E823CB" w:rsidRDefault="00E823CB" w:rsidP="00E823CB">
      <w:pPr>
        <w:spacing w:line="360" w:lineRule="auto"/>
        <w:jc w:val="both"/>
        <w:rPr>
          <w:rFonts w:ascii="Arial" w:hAnsi="Arial" w:cs="Arial"/>
          <w:sz w:val="22"/>
          <w:szCs w:val="22"/>
        </w:rPr>
      </w:pPr>
      <w:r w:rsidRPr="00E823CB">
        <w:rPr>
          <w:rFonts w:ascii="Arial" w:hAnsi="Arial" w:cs="Arial"/>
          <w:noProof/>
          <w:sz w:val="22"/>
          <w:szCs w:val="22"/>
        </w:rPr>
        <w:drawing>
          <wp:inline distT="0" distB="0" distL="0" distR="0" wp14:anchorId="6B3A5084" wp14:editId="0A627D83">
            <wp:extent cx="5260063" cy="1425450"/>
            <wp:effectExtent l="0" t="0" r="0" b="0"/>
            <wp:docPr id="1136223831" name="Picture 1" descr="A table of tex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23831" name="Picture 1" descr="A table of text on a white surface&#10;&#10;AI-generated content may be incorrect."/>
                    <pic:cNvPicPr/>
                  </pic:nvPicPr>
                  <pic:blipFill>
                    <a:blip r:embed="rId14"/>
                    <a:stretch>
                      <a:fillRect/>
                    </a:stretch>
                  </pic:blipFill>
                  <pic:spPr>
                    <a:xfrm>
                      <a:off x="0" y="0"/>
                      <a:ext cx="5320499" cy="1441828"/>
                    </a:xfrm>
                    <a:prstGeom prst="rect">
                      <a:avLst/>
                    </a:prstGeom>
                  </pic:spPr>
                </pic:pic>
              </a:graphicData>
            </a:graphic>
          </wp:inline>
        </w:drawing>
      </w:r>
    </w:p>
    <w:p w14:paraId="33671AB0" w14:textId="79EDEF9F" w:rsidR="00E823CB" w:rsidRPr="00E823CB" w:rsidRDefault="00E823CB" w:rsidP="00E823CB">
      <w:pPr>
        <w:spacing w:line="360" w:lineRule="auto"/>
        <w:jc w:val="both"/>
        <w:rPr>
          <w:rFonts w:ascii="Arial" w:hAnsi="Arial" w:cs="Arial"/>
          <w:b/>
          <w:bCs/>
          <w:sz w:val="15"/>
          <w:szCs w:val="15"/>
        </w:rPr>
      </w:pPr>
      <w:r w:rsidRPr="00E823CB">
        <w:rPr>
          <w:rFonts w:ascii="Arial" w:hAnsi="Arial" w:cs="Arial"/>
          <w:b/>
          <w:bCs/>
          <w:sz w:val="16"/>
          <w:szCs w:val="16"/>
        </w:rPr>
        <w:t xml:space="preserve">Figure </w:t>
      </w:r>
      <w:r>
        <w:rPr>
          <w:rFonts w:ascii="Arial" w:hAnsi="Arial" w:cs="Arial"/>
          <w:b/>
          <w:bCs/>
          <w:sz w:val="16"/>
          <w:szCs w:val="16"/>
        </w:rPr>
        <w:t>5</w:t>
      </w:r>
      <w:r w:rsidRPr="00E823CB">
        <w:rPr>
          <w:rFonts w:ascii="Arial" w:hAnsi="Arial" w:cs="Arial"/>
          <w:b/>
          <w:bCs/>
          <w:sz w:val="16"/>
          <w:szCs w:val="16"/>
        </w:rPr>
        <w:t>: Comparative Evaluation of Change Models for Concero (</w:t>
      </w:r>
      <w:r>
        <w:rPr>
          <w:rFonts w:ascii="Arial" w:hAnsi="Arial" w:cs="Arial"/>
          <w:b/>
          <w:bCs/>
          <w:sz w:val="16"/>
          <w:szCs w:val="16"/>
        </w:rPr>
        <w:t>Yanis Popov</w:t>
      </w:r>
      <w:r w:rsidRPr="00E823CB">
        <w:rPr>
          <w:rFonts w:ascii="Arial" w:hAnsi="Arial" w:cs="Arial"/>
          <w:b/>
          <w:bCs/>
          <w:sz w:val="16"/>
          <w:szCs w:val="16"/>
        </w:rPr>
        <w:t>, 2025)</w:t>
      </w:r>
    </w:p>
    <w:p w14:paraId="3D9B9880" w14:textId="7115D058" w:rsidR="00E90C0B" w:rsidRPr="00F4377C" w:rsidRDefault="00F4377C" w:rsidP="00E90C0B">
      <w:pPr>
        <w:pStyle w:val="Heading1"/>
        <w:spacing w:line="360" w:lineRule="auto"/>
        <w:rPr>
          <w:rFonts w:ascii="Arial" w:hAnsi="Arial" w:cs="Arial"/>
          <w:b/>
          <w:bCs/>
          <w:color w:val="000000" w:themeColor="text1"/>
          <w:sz w:val="36"/>
          <w:szCs w:val="36"/>
          <w:u w:val="single"/>
        </w:rPr>
      </w:pPr>
      <w:bookmarkStart w:id="37" w:name="_Toc214406629"/>
      <w:r w:rsidRPr="00F4377C">
        <w:rPr>
          <w:rFonts w:ascii="Arial" w:hAnsi="Arial" w:cs="Arial"/>
          <w:b/>
          <w:bCs/>
          <w:color w:val="000000" w:themeColor="text1"/>
          <w:sz w:val="36"/>
          <w:szCs w:val="36"/>
          <w:u w:val="single"/>
        </w:rPr>
        <w:t xml:space="preserve">6. </w:t>
      </w:r>
      <w:r w:rsidR="00E90C0B" w:rsidRPr="00F4377C">
        <w:rPr>
          <w:rFonts w:ascii="Arial" w:hAnsi="Arial" w:cs="Arial"/>
          <w:b/>
          <w:bCs/>
          <w:color w:val="000000" w:themeColor="text1"/>
          <w:sz w:val="36"/>
          <w:szCs w:val="36"/>
          <w:u w:val="single"/>
        </w:rPr>
        <w:t>Leadership and Organisational Culture</w:t>
      </w:r>
      <w:bookmarkEnd w:id="37"/>
    </w:p>
    <w:p w14:paraId="7FEE322D" w14:textId="607183DF" w:rsidR="00E90C0B" w:rsidRPr="009964E4" w:rsidRDefault="009964E4" w:rsidP="009964E4">
      <w:pPr>
        <w:spacing w:line="360" w:lineRule="auto"/>
        <w:jc w:val="both"/>
        <w:rPr>
          <w:rFonts w:ascii="Arial" w:hAnsi="Arial" w:cs="Arial"/>
          <w:sz w:val="21"/>
          <w:szCs w:val="21"/>
        </w:rPr>
      </w:pPr>
      <w:r w:rsidRPr="009964E4">
        <w:rPr>
          <w:rFonts w:ascii="Arial" w:hAnsi="Arial" w:cs="Arial"/>
          <w:sz w:val="22"/>
          <w:szCs w:val="22"/>
        </w:rPr>
        <w:t>Successful strategic change depends as much on an organization's human and cultural components as on its systems and processes. Leadership effectiveness and cultural alignment will be critical to the success of Concero Education's digital transformation initiative. Concero Education is a small, relationship-driven company. This section assesses which leadership philosophies are best suited for Concero and examines how the company's current culture might either facilitate or impede change.</w:t>
      </w:r>
    </w:p>
    <w:p w14:paraId="1FEACACD" w14:textId="278E27C5" w:rsidR="00E90C0B" w:rsidRDefault="00F4377C" w:rsidP="00E90C0B">
      <w:pPr>
        <w:pStyle w:val="Heading2"/>
        <w:spacing w:line="360" w:lineRule="auto"/>
        <w:rPr>
          <w:rFonts w:ascii="Arial" w:hAnsi="Arial" w:cs="Arial"/>
          <w:b/>
          <w:bCs/>
          <w:color w:val="000000" w:themeColor="text1"/>
          <w:sz w:val="28"/>
          <w:szCs w:val="28"/>
        </w:rPr>
      </w:pPr>
      <w:bookmarkStart w:id="38" w:name="_Toc214406630"/>
      <w:r>
        <w:rPr>
          <w:rFonts w:ascii="Arial" w:hAnsi="Arial" w:cs="Arial"/>
          <w:b/>
          <w:bCs/>
          <w:color w:val="000000" w:themeColor="text1"/>
          <w:sz w:val="28"/>
          <w:szCs w:val="28"/>
        </w:rPr>
        <w:t xml:space="preserve">6.1 </w:t>
      </w:r>
      <w:r w:rsidR="00E90C0B" w:rsidRPr="00E90C0B">
        <w:rPr>
          <w:rFonts w:ascii="Arial" w:hAnsi="Arial" w:cs="Arial"/>
          <w:b/>
          <w:bCs/>
          <w:color w:val="000000" w:themeColor="text1"/>
          <w:sz w:val="28"/>
          <w:szCs w:val="28"/>
        </w:rPr>
        <w:t>The Central Role of Leadership in Change</w:t>
      </w:r>
      <w:bookmarkEnd w:id="38"/>
    </w:p>
    <w:p w14:paraId="6064E7C9" w14:textId="0A773242" w:rsidR="00E90C0B" w:rsidRPr="009964E4" w:rsidRDefault="009964E4" w:rsidP="009964E4">
      <w:pPr>
        <w:spacing w:line="360" w:lineRule="auto"/>
        <w:jc w:val="both"/>
        <w:rPr>
          <w:rFonts w:ascii="Arial" w:hAnsi="Arial" w:cs="Arial"/>
          <w:sz w:val="22"/>
          <w:szCs w:val="22"/>
        </w:rPr>
      </w:pPr>
      <w:r w:rsidRPr="009964E4">
        <w:rPr>
          <w:rFonts w:ascii="Arial" w:hAnsi="Arial" w:cs="Arial"/>
          <w:sz w:val="22"/>
          <w:szCs w:val="22"/>
        </w:rPr>
        <w:t xml:space="preserve">An organization's culture and employee attitudes are greatly influenced by its leadership. According to Al-Ali et al. (2017), leadership has an impact on cultural alignment, which in turn influences how change turns out. The behaviour and attitudes of leaders set the tone for SMEs like Concero. Now, customer service and operational delivery are major responsibilities of </w:t>
      </w:r>
      <w:proofErr w:type="spellStart"/>
      <w:r w:rsidRPr="009964E4">
        <w:rPr>
          <w:rFonts w:ascii="Arial" w:hAnsi="Arial" w:cs="Arial"/>
          <w:sz w:val="22"/>
          <w:szCs w:val="22"/>
        </w:rPr>
        <w:t>Concero's</w:t>
      </w:r>
      <w:proofErr w:type="spellEnd"/>
      <w:r w:rsidRPr="009964E4">
        <w:rPr>
          <w:rFonts w:ascii="Arial" w:hAnsi="Arial" w:cs="Arial"/>
          <w:sz w:val="22"/>
          <w:szCs w:val="22"/>
        </w:rPr>
        <w:t xml:space="preserve"> leadership. Although this guarantees top-notch support, it restricts their ability to concentrate on long-term planning and methodical change management. Effective change leadership, according to Kotter (1996), necessitates not only overseeing operations but also developing alliances, inspiring dedication, and expressing a compelling vision.</w:t>
      </w:r>
    </w:p>
    <w:p w14:paraId="30BEB9F8" w14:textId="55BA076E" w:rsidR="009964E4" w:rsidRDefault="009964E4" w:rsidP="009964E4">
      <w:pPr>
        <w:spacing w:line="360" w:lineRule="auto"/>
        <w:jc w:val="both"/>
        <w:rPr>
          <w:rFonts w:ascii="Arial" w:hAnsi="Arial" w:cs="Arial"/>
          <w:sz w:val="22"/>
          <w:szCs w:val="22"/>
        </w:rPr>
      </w:pPr>
      <w:proofErr w:type="spellStart"/>
      <w:r w:rsidRPr="009964E4">
        <w:rPr>
          <w:rFonts w:ascii="Arial" w:hAnsi="Arial" w:cs="Arial"/>
          <w:sz w:val="22"/>
          <w:szCs w:val="22"/>
        </w:rPr>
        <w:t>Concero's</w:t>
      </w:r>
      <w:proofErr w:type="spellEnd"/>
      <w:r w:rsidRPr="009964E4">
        <w:rPr>
          <w:rFonts w:ascii="Arial" w:hAnsi="Arial" w:cs="Arial"/>
          <w:sz w:val="22"/>
          <w:szCs w:val="22"/>
        </w:rPr>
        <w:t xml:space="preserve"> transformation requires leaders to become strategic change leaders rather than merely operational</w:t>
      </w:r>
      <w:r w:rsidRPr="009964E4">
        <w:rPr>
          <w:sz w:val="22"/>
          <w:szCs w:val="22"/>
        </w:rPr>
        <w:t xml:space="preserve"> </w:t>
      </w:r>
      <w:r>
        <w:t>managers, investing time in long-term goals and clearly exhibiting new behaviours.</w:t>
      </w:r>
    </w:p>
    <w:p w14:paraId="2CF8B361" w14:textId="14CA7BC3" w:rsidR="00E90C0B" w:rsidRDefault="00F4377C" w:rsidP="00E90C0B">
      <w:pPr>
        <w:pStyle w:val="Heading2"/>
        <w:spacing w:line="360" w:lineRule="auto"/>
        <w:rPr>
          <w:rFonts w:ascii="Arial" w:hAnsi="Arial" w:cs="Arial"/>
          <w:b/>
          <w:bCs/>
          <w:color w:val="000000" w:themeColor="text1"/>
          <w:sz w:val="28"/>
          <w:szCs w:val="28"/>
        </w:rPr>
      </w:pPr>
      <w:bookmarkStart w:id="39" w:name="_Toc214406631"/>
      <w:r>
        <w:rPr>
          <w:rFonts w:ascii="Arial" w:hAnsi="Arial" w:cs="Arial"/>
          <w:b/>
          <w:bCs/>
          <w:color w:val="000000" w:themeColor="text1"/>
          <w:sz w:val="28"/>
          <w:szCs w:val="28"/>
        </w:rPr>
        <w:lastRenderedPageBreak/>
        <w:t xml:space="preserve">6.2 </w:t>
      </w:r>
      <w:r w:rsidR="00E90C0B" w:rsidRPr="00E90C0B">
        <w:rPr>
          <w:rFonts w:ascii="Arial" w:hAnsi="Arial" w:cs="Arial"/>
          <w:b/>
          <w:bCs/>
          <w:color w:val="000000" w:themeColor="text1"/>
          <w:sz w:val="28"/>
          <w:szCs w:val="28"/>
        </w:rPr>
        <w:t>Appropriate Leadership Style for Concero</w:t>
      </w:r>
      <w:bookmarkEnd w:id="39"/>
    </w:p>
    <w:p w14:paraId="53234677" w14:textId="7DB87CDA" w:rsidR="009964E4" w:rsidRPr="009964E4" w:rsidRDefault="009964E4" w:rsidP="009964E4">
      <w:pPr>
        <w:spacing w:line="360" w:lineRule="auto"/>
        <w:jc w:val="both"/>
        <w:rPr>
          <w:rFonts w:ascii="Arial" w:hAnsi="Arial" w:cs="Arial"/>
          <w:sz w:val="22"/>
          <w:szCs w:val="22"/>
        </w:rPr>
      </w:pPr>
      <w:proofErr w:type="spellStart"/>
      <w:r w:rsidRPr="009964E4">
        <w:rPr>
          <w:rFonts w:ascii="Arial" w:hAnsi="Arial" w:cs="Arial"/>
          <w:sz w:val="22"/>
          <w:szCs w:val="22"/>
        </w:rPr>
        <w:t>Concero's</w:t>
      </w:r>
      <w:proofErr w:type="spellEnd"/>
      <w:r w:rsidRPr="009964E4">
        <w:rPr>
          <w:rFonts w:ascii="Arial" w:hAnsi="Arial" w:cs="Arial"/>
          <w:sz w:val="22"/>
          <w:szCs w:val="22"/>
        </w:rPr>
        <w:t xml:space="preserve"> digital transformation is best suited for transformational leadership. Transformational leaders encourage motivation and creativity by articulating a compelling vision, promoting innovation, and offering tailored support (Bass </w:t>
      </w:r>
      <w:r w:rsidR="00B07D6F">
        <w:rPr>
          <w:rFonts w:ascii="Arial" w:hAnsi="Arial" w:cs="Arial"/>
          <w:sz w:val="22"/>
          <w:szCs w:val="22"/>
        </w:rPr>
        <w:t>and</w:t>
      </w:r>
      <w:r w:rsidRPr="009964E4">
        <w:rPr>
          <w:rFonts w:ascii="Arial" w:hAnsi="Arial" w:cs="Arial"/>
          <w:sz w:val="22"/>
          <w:szCs w:val="22"/>
        </w:rPr>
        <w:t xml:space="preserve"> Riggio, 2006). According to</w:t>
      </w:r>
      <w:r w:rsidR="00B07D6F" w:rsidRPr="00B07D6F">
        <w:rPr>
          <w:rFonts w:ascii="Arial" w:hAnsi="Arial" w:cs="Arial"/>
          <w:sz w:val="22"/>
          <w:szCs w:val="22"/>
        </w:rPr>
        <w:t xml:space="preserve"> </w:t>
      </w:r>
      <w:proofErr w:type="spellStart"/>
      <w:r w:rsidR="00B07D6F" w:rsidRPr="009964E4">
        <w:rPr>
          <w:rFonts w:ascii="Arial" w:hAnsi="Arial" w:cs="Arial"/>
          <w:sz w:val="22"/>
          <w:szCs w:val="22"/>
        </w:rPr>
        <w:t>Oreg</w:t>
      </w:r>
      <w:proofErr w:type="spellEnd"/>
      <w:r w:rsidR="00B07D6F" w:rsidRPr="009964E4">
        <w:rPr>
          <w:rFonts w:ascii="Arial" w:hAnsi="Arial" w:cs="Arial"/>
          <w:sz w:val="22"/>
          <w:szCs w:val="22"/>
        </w:rPr>
        <w:t xml:space="preserve"> </w:t>
      </w:r>
      <w:proofErr w:type="gramStart"/>
      <w:r w:rsidR="00B07D6F" w:rsidRPr="009964E4">
        <w:rPr>
          <w:rFonts w:ascii="Arial" w:hAnsi="Arial" w:cs="Arial"/>
          <w:sz w:val="22"/>
          <w:szCs w:val="22"/>
        </w:rPr>
        <w:t>et al.,</w:t>
      </w:r>
      <w:r w:rsidRPr="009964E4">
        <w:rPr>
          <w:rFonts w:ascii="Arial" w:hAnsi="Arial" w:cs="Arial"/>
          <w:sz w:val="22"/>
          <w:szCs w:val="22"/>
        </w:rPr>
        <w:t>(</w:t>
      </w:r>
      <w:proofErr w:type="gramEnd"/>
      <w:r w:rsidRPr="009964E4">
        <w:rPr>
          <w:rFonts w:ascii="Arial" w:hAnsi="Arial" w:cs="Arial"/>
          <w:sz w:val="22"/>
          <w:szCs w:val="22"/>
        </w:rPr>
        <w:t>2011), such actions are crucial for overcoming cultural resistance and motivating employees to view digital initiatives as opportunities rather than threats, such as cloud migration or cybersecurity upgrades.</w:t>
      </w:r>
    </w:p>
    <w:p w14:paraId="4E5D591A" w14:textId="3DF9620C" w:rsidR="009964E4" w:rsidRPr="009964E4" w:rsidRDefault="009964E4" w:rsidP="009964E4">
      <w:pPr>
        <w:spacing w:line="360" w:lineRule="auto"/>
        <w:jc w:val="both"/>
        <w:rPr>
          <w:rFonts w:ascii="Arial" w:hAnsi="Arial" w:cs="Arial"/>
          <w:sz w:val="22"/>
          <w:szCs w:val="22"/>
          <w:lang w:eastAsia="en-US"/>
        </w:rPr>
      </w:pPr>
      <w:r w:rsidRPr="009964E4">
        <w:rPr>
          <w:rFonts w:ascii="Arial" w:hAnsi="Arial" w:cs="Arial"/>
          <w:sz w:val="22"/>
          <w:szCs w:val="22"/>
        </w:rPr>
        <w:t xml:space="preserve">However, participative leadership, which encourages employees to share ownership of change and offer ideas, must be used in conjunction with transformational leadership. Incorporating technicians into planning will foster internal champions, increase trust, and lessen resistance in </w:t>
      </w:r>
      <w:proofErr w:type="spellStart"/>
      <w:r w:rsidRPr="009964E4">
        <w:rPr>
          <w:rFonts w:ascii="Arial" w:hAnsi="Arial" w:cs="Arial"/>
          <w:sz w:val="22"/>
          <w:szCs w:val="22"/>
        </w:rPr>
        <w:t>Concero's</w:t>
      </w:r>
      <w:proofErr w:type="spellEnd"/>
      <w:r w:rsidRPr="009964E4">
        <w:rPr>
          <w:rFonts w:ascii="Arial" w:hAnsi="Arial" w:cs="Arial"/>
          <w:sz w:val="22"/>
          <w:szCs w:val="22"/>
        </w:rPr>
        <w:t xml:space="preserve"> close-knit community (Lines, 2004).</w:t>
      </w:r>
    </w:p>
    <w:p w14:paraId="586C20E7" w14:textId="28296D7A" w:rsidR="00E90C0B" w:rsidRDefault="00F4377C" w:rsidP="00E90C0B">
      <w:pPr>
        <w:pStyle w:val="Heading2"/>
        <w:spacing w:line="360" w:lineRule="auto"/>
        <w:rPr>
          <w:rFonts w:ascii="Arial" w:hAnsi="Arial" w:cs="Arial"/>
          <w:b/>
          <w:bCs/>
          <w:color w:val="000000" w:themeColor="text1"/>
          <w:sz w:val="28"/>
          <w:szCs w:val="28"/>
        </w:rPr>
      </w:pPr>
      <w:bookmarkStart w:id="40" w:name="_Toc214406632"/>
      <w:r>
        <w:rPr>
          <w:rFonts w:ascii="Arial" w:hAnsi="Arial" w:cs="Arial"/>
          <w:b/>
          <w:bCs/>
          <w:color w:val="000000" w:themeColor="text1"/>
          <w:sz w:val="28"/>
          <w:szCs w:val="28"/>
        </w:rPr>
        <w:t xml:space="preserve">6.3 </w:t>
      </w:r>
      <w:r w:rsidR="00E90C0B" w:rsidRPr="00E90C0B">
        <w:rPr>
          <w:rFonts w:ascii="Arial" w:hAnsi="Arial" w:cs="Arial"/>
          <w:b/>
          <w:bCs/>
          <w:color w:val="000000" w:themeColor="text1"/>
          <w:sz w:val="28"/>
          <w:szCs w:val="28"/>
        </w:rPr>
        <w:t>Current Cultural Characteristics and Their Impact</w:t>
      </w:r>
      <w:bookmarkEnd w:id="40"/>
    </w:p>
    <w:p w14:paraId="3D4B8DA3" w14:textId="69319194" w:rsidR="00E90C0B" w:rsidRPr="009964E4" w:rsidRDefault="009964E4" w:rsidP="009964E4">
      <w:pPr>
        <w:spacing w:line="360" w:lineRule="auto"/>
        <w:jc w:val="both"/>
        <w:rPr>
          <w:rFonts w:ascii="Arial" w:hAnsi="Arial" w:cs="Arial"/>
          <w:sz w:val="21"/>
          <w:szCs w:val="21"/>
        </w:rPr>
      </w:pPr>
      <w:r w:rsidRPr="009964E4">
        <w:rPr>
          <w:rFonts w:ascii="Arial" w:hAnsi="Arial" w:cs="Arial"/>
          <w:sz w:val="22"/>
          <w:szCs w:val="22"/>
        </w:rPr>
        <w:t xml:space="preserve">Concero has a casual, relationship-focused, and customer-focused organisational culture. Although this culture encourages responsiveness and loyalty, it might not align with the standardisation and systematisation needed for scalable digital solutions. Organisational culture is influenced by deeply held beliefs, as Schein (2010) points out. At Concero, convictions like "personal service </w:t>
      </w:r>
      <w:proofErr w:type="gramStart"/>
      <w:r w:rsidRPr="009964E4">
        <w:rPr>
          <w:rFonts w:ascii="Arial" w:hAnsi="Arial" w:cs="Arial"/>
          <w:sz w:val="22"/>
          <w:szCs w:val="22"/>
        </w:rPr>
        <w:t>is</w:t>
      </w:r>
      <w:proofErr w:type="gramEnd"/>
      <w:r w:rsidRPr="009964E4">
        <w:rPr>
          <w:rFonts w:ascii="Arial" w:hAnsi="Arial" w:cs="Arial"/>
          <w:sz w:val="22"/>
          <w:szCs w:val="22"/>
        </w:rPr>
        <w:t xml:space="preserve"> better than standardised processes" may make automation and compliance-based procedures difficult to implement. Concero </w:t>
      </w:r>
      <w:proofErr w:type="gramStart"/>
      <w:r w:rsidRPr="009964E4">
        <w:rPr>
          <w:rFonts w:ascii="Arial" w:hAnsi="Arial" w:cs="Arial"/>
          <w:sz w:val="22"/>
          <w:szCs w:val="22"/>
        </w:rPr>
        <w:t>has to</w:t>
      </w:r>
      <w:proofErr w:type="gramEnd"/>
      <w:r w:rsidRPr="009964E4">
        <w:rPr>
          <w:rFonts w:ascii="Arial" w:hAnsi="Arial" w:cs="Arial"/>
          <w:sz w:val="22"/>
          <w:szCs w:val="22"/>
        </w:rPr>
        <w:t xml:space="preserve"> actively reshape its cultural foundations because cultural misalignment is one of the best indicators of resistance (</w:t>
      </w:r>
      <w:proofErr w:type="spellStart"/>
      <w:r w:rsidRPr="009964E4">
        <w:rPr>
          <w:rFonts w:ascii="Arial" w:hAnsi="Arial" w:cs="Arial"/>
          <w:sz w:val="22"/>
          <w:szCs w:val="22"/>
        </w:rPr>
        <w:t>Oreg</w:t>
      </w:r>
      <w:proofErr w:type="spellEnd"/>
      <w:r w:rsidRPr="009964E4">
        <w:rPr>
          <w:rFonts w:ascii="Arial" w:hAnsi="Arial" w:cs="Arial"/>
          <w:sz w:val="22"/>
          <w:szCs w:val="22"/>
        </w:rPr>
        <w:t xml:space="preserve"> et al., 2011).</w:t>
      </w:r>
    </w:p>
    <w:p w14:paraId="0988151D" w14:textId="3DA46B4B" w:rsidR="00E90C0B" w:rsidRDefault="00F4377C" w:rsidP="00CD549B">
      <w:pPr>
        <w:pStyle w:val="Heading2"/>
        <w:spacing w:line="360" w:lineRule="auto"/>
        <w:rPr>
          <w:rFonts w:ascii="Arial" w:hAnsi="Arial" w:cs="Arial"/>
          <w:b/>
          <w:bCs/>
          <w:color w:val="000000" w:themeColor="text1"/>
          <w:sz w:val="28"/>
          <w:szCs w:val="28"/>
        </w:rPr>
      </w:pPr>
      <w:bookmarkStart w:id="41" w:name="_Toc214406633"/>
      <w:r>
        <w:rPr>
          <w:rFonts w:ascii="Arial" w:hAnsi="Arial" w:cs="Arial"/>
          <w:b/>
          <w:bCs/>
          <w:color w:val="000000" w:themeColor="text1"/>
          <w:sz w:val="28"/>
          <w:szCs w:val="28"/>
        </w:rPr>
        <w:t xml:space="preserve">6.4 </w:t>
      </w:r>
      <w:r w:rsidR="00E90C0B" w:rsidRPr="00E90C0B">
        <w:rPr>
          <w:rFonts w:ascii="Arial" w:hAnsi="Arial" w:cs="Arial"/>
          <w:b/>
          <w:bCs/>
          <w:color w:val="000000" w:themeColor="text1"/>
          <w:sz w:val="28"/>
          <w:szCs w:val="28"/>
        </w:rPr>
        <w:t>Shaping Culture to Support Change</w:t>
      </w:r>
      <w:bookmarkEnd w:id="41"/>
    </w:p>
    <w:p w14:paraId="0EDDA4E7" w14:textId="7342EDD2" w:rsidR="00CD549B" w:rsidRPr="009964E4" w:rsidRDefault="009964E4" w:rsidP="009964E4">
      <w:pPr>
        <w:spacing w:line="360" w:lineRule="auto"/>
        <w:rPr>
          <w:rFonts w:ascii="Arial" w:hAnsi="Arial" w:cs="Arial"/>
          <w:sz w:val="22"/>
          <w:szCs w:val="22"/>
        </w:rPr>
      </w:pPr>
      <w:r w:rsidRPr="009964E4">
        <w:rPr>
          <w:rFonts w:ascii="Arial" w:hAnsi="Arial" w:cs="Arial"/>
          <w:sz w:val="22"/>
          <w:szCs w:val="22"/>
        </w:rPr>
        <w:t>Leaders must combine structural and symbolic actions to align culture with transformation goals:</w:t>
      </w:r>
    </w:p>
    <w:p w14:paraId="5D2A2909" w14:textId="77777777" w:rsidR="009964E4" w:rsidRPr="009964E4" w:rsidRDefault="009964E4" w:rsidP="009964E4">
      <w:pPr>
        <w:pStyle w:val="ListParagraph"/>
        <w:numPr>
          <w:ilvl w:val="0"/>
          <w:numId w:val="79"/>
        </w:numPr>
        <w:spacing w:line="360" w:lineRule="auto"/>
        <w:rPr>
          <w:rFonts w:ascii="Arial" w:hAnsi="Arial" w:cs="Arial"/>
          <w:sz w:val="22"/>
          <w:szCs w:val="22"/>
        </w:rPr>
      </w:pPr>
      <w:r w:rsidRPr="009964E4">
        <w:rPr>
          <w:rFonts w:ascii="Arial" w:hAnsi="Arial" w:cs="Arial"/>
          <w:sz w:val="22"/>
          <w:szCs w:val="22"/>
        </w:rPr>
        <w:t xml:space="preserve">Symbolic actions include: </w:t>
      </w:r>
    </w:p>
    <w:p w14:paraId="66FB01C2" w14:textId="0B0BE093" w:rsidR="009964E4" w:rsidRPr="009964E4" w:rsidRDefault="009964E4" w:rsidP="009964E4">
      <w:pPr>
        <w:spacing w:line="360" w:lineRule="auto"/>
        <w:rPr>
          <w:rFonts w:ascii="Arial" w:hAnsi="Arial" w:cs="Arial"/>
          <w:sz w:val="22"/>
          <w:szCs w:val="22"/>
        </w:rPr>
      </w:pPr>
      <w:r w:rsidRPr="009964E4">
        <w:rPr>
          <w:rFonts w:ascii="Arial" w:hAnsi="Arial" w:cs="Arial"/>
          <w:sz w:val="22"/>
          <w:szCs w:val="22"/>
        </w:rPr>
        <w:t>Articulating a clear vision that connects digital transformation to better school outcomes, demonstrating desired behaviours using new systems and candid sharing of educational experiences.</w:t>
      </w:r>
    </w:p>
    <w:p w14:paraId="1EDB9573" w14:textId="77777777" w:rsidR="009964E4" w:rsidRPr="009964E4" w:rsidRDefault="009964E4" w:rsidP="009964E4">
      <w:pPr>
        <w:pStyle w:val="ListParagraph"/>
        <w:numPr>
          <w:ilvl w:val="0"/>
          <w:numId w:val="79"/>
        </w:numPr>
        <w:spacing w:line="360" w:lineRule="auto"/>
        <w:rPr>
          <w:rFonts w:ascii="Arial" w:hAnsi="Arial" w:cs="Arial"/>
          <w:sz w:val="22"/>
          <w:szCs w:val="22"/>
        </w:rPr>
      </w:pPr>
      <w:r w:rsidRPr="009964E4">
        <w:rPr>
          <w:rFonts w:ascii="Arial" w:hAnsi="Arial" w:cs="Arial"/>
          <w:sz w:val="22"/>
          <w:szCs w:val="22"/>
        </w:rPr>
        <w:t xml:space="preserve">Structural measures: </w:t>
      </w:r>
    </w:p>
    <w:p w14:paraId="3AD8B23C" w14:textId="47FF0E7C" w:rsidR="009964E4" w:rsidRPr="009964E4" w:rsidRDefault="009964E4" w:rsidP="009964E4">
      <w:pPr>
        <w:spacing w:line="360" w:lineRule="auto"/>
        <w:rPr>
          <w:rFonts w:ascii="Arial" w:hAnsi="Arial" w:cs="Arial"/>
          <w:sz w:val="22"/>
          <w:szCs w:val="22"/>
        </w:rPr>
      </w:pPr>
      <w:r w:rsidRPr="009964E4">
        <w:rPr>
          <w:rFonts w:ascii="Arial" w:hAnsi="Arial" w:cs="Arial"/>
          <w:sz w:val="22"/>
          <w:szCs w:val="22"/>
        </w:rPr>
        <w:t>Match incentives and HR policies to the new cultural values by:</w:t>
      </w:r>
    </w:p>
    <w:p w14:paraId="2B671497" w14:textId="744C75B8" w:rsidR="009964E4" w:rsidRPr="009964E4" w:rsidRDefault="009964E4" w:rsidP="009964E4">
      <w:pPr>
        <w:spacing w:line="360" w:lineRule="auto"/>
        <w:rPr>
          <w:rFonts w:ascii="Arial" w:hAnsi="Arial" w:cs="Arial"/>
          <w:sz w:val="22"/>
          <w:szCs w:val="22"/>
        </w:rPr>
      </w:pPr>
      <w:r w:rsidRPr="009964E4">
        <w:rPr>
          <w:rFonts w:ascii="Arial" w:hAnsi="Arial" w:cs="Arial"/>
          <w:sz w:val="22"/>
          <w:szCs w:val="22"/>
        </w:rPr>
        <w:t>- Integrating creativity and teamwork into performance evaluations.</w:t>
      </w:r>
    </w:p>
    <w:p w14:paraId="5202450E" w14:textId="48EA60E4" w:rsidR="009964E4" w:rsidRPr="009964E4" w:rsidRDefault="009964E4" w:rsidP="009964E4">
      <w:pPr>
        <w:spacing w:line="360" w:lineRule="auto"/>
        <w:rPr>
          <w:rFonts w:ascii="Arial" w:hAnsi="Arial" w:cs="Arial"/>
          <w:sz w:val="22"/>
          <w:szCs w:val="22"/>
        </w:rPr>
      </w:pPr>
      <w:r w:rsidRPr="009964E4">
        <w:rPr>
          <w:rFonts w:ascii="Arial" w:hAnsi="Arial" w:cs="Arial"/>
          <w:sz w:val="22"/>
          <w:szCs w:val="22"/>
        </w:rPr>
        <w:t>- Allowing time and resources for experimentation.</w:t>
      </w:r>
    </w:p>
    <w:p w14:paraId="144AEEC3" w14:textId="03D85B42" w:rsidR="009964E4" w:rsidRDefault="009964E4" w:rsidP="009964E4">
      <w:pPr>
        <w:spacing w:line="360" w:lineRule="auto"/>
        <w:rPr>
          <w:rFonts w:ascii="Arial" w:hAnsi="Arial" w:cs="Arial"/>
          <w:sz w:val="22"/>
          <w:szCs w:val="22"/>
        </w:rPr>
      </w:pPr>
      <w:r w:rsidRPr="009964E4">
        <w:rPr>
          <w:rFonts w:ascii="Arial" w:hAnsi="Arial" w:cs="Arial"/>
          <w:sz w:val="22"/>
          <w:szCs w:val="22"/>
        </w:rPr>
        <w:t>- Rewarding those who implement new practices first</w:t>
      </w:r>
      <w:r>
        <w:rPr>
          <w:rFonts w:ascii="Arial" w:hAnsi="Arial" w:cs="Arial"/>
          <w:sz w:val="22"/>
          <w:szCs w:val="22"/>
        </w:rPr>
        <w:t>.</w:t>
      </w:r>
    </w:p>
    <w:p w14:paraId="7249FC1F" w14:textId="4CFDC382" w:rsidR="009964E4" w:rsidRPr="009964E4" w:rsidRDefault="009964E4" w:rsidP="009964E4">
      <w:pPr>
        <w:spacing w:line="360" w:lineRule="auto"/>
        <w:rPr>
          <w:rFonts w:ascii="Arial" w:hAnsi="Arial" w:cs="Arial"/>
          <w:sz w:val="22"/>
          <w:szCs w:val="22"/>
        </w:rPr>
      </w:pPr>
      <w:r w:rsidRPr="009964E4">
        <w:rPr>
          <w:rFonts w:ascii="Arial" w:hAnsi="Arial" w:cs="Arial"/>
          <w:sz w:val="22"/>
          <w:szCs w:val="22"/>
        </w:rPr>
        <w:lastRenderedPageBreak/>
        <w:t>Schein (2010) emphasises that daily behaviours and rewards, not catchphrases, are what reinforce culture. Concero may eventually come to believe that "service depends on systems and teams" rather than "service depends on individuals."</w:t>
      </w:r>
    </w:p>
    <w:p w14:paraId="5813F6A6" w14:textId="6DC42826" w:rsidR="00CD549B" w:rsidRDefault="00F4377C" w:rsidP="00CD549B">
      <w:pPr>
        <w:pStyle w:val="Heading2"/>
        <w:spacing w:line="360" w:lineRule="auto"/>
        <w:rPr>
          <w:rFonts w:ascii="Arial" w:hAnsi="Arial" w:cs="Arial"/>
          <w:b/>
          <w:bCs/>
          <w:color w:val="000000" w:themeColor="text1"/>
          <w:sz w:val="28"/>
          <w:szCs w:val="28"/>
        </w:rPr>
      </w:pPr>
      <w:bookmarkStart w:id="42" w:name="_Toc214406634"/>
      <w:r>
        <w:rPr>
          <w:rFonts w:ascii="Arial" w:hAnsi="Arial" w:cs="Arial"/>
          <w:b/>
          <w:bCs/>
          <w:color w:val="000000" w:themeColor="text1"/>
          <w:sz w:val="28"/>
          <w:szCs w:val="28"/>
        </w:rPr>
        <w:t xml:space="preserve">6.5 </w:t>
      </w:r>
      <w:r w:rsidR="00CD549B" w:rsidRPr="00CD549B">
        <w:rPr>
          <w:rFonts w:ascii="Arial" w:hAnsi="Arial" w:cs="Arial"/>
          <w:b/>
          <w:bCs/>
          <w:color w:val="000000" w:themeColor="text1"/>
          <w:sz w:val="28"/>
          <w:szCs w:val="28"/>
        </w:rPr>
        <w:t>Building Leadership Capacity</w:t>
      </w:r>
      <w:bookmarkEnd w:id="42"/>
    </w:p>
    <w:p w14:paraId="32681564" w14:textId="30C4232E" w:rsidR="009964E4" w:rsidRDefault="009964E4" w:rsidP="009964E4">
      <w:pPr>
        <w:spacing w:line="360" w:lineRule="auto"/>
        <w:jc w:val="both"/>
        <w:rPr>
          <w:rFonts w:ascii="Arial" w:hAnsi="Arial" w:cs="Arial"/>
          <w:sz w:val="22"/>
          <w:szCs w:val="22"/>
          <w:lang w:eastAsia="en-US"/>
        </w:rPr>
      </w:pPr>
      <w:proofErr w:type="spellStart"/>
      <w:r w:rsidRPr="009964E4">
        <w:rPr>
          <w:rFonts w:ascii="Arial" w:hAnsi="Arial" w:cs="Arial"/>
          <w:sz w:val="22"/>
          <w:szCs w:val="22"/>
          <w:lang w:eastAsia="en-US"/>
        </w:rPr>
        <w:t>Concero's</w:t>
      </w:r>
      <w:proofErr w:type="spellEnd"/>
      <w:r w:rsidRPr="009964E4">
        <w:rPr>
          <w:rFonts w:ascii="Arial" w:hAnsi="Arial" w:cs="Arial"/>
          <w:sz w:val="22"/>
          <w:szCs w:val="22"/>
          <w:lang w:eastAsia="en-US"/>
        </w:rPr>
        <w:t xml:space="preserve"> small size means that a small number of people bear most of the leadership duties. Expanding leadership capacity is necessary to maintain transformation. This entails enabling senior technicians and middle managers to act as change agents and connect frontline execution with top-level strategy (Floyd </w:t>
      </w:r>
      <w:r w:rsidR="00B07D6F">
        <w:rPr>
          <w:rFonts w:ascii="Arial" w:hAnsi="Arial" w:cs="Arial"/>
          <w:sz w:val="22"/>
          <w:szCs w:val="22"/>
          <w:lang w:eastAsia="en-US"/>
        </w:rPr>
        <w:t>and</w:t>
      </w:r>
      <w:r w:rsidRPr="009964E4">
        <w:rPr>
          <w:rFonts w:ascii="Arial" w:hAnsi="Arial" w:cs="Arial"/>
          <w:sz w:val="22"/>
          <w:szCs w:val="22"/>
          <w:lang w:eastAsia="en-US"/>
        </w:rPr>
        <w:t xml:space="preserve"> Wooldridge, 1997). By investing in coaching, mentoring, and leadership development, these individuals will be able to motivate their peers and </w:t>
      </w:r>
      <w:proofErr w:type="spellStart"/>
      <w:r w:rsidRPr="009964E4">
        <w:rPr>
          <w:rFonts w:ascii="Arial" w:hAnsi="Arial" w:cs="Arial"/>
          <w:sz w:val="22"/>
          <w:szCs w:val="22"/>
          <w:lang w:eastAsia="en-US"/>
        </w:rPr>
        <w:t>instill</w:t>
      </w:r>
      <w:proofErr w:type="spellEnd"/>
      <w:r w:rsidRPr="009964E4">
        <w:rPr>
          <w:rFonts w:ascii="Arial" w:hAnsi="Arial" w:cs="Arial"/>
          <w:sz w:val="22"/>
          <w:szCs w:val="22"/>
          <w:lang w:eastAsia="en-US"/>
        </w:rPr>
        <w:t xml:space="preserve"> change throughout the organisation.</w:t>
      </w:r>
    </w:p>
    <w:p w14:paraId="558FB98A" w14:textId="062BB756" w:rsidR="009964E4" w:rsidRPr="009964E4" w:rsidRDefault="009964E4" w:rsidP="009964E4">
      <w:pPr>
        <w:spacing w:line="360" w:lineRule="auto"/>
        <w:jc w:val="both"/>
        <w:rPr>
          <w:rFonts w:ascii="Arial" w:hAnsi="Arial" w:cs="Arial"/>
          <w:sz w:val="22"/>
          <w:szCs w:val="22"/>
          <w:lang w:eastAsia="en-US"/>
        </w:rPr>
      </w:pPr>
      <w:r w:rsidRPr="009964E4">
        <w:rPr>
          <w:rFonts w:ascii="Arial" w:hAnsi="Arial" w:cs="Arial"/>
          <w:sz w:val="22"/>
          <w:szCs w:val="22"/>
          <w:lang w:eastAsia="en-US"/>
        </w:rPr>
        <w:t xml:space="preserve">For </w:t>
      </w:r>
      <w:proofErr w:type="spellStart"/>
      <w:r w:rsidRPr="009964E4">
        <w:rPr>
          <w:rFonts w:ascii="Arial" w:hAnsi="Arial" w:cs="Arial"/>
          <w:sz w:val="22"/>
          <w:szCs w:val="22"/>
          <w:lang w:eastAsia="en-US"/>
        </w:rPr>
        <w:t>Concero's</w:t>
      </w:r>
      <w:proofErr w:type="spellEnd"/>
      <w:r w:rsidRPr="009964E4">
        <w:rPr>
          <w:rFonts w:ascii="Arial" w:hAnsi="Arial" w:cs="Arial"/>
          <w:sz w:val="22"/>
          <w:szCs w:val="22"/>
          <w:lang w:eastAsia="en-US"/>
        </w:rPr>
        <w:t xml:space="preserve"> digital transformation to be successful, culture and leadership must change in tandem with technology. In addition to adopting a transformational-participative style and purposefully reshaping cultural presumptions, leaders must transition from operational to strategic roles. To maintain change, a broader base of leadership must be established. Even technically sound projects run the risk of failing in the absence of dedicated leadership and cultural alignment.</w:t>
      </w:r>
    </w:p>
    <w:p w14:paraId="60FD667F" w14:textId="240EDCD8" w:rsidR="006A7B04" w:rsidRPr="00F4377C" w:rsidRDefault="006A7B04" w:rsidP="006A7B04">
      <w:pPr>
        <w:pStyle w:val="Heading1"/>
        <w:spacing w:line="360" w:lineRule="auto"/>
        <w:rPr>
          <w:rFonts w:ascii="Arial" w:hAnsi="Arial" w:cs="Arial"/>
          <w:b/>
          <w:bCs/>
          <w:color w:val="000000" w:themeColor="text1"/>
          <w:sz w:val="36"/>
          <w:szCs w:val="36"/>
          <w:u w:val="single"/>
        </w:rPr>
      </w:pPr>
      <w:bookmarkStart w:id="43" w:name="_Toc214406635"/>
      <w:r w:rsidRPr="00F4377C">
        <w:rPr>
          <w:rFonts w:ascii="Arial" w:hAnsi="Arial" w:cs="Arial"/>
          <w:b/>
          <w:bCs/>
          <w:color w:val="000000" w:themeColor="text1"/>
          <w:sz w:val="36"/>
          <w:szCs w:val="36"/>
          <w:u w:val="single"/>
        </w:rPr>
        <w:t>7.Integrated Change Strategy for Concero Education</w:t>
      </w:r>
      <w:bookmarkEnd w:id="43"/>
    </w:p>
    <w:p w14:paraId="3C263828" w14:textId="0D8C375C" w:rsidR="006A7B04" w:rsidRPr="009964E4" w:rsidRDefault="009964E4" w:rsidP="009964E4">
      <w:pPr>
        <w:spacing w:line="360" w:lineRule="auto"/>
        <w:jc w:val="both"/>
        <w:rPr>
          <w:rFonts w:ascii="Arial" w:hAnsi="Arial" w:cs="Arial"/>
          <w:sz w:val="21"/>
          <w:szCs w:val="21"/>
          <w:lang w:eastAsia="en-US"/>
        </w:rPr>
      </w:pPr>
      <w:r w:rsidRPr="009964E4">
        <w:rPr>
          <w:rFonts w:ascii="Arial" w:hAnsi="Arial" w:cs="Arial"/>
          <w:sz w:val="22"/>
          <w:szCs w:val="22"/>
        </w:rPr>
        <w:t>Concero needs to switch from a people-dependent support model to a scalable, digitally enabled service model to stay competitive in the quickly changing EdTech sector. Investments in cloud infrastructure, improved cybersecurity, process automation, workforce upskilling, and cultural realignment are all necessary for this. The goals, tools, framework for communication, monitoring, and risk management required for a successful digital transformation are outlined in the integrated strategy that follows.</w:t>
      </w:r>
    </w:p>
    <w:p w14:paraId="177D7AF8" w14:textId="3AB79695" w:rsidR="006A7B04" w:rsidRDefault="006A7B04" w:rsidP="006A7B04">
      <w:pPr>
        <w:pStyle w:val="Heading2"/>
        <w:spacing w:line="360" w:lineRule="auto"/>
        <w:rPr>
          <w:rFonts w:ascii="Arial" w:hAnsi="Arial" w:cs="Arial"/>
          <w:b/>
          <w:bCs/>
          <w:color w:val="000000" w:themeColor="text1"/>
          <w:sz w:val="28"/>
          <w:szCs w:val="28"/>
        </w:rPr>
      </w:pPr>
      <w:bookmarkStart w:id="44" w:name="_Toc214406636"/>
      <w:r w:rsidRPr="006A7B04">
        <w:rPr>
          <w:rFonts w:ascii="Arial" w:hAnsi="Arial" w:cs="Arial"/>
          <w:b/>
          <w:bCs/>
          <w:color w:val="000000" w:themeColor="text1"/>
          <w:sz w:val="28"/>
          <w:szCs w:val="28"/>
        </w:rPr>
        <w:t>7.1 Strategic Change Objectives</w:t>
      </w:r>
      <w:bookmarkEnd w:id="44"/>
    </w:p>
    <w:p w14:paraId="0C7BBC15" w14:textId="644ABC3F" w:rsidR="009964E4" w:rsidRDefault="009964E4" w:rsidP="009964E4">
      <w:pPr>
        <w:jc w:val="both"/>
        <w:rPr>
          <w:rFonts w:ascii="Arial" w:hAnsi="Arial" w:cs="Arial"/>
          <w:sz w:val="22"/>
          <w:szCs w:val="22"/>
        </w:rPr>
      </w:pPr>
      <w:r w:rsidRPr="009964E4">
        <w:rPr>
          <w:rFonts w:ascii="Arial" w:hAnsi="Arial" w:cs="Arial"/>
          <w:sz w:val="22"/>
          <w:szCs w:val="22"/>
        </w:rPr>
        <w:t xml:space="preserve">Based on the PESTLE and SWOT analyses, </w:t>
      </w:r>
      <w:proofErr w:type="spellStart"/>
      <w:r w:rsidRPr="009964E4">
        <w:rPr>
          <w:rFonts w:ascii="Arial" w:hAnsi="Arial" w:cs="Arial"/>
          <w:sz w:val="22"/>
          <w:szCs w:val="22"/>
        </w:rPr>
        <w:t>Concero’s</w:t>
      </w:r>
      <w:proofErr w:type="spellEnd"/>
      <w:r w:rsidRPr="009964E4">
        <w:rPr>
          <w:rFonts w:ascii="Arial" w:hAnsi="Arial" w:cs="Arial"/>
          <w:sz w:val="22"/>
          <w:szCs w:val="22"/>
        </w:rPr>
        <w:t xml:space="preserve"> transformation will be guided by five objectives:</w:t>
      </w:r>
    </w:p>
    <w:p w14:paraId="4247A886" w14:textId="7E85D027" w:rsidR="009964E4" w:rsidRDefault="009964E4" w:rsidP="009964E4">
      <w:pPr>
        <w:jc w:val="both"/>
        <w:rPr>
          <w:rFonts w:ascii="Arial" w:hAnsi="Arial" w:cs="Arial"/>
          <w:sz w:val="22"/>
          <w:szCs w:val="22"/>
          <w:lang w:eastAsia="en-US"/>
        </w:rPr>
      </w:pPr>
      <w:r w:rsidRPr="009964E4">
        <w:rPr>
          <w:rFonts w:ascii="Arial" w:hAnsi="Arial" w:cs="Arial"/>
          <w:noProof/>
          <w:sz w:val="22"/>
          <w:szCs w:val="22"/>
          <w:lang w:eastAsia="en-US"/>
        </w:rPr>
        <w:drawing>
          <wp:inline distT="0" distB="0" distL="0" distR="0" wp14:anchorId="6E8F6811" wp14:editId="7DCA7508">
            <wp:extent cx="4943192" cy="1451850"/>
            <wp:effectExtent l="0" t="0" r="0" b="0"/>
            <wp:docPr id="954718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18713" name="Picture 1" descr="A screenshot of a computer&#10;&#10;AI-generated content may be incorrect."/>
                    <pic:cNvPicPr/>
                  </pic:nvPicPr>
                  <pic:blipFill>
                    <a:blip r:embed="rId15"/>
                    <a:stretch>
                      <a:fillRect/>
                    </a:stretch>
                  </pic:blipFill>
                  <pic:spPr>
                    <a:xfrm>
                      <a:off x="0" y="0"/>
                      <a:ext cx="5028189" cy="1476814"/>
                    </a:xfrm>
                    <a:prstGeom prst="rect">
                      <a:avLst/>
                    </a:prstGeom>
                  </pic:spPr>
                </pic:pic>
              </a:graphicData>
            </a:graphic>
          </wp:inline>
        </w:drawing>
      </w:r>
    </w:p>
    <w:p w14:paraId="2AA55D92" w14:textId="2F95A573" w:rsidR="009964E4" w:rsidRPr="005C587D" w:rsidRDefault="005C587D" w:rsidP="009964E4">
      <w:pPr>
        <w:jc w:val="both"/>
        <w:rPr>
          <w:rFonts w:ascii="Arial" w:hAnsi="Arial" w:cs="Arial"/>
          <w:b/>
          <w:bCs/>
          <w:sz w:val="16"/>
          <w:szCs w:val="16"/>
          <w:lang w:eastAsia="en-US"/>
        </w:rPr>
      </w:pPr>
      <w:r w:rsidRPr="005C587D">
        <w:rPr>
          <w:rFonts w:ascii="Arial" w:hAnsi="Arial" w:cs="Arial"/>
          <w:b/>
          <w:bCs/>
          <w:sz w:val="16"/>
          <w:szCs w:val="16"/>
        </w:rPr>
        <w:t xml:space="preserve">Figure 6: Strategic Objectives for </w:t>
      </w:r>
      <w:proofErr w:type="spellStart"/>
      <w:r w:rsidRPr="005C587D">
        <w:rPr>
          <w:rFonts w:ascii="Arial" w:hAnsi="Arial" w:cs="Arial"/>
          <w:b/>
          <w:bCs/>
          <w:sz w:val="16"/>
          <w:szCs w:val="16"/>
        </w:rPr>
        <w:t>Concero’s</w:t>
      </w:r>
      <w:proofErr w:type="spellEnd"/>
      <w:r w:rsidRPr="005C587D">
        <w:rPr>
          <w:rFonts w:ascii="Arial" w:hAnsi="Arial" w:cs="Arial"/>
          <w:b/>
          <w:bCs/>
          <w:sz w:val="16"/>
          <w:szCs w:val="16"/>
        </w:rPr>
        <w:t xml:space="preserve"> Transformation (Yanis Popov, 2025)</w:t>
      </w:r>
    </w:p>
    <w:p w14:paraId="541332CD" w14:textId="0D6DF7E1" w:rsidR="006A7B04" w:rsidRDefault="006A7B04" w:rsidP="006A7B04">
      <w:pPr>
        <w:pStyle w:val="Heading2"/>
        <w:spacing w:line="360" w:lineRule="auto"/>
        <w:rPr>
          <w:rFonts w:ascii="Arial" w:hAnsi="Arial" w:cs="Arial"/>
          <w:b/>
          <w:bCs/>
          <w:color w:val="000000" w:themeColor="text1"/>
          <w:sz w:val="28"/>
          <w:szCs w:val="28"/>
        </w:rPr>
      </w:pPr>
      <w:bookmarkStart w:id="45" w:name="_Toc214406637"/>
      <w:r w:rsidRPr="006A7B04">
        <w:rPr>
          <w:rFonts w:ascii="Arial" w:hAnsi="Arial" w:cs="Arial"/>
          <w:b/>
          <w:bCs/>
          <w:color w:val="000000" w:themeColor="text1"/>
          <w:sz w:val="28"/>
          <w:szCs w:val="28"/>
        </w:rPr>
        <w:lastRenderedPageBreak/>
        <w:t>7.2 High-Level Financial Plan</w:t>
      </w:r>
      <w:bookmarkEnd w:id="45"/>
    </w:p>
    <w:p w14:paraId="4C1E69C8" w14:textId="7CA9F61D" w:rsidR="00A542E4" w:rsidRPr="00077510" w:rsidRDefault="00077510" w:rsidP="00077510">
      <w:pPr>
        <w:spacing w:line="360" w:lineRule="auto"/>
        <w:jc w:val="both"/>
        <w:rPr>
          <w:rFonts w:ascii="Arial" w:hAnsi="Arial" w:cs="Arial"/>
          <w:sz w:val="22"/>
          <w:szCs w:val="22"/>
        </w:rPr>
      </w:pPr>
      <w:r w:rsidRPr="00077510">
        <w:rPr>
          <w:rFonts w:ascii="Arial" w:hAnsi="Arial" w:cs="Arial"/>
          <w:sz w:val="22"/>
          <w:szCs w:val="22"/>
        </w:rPr>
        <w:t xml:space="preserve">Phased transformation is necessary to strike a balance between ambition and viability, given </w:t>
      </w:r>
      <w:proofErr w:type="spellStart"/>
      <w:r w:rsidRPr="00077510">
        <w:rPr>
          <w:rFonts w:ascii="Arial" w:hAnsi="Arial" w:cs="Arial"/>
          <w:sz w:val="22"/>
          <w:szCs w:val="22"/>
        </w:rPr>
        <w:t>Concero's</w:t>
      </w:r>
      <w:proofErr w:type="spellEnd"/>
      <w:r w:rsidRPr="00077510">
        <w:rPr>
          <w:rFonts w:ascii="Arial" w:hAnsi="Arial" w:cs="Arial"/>
          <w:sz w:val="22"/>
          <w:szCs w:val="22"/>
        </w:rPr>
        <w:t xml:space="preserve"> SME status and limited financial resources. A proposed three-year staged budget is as follows:</w:t>
      </w:r>
    </w:p>
    <w:p w14:paraId="46D4F4F5" w14:textId="6D1E9DB8" w:rsidR="00077510" w:rsidRPr="00077510" w:rsidRDefault="00077510" w:rsidP="00077510">
      <w:pPr>
        <w:pStyle w:val="ListParagraph"/>
        <w:numPr>
          <w:ilvl w:val="0"/>
          <w:numId w:val="79"/>
        </w:numPr>
        <w:spacing w:line="360" w:lineRule="auto"/>
        <w:jc w:val="both"/>
        <w:rPr>
          <w:rFonts w:ascii="Arial" w:hAnsi="Arial" w:cs="Arial"/>
          <w:b/>
          <w:bCs/>
          <w:color w:val="000000" w:themeColor="text1"/>
          <w:sz w:val="22"/>
          <w:szCs w:val="22"/>
        </w:rPr>
      </w:pPr>
      <w:r w:rsidRPr="00077510">
        <w:rPr>
          <w:rFonts w:ascii="Arial" w:hAnsi="Arial" w:cs="Arial"/>
          <w:sz w:val="22"/>
          <w:szCs w:val="22"/>
        </w:rPr>
        <w:t>Year 1: Building Capacity: Set aside 15% of the yearly operating budget for cybersecurity and cloud training for employees, the hiring of one or two specialist engineers, and the Cyber Essentials Plus certification procedure.</w:t>
      </w:r>
    </w:p>
    <w:p w14:paraId="447E0DED" w14:textId="1C3C091B" w:rsidR="00077510" w:rsidRPr="00077510" w:rsidRDefault="00077510" w:rsidP="00077510">
      <w:pPr>
        <w:pStyle w:val="ListParagraph"/>
        <w:numPr>
          <w:ilvl w:val="0"/>
          <w:numId w:val="79"/>
        </w:numPr>
        <w:spacing w:line="360" w:lineRule="auto"/>
        <w:jc w:val="both"/>
        <w:rPr>
          <w:rFonts w:ascii="Arial" w:hAnsi="Arial" w:cs="Arial"/>
          <w:b/>
          <w:bCs/>
          <w:color w:val="000000" w:themeColor="text1"/>
          <w:sz w:val="22"/>
          <w:szCs w:val="22"/>
        </w:rPr>
      </w:pPr>
      <w:r w:rsidRPr="00077510">
        <w:rPr>
          <w:rFonts w:ascii="Arial" w:hAnsi="Arial" w:cs="Arial"/>
          <w:sz w:val="22"/>
          <w:szCs w:val="22"/>
        </w:rPr>
        <w:t>Year 2: Systems and Infrastructure Set aside about a quarter of the funds for the purchase of automation platforms, monitoring systems, cloud orchestration tools, and the creation of standardised processes and a common knowledge base.</w:t>
      </w:r>
    </w:p>
    <w:p w14:paraId="432433E5" w14:textId="6180DAEF" w:rsidR="00077510" w:rsidRPr="00077510" w:rsidRDefault="00077510" w:rsidP="00077510">
      <w:pPr>
        <w:pStyle w:val="ListParagraph"/>
        <w:numPr>
          <w:ilvl w:val="0"/>
          <w:numId w:val="79"/>
        </w:numPr>
        <w:spacing w:line="360" w:lineRule="auto"/>
        <w:jc w:val="both"/>
        <w:rPr>
          <w:rFonts w:ascii="Arial" w:hAnsi="Arial" w:cs="Arial"/>
          <w:b/>
          <w:bCs/>
          <w:color w:val="000000" w:themeColor="text1"/>
          <w:sz w:val="22"/>
          <w:szCs w:val="22"/>
        </w:rPr>
      </w:pPr>
      <w:r w:rsidRPr="00077510">
        <w:rPr>
          <w:rFonts w:ascii="Arial" w:hAnsi="Arial" w:cs="Arial"/>
          <w:sz w:val="22"/>
          <w:szCs w:val="22"/>
        </w:rPr>
        <w:t>Year 3: Scaling and Optimisation: Allocate roughly 20% of the budget to expanding the reach of managed cloud services to additional educational institutions, streamlining procedures, and optimising delivery models.</w:t>
      </w:r>
    </w:p>
    <w:p w14:paraId="714876A3" w14:textId="06A38686" w:rsidR="00077510" w:rsidRPr="00077510" w:rsidRDefault="00077510" w:rsidP="00077510">
      <w:pPr>
        <w:spacing w:line="360" w:lineRule="auto"/>
        <w:jc w:val="both"/>
        <w:rPr>
          <w:rFonts w:ascii="Arial" w:hAnsi="Arial" w:cs="Arial"/>
          <w:sz w:val="22"/>
          <w:szCs w:val="22"/>
        </w:rPr>
      </w:pPr>
      <w:r w:rsidRPr="00077510">
        <w:rPr>
          <w:rFonts w:ascii="Arial" w:hAnsi="Arial" w:cs="Arial"/>
          <w:sz w:val="22"/>
          <w:szCs w:val="22"/>
        </w:rPr>
        <w:t xml:space="preserve">Although these allocations seem doable, rigorous cost control and phased reinvestment are necessary for them to be adequate. If Concero reinvests early cloud migration project revenues to finance later phases, I believe the plan is financially feasible. However, SMEs frequently incur unforeseen costs, especially when it comes to staff training, IT integration, and licensing. Concero should set aside at least 10% to 15% of the budget for a contingency fund </w:t>
      </w:r>
      <w:proofErr w:type="gramStart"/>
      <w:r w:rsidRPr="00077510">
        <w:rPr>
          <w:rFonts w:ascii="Arial" w:hAnsi="Arial" w:cs="Arial"/>
          <w:sz w:val="22"/>
          <w:szCs w:val="22"/>
        </w:rPr>
        <w:t>in order to</w:t>
      </w:r>
      <w:proofErr w:type="gramEnd"/>
      <w:r w:rsidRPr="00077510">
        <w:rPr>
          <w:rFonts w:ascii="Arial" w:hAnsi="Arial" w:cs="Arial"/>
          <w:sz w:val="22"/>
          <w:szCs w:val="22"/>
        </w:rPr>
        <w:t xml:space="preserve"> protect against these risks. If costs surpass initial projections, this buffer </w:t>
      </w:r>
      <w:proofErr w:type="gramStart"/>
      <w:r w:rsidRPr="00077510">
        <w:rPr>
          <w:rFonts w:ascii="Arial" w:hAnsi="Arial" w:cs="Arial"/>
          <w:sz w:val="22"/>
          <w:szCs w:val="22"/>
        </w:rPr>
        <w:t>would</w:t>
      </w:r>
      <w:proofErr w:type="gramEnd"/>
      <w:r w:rsidRPr="00077510">
        <w:rPr>
          <w:rFonts w:ascii="Arial" w:hAnsi="Arial" w:cs="Arial"/>
          <w:sz w:val="22"/>
          <w:szCs w:val="22"/>
        </w:rPr>
        <w:t xml:space="preserve"> guarantee resilience and safeguard service quality.</w:t>
      </w:r>
    </w:p>
    <w:p w14:paraId="5C54E877" w14:textId="3FCED739" w:rsidR="00077510" w:rsidRDefault="00077510" w:rsidP="00077510">
      <w:pPr>
        <w:spacing w:line="360" w:lineRule="auto"/>
        <w:jc w:val="both"/>
        <w:rPr>
          <w:rFonts w:ascii="Arial" w:hAnsi="Arial" w:cs="Arial"/>
          <w:sz w:val="22"/>
          <w:szCs w:val="22"/>
        </w:rPr>
      </w:pPr>
      <w:r w:rsidRPr="00077510">
        <w:rPr>
          <w:rFonts w:ascii="Arial" w:hAnsi="Arial" w:cs="Arial"/>
          <w:sz w:val="22"/>
          <w:szCs w:val="22"/>
        </w:rPr>
        <w:t>It has been demonstrated that SMEs can scale innovation while controlling financial exposure through phased investment backed by reinvestment of early project gains (Bouwman et al., 2019). This strategy gives the financial plan flexibility to adjust to unforeseen obstacles while maintaining ambition and realism.</w:t>
      </w:r>
    </w:p>
    <w:p w14:paraId="7C9F4812" w14:textId="1A88AEE6" w:rsidR="00077510" w:rsidRDefault="00077510" w:rsidP="00077510">
      <w:pPr>
        <w:spacing w:line="360" w:lineRule="auto"/>
        <w:jc w:val="both"/>
        <w:rPr>
          <w:rFonts w:ascii="Arial" w:hAnsi="Arial" w:cs="Arial"/>
          <w:b/>
          <w:bCs/>
          <w:color w:val="000000" w:themeColor="text1"/>
          <w:sz w:val="22"/>
          <w:szCs w:val="22"/>
        </w:rPr>
      </w:pPr>
      <w:r w:rsidRPr="00077510">
        <w:rPr>
          <w:rFonts w:ascii="Arial" w:hAnsi="Arial" w:cs="Arial"/>
          <w:b/>
          <w:bCs/>
          <w:noProof/>
          <w:color w:val="000000" w:themeColor="text1"/>
          <w:sz w:val="22"/>
          <w:szCs w:val="22"/>
        </w:rPr>
        <w:drawing>
          <wp:inline distT="0" distB="0" distL="0" distR="0" wp14:anchorId="08AA6C33" wp14:editId="5F88D90A">
            <wp:extent cx="5731510" cy="1073785"/>
            <wp:effectExtent l="0" t="0" r="0" b="5715"/>
            <wp:docPr id="132582854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828545" name="Picture 1" descr="A table with text on it&#10;&#10;AI-generated content may be incorrect."/>
                    <pic:cNvPicPr/>
                  </pic:nvPicPr>
                  <pic:blipFill>
                    <a:blip r:embed="rId16"/>
                    <a:stretch>
                      <a:fillRect/>
                    </a:stretch>
                  </pic:blipFill>
                  <pic:spPr>
                    <a:xfrm>
                      <a:off x="0" y="0"/>
                      <a:ext cx="5731510" cy="1073785"/>
                    </a:xfrm>
                    <a:prstGeom prst="rect">
                      <a:avLst/>
                    </a:prstGeom>
                  </pic:spPr>
                </pic:pic>
              </a:graphicData>
            </a:graphic>
          </wp:inline>
        </w:drawing>
      </w:r>
    </w:p>
    <w:p w14:paraId="3BA7C91A" w14:textId="47078313" w:rsidR="00077510" w:rsidRPr="00077510" w:rsidRDefault="00077510" w:rsidP="00077510">
      <w:pPr>
        <w:spacing w:line="360" w:lineRule="auto"/>
        <w:jc w:val="both"/>
        <w:rPr>
          <w:rFonts w:ascii="Arial" w:hAnsi="Arial" w:cs="Arial"/>
          <w:b/>
          <w:bCs/>
          <w:color w:val="000000" w:themeColor="text1"/>
          <w:sz w:val="16"/>
          <w:szCs w:val="16"/>
        </w:rPr>
      </w:pPr>
      <w:r w:rsidRPr="00077510">
        <w:rPr>
          <w:rFonts w:ascii="Arial" w:hAnsi="Arial" w:cs="Arial"/>
          <w:b/>
          <w:bCs/>
          <w:sz w:val="16"/>
          <w:szCs w:val="16"/>
        </w:rPr>
        <w:t xml:space="preserve">Figure 7: High-Level Financial Plan for </w:t>
      </w:r>
      <w:proofErr w:type="spellStart"/>
      <w:r w:rsidRPr="00077510">
        <w:rPr>
          <w:rFonts w:ascii="Arial" w:hAnsi="Arial" w:cs="Arial"/>
          <w:b/>
          <w:bCs/>
          <w:sz w:val="16"/>
          <w:szCs w:val="16"/>
        </w:rPr>
        <w:t>Concero’s</w:t>
      </w:r>
      <w:proofErr w:type="spellEnd"/>
      <w:r w:rsidRPr="00077510">
        <w:rPr>
          <w:rFonts w:ascii="Arial" w:hAnsi="Arial" w:cs="Arial"/>
          <w:b/>
          <w:bCs/>
          <w:sz w:val="16"/>
          <w:szCs w:val="16"/>
        </w:rPr>
        <w:t xml:space="preserve"> Transformation (Yanis Popov, 2025)</w:t>
      </w:r>
    </w:p>
    <w:p w14:paraId="0DD5D7F8" w14:textId="125C151E" w:rsidR="00C10855" w:rsidRDefault="00C10855" w:rsidP="00C10855">
      <w:pPr>
        <w:pStyle w:val="Heading2"/>
        <w:spacing w:line="360" w:lineRule="auto"/>
        <w:rPr>
          <w:rFonts w:ascii="Arial" w:hAnsi="Arial" w:cs="Arial"/>
          <w:b/>
          <w:bCs/>
          <w:color w:val="000000" w:themeColor="text1"/>
          <w:sz w:val="28"/>
          <w:szCs w:val="28"/>
        </w:rPr>
      </w:pPr>
      <w:bookmarkStart w:id="46" w:name="_Toc214406638"/>
      <w:r w:rsidRPr="00C10855">
        <w:rPr>
          <w:rFonts w:ascii="Arial" w:hAnsi="Arial" w:cs="Arial"/>
          <w:b/>
          <w:bCs/>
          <w:color w:val="000000" w:themeColor="text1"/>
          <w:sz w:val="28"/>
          <w:szCs w:val="28"/>
        </w:rPr>
        <w:t>7.3 Communication and Engagement Plan</w:t>
      </w:r>
      <w:bookmarkEnd w:id="46"/>
    </w:p>
    <w:p w14:paraId="5F9BA4F9" w14:textId="7008AF99" w:rsidR="00C10855" w:rsidRDefault="00A542E4" w:rsidP="00A542E4">
      <w:pPr>
        <w:spacing w:line="360" w:lineRule="auto"/>
        <w:jc w:val="both"/>
        <w:rPr>
          <w:rFonts w:ascii="Arial" w:hAnsi="Arial" w:cs="Arial"/>
          <w:sz w:val="22"/>
          <w:szCs w:val="22"/>
        </w:rPr>
      </w:pPr>
      <w:r w:rsidRPr="00A542E4">
        <w:rPr>
          <w:rFonts w:ascii="Arial" w:hAnsi="Arial" w:cs="Arial"/>
          <w:sz w:val="22"/>
          <w:szCs w:val="22"/>
        </w:rPr>
        <w:t xml:space="preserve">Overcoming resistance requires structured, multi-level communication (Lines, 2004). Concero should adopt a </w:t>
      </w:r>
      <w:r w:rsidRPr="00A542E4">
        <w:rPr>
          <w:rStyle w:val="Strong"/>
          <w:rFonts w:ascii="Arial" w:eastAsiaTheme="majorEastAsia" w:hAnsi="Arial" w:cs="Arial"/>
          <w:sz w:val="22"/>
          <w:szCs w:val="22"/>
        </w:rPr>
        <w:t>three-tier approach</w:t>
      </w:r>
      <w:r w:rsidRPr="00A542E4">
        <w:rPr>
          <w:rFonts w:ascii="Arial" w:hAnsi="Arial" w:cs="Arial"/>
          <w:sz w:val="22"/>
          <w:szCs w:val="22"/>
        </w:rPr>
        <w:t>:</w:t>
      </w:r>
    </w:p>
    <w:p w14:paraId="5F863FD6" w14:textId="43C2D190" w:rsidR="00A542E4" w:rsidRDefault="00A542E4" w:rsidP="00A542E4">
      <w:pPr>
        <w:spacing w:line="360" w:lineRule="auto"/>
        <w:jc w:val="both"/>
        <w:rPr>
          <w:rFonts w:ascii="Arial" w:hAnsi="Arial" w:cs="Arial"/>
          <w:sz w:val="22"/>
          <w:szCs w:val="22"/>
        </w:rPr>
      </w:pPr>
      <w:r w:rsidRPr="00A542E4">
        <w:rPr>
          <w:rFonts w:ascii="Arial" w:hAnsi="Arial" w:cs="Arial"/>
          <w:noProof/>
          <w:sz w:val="22"/>
          <w:szCs w:val="22"/>
        </w:rPr>
        <w:lastRenderedPageBreak/>
        <w:drawing>
          <wp:inline distT="0" distB="0" distL="0" distR="0" wp14:anchorId="23EE699D" wp14:editId="13DCA4CA">
            <wp:extent cx="3711921" cy="1436220"/>
            <wp:effectExtent l="0" t="0" r="0" b="0"/>
            <wp:docPr id="1655818746"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18746" name="Picture 1" descr="A table with text on it&#10;&#10;AI-generated content may be incorrect."/>
                    <pic:cNvPicPr/>
                  </pic:nvPicPr>
                  <pic:blipFill>
                    <a:blip r:embed="rId17"/>
                    <a:stretch>
                      <a:fillRect/>
                    </a:stretch>
                  </pic:blipFill>
                  <pic:spPr>
                    <a:xfrm>
                      <a:off x="0" y="0"/>
                      <a:ext cx="3739013" cy="1446703"/>
                    </a:xfrm>
                    <a:prstGeom prst="rect">
                      <a:avLst/>
                    </a:prstGeom>
                  </pic:spPr>
                </pic:pic>
              </a:graphicData>
            </a:graphic>
          </wp:inline>
        </w:drawing>
      </w:r>
    </w:p>
    <w:p w14:paraId="7C3BC8D3" w14:textId="6483BED4" w:rsidR="00A542E4" w:rsidRPr="00A542E4" w:rsidRDefault="00A542E4" w:rsidP="00A542E4">
      <w:pPr>
        <w:spacing w:line="360" w:lineRule="auto"/>
        <w:jc w:val="both"/>
        <w:rPr>
          <w:rFonts w:ascii="Arial" w:hAnsi="Arial" w:cs="Arial"/>
          <w:b/>
          <w:bCs/>
          <w:i/>
          <w:iCs/>
          <w:sz w:val="16"/>
          <w:szCs w:val="16"/>
        </w:rPr>
      </w:pPr>
      <w:r w:rsidRPr="00A542E4">
        <w:rPr>
          <w:rStyle w:val="Emphasis"/>
          <w:rFonts w:ascii="Arial" w:eastAsiaTheme="majorEastAsia" w:hAnsi="Arial" w:cs="Arial"/>
          <w:b/>
          <w:bCs/>
          <w:i w:val="0"/>
          <w:iCs w:val="0"/>
          <w:sz w:val="16"/>
          <w:szCs w:val="16"/>
        </w:rPr>
        <w:t>Figure 8: Communication and Engagement Plan (</w:t>
      </w:r>
      <w:r>
        <w:rPr>
          <w:rStyle w:val="Emphasis"/>
          <w:rFonts w:ascii="Arial" w:eastAsiaTheme="majorEastAsia" w:hAnsi="Arial" w:cs="Arial"/>
          <w:b/>
          <w:bCs/>
          <w:i w:val="0"/>
          <w:iCs w:val="0"/>
          <w:sz w:val="16"/>
          <w:szCs w:val="16"/>
        </w:rPr>
        <w:t>Yanis Popov</w:t>
      </w:r>
      <w:r w:rsidRPr="00A542E4">
        <w:rPr>
          <w:rStyle w:val="Emphasis"/>
          <w:rFonts w:ascii="Arial" w:eastAsiaTheme="majorEastAsia" w:hAnsi="Arial" w:cs="Arial"/>
          <w:b/>
          <w:bCs/>
          <w:i w:val="0"/>
          <w:iCs w:val="0"/>
          <w:sz w:val="16"/>
          <w:szCs w:val="16"/>
        </w:rPr>
        <w:t>, 2025)</w:t>
      </w:r>
    </w:p>
    <w:p w14:paraId="4DF426D0" w14:textId="59E530F6" w:rsidR="00C10855" w:rsidRDefault="00C10855" w:rsidP="00C10855">
      <w:pPr>
        <w:pStyle w:val="Heading2"/>
        <w:spacing w:line="360" w:lineRule="auto"/>
        <w:rPr>
          <w:rFonts w:ascii="Arial" w:hAnsi="Arial" w:cs="Arial"/>
          <w:b/>
          <w:bCs/>
          <w:color w:val="000000" w:themeColor="text1"/>
          <w:sz w:val="28"/>
          <w:szCs w:val="28"/>
        </w:rPr>
      </w:pPr>
      <w:bookmarkStart w:id="47" w:name="_Toc214406639"/>
      <w:r w:rsidRPr="00C10855">
        <w:rPr>
          <w:rFonts w:ascii="Arial" w:hAnsi="Arial" w:cs="Arial"/>
          <w:b/>
          <w:bCs/>
          <w:color w:val="000000" w:themeColor="text1"/>
          <w:sz w:val="28"/>
          <w:szCs w:val="28"/>
        </w:rPr>
        <w:t>7.4 Evaluation and Performance Monitoring</w:t>
      </w:r>
      <w:bookmarkEnd w:id="47"/>
    </w:p>
    <w:p w14:paraId="38E80364" w14:textId="3BF28AC4" w:rsidR="00C10855" w:rsidRPr="00A542E4" w:rsidRDefault="00A542E4" w:rsidP="00A542E4">
      <w:pPr>
        <w:spacing w:line="360" w:lineRule="auto"/>
        <w:jc w:val="both"/>
        <w:rPr>
          <w:rFonts w:ascii="Arial" w:hAnsi="Arial" w:cs="Arial"/>
          <w:sz w:val="22"/>
          <w:szCs w:val="22"/>
        </w:rPr>
      </w:pPr>
      <w:r w:rsidRPr="00A542E4">
        <w:rPr>
          <w:rFonts w:ascii="Arial" w:hAnsi="Arial" w:cs="Arial"/>
          <w:sz w:val="22"/>
          <w:szCs w:val="22"/>
        </w:rPr>
        <w:t>Progress should be tracked quarterly using Key Performance Indicators (KPIs). Suggested indicators include:</w:t>
      </w:r>
    </w:p>
    <w:p w14:paraId="7169DC39" w14:textId="571E3AE7" w:rsidR="00A542E4" w:rsidRDefault="00A542E4" w:rsidP="00A542E4">
      <w:pPr>
        <w:spacing w:line="360" w:lineRule="auto"/>
        <w:rPr>
          <w:rFonts w:ascii="Arial" w:hAnsi="Arial" w:cs="Arial"/>
          <w:sz w:val="22"/>
          <w:szCs w:val="22"/>
          <w:lang w:eastAsia="en-US"/>
        </w:rPr>
      </w:pPr>
      <w:r w:rsidRPr="00A542E4">
        <w:rPr>
          <w:rFonts w:ascii="Arial" w:hAnsi="Arial" w:cs="Arial"/>
          <w:noProof/>
          <w:sz w:val="22"/>
          <w:szCs w:val="22"/>
          <w:lang w:eastAsia="en-US"/>
        </w:rPr>
        <w:drawing>
          <wp:inline distT="0" distB="0" distL="0" distR="0" wp14:anchorId="13B6190D" wp14:editId="68F1647A">
            <wp:extent cx="4074059" cy="1762814"/>
            <wp:effectExtent l="0" t="0" r="3175" b="2540"/>
            <wp:docPr id="1975877221" name="Picture 1"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77221" name="Picture 1" descr="A close-up of a survey&#10;&#10;AI-generated content may be incorrect."/>
                    <pic:cNvPicPr/>
                  </pic:nvPicPr>
                  <pic:blipFill>
                    <a:blip r:embed="rId18"/>
                    <a:stretch>
                      <a:fillRect/>
                    </a:stretch>
                  </pic:blipFill>
                  <pic:spPr>
                    <a:xfrm>
                      <a:off x="0" y="0"/>
                      <a:ext cx="4115546" cy="1780765"/>
                    </a:xfrm>
                    <a:prstGeom prst="rect">
                      <a:avLst/>
                    </a:prstGeom>
                  </pic:spPr>
                </pic:pic>
              </a:graphicData>
            </a:graphic>
          </wp:inline>
        </w:drawing>
      </w:r>
    </w:p>
    <w:p w14:paraId="03F0510B" w14:textId="791CAD81" w:rsidR="00A542E4" w:rsidRPr="00A542E4" w:rsidRDefault="00A542E4" w:rsidP="00A542E4">
      <w:pPr>
        <w:spacing w:line="360" w:lineRule="auto"/>
        <w:rPr>
          <w:rFonts w:ascii="Arial" w:hAnsi="Arial" w:cs="Arial"/>
          <w:b/>
          <w:bCs/>
          <w:sz w:val="16"/>
          <w:szCs w:val="16"/>
          <w:lang w:eastAsia="en-US"/>
        </w:rPr>
      </w:pPr>
      <w:r w:rsidRPr="00A542E4">
        <w:rPr>
          <w:rFonts w:ascii="Arial" w:hAnsi="Arial" w:cs="Arial"/>
          <w:b/>
          <w:bCs/>
          <w:sz w:val="16"/>
          <w:szCs w:val="16"/>
        </w:rPr>
        <w:t>Figure 9: Key Performance Indicators for Transformation (Yanis Popov, 2025)</w:t>
      </w:r>
    </w:p>
    <w:p w14:paraId="00646006" w14:textId="6A34BA36" w:rsidR="00A542E4" w:rsidRPr="00A542E4" w:rsidRDefault="00A542E4" w:rsidP="00A542E4">
      <w:pPr>
        <w:spacing w:line="360" w:lineRule="auto"/>
        <w:jc w:val="both"/>
        <w:rPr>
          <w:rFonts w:ascii="Arial" w:hAnsi="Arial" w:cs="Arial"/>
          <w:sz w:val="22"/>
          <w:szCs w:val="22"/>
          <w:lang w:eastAsia="en-US"/>
        </w:rPr>
      </w:pPr>
      <w:r w:rsidRPr="00A542E4">
        <w:rPr>
          <w:rFonts w:ascii="Arial" w:hAnsi="Arial" w:cs="Arial"/>
          <w:sz w:val="22"/>
          <w:szCs w:val="22"/>
        </w:rPr>
        <w:t xml:space="preserve">Balanced scorecards and review meetings (Kaplan </w:t>
      </w:r>
      <w:r w:rsidR="00B07D6F">
        <w:rPr>
          <w:rFonts w:ascii="Arial" w:hAnsi="Arial" w:cs="Arial"/>
          <w:sz w:val="22"/>
          <w:szCs w:val="22"/>
        </w:rPr>
        <w:t>and</w:t>
      </w:r>
      <w:r w:rsidRPr="00A542E4">
        <w:rPr>
          <w:rFonts w:ascii="Arial" w:hAnsi="Arial" w:cs="Arial"/>
          <w:sz w:val="22"/>
          <w:szCs w:val="22"/>
        </w:rPr>
        <w:t xml:space="preserve"> Norton, 2005) can ensure accountability and momentum.</w:t>
      </w:r>
    </w:p>
    <w:p w14:paraId="3113ED4C" w14:textId="77777777" w:rsidR="00C10855" w:rsidRDefault="00C10855" w:rsidP="00C10855">
      <w:pPr>
        <w:pStyle w:val="Heading2"/>
        <w:spacing w:line="360" w:lineRule="auto"/>
        <w:rPr>
          <w:rStyle w:val="Strong"/>
          <w:rFonts w:ascii="Arial" w:hAnsi="Arial" w:cs="Arial"/>
          <w:color w:val="000000" w:themeColor="text1"/>
          <w:sz w:val="28"/>
          <w:szCs w:val="28"/>
        </w:rPr>
      </w:pPr>
      <w:bookmarkStart w:id="48" w:name="_Toc214406640"/>
      <w:r w:rsidRPr="00C10855">
        <w:rPr>
          <w:rFonts w:ascii="Arial" w:hAnsi="Arial" w:cs="Arial"/>
          <w:b/>
          <w:bCs/>
          <w:color w:val="000000" w:themeColor="text1"/>
          <w:sz w:val="28"/>
          <w:szCs w:val="28"/>
        </w:rPr>
        <w:t>7.5</w:t>
      </w:r>
      <w:r w:rsidRPr="00C10855">
        <w:rPr>
          <w:rFonts w:ascii="Arial" w:hAnsi="Arial" w:cs="Arial"/>
          <w:color w:val="000000" w:themeColor="text1"/>
          <w:sz w:val="28"/>
          <w:szCs w:val="28"/>
        </w:rPr>
        <w:t xml:space="preserve"> </w:t>
      </w:r>
      <w:r w:rsidRPr="00C10855">
        <w:rPr>
          <w:rStyle w:val="Strong"/>
          <w:rFonts w:ascii="Arial" w:hAnsi="Arial" w:cs="Arial"/>
          <w:color w:val="000000" w:themeColor="text1"/>
          <w:sz w:val="28"/>
          <w:szCs w:val="28"/>
        </w:rPr>
        <w:t>Risk Register and Mitigation Plan</w:t>
      </w:r>
      <w:bookmarkEnd w:id="48"/>
    </w:p>
    <w:p w14:paraId="5717C2CE" w14:textId="0890D7F7" w:rsidR="00FD1E9A" w:rsidRDefault="00FD1E9A" w:rsidP="00FD1E9A">
      <w:pPr>
        <w:jc w:val="both"/>
        <w:rPr>
          <w:rFonts w:ascii="Arial" w:hAnsi="Arial" w:cs="Arial"/>
          <w:sz w:val="22"/>
          <w:szCs w:val="22"/>
        </w:rPr>
      </w:pPr>
      <w:r w:rsidRPr="00FD1E9A">
        <w:rPr>
          <w:rFonts w:ascii="Arial" w:hAnsi="Arial" w:cs="Arial"/>
          <w:sz w:val="22"/>
          <w:szCs w:val="22"/>
        </w:rPr>
        <w:t>Digital transformation carries risks that must be proactively managed:</w:t>
      </w:r>
    </w:p>
    <w:p w14:paraId="44DB8819" w14:textId="3165E057" w:rsidR="00FD1E9A" w:rsidRDefault="00FD1E9A" w:rsidP="00FD1E9A">
      <w:pPr>
        <w:jc w:val="both"/>
        <w:rPr>
          <w:rFonts w:ascii="Arial" w:hAnsi="Arial" w:cs="Arial"/>
          <w:sz w:val="22"/>
          <w:szCs w:val="22"/>
          <w:lang w:eastAsia="en-US"/>
        </w:rPr>
      </w:pPr>
      <w:r w:rsidRPr="00FD1E9A">
        <w:rPr>
          <w:rFonts w:ascii="Arial" w:hAnsi="Arial" w:cs="Arial"/>
          <w:noProof/>
          <w:sz w:val="22"/>
          <w:szCs w:val="22"/>
          <w:lang w:eastAsia="en-US"/>
        </w:rPr>
        <w:drawing>
          <wp:inline distT="0" distB="0" distL="0" distR="0" wp14:anchorId="2C5C446C" wp14:editId="034B16C7">
            <wp:extent cx="5060887" cy="952631"/>
            <wp:effectExtent l="0" t="0" r="0" b="0"/>
            <wp:docPr id="196256314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63141" name="Picture 1" descr="A table with text on it&#10;&#10;AI-generated content may be incorrect."/>
                    <pic:cNvPicPr/>
                  </pic:nvPicPr>
                  <pic:blipFill>
                    <a:blip r:embed="rId19"/>
                    <a:stretch>
                      <a:fillRect/>
                    </a:stretch>
                  </pic:blipFill>
                  <pic:spPr>
                    <a:xfrm>
                      <a:off x="0" y="0"/>
                      <a:ext cx="5141356" cy="967778"/>
                    </a:xfrm>
                    <a:prstGeom prst="rect">
                      <a:avLst/>
                    </a:prstGeom>
                  </pic:spPr>
                </pic:pic>
              </a:graphicData>
            </a:graphic>
          </wp:inline>
        </w:drawing>
      </w:r>
    </w:p>
    <w:p w14:paraId="4469FBF6" w14:textId="3FA626C7" w:rsidR="00FD1E9A" w:rsidRPr="00FD1E9A" w:rsidRDefault="00FD1E9A" w:rsidP="00FD1E9A">
      <w:pPr>
        <w:jc w:val="both"/>
        <w:rPr>
          <w:rFonts w:ascii="Arial" w:hAnsi="Arial" w:cs="Arial"/>
          <w:b/>
          <w:bCs/>
          <w:sz w:val="16"/>
          <w:szCs w:val="16"/>
          <w:lang w:eastAsia="en-US"/>
        </w:rPr>
      </w:pPr>
      <w:r w:rsidRPr="00FD1E9A">
        <w:rPr>
          <w:rFonts w:ascii="Arial" w:hAnsi="Arial" w:cs="Arial"/>
          <w:b/>
          <w:bCs/>
          <w:sz w:val="16"/>
          <w:szCs w:val="16"/>
        </w:rPr>
        <w:t xml:space="preserve">Figure 10: Risk Register for </w:t>
      </w:r>
      <w:proofErr w:type="spellStart"/>
      <w:r w:rsidRPr="00FD1E9A">
        <w:rPr>
          <w:rFonts w:ascii="Arial" w:hAnsi="Arial" w:cs="Arial"/>
          <w:b/>
          <w:bCs/>
          <w:sz w:val="16"/>
          <w:szCs w:val="16"/>
        </w:rPr>
        <w:t>Concero’s</w:t>
      </w:r>
      <w:proofErr w:type="spellEnd"/>
      <w:r w:rsidRPr="00FD1E9A">
        <w:rPr>
          <w:rFonts w:ascii="Arial" w:hAnsi="Arial" w:cs="Arial"/>
          <w:b/>
          <w:bCs/>
          <w:sz w:val="16"/>
          <w:szCs w:val="16"/>
        </w:rPr>
        <w:t xml:space="preserve"> Transformation (Yanis Popov, 2025)</w:t>
      </w:r>
    </w:p>
    <w:p w14:paraId="17491BBD" w14:textId="634C54F7" w:rsidR="00E74975" w:rsidRPr="00F4377C" w:rsidRDefault="00E74975" w:rsidP="00E74975">
      <w:pPr>
        <w:pStyle w:val="Heading1"/>
        <w:spacing w:line="360" w:lineRule="auto"/>
        <w:rPr>
          <w:rFonts w:ascii="Arial" w:hAnsi="Arial" w:cs="Arial"/>
          <w:b/>
          <w:bCs/>
          <w:color w:val="000000" w:themeColor="text1"/>
          <w:sz w:val="36"/>
          <w:szCs w:val="36"/>
          <w:u w:val="single"/>
        </w:rPr>
      </w:pPr>
      <w:bookmarkStart w:id="49" w:name="_Toc214406641"/>
      <w:r w:rsidRPr="00F4377C">
        <w:rPr>
          <w:rFonts w:ascii="Arial" w:hAnsi="Arial" w:cs="Arial"/>
          <w:b/>
          <w:bCs/>
          <w:color w:val="000000" w:themeColor="text1"/>
          <w:sz w:val="36"/>
          <w:szCs w:val="36"/>
          <w:u w:val="single"/>
        </w:rPr>
        <w:t>8.Conclusion and Recommendations</w:t>
      </w:r>
      <w:bookmarkEnd w:id="49"/>
    </w:p>
    <w:p w14:paraId="074EDDD8" w14:textId="48E5411F" w:rsidR="00F4377C"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 xml:space="preserve">Concero Education's strategic position in the UK EdTech market and the pressing need for organisational change have been evaluated in this report. According to the analysis, Concero gains from its sector-specific knowledge, agility, and reliable clientele. Political unpredictability, shrinking school budgets, technological disruption, data security regulations, and sustainability pressures pose serious threats to it as well (PESTLE). Internal weaknesses brought about by </w:t>
      </w:r>
      <w:proofErr w:type="spellStart"/>
      <w:r w:rsidRPr="00FD1E9A">
        <w:rPr>
          <w:rFonts w:ascii="Arial" w:hAnsi="Arial" w:cs="Arial"/>
          <w:sz w:val="22"/>
          <w:szCs w:val="22"/>
        </w:rPr>
        <w:lastRenderedPageBreak/>
        <w:t>Concero's</w:t>
      </w:r>
      <w:proofErr w:type="spellEnd"/>
      <w:r w:rsidRPr="00FD1E9A">
        <w:rPr>
          <w:rFonts w:ascii="Arial" w:hAnsi="Arial" w:cs="Arial"/>
          <w:sz w:val="22"/>
          <w:szCs w:val="22"/>
        </w:rPr>
        <w:t xml:space="preserve"> people-dependent model include a lack of resources, a lack of skills, and an excessive dependence on unofficial procedures (SWOT).</w:t>
      </w:r>
    </w:p>
    <w:p w14:paraId="3B408F19" w14:textId="11697E3E"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 xml:space="preserve">Concero needs to change from a relationship-based support provider to a scalable, digitally enabled learning technology partner </w:t>
      </w:r>
      <w:proofErr w:type="gramStart"/>
      <w:r w:rsidRPr="00FD1E9A">
        <w:rPr>
          <w:rFonts w:ascii="Arial" w:hAnsi="Arial" w:cs="Arial"/>
          <w:sz w:val="22"/>
          <w:szCs w:val="22"/>
        </w:rPr>
        <w:t>in order to</w:t>
      </w:r>
      <w:proofErr w:type="gramEnd"/>
      <w:r w:rsidRPr="00FD1E9A">
        <w:rPr>
          <w:rFonts w:ascii="Arial" w:hAnsi="Arial" w:cs="Arial"/>
          <w:sz w:val="22"/>
          <w:szCs w:val="22"/>
        </w:rPr>
        <w:t xml:space="preserve"> maintain its competitiveness in the future. Coordination of investments in workforce competencies, digital infrastructure, cultural fit, and leadership ability are necessary to achieve this.</w:t>
      </w:r>
    </w:p>
    <w:p w14:paraId="24B4C5B1" w14:textId="7A22D2E8"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According to an analysis of change management models, no one framework is adequate. Concero should instead take a hybrid approach that makes use of Kotter's steps for urgency and momentum, Lewin's three stages for sequencing, ADKAR for individual adoption, and McKinsey 7-S for organisational alignment. This process revolves around leadership and culture. Leaders need to adopt a transformational-participative approach, involving staff members with a clear vision and integrating learning and accountability.</w:t>
      </w:r>
    </w:p>
    <w:p w14:paraId="270851CA" w14:textId="677BB0A2" w:rsidR="00FD1E9A" w:rsidRDefault="00FD1E9A" w:rsidP="00FD1E9A">
      <w:pPr>
        <w:spacing w:line="360" w:lineRule="auto"/>
        <w:jc w:val="both"/>
        <w:rPr>
          <w:rFonts w:ascii="Arial" w:hAnsi="Arial" w:cs="Arial"/>
          <w:sz w:val="22"/>
          <w:szCs w:val="22"/>
        </w:rPr>
      </w:pPr>
      <w:r w:rsidRPr="00FD1E9A">
        <w:rPr>
          <w:rFonts w:ascii="Arial" w:hAnsi="Arial" w:cs="Arial"/>
          <w:sz w:val="22"/>
          <w:szCs w:val="22"/>
        </w:rPr>
        <w:t>An integrated change strategy that incorporates precise goals, a phased financial investment, strong communication, organised monitoring, and proactive risk management was described in Section 7. Concero will be able to maintain trust with schools while creating the digital systems and culture needed for long-term growth thanks to this phased and participatory approach.</w:t>
      </w:r>
    </w:p>
    <w:p w14:paraId="334FB882" w14:textId="4BD145B4" w:rsidR="00FD1E9A" w:rsidRPr="00FD1E9A" w:rsidRDefault="00FD1E9A" w:rsidP="00FD1E9A">
      <w:pPr>
        <w:pStyle w:val="Heading2"/>
        <w:rPr>
          <w:rFonts w:ascii="Arial" w:hAnsi="Arial" w:cs="Arial"/>
          <w:b/>
          <w:bCs/>
          <w:color w:val="000000" w:themeColor="text1"/>
          <w:sz w:val="28"/>
          <w:szCs w:val="28"/>
        </w:rPr>
      </w:pPr>
      <w:bookmarkStart w:id="50" w:name="_Toc214406642"/>
      <w:r w:rsidRPr="00FD1E9A">
        <w:rPr>
          <w:rFonts w:ascii="Arial" w:hAnsi="Arial" w:cs="Arial"/>
          <w:b/>
          <w:bCs/>
          <w:color w:val="000000" w:themeColor="text1"/>
          <w:sz w:val="28"/>
          <w:szCs w:val="28"/>
        </w:rPr>
        <w:t>Key Recommendations</w:t>
      </w:r>
      <w:bookmarkEnd w:id="50"/>
    </w:p>
    <w:p w14:paraId="665AA1CF" w14:textId="737484BE" w:rsidR="00FD1E9A" w:rsidRPr="00FD1E9A" w:rsidRDefault="00FD1E9A" w:rsidP="00FD1E9A">
      <w:pPr>
        <w:pStyle w:val="ListParagraph"/>
        <w:numPr>
          <w:ilvl w:val="0"/>
          <w:numId w:val="79"/>
        </w:numPr>
        <w:spacing w:line="360" w:lineRule="auto"/>
        <w:jc w:val="both"/>
        <w:rPr>
          <w:rFonts w:ascii="Arial" w:hAnsi="Arial" w:cs="Arial"/>
          <w:b/>
          <w:bCs/>
          <w:sz w:val="22"/>
          <w:szCs w:val="22"/>
        </w:rPr>
      </w:pPr>
      <w:r w:rsidRPr="00FD1E9A">
        <w:rPr>
          <w:rFonts w:ascii="Arial" w:hAnsi="Arial" w:cs="Arial"/>
          <w:b/>
          <w:bCs/>
          <w:color w:val="172B4D"/>
          <w:sz w:val="22"/>
          <w:szCs w:val="22"/>
          <w:shd w:val="clear" w:color="auto" w:fill="FFFFFF"/>
        </w:rPr>
        <w:t>Adopt a Hybrid Change Framework</w:t>
      </w:r>
    </w:p>
    <w:p w14:paraId="58BB4CD2" w14:textId="6AF29598"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To provide structure, momentum, behavioural adoption, and organisational alignment, combine Lewin, Kotter, ADKAR, and McKinsey 7-S (Burnes, 2004; Verhoef et al., 2021).</w:t>
      </w:r>
    </w:p>
    <w:p w14:paraId="100B0970" w14:textId="6DD68983" w:rsidR="00FD1E9A" w:rsidRPr="00FD1E9A" w:rsidRDefault="00FD1E9A" w:rsidP="00FD1E9A">
      <w:pPr>
        <w:pStyle w:val="ListParagraph"/>
        <w:numPr>
          <w:ilvl w:val="0"/>
          <w:numId w:val="79"/>
        </w:numPr>
        <w:spacing w:line="360" w:lineRule="auto"/>
        <w:jc w:val="both"/>
        <w:rPr>
          <w:rStyle w:val="Strong"/>
          <w:rFonts w:ascii="Arial" w:hAnsi="Arial" w:cs="Arial"/>
          <w:b w:val="0"/>
          <w:bCs w:val="0"/>
          <w:sz w:val="22"/>
          <w:szCs w:val="22"/>
        </w:rPr>
      </w:pPr>
      <w:r w:rsidRPr="00FD1E9A">
        <w:rPr>
          <w:rStyle w:val="Strong"/>
          <w:rFonts w:ascii="Arial" w:eastAsiaTheme="majorEastAsia" w:hAnsi="Arial" w:cs="Arial"/>
          <w:sz w:val="22"/>
          <w:szCs w:val="22"/>
        </w:rPr>
        <w:t>Prioritise Workforce Development</w:t>
      </w:r>
    </w:p>
    <w:p w14:paraId="22D62A46" w14:textId="7D21935E"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To boost motivation and retention, provide structured training in analytics, cloud services, and cybersecurity. Connect newly acquired skills to career advancement (Ertmer</w:t>
      </w:r>
      <w:r w:rsidR="00B07D6F">
        <w:rPr>
          <w:rFonts w:ascii="Arial" w:hAnsi="Arial" w:cs="Arial"/>
          <w:sz w:val="22"/>
          <w:szCs w:val="22"/>
        </w:rPr>
        <w:t xml:space="preserve"> and</w:t>
      </w:r>
      <w:r w:rsidRPr="00FD1E9A">
        <w:rPr>
          <w:rFonts w:ascii="Arial" w:hAnsi="Arial" w:cs="Arial"/>
          <w:sz w:val="22"/>
          <w:szCs w:val="22"/>
        </w:rPr>
        <w:t xml:space="preserve"> Ottenbreit-Leftwich, 2010).</w:t>
      </w:r>
    </w:p>
    <w:p w14:paraId="4639BAEE" w14:textId="321B5395" w:rsidR="00FD1E9A" w:rsidRPr="00FD1E9A" w:rsidRDefault="00FD1E9A" w:rsidP="00FD1E9A">
      <w:pPr>
        <w:pStyle w:val="ListParagraph"/>
        <w:numPr>
          <w:ilvl w:val="0"/>
          <w:numId w:val="79"/>
        </w:numPr>
        <w:spacing w:line="360" w:lineRule="auto"/>
        <w:jc w:val="both"/>
        <w:rPr>
          <w:rFonts w:ascii="Arial" w:hAnsi="Arial" w:cs="Arial"/>
          <w:b/>
          <w:bCs/>
          <w:sz w:val="22"/>
          <w:szCs w:val="22"/>
        </w:rPr>
      </w:pPr>
      <w:r w:rsidRPr="00FD1E9A">
        <w:rPr>
          <w:rFonts w:ascii="Arial" w:hAnsi="Arial" w:cs="Arial"/>
          <w:b/>
          <w:bCs/>
          <w:sz w:val="22"/>
          <w:szCs w:val="22"/>
        </w:rPr>
        <w:t>Embed Transformational-Participative Leadership</w:t>
      </w:r>
    </w:p>
    <w:p w14:paraId="12592107" w14:textId="20B8ECF6"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 xml:space="preserve">Middle managers serve as change agents, and senior leaders must move from operational focus to vision-setting and cultural change (Bass </w:t>
      </w:r>
      <w:r w:rsidR="00B07D6F">
        <w:rPr>
          <w:rFonts w:ascii="Arial" w:hAnsi="Arial" w:cs="Arial"/>
          <w:sz w:val="22"/>
          <w:szCs w:val="22"/>
        </w:rPr>
        <w:t>and</w:t>
      </w:r>
      <w:r w:rsidRPr="00FD1E9A">
        <w:rPr>
          <w:rFonts w:ascii="Arial" w:hAnsi="Arial" w:cs="Arial"/>
          <w:sz w:val="22"/>
          <w:szCs w:val="22"/>
        </w:rPr>
        <w:t xml:space="preserve"> Riggio, 2006; Lines, 2004).</w:t>
      </w:r>
    </w:p>
    <w:p w14:paraId="3E517479" w14:textId="6C664AC7" w:rsidR="00FD1E9A" w:rsidRPr="00FD1E9A" w:rsidRDefault="00FD1E9A" w:rsidP="00FD1E9A">
      <w:pPr>
        <w:pStyle w:val="ListParagraph"/>
        <w:numPr>
          <w:ilvl w:val="0"/>
          <w:numId w:val="79"/>
        </w:numPr>
        <w:spacing w:line="360" w:lineRule="auto"/>
        <w:jc w:val="both"/>
        <w:rPr>
          <w:rFonts w:ascii="Arial" w:hAnsi="Arial" w:cs="Arial"/>
          <w:b/>
          <w:bCs/>
          <w:sz w:val="22"/>
          <w:szCs w:val="22"/>
        </w:rPr>
      </w:pPr>
      <w:r w:rsidRPr="00FD1E9A">
        <w:rPr>
          <w:rFonts w:ascii="Arial" w:hAnsi="Arial" w:cs="Arial"/>
          <w:b/>
          <w:bCs/>
          <w:sz w:val="22"/>
          <w:szCs w:val="22"/>
        </w:rPr>
        <w:t>Formalise and Automate Processes</w:t>
      </w:r>
    </w:p>
    <w:p w14:paraId="5A6340D5" w14:textId="4685CE8D" w:rsidR="00FD1E9A" w:rsidRPr="00FD1E9A" w:rsidRDefault="00FD1E9A" w:rsidP="00FD1E9A">
      <w:pPr>
        <w:spacing w:line="360" w:lineRule="auto"/>
        <w:jc w:val="both"/>
        <w:rPr>
          <w:rFonts w:ascii="Arial" w:hAnsi="Arial" w:cs="Arial"/>
          <w:sz w:val="22"/>
          <w:szCs w:val="22"/>
        </w:rPr>
      </w:pPr>
      <w:r w:rsidRPr="00FD1E9A">
        <w:rPr>
          <w:rFonts w:ascii="Arial" w:hAnsi="Arial" w:cs="Arial"/>
          <w:sz w:val="22"/>
          <w:szCs w:val="22"/>
        </w:rPr>
        <w:t>Implement standardised knowledge bases, monitoring systems, and workflows to guarantee scalability and lessen reliance on specialised knowledge.</w:t>
      </w:r>
    </w:p>
    <w:p w14:paraId="42AA6B58" w14:textId="5E104E19" w:rsidR="00FD1E9A" w:rsidRPr="00FD1E9A" w:rsidRDefault="00FD1E9A" w:rsidP="00FD1E9A">
      <w:pPr>
        <w:pStyle w:val="ListParagraph"/>
        <w:numPr>
          <w:ilvl w:val="0"/>
          <w:numId w:val="79"/>
        </w:numPr>
        <w:spacing w:line="360" w:lineRule="auto"/>
        <w:jc w:val="both"/>
        <w:rPr>
          <w:rFonts w:ascii="Arial" w:hAnsi="Arial" w:cs="Arial"/>
          <w:b/>
          <w:bCs/>
          <w:sz w:val="22"/>
          <w:szCs w:val="22"/>
        </w:rPr>
      </w:pPr>
      <w:r w:rsidRPr="00FD1E9A">
        <w:rPr>
          <w:rFonts w:ascii="Arial" w:hAnsi="Arial" w:cs="Arial"/>
          <w:b/>
          <w:bCs/>
          <w:sz w:val="22"/>
          <w:szCs w:val="22"/>
        </w:rPr>
        <w:t>Implement Continuous Evaluation and Risk Management</w:t>
      </w:r>
    </w:p>
    <w:p w14:paraId="78698E18" w14:textId="04EC6AB8" w:rsidR="00C12254" w:rsidRPr="00B07D6F" w:rsidRDefault="00FD1E9A" w:rsidP="00B07D6F">
      <w:pPr>
        <w:spacing w:line="360" w:lineRule="auto"/>
        <w:jc w:val="both"/>
        <w:rPr>
          <w:rFonts w:ascii="Arial" w:hAnsi="Arial" w:cs="Arial"/>
          <w:sz w:val="22"/>
          <w:szCs w:val="22"/>
        </w:rPr>
      </w:pPr>
      <w:r w:rsidRPr="00FD1E9A">
        <w:rPr>
          <w:rFonts w:ascii="Arial" w:hAnsi="Arial" w:cs="Arial"/>
          <w:sz w:val="22"/>
          <w:szCs w:val="22"/>
        </w:rPr>
        <w:t xml:space="preserve">To keep things moving forward and address problems as soon as they arise, monitor progress using quarterly KPIs, balanced scorecards, and frequent risk assessments (Kaplan </w:t>
      </w:r>
      <w:r w:rsidR="00B07D6F">
        <w:rPr>
          <w:rFonts w:ascii="Arial" w:hAnsi="Arial" w:cs="Arial"/>
          <w:sz w:val="22"/>
          <w:szCs w:val="22"/>
        </w:rPr>
        <w:t xml:space="preserve">and </w:t>
      </w:r>
      <w:r w:rsidRPr="00FD1E9A">
        <w:rPr>
          <w:rFonts w:ascii="Arial" w:hAnsi="Arial" w:cs="Arial"/>
          <w:sz w:val="22"/>
          <w:szCs w:val="22"/>
        </w:rPr>
        <w:t>Norton, 2005).</w:t>
      </w:r>
    </w:p>
    <w:p w14:paraId="3CC07F95" w14:textId="6A743710" w:rsidR="00DB3FCC" w:rsidRPr="00F4377C" w:rsidRDefault="00F4377C" w:rsidP="00A02ED7">
      <w:pPr>
        <w:pStyle w:val="Heading1"/>
        <w:spacing w:line="360" w:lineRule="auto"/>
        <w:rPr>
          <w:rFonts w:ascii="Arial" w:hAnsi="Arial" w:cs="Arial"/>
          <w:b/>
          <w:bCs/>
          <w:color w:val="000000" w:themeColor="text1"/>
          <w:sz w:val="36"/>
          <w:szCs w:val="36"/>
          <w:u w:val="single"/>
        </w:rPr>
      </w:pPr>
      <w:bookmarkStart w:id="51" w:name="_Toc214406643"/>
      <w:r w:rsidRPr="00F4377C">
        <w:rPr>
          <w:rFonts w:ascii="Arial" w:hAnsi="Arial" w:cs="Arial"/>
          <w:b/>
          <w:bCs/>
          <w:color w:val="000000" w:themeColor="text1"/>
          <w:sz w:val="36"/>
          <w:szCs w:val="36"/>
          <w:u w:val="single"/>
        </w:rPr>
        <w:lastRenderedPageBreak/>
        <w:t xml:space="preserve">9. </w:t>
      </w:r>
      <w:r w:rsidR="00CA6C19" w:rsidRPr="00F4377C">
        <w:rPr>
          <w:rFonts w:ascii="Arial" w:hAnsi="Arial" w:cs="Arial"/>
          <w:b/>
          <w:bCs/>
          <w:color w:val="000000" w:themeColor="text1"/>
          <w:sz w:val="36"/>
          <w:szCs w:val="36"/>
          <w:u w:val="single"/>
        </w:rPr>
        <w:t>Reference:</w:t>
      </w:r>
      <w:bookmarkEnd w:id="51"/>
    </w:p>
    <w:p w14:paraId="37B8BDF6"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Al-Ali, A.A., Singh, S.K., Al-Nahyan, M. and Sohal, A.S., 2017. Change management through leadership: the mediating role of organizational culture.</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International Journal of Organizational Analysis</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25</w:t>
      </w:r>
      <w:r w:rsidRPr="00B07D6F">
        <w:rPr>
          <w:rFonts w:ascii="Arial" w:hAnsi="Arial" w:cs="Arial"/>
          <w:color w:val="222222"/>
          <w:sz w:val="22"/>
          <w:szCs w:val="22"/>
          <w:shd w:val="clear" w:color="auto" w:fill="FFFFFF"/>
        </w:rPr>
        <w:t>(4), pp.723-739.</w:t>
      </w:r>
    </w:p>
    <w:p w14:paraId="708CB6BF" w14:textId="3C5E4FAD" w:rsidR="00B07D6F" w:rsidRPr="00B07D6F" w:rsidRDefault="00B07D6F"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0" w:history="1">
        <w:r w:rsidRPr="00B07D6F">
          <w:rPr>
            <w:rStyle w:val="Hyperlink"/>
            <w:rFonts w:ascii="Arial" w:hAnsi="Arial" w:cs="Arial"/>
            <w:sz w:val="22"/>
            <w:szCs w:val="22"/>
            <w:shd w:val="clear" w:color="auto" w:fill="FFFFFF"/>
          </w:rPr>
          <w:t>https://www.emerald.com/ijoa/article-abstract/25/4/723/137536/Change-management-through-leadership-the-mediating?redirectedFrom=fulltext</w:t>
        </w:r>
      </w:hyperlink>
    </w:p>
    <w:p w14:paraId="455C630E" w14:textId="77777777" w:rsidR="00F4377C" w:rsidRPr="00B07D6F" w:rsidRDefault="00F4377C" w:rsidP="00F4377C">
      <w:pPr>
        <w:rPr>
          <w:rFonts w:ascii="Arial" w:hAnsi="Arial" w:cs="Arial"/>
          <w:color w:val="222222"/>
          <w:sz w:val="22"/>
          <w:szCs w:val="22"/>
          <w:shd w:val="clear" w:color="auto" w:fill="FFFFFF"/>
        </w:rPr>
      </w:pPr>
    </w:p>
    <w:p w14:paraId="0450DE04"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Bass, B.M. and Riggio, R.E., 2006.</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Transformational leadership</w:t>
      </w:r>
      <w:r w:rsidRPr="00B07D6F">
        <w:rPr>
          <w:rFonts w:ascii="Arial" w:hAnsi="Arial" w:cs="Arial"/>
          <w:color w:val="222222"/>
          <w:sz w:val="22"/>
          <w:szCs w:val="22"/>
          <w:shd w:val="clear" w:color="auto" w:fill="FFFFFF"/>
        </w:rPr>
        <w:t>. Psychology press.</w:t>
      </w:r>
    </w:p>
    <w:p w14:paraId="3065F08E" w14:textId="6E85A039"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1" w:history="1">
        <w:r w:rsidRPr="00B07D6F">
          <w:rPr>
            <w:rStyle w:val="Hyperlink"/>
            <w:rFonts w:ascii="Arial" w:hAnsi="Arial" w:cs="Arial"/>
            <w:sz w:val="22"/>
            <w:szCs w:val="22"/>
            <w:shd w:val="clear" w:color="auto" w:fill="FFFFFF"/>
          </w:rPr>
          <w:t>https://www.taylorfrancis.com/books/mono/10.4324/9781410617095/transformational-leadership-bernard-bass-ronald-riggio</w:t>
        </w:r>
      </w:hyperlink>
    </w:p>
    <w:p w14:paraId="04118D4A" w14:textId="77777777" w:rsidR="00B07D6F" w:rsidRPr="00B07D6F" w:rsidRDefault="00B07D6F" w:rsidP="00F4377C">
      <w:pPr>
        <w:rPr>
          <w:rFonts w:ascii="Arial" w:hAnsi="Arial" w:cs="Arial"/>
          <w:color w:val="222222"/>
          <w:sz w:val="22"/>
          <w:szCs w:val="22"/>
          <w:shd w:val="clear" w:color="auto" w:fill="FFFFFF"/>
        </w:rPr>
      </w:pPr>
    </w:p>
    <w:p w14:paraId="2D61EF55" w14:textId="77777777" w:rsidR="00F4377C" w:rsidRPr="00B07D6F" w:rsidRDefault="00F4377C" w:rsidP="00F4377C">
      <w:pPr>
        <w:rPr>
          <w:rFonts w:ascii="Arial" w:hAnsi="Arial" w:cs="Arial"/>
          <w:color w:val="222222"/>
          <w:sz w:val="22"/>
          <w:szCs w:val="22"/>
          <w:shd w:val="clear" w:color="auto" w:fill="FFFFFF"/>
        </w:rPr>
      </w:pPr>
    </w:p>
    <w:p w14:paraId="21276C58"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Bouwman, H., Nikou, S. and De </w:t>
      </w:r>
      <w:proofErr w:type="spellStart"/>
      <w:r w:rsidRPr="00B07D6F">
        <w:rPr>
          <w:rFonts w:ascii="Arial" w:hAnsi="Arial" w:cs="Arial"/>
          <w:color w:val="222222"/>
          <w:sz w:val="22"/>
          <w:szCs w:val="22"/>
          <w:shd w:val="clear" w:color="auto" w:fill="FFFFFF"/>
        </w:rPr>
        <w:t>Reuver</w:t>
      </w:r>
      <w:proofErr w:type="spellEnd"/>
      <w:r w:rsidRPr="00B07D6F">
        <w:rPr>
          <w:rFonts w:ascii="Arial" w:hAnsi="Arial" w:cs="Arial"/>
          <w:color w:val="222222"/>
          <w:sz w:val="22"/>
          <w:szCs w:val="22"/>
          <w:shd w:val="clear" w:color="auto" w:fill="FFFFFF"/>
        </w:rPr>
        <w:t xml:space="preserve">, M., 2019. Digitalization, business models, and SMEs: How do business model innovation practices improve performance of digitalizing </w:t>
      </w:r>
      <w:proofErr w:type="gramStart"/>
      <w:r w:rsidRPr="00B07D6F">
        <w:rPr>
          <w:rFonts w:ascii="Arial" w:hAnsi="Arial" w:cs="Arial"/>
          <w:color w:val="222222"/>
          <w:sz w:val="22"/>
          <w:szCs w:val="22"/>
          <w:shd w:val="clear" w:color="auto" w:fill="FFFFFF"/>
        </w:rPr>
        <w:t>SMEs?.</w:t>
      </w:r>
      <w:proofErr w:type="gramEnd"/>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Telecommunications Policy</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43</w:t>
      </w:r>
      <w:r w:rsidRPr="00B07D6F">
        <w:rPr>
          <w:rFonts w:ascii="Arial" w:hAnsi="Arial" w:cs="Arial"/>
          <w:color w:val="222222"/>
          <w:sz w:val="22"/>
          <w:szCs w:val="22"/>
          <w:shd w:val="clear" w:color="auto" w:fill="FFFFFF"/>
        </w:rPr>
        <w:t>(9), p.101828.</w:t>
      </w:r>
    </w:p>
    <w:p w14:paraId="53CC8980" w14:textId="42A5271E"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2" w:history="1">
        <w:r w:rsidRPr="00B07D6F">
          <w:rPr>
            <w:rStyle w:val="Hyperlink"/>
            <w:rFonts w:ascii="Arial" w:hAnsi="Arial" w:cs="Arial"/>
            <w:sz w:val="22"/>
            <w:szCs w:val="22"/>
            <w:shd w:val="clear" w:color="auto" w:fill="FFFFFF"/>
          </w:rPr>
          <w:t>https://www.sciencedirect.com/science/article/abs/pii/S0308596117304238</w:t>
        </w:r>
      </w:hyperlink>
    </w:p>
    <w:p w14:paraId="5502498D" w14:textId="77777777" w:rsidR="00B07D6F" w:rsidRPr="00B07D6F" w:rsidRDefault="00B07D6F" w:rsidP="00F4377C">
      <w:pPr>
        <w:rPr>
          <w:rFonts w:ascii="Arial" w:hAnsi="Arial" w:cs="Arial"/>
          <w:color w:val="222222"/>
          <w:sz w:val="22"/>
          <w:szCs w:val="22"/>
          <w:shd w:val="clear" w:color="auto" w:fill="FFFFFF"/>
        </w:rPr>
      </w:pPr>
    </w:p>
    <w:p w14:paraId="007424FE" w14:textId="77777777" w:rsidR="00F4377C" w:rsidRPr="00B07D6F" w:rsidRDefault="00F4377C" w:rsidP="00F4377C">
      <w:pPr>
        <w:rPr>
          <w:rFonts w:ascii="Arial" w:hAnsi="Arial" w:cs="Arial"/>
          <w:color w:val="222222"/>
          <w:sz w:val="22"/>
          <w:szCs w:val="22"/>
          <w:shd w:val="clear" w:color="auto" w:fill="FFFFFF"/>
        </w:rPr>
      </w:pPr>
    </w:p>
    <w:p w14:paraId="02BBE085"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Burnes, B., 2004. Kurt Lewin and the planned approach to change: a re</w:t>
      </w:r>
      <w:r w:rsidRPr="00B07D6F">
        <w:rPr>
          <w:rFonts w:ascii="Cambria Math" w:hAnsi="Cambria Math" w:cs="Cambria Math"/>
          <w:color w:val="222222"/>
          <w:sz w:val="22"/>
          <w:szCs w:val="22"/>
          <w:shd w:val="clear" w:color="auto" w:fill="FFFFFF"/>
        </w:rPr>
        <w:t>‐</w:t>
      </w:r>
      <w:r w:rsidRPr="00B07D6F">
        <w:rPr>
          <w:rFonts w:ascii="Arial" w:hAnsi="Arial" w:cs="Arial"/>
          <w:color w:val="222222"/>
          <w:sz w:val="22"/>
          <w:szCs w:val="22"/>
          <w:shd w:val="clear" w:color="auto" w:fill="FFFFFF"/>
        </w:rPr>
        <w:t>appraisal.</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Management studies</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41</w:t>
      </w:r>
      <w:r w:rsidRPr="00B07D6F">
        <w:rPr>
          <w:rFonts w:ascii="Arial" w:hAnsi="Arial" w:cs="Arial"/>
          <w:color w:val="222222"/>
          <w:sz w:val="22"/>
          <w:szCs w:val="22"/>
          <w:shd w:val="clear" w:color="auto" w:fill="FFFFFF"/>
        </w:rPr>
        <w:t>(6), pp.977-1002.</w:t>
      </w:r>
    </w:p>
    <w:p w14:paraId="29F7B576" w14:textId="5D6A6CF4"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3" w:history="1">
        <w:r w:rsidRPr="00B07D6F">
          <w:rPr>
            <w:rStyle w:val="Hyperlink"/>
            <w:rFonts w:ascii="Arial" w:hAnsi="Arial" w:cs="Arial"/>
            <w:sz w:val="22"/>
            <w:szCs w:val="22"/>
            <w:shd w:val="clear" w:color="auto" w:fill="FFFFFF"/>
          </w:rPr>
          <w:t>https://onlinelibrary.wiley.com/doi/full/10.1111/j.1467-6486.2004.00463.x</w:t>
        </w:r>
      </w:hyperlink>
    </w:p>
    <w:p w14:paraId="3E8907A9" w14:textId="77777777" w:rsidR="00B07D6F" w:rsidRPr="00B07D6F" w:rsidRDefault="00B07D6F" w:rsidP="00F4377C">
      <w:pPr>
        <w:rPr>
          <w:rFonts w:ascii="Arial" w:hAnsi="Arial" w:cs="Arial"/>
          <w:color w:val="222222"/>
          <w:sz w:val="22"/>
          <w:szCs w:val="22"/>
          <w:shd w:val="clear" w:color="auto" w:fill="FFFFFF"/>
        </w:rPr>
      </w:pPr>
    </w:p>
    <w:p w14:paraId="7CA1034A" w14:textId="77777777" w:rsidR="00F4377C" w:rsidRPr="00B07D6F" w:rsidRDefault="00F4377C" w:rsidP="00F4377C">
      <w:pPr>
        <w:rPr>
          <w:rFonts w:ascii="Arial" w:hAnsi="Arial" w:cs="Arial"/>
          <w:color w:val="222222"/>
          <w:sz w:val="22"/>
          <w:szCs w:val="22"/>
          <w:shd w:val="clear" w:color="auto" w:fill="FFFFFF"/>
        </w:rPr>
      </w:pPr>
    </w:p>
    <w:p w14:paraId="48082355"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Dekimpe, M.G. and Deleersnyder, B., 2018. Business cycle research in marketing: A review and research agenda.</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the Academy of Marketing Science</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46</w:t>
      </w:r>
      <w:r w:rsidRPr="00B07D6F">
        <w:rPr>
          <w:rFonts w:ascii="Arial" w:hAnsi="Arial" w:cs="Arial"/>
          <w:color w:val="222222"/>
          <w:sz w:val="22"/>
          <w:szCs w:val="22"/>
          <w:shd w:val="clear" w:color="auto" w:fill="FFFFFF"/>
        </w:rPr>
        <w:t>(1), pp.31-58.</w:t>
      </w:r>
    </w:p>
    <w:p w14:paraId="5F5F1D45" w14:textId="0AEE229B"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4" w:history="1">
        <w:r w:rsidRPr="00B07D6F">
          <w:rPr>
            <w:rStyle w:val="Hyperlink"/>
            <w:rFonts w:ascii="Arial" w:hAnsi="Arial" w:cs="Arial"/>
            <w:sz w:val="22"/>
            <w:szCs w:val="22"/>
            <w:shd w:val="clear" w:color="auto" w:fill="FFFFFF"/>
          </w:rPr>
          <w:t>https://link.springer.com/article/10.1007/s11747-017-0542-9</w:t>
        </w:r>
      </w:hyperlink>
    </w:p>
    <w:p w14:paraId="5CEF3207" w14:textId="77777777" w:rsidR="00B07D6F" w:rsidRPr="00B07D6F" w:rsidRDefault="00B07D6F" w:rsidP="00F4377C">
      <w:pPr>
        <w:rPr>
          <w:rFonts w:ascii="Arial" w:hAnsi="Arial" w:cs="Arial"/>
          <w:color w:val="222222"/>
          <w:sz w:val="22"/>
          <w:szCs w:val="22"/>
          <w:shd w:val="clear" w:color="auto" w:fill="FFFFFF"/>
        </w:rPr>
      </w:pPr>
    </w:p>
    <w:p w14:paraId="7B403F2E" w14:textId="77777777" w:rsidR="00F4377C" w:rsidRPr="00B07D6F" w:rsidRDefault="00F4377C" w:rsidP="00F4377C">
      <w:pPr>
        <w:rPr>
          <w:rFonts w:ascii="Arial" w:hAnsi="Arial" w:cs="Arial"/>
          <w:color w:val="222222"/>
          <w:sz w:val="22"/>
          <w:szCs w:val="22"/>
          <w:shd w:val="clear" w:color="auto" w:fill="FFFFFF"/>
        </w:rPr>
      </w:pPr>
    </w:p>
    <w:p w14:paraId="6AC4B69A"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Ertmer, P.A. and Ottenbreit-Leftwich, A.T., 2010. Teacher technology change: How knowledge, confidence, beliefs, and culture intersect.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research on Technology in Education</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42</w:t>
      </w:r>
      <w:r w:rsidRPr="00B07D6F">
        <w:rPr>
          <w:rFonts w:ascii="Arial" w:hAnsi="Arial" w:cs="Arial"/>
          <w:color w:val="222222"/>
          <w:sz w:val="22"/>
          <w:szCs w:val="22"/>
          <w:shd w:val="clear" w:color="auto" w:fill="FFFFFF"/>
        </w:rPr>
        <w:t>(3), pp.255-284.</w:t>
      </w:r>
    </w:p>
    <w:p w14:paraId="47E10064" w14:textId="1EBE099D"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5" w:history="1">
        <w:r w:rsidRPr="00B07D6F">
          <w:rPr>
            <w:rStyle w:val="Hyperlink"/>
            <w:rFonts w:ascii="Arial" w:hAnsi="Arial" w:cs="Arial"/>
            <w:sz w:val="22"/>
            <w:szCs w:val="22"/>
            <w:shd w:val="clear" w:color="auto" w:fill="FFFFFF"/>
          </w:rPr>
          <w:t>https://www.tandfonline.com/doi/abs/10.1080/15391523.2010.10782551</w:t>
        </w:r>
      </w:hyperlink>
    </w:p>
    <w:p w14:paraId="20FDE904" w14:textId="77777777" w:rsidR="00B07D6F" w:rsidRPr="00B07D6F" w:rsidRDefault="00B07D6F" w:rsidP="00F4377C">
      <w:pPr>
        <w:rPr>
          <w:rFonts w:ascii="Arial" w:hAnsi="Arial" w:cs="Arial"/>
          <w:color w:val="222222"/>
          <w:sz w:val="22"/>
          <w:szCs w:val="22"/>
          <w:shd w:val="clear" w:color="auto" w:fill="FFFFFF"/>
        </w:rPr>
      </w:pPr>
    </w:p>
    <w:p w14:paraId="179E2B8F" w14:textId="77777777" w:rsidR="00F4377C" w:rsidRPr="00B07D6F" w:rsidRDefault="00F4377C" w:rsidP="00F4377C">
      <w:pPr>
        <w:rPr>
          <w:rFonts w:ascii="Arial" w:hAnsi="Arial" w:cs="Arial"/>
          <w:color w:val="222222"/>
          <w:sz w:val="22"/>
          <w:szCs w:val="22"/>
          <w:shd w:val="clear" w:color="auto" w:fill="FFFFFF"/>
        </w:rPr>
      </w:pPr>
    </w:p>
    <w:p w14:paraId="29F9B8EF"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Floyd, S.W. and Wooldridge, B., 1997. Middle management’s strategic influence and organizational performance.</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Management studies</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34</w:t>
      </w:r>
      <w:r w:rsidRPr="00B07D6F">
        <w:rPr>
          <w:rFonts w:ascii="Arial" w:hAnsi="Arial" w:cs="Arial"/>
          <w:color w:val="222222"/>
          <w:sz w:val="22"/>
          <w:szCs w:val="22"/>
          <w:shd w:val="clear" w:color="auto" w:fill="FFFFFF"/>
        </w:rPr>
        <w:t>(3), pp.465-485.</w:t>
      </w:r>
    </w:p>
    <w:p w14:paraId="06465C63" w14:textId="666A2375"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6" w:history="1">
        <w:r w:rsidRPr="00B07D6F">
          <w:rPr>
            <w:rStyle w:val="Hyperlink"/>
            <w:rFonts w:ascii="Arial" w:hAnsi="Arial" w:cs="Arial"/>
            <w:sz w:val="22"/>
            <w:szCs w:val="22"/>
            <w:shd w:val="clear" w:color="auto" w:fill="FFFFFF"/>
          </w:rPr>
          <w:t>https://onlinelibrary.wiley.com/doi/abs/10.1111/1467-6486.00059</w:t>
        </w:r>
      </w:hyperlink>
    </w:p>
    <w:p w14:paraId="21B70BA4" w14:textId="77777777" w:rsidR="00B07D6F" w:rsidRPr="00B07D6F" w:rsidRDefault="00B07D6F" w:rsidP="00F4377C">
      <w:pPr>
        <w:rPr>
          <w:rFonts w:ascii="Arial" w:hAnsi="Arial" w:cs="Arial"/>
          <w:color w:val="222222"/>
          <w:sz w:val="22"/>
          <w:szCs w:val="22"/>
          <w:shd w:val="clear" w:color="auto" w:fill="FFFFFF"/>
        </w:rPr>
      </w:pPr>
    </w:p>
    <w:p w14:paraId="6C387433" w14:textId="77777777" w:rsidR="00F4377C" w:rsidRPr="00B07D6F" w:rsidRDefault="00F4377C" w:rsidP="00F4377C">
      <w:pPr>
        <w:rPr>
          <w:rFonts w:ascii="Arial" w:hAnsi="Arial" w:cs="Arial"/>
          <w:color w:val="222222"/>
          <w:sz w:val="22"/>
          <w:szCs w:val="22"/>
          <w:shd w:val="clear" w:color="auto" w:fill="FFFFFF"/>
        </w:rPr>
      </w:pPr>
    </w:p>
    <w:p w14:paraId="4CCEBE64"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Greany, T. and Higham, R., 2018. Hierarchy, markets and networks: Analysing </w:t>
      </w:r>
      <w:proofErr w:type="spellStart"/>
      <w:r w:rsidRPr="00B07D6F">
        <w:rPr>
          <w:rFonts w:ascii="Arial" w:hAnsi="Arial" w:cs="Arial"/>
          <w:color w:val="222222"/>
          <w:sz w:val="22"/>
          <w:szCs w:val="22"/>
          <w:shd w:val="clear" w:color="auto" w:fill="FFFFFF"/>
        </w:rPr>
        <w:t>the'self</w:t>
      </w:r>
      <w:proofErr w:type="spellEnd"/>
      <w:r w:rsidRPr="00B07D6F">
        <w:rPr>
          <w:rFonts w:ascii="Arial" w:hAnsi="Arial" w:cs="Arial"/>
          <w:color w:val="222222"/>
          <w:sz w:val="22"/>
          <w:szCs w:val="22"/>
          <w:shd w:val="clear" w:color="auto" w:fill="FFFFFF"/>
        </w:rPr>
        <w:t xml:space="preserve">-improving school-led </w:t>
      </w:r>
      <w:proofErr w:type="spellStart"/>
      <w:r w:rsidRPr="00B07D6F">
        <w:rPr>
          <w:rFonts w:ascii="Arial" w:hAnsi="Arial" w:cs="Arial"/>
          <w:color w:val="222222"/>
          <w:sz w:val="22"/>
          <w:szCs w:val="22"/>
          <w:shd w:val="clear" w:color="auto" w:fill="FFFFFF"/>
        </w:rPr>
        <w:t>system'agenda</w:t>
      </w:r>
      <w:proofErr w:type="spellEnd"/>
      <w:r w:rsidRPr="00B07D6F">
        <w:rPr>
          <w:rFonts w:ascii="Arial" w:hAnsi="Arial" w:cs="Arial"/>
          <w:color w:val="222222"/>
          <w:sz w:val="22"/>
          <w:szCs w:val="22"/>
          <w:shd w:val="clear" w:color="auto" w:fill="FFFFFF"/>
        </w:rPr>
        <w:t xml:space="preserve"> in England and the implications for schools.</w:t>
      </w:r>
    </w:p>
    <w:p w14:paraId="18A6E64D" w14:textId="29CC75D0"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7" w:history="1">
        <w:r w:rsidRPr="00B07D6F">
          <w:rPr>
            <w:rStyle w:val="Hyperlink"/>
            <w:rFonts w:ascii="Arial" w:hAnsi="Arial" w:cs="Arial"/>
            <w:sz w:val="22"/>
            <w:szCs w:val="22"/>
            <w:shd w:val="clear" w:color="auto" w:fill="FFFFFF"/>
          </w:rPr>
          <w:t>https://discovery.ucl.ac.uk/id/eprint/10053501/</w:t>
        </w:r>
      </w:hyperlink>
    </w:p>
    <w:p w14:paraId="3A6AFA16" w14:textId="77777777" w:rsidR="00B07D6F" w:rsidRPr="00B07D6F" w:rsidRDefault="00B07D6F" w:rsidP="00F4377C">
      <w:pPr>
        <w:rPr>
          <w:rFonts w:ascii="Arial" w:hAnsi="Arial" w:cs="Arial"/>
          <w:color w:val="222222"/>
          <w:sz w:val="22"/>
          <w:szCs w:val="22"/>
          <w:shd w:val="clear" w:color="auto" w:fill="FFFFFF"/>
        </w:rPr>
      </w:pPr>
    </w:p>
    <w:p w14:paraId="404D6D29" w14:textId="77777777" w:rsidR="00F4377C" w:rsidRPr="00B07D6F" w:rsidRDefault="00F4377C" w:rsidP="00F4377C">
      <w:pPr>
        <w:rPr>
          <w:rFonts w:ascii="Arial" w:hAnsi="Arial" w:cs="Arial"/>
          <w:color w:val="222222"/>
          <w:sz w:val="22"/>
          <w:szCs w:val="22"/>
          <w:shd w:val="clear" w:color="auto" w:fill="FFFFFF"/>
        </w:rPr>
      </w:pPr>
    </w:p>
    <w:p w14:paraId="7561A3A5"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Hiatt, J., 2006.</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ADKAR: a model for change in business, government, and our community</w:t>
      </w:r>
      <w:r w:rsidRPr="00B07D6F">
        <w:rPr>
          <w:rFonts w:ascii="Arial" w:hAnsi="Arial" w:cs="Arial"/>
          <w:color w:val="222222"/>
          <w:sz w:val="22"/>
          <w:szCs w:val="22"/>
          <w:shd w:val="clear" w:color="auto" w:fill="FFFFFF"/>
        </w:rPr>
        <w:t xml:space="preserve">. </w:t>
      </w:r>
      <w:proofErr w:type="spellStart"/>
      <w:r w:rsidRPr="00B07D6F">
        <w:rPr>
          <w:rFonts w:ascii="Arial" w:hAnsi="Arial" w:cs="Arial"/>
          <w:color w:val="222222"/>
          <w:sz w:val="22"/>
          <w:szCs w:val="22"/>
          <w:shd w:val="clear" w:color="auto" w:fill="FFFFFF"/>
        </w:rPr>
        <w:t>Prosci</w:t>
      </w:r>
      <w:proofErr w:type="spellEnd"/>
      <w:r w:rsidRPr="00B07D6F">
        <w:rPr>
          <w:rFonts w:ascii="Arial" w:hAnsi="Arial" w:cs="Arial"/>
          <w:color w:val="222222"/>
          <w:sz w:val="22"/>
          <w:szCs w:val="22"/>
          <w:shd w:val="clear" w:color="auto" w:fill="FFFFFF"/>
        </w:rPr>
        <w:t>.</w:t>
      </w:r>
    </w:p>
    <w:p w14:paraId="3DCFE468"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Jarke, J. and Breiter, A., 2019. The datafication of education.</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Learning, Media and Technology</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44</w:t>
      </w:r>
      <w:r w:rsidRPr="00B07D6F">
        <w:rPr>
          <w:rFonts w:ascii="Arial" w:hAnsi="Arial" w:cs="Arial"/>
          <w:color w:val="222222"/>
          <w:sz w:val="22"/>
          <w:szCs w:val="22"/>
          <w:shd w:val="clear" w:color="auto" w:fill="FFFFFF"/>
        </w:rPr>
        <w:t>(1), pp.1-6.</w:t>
      </w:r>
    </w:p>
    <w:p w14:paraId="60FCDF2F" w14:textId="1C79E142"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8" w:anchor="v=onepage&amp;q&amp;f=false" w:history="1">
        <w:r w:rsidRPr="00B07D6F">
          <w:rPr>
            <w:rStyle w:val="Hyperlink"/>
            <w:rFonts w:ascii="Arial" w:hAnsi="Arial" w:cs="Arial"/>
            <w:sz w:val="22"/>
            <w:szCs w:val="22"/>
            <w:shd w:val="clear" w:color="auto" w:fill="FFFFFF"/>
          </w:rPr>
          <w:t>https://books.google.co.uk/books?hl=en&amp;lr=&amp;id=Te_cHbWv-ZgC&amp;oi=fnd&amp;pg=PA1&amp;dq=Hiatt,+J.,+2006.+ADKAR:+a+model+for+change+in+business,+government,+and+our+community.+Prosci.+Jarke,+J.+and+Breiter,+A.,+2019.+The+dataficat</w:t>
        </w:r>
        <w:r w:rsidRPr="00B07D6F">
          <w:rPr>
            <w:rStyle w:val="Hyperlink"/>
            <w:rFonts w:ascii="Arial" w:hAnsi="Arial" w:cs="Arial"/>
            <w:sz w:val="22"/>
            <w:szCs w:val="22"/>
            <w:shd w:val="clear" w:color="auto" w:fill="FFFFFF"/>
          </w:rPr>
          <w:lastRenderedPageBreak/>
          <w:t>ion+of+education.+Learning,+Media+and+Technology,+44(1),+pp.1-6.&amp;ots=1tjLl-nZKI&amp;sig=1zC8Nvg29yh8EkSDxaK_tBtKUzM&amp;redir_esc=y - v=</w:t>
        </w:r>
        <w:proofErr w:type="spellStart"/>
        <w:r w:rsidRPr="00B07D6F">
          <w:rPr>
            <w:rStyle w:val="Hyperlink"/>
            <w:rFonts w:ascii="Arial" w:hAnsi="Arial" w:cs="Arial"/>
            <w:sz w:val="22"/>
            <w:szCs w:val="22"/>
            <w:shd w:val="clear" w:color="auto" w:fill="FFFFFF"/>
          </w:rPr>
          <w:t>onepage&amp;q&amp;f</w:t>
        </w:r>
        <w:proofErr w:type="spellEnd"/>
        <w:r w:rsidRPr="00B07D6F">
          <w:rPr>
            <w:rStyle w:val="Hyperlink"/>
            <w:rFonts w:ascii="Arial" w:hAnsi="Arial" w:cs="Arial"/>
            <w:sz w:val="22"/>
            <w:szCs w:val="22"/>
            <w:shd w:val="clear" w:color="auto" w:fill="FFFFFF"/>
          </w:rPr>
          <w:t>=false</w:t>
        </w:r>
      </w:hyperlink>
    </w:p>
    <w:p w14:paraId="6B7A402C" w14:textId="77777777" w:rsidR="00F4377C" w:rsidRPr="00B07D6F" w:rsidRDefault="00F4377C" w:rsidP="00F4377C">
      <w:pPr>
        <w:rPr>
          <w:rFonts w:ascii="Arial" w:hAnsi="Arial" w:cs="Arial"/>
          <w:color w:val="222222"/>
          <w:sz w:val="22"/>
          <w:szCs w:val="22"/>
          <w:shd w:val="clear" w:color="auto" w:fill="FFFFFF"/>
        </w:rPr>
      </w:pPr>
    </w:p>
    <w:p w14:paraId="3ABA00BE" w14:textId="77777777" w:rsidR="00F4377C" w:rsidRPr="00B07D6F" w:rsidRDefault="00F4377C" w:rsidP="00F4377C">
      <w:pPr>
        <w:rPr>
          <w:rFonts w:ascii="Arial" w:hAnsi="Arial" w:cs="Arial"/>
          <w:color w:val="EE0000"/>
          <w:sz w:val="22"/>
          <w:szCs w:val="22"/>
          <w:shd w:val="clear" w:color="auto" w:fill="FFFFFF"/>
        </w:rPr>
      </w:pPr>
    </w:p>
    <w:p w14:paraId="0CBB5C62"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Kaplan, R.S. and Norton, D.P., 2005.</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The balanced scorecard: measures that drive performance</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color w:val="222222"/>
          <w:sz w:val="22"/>
          <w:szCs w:val="22"/>
          <w:shd w:val="clear" w:color="auto" w:fill="FFFFFF"/>
        </w:rPr>
        <w:t>(Vol. 70, pp. 71-79). Boston, MA, USA: Harvard Business Review.</w:t>
      </w:r>
    </w:p>
    <w:p w14:paraId="0AD3C989" w14:textId="592958A2" w:rsidR="00F4377C" w:rsidRPr="00B07D6F" w:rsidRDefault="00B07D6F"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29" w:history="1">
        <w:r w:rsidRPr="00B07D6F">
          <w:rPr>
            <w:rStyle w:val="Hyperlink"/>
            <w:rFonts w:ascii="Arial" w:hAnsi="Arial" w:cs="Arial"/>
            <w:sz w:val="22"/>
            <w:szCs w:val="22"/>
            <w:shd w:val="clear" w:color="auto" w:fill="FFFFFF"/>
          </w:rPr>
          <w:t>https://images.template.net/wp-content/uploads/2016/04/11122659/balanced-scorecard-key-performance-indicators.pdf</w:t>
        </w:r>
      </w:hyperlink>
    </w:p>
    <w:p w14:paraId="79E74D81"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Kotter, J.P., 1996. Leading Change, Harvard Business School Press, Boston.</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Search in</w:t>
      </w:r>
      <w:r w:rsidRPr="00B07D6F">
        <w:rPr>
          <w:rFonts w:ascii="Arial" w:hAnsi="Arial" w:cs="Arial"/>
          <w:color w:val="222222"/>
          <w:sz w:val="22"/>
          <w:szCs w:val="22"/>
          <w:shd w:val="clear" w:color="auto" w:fill="FFFFFF"/>
        </w:rPr>
        <w:t>.</w:t>
      </w:r>
    </w:p>
    <w:p w14:paraId="4CC82F06" w14:textId="77777777"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p>
    <w:p w14:paraId="5C7D44E0" w14:textId="77777777" w:rsidR="00B07D6F" w:rsidRPr="00B07D6F" w:rsidRDefault="00B07D6F" w:rsidP="00F4377C">
      <w:pPr>
        <w:rPr>
          <w:rFonts w:ascii="Arial" w:hAnsi="Arial" w:cs="Arial"/>
          <w:color w:val="222222"/>
          <w:sz w:val="22"/>
          <w:szCs w:val="22"/>
          <w:shd w:val="clear" w:color="auto" w:fill="FFFFFF"/>
        </w:rPr>
      </w:pPr>
    </w:p>
    <w:p w14:paraId="39954BAB"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Lines*, R., 2004. Influence of participation in strategic change: resistance, organizational commitment and change goal achievement.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change management</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w:t>
      </w:r>
      <w:r w:rsidRPr="00B07D6F">
        <w:rPr>
          <w:rFonts w:ascii="Arial" w:hAnsi="Arial" w:cs="Arial"/>
          <w:color w:val="222222"/>
          <w:sz w:val="22"/>
          <w:szCs w:val="22"/>
          <w:shd w:val="clear" w:color="auto" w:fill="FFFFFF"/>
        </w:rPr>
        <w:t>(3), pp.193-215.</w:t>
      </w:r>
    </w:p>
    <w:p w14:paraId="34B3EA76" w14:textId="1D4F52F1"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0" w:history="1">
        <w:r w:rsidRPr="00B07D6F">
          <w:rPr>
            <w:rStyle w:val="Hyperlink"/>
            <w:rFonts w:ascii="Arial" w:hAnsi="Arial" w:cs="Arial"/>
            <w:sz w:val="22"/>
            <w:szCs w:val="22"/>
            <w:shd w:val="clear" w:color="auto" w:fill="FFFFFF"/>
          </w:rPr>
          <w:t>https://www.tandfonline.com/doi/abs/10.1080/1469701042000221696</w:t>
        </w:r>
      </w:hyperlink>
    </w:p>
    <w:p w14:paraId="4438642F" w14:textId="77777777" w:rsidR="00B07D6F" w:rsidRPr="00B07D6F" w:rsidRDefault="00B07D6F" w:rsidP="00F4377C">
      <w:pPr>
        <w:rPr>
          <w:rFonts w:ascii="Arial" w:hAnsi="Arial" w:cs="Arial"/>
          <w:color w:val="222222"/>
          <w:sz w:val="22"/>
          <w:szCs w:val="22"/>
          <w:shd w:val="clear" w:color="auto" w:fill="FFFFFF"/>
        </w:rPr>
      </w:pPr>
    </w:p>
    <w:p w14:paraId="477345F9"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Oreg, S., Vakola, M. and Armenakis, A., 2011. Change recipients’ reactions to organizational change: A 60-year review of quantitative studies.</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 xml:space="preserve">The Journal of applied </w:t>
      </w:r>
      <w:proofErr w:type="spellStart"/>
      <w:r w:rsidRPr="00B07D6F">
        <w:rPr>
          <w:rFonts w:ascii="Arial" w:hAnsi="Arial" w:cs="Arial"/>
          <w:i/>
          <w:iCs/>
          <w:color w:val="222222"/>
          <w:sz w:val="22"/>
          <w:szCs w:val="22"/>
        </w:rPr>
        <w:t>behavioral</w:t>
      </w:r>
      <w:proofErr w:type="spellEnd"/>
      <w:r w:rsidRPr="00B07D6F">
        <w:rPr>
          <w:rFonts w:ascii="Arial" w:hAnsi="Arial" w:cs="Arial"/>
          <w:i/>
          <w:iCs/>
          <w:color w:val="222222"/>
          <w:sz w:val="22"/>
          <w:szCs w:val="22"/>
        </w:rPr>
        <w:t xml:space="preserve"> science</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47</w:t>
      </w:r>
      <w:r w:rsidRPr="00B07D6F">
        <w:rPr>
          <w:rFonts w:ascii="Arial" w:hAnsi="Arial" w:cs="Arial"/>
          <w:color w:val="222222"/>
          <w:sz w:val="22"/>
          <w:szCs w:val="22"/>
          <w:shd w:val="clear" w:color="auto" w:fill="FFFFFF"/>
        </w:rPr>
        <w:t>(4), pp.461-524.</w:t>
      </w:r>
    </w:p>
    <w:p w14:paraId="306B1C90" w14:textId="6D3780A7" w:rsidR="00B07D6F" w:rsidRPr="00B07D6F" w:rsidRDefault="00B07D6F"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1" w:history="1">
        <w:r w:rsidRPr="00B07D6F">
          <w:rPr>
            <w:rStyle w:val="Hyperlink"/>
            <w:rFonts w:ascii="Arial" w:hAnsi="Arial" w:cs="Arial"/>
            <w:sz w:val="22"/>
            <w:szCs w:val="22"/>
            <w:shd w:val="clear" w:color="auto" w:fill="FFFFFF"/>
          </w:rPr>
          <w:t>https://journals.sagepub.com/doi/abs/10.1177/0021886310396550</w:t>
        </w:r>
      </w:hyperlink>
    </w:p>
    <w:p w14:paraId="2C50311B" w14:textId="77777777" w:rsidR="00F4377C" w:rsidRPr="00B07D6F" w:rsidRDefault="00F4377C" w:rsidP="00F4377C">
      <w:pPr>
        <w:rPr>
          <w:rFonts w:ascii="Arial" w:hAnsi="Arial" w:cs="Arial"/>
          <w:color w:val="222222"/>
          <w:sz w:val="22"/>
          <w:szCs w:val="22"/>
          <w:shd w:val="clear" w:color="auto" w:fill="FFFFFF"/>
        </w:rPr>
      </w:pPr>
    </w:p>
    <w:p w14:paraId="1B78B5DF"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Pollack, J. and Pollack, R., 2015. Using Kotter’s eight stage process to manage an organisational change program: Presentation and practice.</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Systemic practice and action research</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28</w:t>
      </w:r>
      <w:r w:rsidRPr="00B07D6F">
        <w:rPr>
          <w:rFonts w:ascii="Arial" w:hAnsi="Arial" w:cs="Arial"/>
          <w:color w:val="222222"/>
          <w:sz w:val="22"/>
          <w:szCs w:val="22"/>
          <w:shd w:val="clear" w:color="auto" w:fill="FFFFFF"/>
        </w:rPr>
        <w:t>(1), pp.51-66.</w:t>
      </w:r>
    </w:p>
    <w:p w14:paraId="62080426" w14:textId="295A2047"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2" w:history="1">
        <w:r w:rsidRPr="00B07D6F">
          <w:rPr>
            <w:rStyle w:val="Hyperlink"/>
            <w:rFonts w:ascii="Arial" w:hAnsi="Arial" w:cs="Arial"/>
            <w:sz w:val="22"/>
            <w:szCs w:val="22"/>
            <w:shd w:val="clear" w:color="auto" w:fill="FFFFFF"/>
          </w:rPr>
          <w:t>https://link.springer.com/article/10.1007/s11213-014-9317-0</w:t>
        </w:r>
      </w:hyperlink>
    </w:p>
    <w:p w14:paraId="00E5F66B" w14:textId="77777777" w:rsidR="00F4377C" w:rsidRPr="00B07D6F" w:rsidRDefault="00F4377C" w:rsidP="00F4377C">
      <w:pPr>
        <w:rPr>
          <w:rFonts w:ascii="Arial" w:hAnsi="Arial" w:cs="Arial"/>
          <w:color w:val="222222"/>
          <w:sz w:val="22"/>
          <w:szCs w:val="22"/>
          <w:shd w:val="clear" w:color="auto" w:fill="FFFFFF"/>
        </w:rPr>
      </w:pPr>
    </w:p>
    <w:p w14:paraId="112B2883"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Salvia, A.L., Leal Filho, W., Brandli, L.L. and </w:t>
      </w:r>
      <w:proofErr w:type="spellStart"/>
      <w:r w:rsidRPr="00B07D6F">
        <w:rPr>
          <w:rFonts w:ascii="Arial" w:hAnsi="Arial" w:cs="Arial"/>
          <w:color w:val="222222"/>
          <w:sz w:val="22"/>
          <w:szCs w:val="22"/>
          <w:shd w:val="clear" w:color="auto" w:fill="FFFFFF"/>
        </w:rPr>
        <w:t>Griebeler</w:t>
      </w:r>
      <w:proofErr w:type="spellEnd"/>
      <w:r w:rsidRPr="00B07D6F">
        <w:rPr>
          <w:rFonts w:ascii="Arial" w:hAnsi="Arial" w:cs="Arial"/>
          <w:color w:val="222222"/>
          <w:sz w:val="22"/>
          <w:szCs w:val="22"/>
          <w:shd w:val="clear" w:color="auto" w:fill="FFFFFF"/>
        </w:rPr>
        <w:t>, J.S., 2019. Assessing research trends related to Sustainable Development Goals: Local and global issues.</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cleaner production</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208</w:t>
      </w:r>
      <w:r w:rsidRPr="00B07D6F">
        <w:rPr>
          <w:rFonts w:ascii="Arial" w:hAnsi="Arial" w:cs="Arial"/>
          <w:color w:val="222222"/>
          <w:sz w:val="22"/>
          <w:szCs w:val="22"/>
          <w:shd w:val="clear" w:color="auto" w:fill="FFFFFF"/>
        </w:rPr>
        <w:t>, pp.841-849.</w:t>
      </w:r>
    </w:p>
    <w:p w14:paraId="51E2D08E" w14:textId="32193149"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3" w:history="1">
        <w:r w:rsidRPr="00B07D6F">
          <w:rPr>
            <w:rStyle w:val="Hyperlink"/>
            <w:rFonts w:ascii="Arial" w:hAnsi="Arial" w:cs="Arial"/>
            <w:sz w:val="22"/>
            <w:szCs w:val="22"/>
            <w:shd w:val="clear" w:color="auto" w:fill="FFFFFF"/>
          </w:rPr>
          <w:t>https://www.sciencedirect.com/science/article/abs/pii/S0959652618329810</w:t>
        </w:r>
      </w:hyperlink>
    </w:p>
    <w:p w14:paraId="3FBDE190" w14:textId="77777777" w:rsidR="00F4377C" w:rsidRPr="00B07D6F" w:rsidRDefault="00F4377C" w:rsidP="00F4377C">
      <w:pPr>
        <w:rPr>
          <w:rFonts w:ascii="Arial" w:hAnsi="Arial" w:cs="Arial"/>
          <w:color w:val="222222"/>
          <w:sz w:val="22"/>
          <w:szCs w:val="22"/>
          <w:shd w:val="clear" w:color="auto" w:fill="FFFFFF"/>
        </w:rPr>
      </w:pPr>
    </w:p>
    <w:p w14:paraId="72832A96"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Schein, E.H., 2010.</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Organizational culture and leadership</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color w:val="222222"/>
          <w:sz w:val="22"/>
          <w:szCs w:val="22"/>
          <w:shd w:val="clear" w:color="auto" w:fill="FFFFFF"/>
        </w:rPr>
        <w:t>(Vol. 2). John Wiley &amp; Sons.</w:t>
      </w:r>
    </w:p>
    <w:p w14:paraId="1527120D" w14:textId="61D24F61"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4" w:anchor="v=onepage&amp;q=Schein%2C%20E.H.%2C%202010.%20Organizational%20culture%20and%20leadership%20(Vol.%202).%20John%20Wiley%20%26%20Sons.&amp;f=false" w:history="1">
        <w:r w:rsidRPr="00B07D6F">
          <w:rPr>
            <w:rStyle w:val="Hyperlink"/>
            <w:rFonts w:ascii="Arial" w:hAnsi="Arial" w:cs="Arial"/>
            <w:sz w:val="22"/>
            <w:szCs w:val="22"/>
            <w:shd w:val="clear" w:color="auto" w:fill="FFFFFF"/>
          </w:rPr>
          <w:t>https://books.google.co.uk/books?hl=en&amp;lr=&amp;id=Mnres2PlFLMC&amp;oi=fnd&amp;pg=PR9&amp;dq=Schein,+E.H.,+2010.+Organizational+culture+and+leadership+(Vol.+2).+John+Wiley+%26+Sons.&amp;ots=oqhrLa0qLn&amp;sig=b5rQ9aYHsVHvvPgAn0uHESeO7_Q&amp;redir_esc=y - v=</w:t>
        </w:r>
        <w:proofErr w:type="spellStart"/>
        <w:r w:rsidRPr="00B07D6F">
          <w:rPr>
            <w:rStyle w:val="Hyperlink"/>
            <w:rFonts w:ascii="Arial" w:hAnsi="Arial" w:cs="Arial"/>
            <w:sz w:val="22"/>
            <w:szCs w:val="22"/>
            <w:shd w:val="clear" w:color="auto" w:fill="FFFFFF"/>
          </w:rPr>
          <w:t>onepage&amp;q</w:t>
        </w:r>
        <w:proofErr w:type="spellEnd"/>
        <w:r w:rsidRPr="00B07D6F">
          <w:rPr>
            <w:rStyle w:val="Hyperlink"/>
            <w:rFonts w:ascii="Arial" w:hAnsi="Arial" w:cs="Arial"/>
            <w:sz w:val="22"/>
            <w:szCs w:val="22"/>
            <w:shd w:val="clear" w:color="auto" w:fill="FFFFFF"/>
          </w:rPr>
          <w:t xml:space="preserve">=Schein, E.H., 2010. Organizational culture and leadership (Vol. 2). John Wiley %26 </w:t>
        </w:r>
        <w:proofErr w:type="spellStart"/>
        <w:r w:rsidRPr="00B07D6F">
          <w:rPr>
            <w:rStyle w:val="Hyperlink"/>
            <w:rFonts w:ascii="Arial" w:hAnsi="Arial" w:cs="Arial"/>
            <w:sz w:val="22"/>
            <w:szCs w:val="22"/>
            <w:shd w:val="clear" w:color="auto" w:fill="FFFFFF"/>
          </w:rPr>
          <w:t>Sons.&amp;f</w:t>
        </w:r>
        <w:proofErr w:type="spellEnd"/>
        <w:r w:rsidRPr="00B07D6F">
          <w:rPr>
            <w:rStyle w:val="Hyperlink"/>
            <w:rFonts w:ascii="Arial" w:hAnsi="Arial" w:cs="Arial"/>
            <w:sz w:val="22"/>
            <w:szCs w:val="22"/>
            <w:shd w:val="clear" w:color="auto" w:fill="FFFFFF"/>
          </w:rPr>
          <w:t>=false</w:t>
        </w:r>
      </w:hyperlink>
    </w:p>
    <w:p w14:paraId="2D05B9D9" w14:textId="77777777" w:rsidR="00F4377C" w:rsidRPr="00B07D6F" w:rsidRDefault="00F4377C" w:rsidP="00F4377C">
      <w:pPr>
        <w:rPr>
          <w:rFonts w:ascii="Arial" w:hAnsi="Arial" w:cs="Arial"/>
          <w:color w:val="222222"/>
          <w:sz w:val="22"/>
          <w:szCs w:val="22"/>
          <w:shd w:val="clear" w:color="auto" w:fill="FFFFFF"/>
        </w:rPr>
      </w:pPr>
    </w:p>
    <w:p w14:paraId="4FB78F53"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Selwyn, N., 2021.</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Education and technology: Key issues and debates</w:t>
      </w:r>
      <w:r w:rsidRPr="00B07D6F">
        <w:rPr>
          <w:rFonts w:ascii="Arial" w:hAnsi="Arial" w:cs="Arial"/>
          <w:color w:val="222222"/>
          <w:sz w:val="22"/>
          <w:szCs w:val="22"/>
          <w:shd w:val="clear" w:color="auto" w:fill="FFFFFF"/>
        </w:rPr>
        <w:t>. Bloomsbury Publishing.</w:t>
      </w:r>
    </w:p>
    <w:p w14:paraId="76C24AC2" w14:textId="04F6C26B"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5" w:anchor="v=onepage&amp;q=Selwyn%2C%20N.%2C%202021.%20Education%20and%20technology%3A%20Key%20issues%20and%20debates.%20Bloomsbury%20Publishing.&amp;f=false" w:history="1">
        <w:r w:rsidRPr="00B07D6F">
          <w:rPr>
            <w:rStyle w:val="Hyperlink"/>
            <w:rFonts w:ascii="Arial" w:hAnsi="Arial" w:cs="Arial"/>
            <w:sz w:val="22"/>
            <w:szCs w:val="22"/>
            <w:shd w:val="clear" w:color="auto" w:fill="FFFFFF"/>
          </w:rPr>
          <w:t>https://books.google.co.uk/books?hl=en&amp;lr=&amp;id=dMZKEAAAQBAJ&amp;oi=fnd&amp;pg=PR1&amp;dq=Selwyn,+N.,+2021.+Education+and+technology:+Key+issues+and+debates.+Bloomsbury+Publishing.&amp;ots=wnTOPJZHAu&amp;sig=-ydEqIFDg_KcoJJK2DQ8DOzgFDM&amp;redir_esc=y - v=</w:t>
        </w:r>
        <w:proofErr w:type="spellStart"/>
        <w:r w:rsidRPr="00B07D6F">
          <w:rPr>
            <w:rStyle w:val="Hyperlink"/>
            <w:rFonts w:ascii="Arial" w:hAnsi="Arial" w:cs="Arial"/>
            <w:sz w:val="22"/>
            <w:szCs w:val="22"/>
            <w:shd w:val="clear" w:color="auto" w:fill="FFFFFF"/>
          </w:rPr>
          <w:t>onepage&amp;q</w:t>
        </w:r>
        <w:proofErr w:type="spellEnd"/>
        <w:r w:rsidRPr="00B07D6F">
          <w:rPr>
            <w:rStyle w:val="Hyperlink"/>
            <w:rFonts w:ascii="Arial" w:hAnsi="Arial" w:cs="Arial"/>
            <w:sz w:val="22"/>
            <w:szCs w:val="22"/>
            <w:shd w:val="clear" w:color="auto" w:fill="FFFFFF"/>
          </w:rPr>
          <w:t xml:space="preserve">=Selwyn, N., 2021. Education and technology%3A Key issues and debates. Bloomsbury </w:t>
        </w:r>
        <w:proofErr w:type="spellStart"/>
        <w:r w:rsidRPr="00B07D6F">
          <w:rPr>
            <w:rStyle w:val="Hyperlink"/>
            <w:rFonts w:ascii="Arial" w:hAnsi="Arial" w:cs="Arial"/>
            <w:sz w:val="22"/>
            <w:szCs w:val="22"/>
            <w:shd w:val="clear" w:color="auto" w:fill="FFFFFF"/>
          </w:rPr>
          <w:t>Publishing.&amp;f</w:t>
        </w:r>
        <w:proofErr w:type="spellEnd"/>
        <w:r w:rsidRPr="00B07D6F">
          <w:rPr>
            <w:rStyle w:val="Hyperlink"/>
            <w:rFonts w:ascii="Arial" w:hAnsi="Arial" w:cs="Arial"/>
            <w:sz w:val="22"/>
            <w:szCs w:val="22"/>
            <w:shd w:val="clear" w:color="auto" w:fill="FFFFFF"/>
          </w:rPr>
          <w:t>=false</w:t>
        </w:r>
      </w:hyperlink>
    </w:p>
    <w:p w14:paraId="500246A8" w14:textId="77777777" w:rsidR="00F4377C" w:rsidRPr="00B07D6F" w:rsidRDefault="00F4377C" w:rsidP="00F4377C">
      <w:pPr>
        <w:rPr>
          <w:rFonts w:ascii="Arial" w:hAnsi="Arial" w:cs="Arial"/>
          <w:color w:val="222222"/>
          <w:sz w:val="22"/>
          <w:szCs w:val="22"/>
          <w:shd w:val="clear" w:color="auto" w:fill="FFFFFF"/>
        </w:rPr>
      </w:pPr>
    </w:p>
    <w:p w14:paraId="025D7D44"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Verhoef, P.C., Broekhuizen, T., Bart, Y., Bhattacharya, A., Dong, J.Q., Fabian, N. and Haenlein, M., 2021. Digital transformation: A multidisciplinary reflection and research agenda.</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Journal of business research</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122</w:t>
      </w:r>
      <w:r w:rsidRPr="00B07D6F">
        <w:rPr>
          <w:rFonts w:ascii="Arial" w:hAnsi="Arial" w:cs="Arial"/>
          <w:color w:val="222222"/>
          <w:sz w:val="22"/>
          <w:szCs w:val="22"/>
          <w:shd w:val="clear" w:color="auto" w:fill="FFFFFF"/>
        </w:rPr>
        <w:t>, pp.889-901.</w:t>
      </w:r>
    </w:p>
    <w:p w14:paraId="52FA866A" w14:textId="56BA6FA3"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6" w:history="1">
        <w:r w:rsidRPr="00B07D6F">
          <w:rPr>
            <w:rStyle w:val="Hyperlink"/>
            <w:rFonts w:ascii="Arial" w:hAnsi="Arial" w:cs="Arial"/>
            <w:sz w:val="22"/>
            <w:szCs w:val="22"/>
            <w:shd w:val="clear" w:color="auto" w:fill="FFFFFF"/>
          </w:rPr>
          <w:t>https://www.sciencedirect.com/science/article/pii/S0148296319305478</w:t>
        </w:r>
      </w:hyperlink>
    </w:p>
    <w:p w14:paraId="579B5233" w14:textId="77777777" w:rsidR="00F4377C" w:rsidRPr="00B07D6F" w:rsidRDefault="00F4377C" w:rsidP="00F4377C">
      <w:pPr>
        <w:rPr>
          <w:rFonts w:ascii="Arial" w:hAnsi="Arial" w:cs="Arial"/>
          <w:color w:val="222222"/>
          <w:sz w:val="22"/>
          <w:szCs w:val="22"/>
          <w:shd w:val="clear" w:color="auto" w:fill="FFFFFF"/>
        </w:rPr>
      </w:pPr>
    </w:p>
    <w:p w14:paraId="7CAD46B8"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Vial, G., 2021. Understanding digital transformation: A review and a research agenda.</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Managing digital transformation</w:t>
      </w:r>
      <w:r w:rsidRPr="00B07D6F">
        <w:rPr>
          <w:rFonts w:ascii="Arial" w:hAnsi="Arial" w:cs="Arial"/>
          <w:color w:val="222222"/>
          <w:sz w:val="22"/>
          <w:szCs w:val="22"/>
          <w:shd w:val="clear" w:color="auto" w:fill="FFFFFF"/>
        </w:rPr>
        <w:t>, pp.13-66.</w:t>
      </w:r>
    </w:p>
    <w:p w14:paraId="6592E007" w14:textId="3F2FE5DA"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lastRenderedPageBreak/>
        <w:t xml:space="preserve">Available at: </w:t>
      </w:r>
      <w:hyperlink r:id="rId37" w:history="1">
        <w:r w:rsidRPr="00B07D6F">
          <w:rPr>
            <w:rStyle w:val="Hyperlink"/>
            <w:rFonts w:ascii="Arial" w:hAnsi="Arial" w:cs="Arial"/>
            <w:sz w:val="22"/>
            <w:szCs w:val="22"/>
            <w:shd w:val="clear" w:color="auto" w:fill="FFFFFF"/>
          </w:rPr>
          <w:t>https://www.taylorfrancis.com/chapters/edit/10.4324/9781003008637-4/understanding-digital-transformation-gregory-vial</w:t>
        </w:r>
      </w:hyperlink>
    </w:p>
    <w:p w14:paraId="1E7EE9AC" w14:textId="77777777" w:rsidR="00F4377C" w:rsidRPr="00B07D6F" w:rsidRDefault="00F4377C" w:rsidP="00F4377C">
      <w:pPr>
        <w:rPr>
          <w:rFonts w:ascii="Arial" w:hAnsi="Arial" w:cs="Arial"/>
          <w:color w:val="222222"/>
          <w:sz w:val="22"/>
          <w:szCs w:val="22"/>
          <w:shd w:val="clear" w:color="auto" w:fill="FFFFFF"/>
        </w:rPr>
      </w:pPr>
    </w:p>
    <w:p w14:paraId="05D72376"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Waterman Jr, R.H., Peters, T.J. and Phillips, J.R., 1980. Structure is not organization.</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Business horizons</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23</w:t>
      </w:r>
      <w:r w:rsidRPr="00B07D6F">
        <w:rPr>
          <w:rFonts w:ascii="Arial" w:hAnsi="Arial" w:cs="Arial"/>
          <w:color w:val="222222"/>
          <w:sz w:val="22"/>
          <w:szCs w:val="22"/>
          <w:shd w:val="clear" w:color="auto" w:fill="FFFFFF"/>
        </w:rPr>
        <w:t>(3), pp.14-26.</w:t>
      </w:r>
    </w:p>
    <w:p w14:paraId="5E903431" w14:textId="6CB54405"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8" w:history="1">
        <w:r w:rsidRPr="00B07D6F">
          <w:rPr>
            <w:rStyle w:val="Hyperlink"/>
            <w:rFonts w:ascii="Arial" w:hAnsi="Arial" w:cs="Arial"/>
            <w:sz w:val="22"/>
            <w:szCs w:val="22"/>
            <w:shd w:val="clear" w:color="auto" w:fill="FFFFFF"/>
          </w:rPr>
          <w:t>https://tompeters.com/docs/Structure_Is_Not_Organization.pdf</w:t>
        </w:r>
      </w:hyperlink>
    </w:p>
    <w:p w14:paraId="29780D48" w14:textId="77777777" w:rsidR="00F4377C" w:rsidRPr="00B07D6F" w:rsidRDefault="00F4377C" w:rsidP="00F4377C">
      <w:pPr>
        <w:rPr>
          <w:rFonts w:ascii="Arial" w:hAnsi="Arial" w:cs="Arial"/>
          <w:color w:val="222222"/>
          <w:sz w:val="22"/>
          <w:szCs w:val="22"/>
          <w:shd w:val="clear" w:color="auto" w:fill="FFFFFF"/>
        </w:rPr>
      </w:pPr>
    </w:p>
    <w:p w14:paraId="7DA24B75"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Williamson, B. and Hogan, A., 2020. Commercialisation and privatisation in/of education in the context of Covid-19.</w:t>
      </w:r>
    </w:p>
    <w:p w14:paraId="5D2F2C6B" w14:textId="0A1FF8E0" w:rsidR="00B07D6F" w:rsidRPr="00B07D6F" w:rsidRDefault="00B07D6F" w:rsidP="00B07D6F">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Available at: </w:t>
      </w:r>
      <w:hyperlink r:id="rId39" w:history="1">
        <w:r w:rsidRPr="00B07D6F">
          <w:rPr>
            <w:rStyle w:val="Hyperlink"/>
            <w:rFonts w:ascii="Arial" w:hAnsi="Arial" w:cs="Arial"/>
            <w:sz w:val="22"/>
            <w:szCs w:val="22"/>
            <w:shd w:val="clear" w:color="auto" w:fill="FFFFFF"/>
          </w:rPr>
          <w:t>https://eprints.qut.edu.au/209028/</w:t>
        </w:r>
      </w:hyperlink>
    </w:p>
    <w:p w14:paraId="0FC05D68" w14:textId="77777777" w:rsidR="00B07D6F" w:rsidRPr="00B07D6F" w:rsidRDefault="00B07D6F" w:rsidP="00F4377C">
      <w:pPr>
        <w:rPr>
          <w:rFonts w:ascii="Arial" w:hAnsi="Arial" w:cs="Arial"/>
          <w:color w:val="222222"/>
          <w:sz w:val="22"/>
          <w:szCs w:val="22"/>
          <w:shd w:val="clear" w:color="auto" w:fill="FFFFFF"/>
        </w:rPr>
      </w:pPr>
    </w:p>
    <w:p w14:paraId="69DC09AC" w14:textId="77777777" w:rsidR="00F4377C" w:rsidRPr="00B07D6F" w:rsidRDefault="00F4377C" w:rsidP="00F4377C">
      <w:pPr>
        <w:rPr>
          <w:rFonts w:ascii="Arial" w:hAnsi="Arial" w:cs="Arial"/>
          <w:color w:val="222222"/>
          <w:sz w:val="22"/>
          <w:szCs w:val="22"/>
          <w:shd w:val="clear" w:color="auto" w:fill="FFFFFF"/>
        </w:rPr>
      </w:pPr>
      <w:r w:rsidRPr="00B07D6F">
        <w:rPr>
          <w:rFonts w:ascii="Arial" w:hAnsi="Arial" w:cs="Arial"/>
          <w:color w:val="222222"/>
          <w:sz w:val="22"/>
          <w:szCs w:val="22"/>
          <w:shd w:val="clear" w:color="auto" w:fill="FFFFFF"/>
        </w:rPr>
        <w:t xml:space="preserve">Zawacki-Richter, O., Marín, V.I., Bond, M. and Gouverneur, F., 2019. Systematic review of research on artificial intelligence applications in higher education–where are the </w:t>
      </w:r>
      <w:proofErr w:type="gramStart"/>
      <w:r w:rsidRPr="00B07D6F">
        <w:rPr>
          <w:rFonts w:ascii="Arial" w:hAnsi="Arial" w:cs="Arial"/>
          <w:color w:val="222222"/>
          <w:sz w:val="22"/>
          <w:szCs w:val="22"/>
          <w:shd w:val="clear" w:color="auto" w:fill="FFFFFF"/>
        </w:rPr>
        <w:t>educators?.</w:t>
      </w:r>
      <w:proofErr w:type="gramEnd"/>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International journal of educational technology in higher education</w:t>
      </w:r>
      <w:r w:rsidRPr="00B07D6F">
        <w:rPr>
          <w:rFonts w:ascii="Arial" w:hAnsi="Arial" w:cs="Arial"/>
          <w:color w:val="222222"/>
          <w:sz w:val="22"/>
          <w:szCs w:val="22"/>
          <w:shd w:val="clear" w:color="auto" w:fill="FFFFFF"/>
        </w:rPr>
        <w:t>,</w:t>
      </w:r>
      <w:r w:rsidRPr="00B07D6F">
        <w:rPr>
          <w:rStyle w:val="apple-converted-space"/>
          <w:rFonts w:ascii="Arial" w:eastAsiaTheme="majorEastAsia" w:hAnsi="Arial" w:cs="Arial"/>
          <w:color w:val="222222"/>
          <w:sz w:val="22"/>
          <w:szCs w:val="22"/>
          <w:shd w:val="clear" w:color="auto" w:fill="FFFFFF"/>
        </w:rPr>
        <w:t> </w:t>
      </w:r>
      <w:r w:rsidRPr="00B07D6F">
        <w:rPr>
          <w:rFonts w:ascii="Arial" w:hAnsi="Arial" w:cs="Arial"/>
          <w:i/>
          <w:iCs/>
          <w:color w:val="222222"/>
          <w:sz w:val="22"/>
          <w:szCs w:val="22"/>
        </w:rPr>
        <w:t>16</w:t>
      </w:r>
      <w:r w:rsidRPr="00B07D6F">
        <w:rPr>
          <w:rFonts w:ascii="Arial" w:hAnsi="Arial" w:cs="Arial"/>
          <w:color w:val="222222"/>
          <w:sz w:val="22"/>
          <w:szCs w:val="22"/>
          <w:shd w:val="clear" w:color="auto" w:fill="FFFFFF"/>
        </w:rPr>
        <w:t>(1), pp.1-27.</w:t>
      </w:r>
    </w:p>
    <w:p w14:paraId="63C7C1FA" w14:textId="4352EAD6" w:rsidR="00B07D6F" w:rsidRPr="00B07D6F" w:rsidRDefault="00B07D6F" w:rsidP="00F4377C">
      <w:pPr>
        <w:rPr>
          <w:rFonts w:ascii="Arial" w:hAnsi="Arial" w:cs="Arial"/>
          <w:sz w:val="22"/>
          <w:szCs w:val="22"/>
        </w:rPr>
      </w:pPr>
      <w:r w:rsidRPr="00B07D6F">
        <w:rPr>
          <w:rFonts w:ascii="Arial" w:hAnsi="Arial" w:cs="Arial"/>
          <w:color w:val="222222"/>
          <w:sz w:val="22"/>
          <w:szCs w:val="22"/>
          <w:shd w:val="clear" w:color="auto" w:fill="FFFFFF"/>
        </w:rPr>
        <w:t xml:space="preserve">Available at: </w:t>
      </w:r>
      <w:hyperlink r:id="rId40" w:history="1">
        <w:r w:rsidRPr="00B07D6F">
          <w:rPr>
            <w:rStyle w:val="Hyperlink"/>
            <w:rFonts w:ascii="Arial" w:hAnsi="Arial" w:cs="Arial"/>
            <w:sz w:val="22"/>
            <w:szCs w:val="22"/>
            <w:shd w:val="clear" w:color="auto" w:fill="FFFFFF"/>
          </w:rPr>
          <w:t>https://link.springer.com/article/10.1186/S41239-019-0171-0</w:t>
        </w:r>
      </w:hyperlink>
    </w:p>
    <w:p w14:paraId="1CBCC19E" w14:textId="77777777" w:rsidR="00C10855" w:rsidRDefault="00C10855" w:rsidP="00CA6C19">
      <w:pPr>
        <w:rPr>
          <w:rFonts w:ascii="Arial" w:hAnsi="Arial" w:cs="Arial"/>
          <w:color w:val="222222"/>
          <w:sz w:val="20"/>
          <w:szCs w:val="20"/>
          <w:shd w:val="clear" w:color="auto" w:fill="FFFFFF"/>
        </w:rPr>
      </w:pPr>
    </w:p>
    <w:p w14:paraId="4A46EA2A" w14:textId="77777777" w:rsidR="00C10855" w:rsidRDefault="00C10855" w:rsidP="00CA6C19">
      <w:pPr>
        <w:rPr>
          <w:rFonts w:ascii="Arial" w:hAnsi="Arial" w:cs="Arial"/>
          <w:color w:val="222222"/>
          <w:sz w:val="20"/>
          <w:szCs w:val="20"/>
          <w:shd w:val="clear" w:color="auto" w:fill="FFFFFF"/>
        </w:rPr>
      </w:pPr>
    </w:p>
    <w:p w14:paraId="6E52EC98" w14:textId="77777777" w:rsidR="00E90C0B" w:rsidRDefault="00E90C0B" w:rsidP="00CA6C19">
      <w:pPr>
        <w:rPr>
          <w:rFonts w:ascii="Arial" w:hAnsi="Arial" w:cs="Arial"/>
          <w:color w:val="222222"/>
          <w:sz w:val="20"/>
          <w:szCs w:val="20"/>
          <w:shd w:val="clear" w:color="auto" w:fill="FFFFFF"/>
        </w:rPr>
      </w:pPr>
    </w:p>
    <w:p w14:paraId="321A56B0" w14:textId="77777777" w:rsidR="00E90C0B" w:rsidRDefault="00E90C0B" w:rsidP="00CA6C19"/>
    <w:p w14:paraId="52E217A0" w14:textId="77777777" w:rsidR="00E11B61" w:rsidRPr="00CA6C19" w:rsidRDefault="00E11B61" w:rsidP="00CA6C19">
      <w:pPr>
        <w:rPr>
          <w:lang w:eastAsia="en-US"/>
        </w:rPr>
      </w:pPr>
    </w:p>
    <w:sectPr w:rsidR="00E11B61" w:rsidRPr="00CA6C19">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D16EA" w14:textId="77777777" w:rsidR="00EF36B9" w:rsidRDefault="00EF36B9" w:rsidP="003C2F27">
      <w:r>
        <w:separator/>
      </w:r>
    </w:p>
  </w:endnote>
  <w:endnote w:type="continuationSeparator" w:id="0">
    <w:p w14:paraId="46C82D81" w14:textId="77777777" w:rsidR="00EF36B9" w:rsidRDefault="00EF36B9" w:rsidP="003C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1511236"/>
      <w:docPartObj>
        <w:docPartGallery w:val="Page Numbers (Bottom of Page)"/>
        <w:docPartUnique/>
      </w:docPartObj>
    </w:sdtPr>
    <w:sdtContent>
      <w:p w14:paraId="6D4C2F39" w14:textId="431A1B60"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7C5CE" w14:textId="77777777" w:rsidR="003C2F27" w:rsidRDefault="003C2F27" w:rsidP="003C2F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8026364"/>
      <w:docPartObj>
        <w:docPartGallery w:val="Page Numbers (Bottom of Page)"/>
        <w:docPartUnique/>
      </w:docPartObj>
    </w:sdtPr>
    <w:sdtContent>
      <w:p w14:paraId="2F376CA6" w14:textId="5183A454"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7AAFC" w14:textId="77777777" w:rsidR="003C2F27" w:rsidRDefault="003C2F27" w:rsidP="003C2F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FABF9" w14:textId="77777777" w:rsidR="00EF36B9" w:rsidRDefault="00EF36B9" w:rsidP="003C2F27">
      <w:r>
        <w:separator/>
      </w:r>
    </w:p>
  </w:footnote>
  <w:footnote w:type="continuationSeparator" w:id="0">
    <w:p w14:paraId="546903BD" w14:textId="77777777" w:rsidR="00EF36B9" w:rsidRDefault="00EF36B9" w:rsidP="003C2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62A"/>
    <w:multiLevelType w:val="hybridMultilevel"/>
    <w:tmpl w:val="943C6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B1F84"/>
    <w:multiLevelType w:val="hybridMultilevel"/>
    <w:tmpl w:val="027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D785C"/>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AE674D"/>
    <w:multiLevelType w:val="hybridMultilevel"/>
    <w:tmpl w:val="9002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85D7B"/>
    <w:multiLevelType w:val="hybridMultilevel"/>
    <w:tmpl w:val="F45E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25D21"/>
    <w:multiLevelType w:val="hybridMultilevel"/>
    <w:tmpl w:val="11B0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827E88"/>
    <w:multiLevelType w:val="hybridMultilevel"/>
    <w:tmpl w:val="F59AC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0062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653D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5540B6"/>
    <w:multiLevelType w:val="hybridMultilevel"/>
    <w:tmpl w:val="388C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8078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11" w15:restartNumberingAfterBreak="0">
    <w:nsid w:val="16C9538D"/>
    <w:multiLevelType w:val="hybridMultilevel"/>
    <w:tmpl w:val="243C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A09DE"/>
    <w:multiLevelType w:val="hybridMultilevel"/>
    <w:tmpl w:val="868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C6865"/>
    <w:multiLevelType w:val="hybridMultilevel"/>
    <w:tmpl w:val="88C0C5DE"/>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422B6"/>
    <w:multiLevelType w:val="hybridMultilevel"/>
    <w:tmpl w:val="96BEA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AD67F1"/>
    <w:multiLevelType w:val="hybridMultilevel"/>
    <w:tmpl w:val="469E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E6452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17" w15:restartNumberingAfterBreak="0">
    <w:nsid w:val="1EEC6FAF"/>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FF063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D07C55"/>
    <w:multiLevelType w:val="multilevel"/>
    <w:tmpl w:val="F53CBA62"/>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43831DD"/>
    <w:multiLevelType w:val="hybridMultilevel"/>
    <w:tmpl w:val="7BCE2F46"/>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2C36B5"/>
    <w:multiLevelType w:val="hybridMultilevel"/>
    <w:tmpl w:val="E24E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9D09F5"/>
    <w:multiLevelType w:val="hybridMultilevel"/>
    <w:tmpl w:val="FFBC65FA"/>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C80090"/>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24" w15:restartNumberingAfterBreak="0">
    <w:nsid w:val="27BD3BE6"/>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81736B5"/>
    <w:multiLevelType w:val="hybridMultilevel"/>
    <w:tmpl w:val="B7BC5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85B5B13"/>
    <w:multiLevelType w:val="hybridMultilevel"/>
    <w:tmpl w:val="8904E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86972C1"/>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C2117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E827A4D"/>
    <w:multiLevelType w:val="multilevel"/>
    <w:tmpl w:val="3CC4B5B6"/>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ECC139E"/>
    <w:multiLevelType w:val="hybridMultilevel"/>
    <w:tmpl w:val="8E8E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0052A4"/>
    <w:multiLevelType w:val="hybridMultilevel"/>
    <w:tmpl w:val="37AE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AF36BF"/>
    <w:multiLevelType w:val="multilevel"/>
    <w:tmpl w:val="06DA2056"/>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33" w15:restartNumberingAfterBreak="0">
    <w:nsid w:val="34A01B52"/>
    <w:multiLevelType w:val="hybridMultilevel"/>
    <w:tmpl w:val="A6FA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B251ED"/>
    <w:multiLevelType w:val="hybridMultilevel"/>
    <w:tmpl w:val="87D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4DC1300"/>
    <w:multiLevelType w:val="hybridMultilevel"/>
    <w:tmpl w:val="5AF61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58439F7"/>
    <w:multiLevelType w:val="hybridMultilevel"/>
    <w:tmpl w:val="9976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9F1B43"/>
    <w:multiLevelType w:val="hybridMultilevel"/>
    <w:tmpl w:val="2740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C30920"/>
    <w:multiLevelType w:val="hybridMultilevel"/>
    <w:tmpl w:val="A382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392E0B"/>
    <w:multiLevelType w:val="multilevel"/>
    <w:tmpl w:val="375E80AE"/>
    <w:lvl w:ilvl="0">
      <w:start w:val="2"/>
      <w:numFmt w:val="decimal"/>
      <w:lvlText w:val="%1"/>
      <w:lvlJc w:val="left"/>
      <w:pPr>
        <w:ind w:left="380" w:hanging="380"/>
      </w:pPr>
      <w:rPr>
        <w:rFonts w:ascii="Arial" w:hAnsi="Arial" w:cs="Arial" w:hint="default"/>
        <w:b/>
        <w:bCs/>
        <w:sz w:val="32"/>
        <w:szCs w:val="32"/>
        <w:u w:val="single"/>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3BF0341F"/>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3C5257E9"/>
    <w:multiLevelType w:val="hybridMultilevel"/>
    <w:tmpl w:val="C9A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B1009F"/>
    <w:multiLevelType w:val="hybridMultilevel"/>
    <w:tmpl w:val="F378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583C6A"/>
    <w:multiLevelType w:val="multilevel"/>
    <w:tmpl w:val="7B829C74"/>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2E76B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58A735D"/>
    <w:multiLevelType w:val="multilevel"/>
    <w:tmpl w:val="9F400058"/>
    <w:lvl w:ilvl="0">
      <w:start w:val="1"/>
      <w:numFmt w:val="decimal"/>
      <w:lvlText w:val="%1."/>
      <w:lvlJc w:val="left"/>
      <w:pPr>
        <w:ind w:left="360" w:hanging="360"/>
      </w:pPr>
      <w:rPr>
        <w:sz w:val="32"/>
        <w:szCs w:val="32"/>
        <w:u w:val="singl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67C400E"/>
    <w:multiLevelType w:val="hybridMultilevel"/>
    <w:tmpl w:val="58DC8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6817580"/>
    <w:multiLevelType w:val="hybridMultilevel"/>
    <w:tmpl w:val="14A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0720AE"/>
    <w:multiLevelType w:val="hybridMultilevel"/>
    <w:tmpl w:val="A284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227D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891382C"/>
    <w:multiLevelType w:val="hybridMultilevel"/>
    <w:tmpl w:val="839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A31510"/>
    <w:multiLevelType w:val="hybridMultilevel"/>
    <w:tmpl w:val="5C6E52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2" w15:restartNumberingAfterBreak="0">
    <w:nsid w:val="4B610D79"/>
    <w:multiLevelType w:val="hybridMultilevel"/>
    <w:tmpl w:val="0582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E7076FB"/>
    <w:multiLevelType w:val="hybridMultilevel"/>
    <w:tmpl w:val="77E8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EB35DF3"/>
    <w:multiLevelType w:val="hybridMultilevel"/>
    <w:tmpl w:val="0A3C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EC52B47"/>
    <w:multiLevelType w:val="hybridMultilevel"/>
    <w:tmpl w:val="387C5B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F1D518B"/>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0AB68D8"/>
    <w:multiLevelType w:val="hybridMultilevel"/>
    <w:tmpl w:val="58EE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0B151F3"/>
    <w:multiLevelType w:val="hybridMultilevel"/>
    <w:tmpl w:val="4C76D51A"/>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68025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A6B7853"/>
    <w:multiLevelType w:val="hybridMultilevel"/>
    <w:tmpl w:val="C0F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6A1FEE"/>
    <w:multiLevelType w:val="hybridMultilevel"/>
    <w:tmpl w:val="2C80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D1E1EC3"/>
    <w:multiLevelType w:val="hybridMultilevel"/>
    <w:tmpl w:val="BB30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465965"/>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5552C00"/>
    <w:multiLevelType w:val="hybridMultilevel"/>
    <w:tmpl w:val="7A187834"/>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A07162"/>
    <w:multiLevelType w:val="hybridMultilevel"/>
    <w:tmpl w:val="3370DE7C"/>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FD59BF"/>
    <w:multiLevelType w:val="hybridMultilevel"/>
    <w:tmpl w:val="9A76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3F202C"/>
    <w:multiLevelType w:val="hybridMultilevel"/>
    <w:tmpl w:val="EAFC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002547E"/>
    <w:multiLevelType w:val="hybridMultilevel"/>
    <w:tmpl w:val="5C2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5C0E8C"/>
    <w:multiLevelType w:val="hybridMultilevel"/>
    <w:tmpl w:val="3B28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28A753E"/>
    <w:multiLevelType w:val="hybridMultilevel"/>
    <w:tmpl w:val="582E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8B078F"/>
    <w:multiLevelType w:val="hybridMultilevel"/>
    <w:tmpl w:val="700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0256B3"/>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76200AC1"/>
    <w:multiLevelType w:val="hybridMultilevel"/>
    <w:tmpl w:val="90A6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014AA6"/>
    <w:multiLevelType w:val="multilevel"/>
    <w:tmpl w:val="1A2451A8"/>
    <w:lvl w:ilvl="0">
      <w:start w:val="2"/>
      <w:numFmt w:val="decimal"/>
      <w:lvlText w:val="%1"/>
      <w:lvlJc w:val="left"/>
      <w:pPr>
        <w:ind w:left="380" w:hanging="380"/>
      </w:pPr>
      <w:rPr>
        <w:rFonts w:eastAsiaTheme="majorEastAsia" w:hint="default"/>
        <w:b/>
      </w:rPr>
    </w:lvl>
    <w:lvl w:ilvl="1">
      <w:start w:val="2"/>
      <w:numFmt w:val="decimal"/>
      <w:lvlText w:val="%1.%2"/>
      <w:lvlJc w:val="left"/>
      <w:pPr>
        <w:ind w:left="1440" w:hanging="72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3240" w:hanging="1080"/>
      </w:pPr>
      <w:rPr>
        <w:rFonts w:eastAsiaTheme="majorEastAsia" w:hint="default"/>
        <w:b/>
      </w:rPr>
    </w:lvl>
    <w:lvl w:ilvl="4">
      <w:start w:val="1"/>
      <w:numFmt w:val="decimal"/>
      <w:lvlText w:val="%1.%2.%3.%4.%5"/>
      <w:lvlJc w:val="left"/>
      <w:pPr>
        <w:ind w:left="4320" w:hanging="1440"/>
      </w:pPr>
      <w:rPr>
        <w:rFonts w:eastAsiaTheme="majorEastAsia" w:hint="default"/>
        <w:b/>
      </w:rPr>
    </w:lvl>
    <w:lvl w:ilvl="5">
      <w:start w:val="1"/>
      <w:numFmt w:val="decimal"/>
      <w:lvlText w:val="%1.%2.%3.%4.%5.%6"/>
      <w:lvlJc w:val="left"/>
      <w:pPr>
        <w:ind w:left="5040" w:hanging="1440"/>
      </w:pPr>
      <w:rPr>
        <w:rFonts w:eastAsiaTheme="majorEastAsia" w:hint="default"/>
        <w:b/>
      </w:rPr>
    </w:lvl>
    <w:lvl w:ilvl="6">
      <w:start w:val="1"/>
      <w:numFmt w:val="decimal"/>
      <w:lvlText w:val="%1.%2.%3.%4.%5.%6.%7"/>
      <w:lvlJc w:val="left"/>
      <w:pPr>
        <w:ind w:left="6120" w:hanging="1800"/>
      </w:pPr>
      <w:rPr>
        <w:rFonts w:eastAsiaTheme="majorEastAsia" w:hint="default"/>
        <w:b/>
      </w:rPr>
    </w:lvl>
    <w:lvl w:ilvl="7">
      <w:start w:val="1"/>
      <w:numFmt w:val="decimal"/>
      <w:lvlText w:val="%1.%2.%3.%4.%5.%6.%7.%8"/>
      <w:lvlJc w:val="left"/>
      <w:pPr>
        <w:ind w:left="6840" w:hanging="1800"/>
      </w:pPr>
      <w:rPr>
        <w:rFonts w:eastAsiaTheme="majorEastAsia" w:hint="default"/>
        <w:b/>
      </w:rPr>
    </w:lvl>
    <w:lvl w:ilvl="8">
      <w:start w:val="1"/>
      <w:numFmt w:val="decimal"/>
      <w:lvlText w:val="%1.%2.%3.%4.%5.%6.%7.%8.%9"/>
      <w:lvlJc w:val="left"/>
      <w:pPr>
        <w:ind w:left="7920" w:hanging="2160"/>
      </w:pPr>
      <w:rPr>
        <w:rFonts w:eastAsiaTheme="majorEastAsia" w:hint="default"/>
        <w:b/>
      </w:rPr>
    </w:lvl>
  </w:abstractNum>
  <w:abstractNum w:abstractNumId="75" w15:restartNumberingAfterBreak="0">
    <w:nsid w:val="7A777385"/>
    <w:multiLevelType w:val="hybridMultilevel"/>
    <w:tmpl w:val="189C9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7C701EB7"/>
    <w:multiLevelType w:val="hybridMultilevel"/>
    <w:tmpl w:val="FE4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E251FFD"/>
    <w:multiLevelType w:val="hybridMultilevel"/>
    <w:tmpl w:val="A3A23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F744A74"/>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03989768">
    <w:abstractNumId w:val="5"/>
  </w:num>
  <w:num w:numId="2" w16cid:durableId="1956909800">
    <w:abstractNumId w:val="9"/>
  </w:num>
  <w:num w:numId="3" w16cid:durableId="258098104">
    <w:abstractNumId w:val="26"/>
  </w:num>
  <w:num w:numId="4" w16cid:durableId="1880626001">
    <w:abstractNumId w:val="35"/>
  </w:num>
  <w:num w:numId="5" w16cid:durableId="1162157625">
    <w:abstractNumId w:val="14"/>
  </w:num>
  <w:num w:numId="6" w16cid:durableId="560751745">
    <w:abstractNumId w:val="13"/>
  </w:num>
  <w:num w:numId="7" w16cid:durableId="2017658067">
    <w:abstractNumId w:val="41"/>
  </w:num>
  <w:num w:numId="8" w16cid:durableId="548103414">
    <w:abstractNumId w:val="1"/>
  </w:num>
  <w:num w:numId="9" w16cid:durableId="699085364">
    <w:abstractNumId w:val="64"/>
  </w:num>
  <w:num w:numId="10" w16cid:durableId="1050223662">
    <w:abstractNumId w:val="22"/>
  </w:num>
  <w:num w:numId="11" w16cid:durableId="665129350">
    <w:abstractNumId w:val="77"/>
  </w:num>
  <w:num w:numId="12" w16cid:durableId="749500309">
    <w:abstractNumId w:val="65"/>
  </w:num>
  <w:num w:numId="13" w16cid:durableId="797916990">
    <w:abstractNumId w:val="76"/>
  </w:num>
  <w:num w:numId="14" w16cid:durableId="370693895">
    <w:abstractNumId w:val="69"/>
  </w:num>
  <w:num w:numId="15" w16cid:durableId="1534030310">
    <w:abstractNumId w:val="62"/>
  </w:num>
  <w:num w:numId="16" w16cid:durableId="1987277159">
    <w:abstractNumId w:val="25"/>
  </w:num>
  <w:num w:numId="17" w16cid:durableId="1746223883">
    <w:abstractNumId w:val="51"/>
  </w:num>
  <w:num w:numId="18" w16cid:durableId="2086949577">
    <w:abstractNumId w:val="34"/>
  </w:num>
  <w:num w:numId="19" w16cid:durableId="1503005805">
    <w:abstractNumId w:val="57"/>
  </w:num>
  <w:num w:numId="20" w16cid:durableId="59208865">
    <w:abstractNumId w:val="20"/>
  </w:num>
  <w:num w:numId="21" w16cid:durableId="1671130814">
    <w:abstractNumId w:val="58"/>
  </w:num>
  <w:num w:numId="22" w16cid:durableId="118186928">
    <w:abstractNumId w:val="55"/>
  </w:num>
  <w:num w:numId="23" w16cid:durableId="695815372">
    <w:abstractNumId w:val="0"/>
  </w:num>
  <w:num w:numId="24" w16cid:durableId="1061831485">
    <w:abstractNumId w:val="50"/>
  </w:num>
  <w:num w:numId="25" w16cid:durableId="1732387637">
    <w:abstractNumId w:val="32"/>
  </w:num>
  <w:num w:numId="26" w16cid:durableId="2093160398">
    <w:abstractNumId w:val="74"/>
  </w:num>
  <w:num w:numId="27" w16cid:durableId="2088990417">
    <w:abstractNumId w:val="16"/>
  </w:num>
  <w:num w:numId="28" w16cid:durableId="1680812382">
    <w:abstractNumId w:val="23"/>
  </w:num>
  <w:num w:numId="29" w16cid:durableId="501313580">
    <w:abstractNumId w:val="18"/>
  </w:num>
  <w:num w:numId="30" w16cid:durableId="1887642671">
    <w:abstractNumId w:val="59"/>
  </w:num>
  <w:num w:numId="31" w16cid:durableId="986934824">
    <w:abstractNumId w:val="45"/>
  </w:num>
  <w:num w:numId="32" w16cid:durableId="1601838255">
    <w:abstractNumId w:val="39"/>
  </w:num>
  <w:num w:numId="33" w16cid:durableId="944114559">
    <w:abstractNumId w:val="29"/>
  </w:num>
  <w:num w:numId="34" w16cid:durableId="988632214">
    <w:abstractNumId w:val="2"/>
  </w:num>
  <w:num w:numId="35" w16cid:durableId="1583762101">
    <w:abstractNumId w:val="40"/>
  </w:num>
  <w:num w:numId="36" w16cid:durableId="1733961552">
    <w:abstractNumId w:val="72"/>
  </w:num>
  <w:num w:numId="37" w16cid:durableId="1707216412">
    <w:abstractNumId w:val="71"/>
  </w:num>
  <w:num w:numId="38" w16cid:durableId="1972324611">
    <w:abstractNumId w:val="31"/>
  </w:num>
  <w:num w:numId="39" w16cid:durableId="1288897286">
    <w:abstractNumId w:val="24"/>
  </w:num>
  <w:num w:numId="40" w16cid:durableId="576674631">
    <w:abstractNumId w:val="78"/>
  </w:num>
  <w:num w:numId="41" w16cid:durableId="1731995747">
    <w:abstractNumId w:val="3"/>
  </w:num>
  <w:num w:numId="42" w16cid:durableId="97215809">
    <w:abstractNumId w:val="30"/>
  </w:num>
  <w:num w:numId="43" w16cid:durableId="477724260">
    <w:abstractNumId w:val="17"/>
  </w:num>
  <w:num w:numId="44" w16cid:durableId="1805273747">
    <w:abstractNumId w:val="27"/>
  </w:num>
  <w:num w:numId="45" w16cid:durableId="1931968246">
    <w:abstractNumId w:val="6"/>
  </w:num>
  <w:num w:numId="46" w16cid:durableId="888688645">
    <w:abstractNumId w:val="7"/>
  </w:num>
  <w:num w:numId="47" w16cid:durableId="1277366190">
    <w:abstractNumId w:val="28"/>
  </w:num>
  <w:num w:numId="48" w16cid:durableId="1933856547">
    <w:abstractNumId w:val="49"/>
  </w:num>
  <w:num w:numId="49" w16cid:durableId="602306135">
    <w:abstractNumId w:val="19"/>
  </w:num>
  <w:num w:numId="50" w16cid:durableId="2141923305">
    <w:abstractNumId w:val="42"/>
  </w:num>
  <w:num w:numId="51" w16cid:durableId="1087918242">
    <w:abstractNumId w:val="10"/>
  </w:num>
  <w:num w:numId="52" w16cid:durableId="259996677">
    <w:abstractNumId w:val="44"/>
  </w:num>
  <w:num w:numId="53" w16cid:durableId="432671791">
    <w:abstractNumId w:val="8"/>
  </w:num>
  <w:num w:numId="54" w16cid:durableId="300841994">
    <w:abstractNumId w:val="63"/>
  </w:num>
  <w:num w:numId="55" w16cid:durableId="691345818">
    <w:abstractNumId w:val="56"/>
  </w:num>
  <w:num w:numId="56" w16cid:durableId="1135759483">
    <w:abstractNumId w:val="54"/>
  </w:num>
  <w:num w:numId="57" w16cid:durableId="1350177786">
    <w:abstractNumId w:val="21"/>
  </w:num>
  <w:num w:numId="58" w16cid:durableId="1260217160">
    <w:abstractNumId w:val="4"/>
  </w:num>
  <w:num w:numId="59" w16cid:durableId="1196233428">
    <w:abstractNumId w:val="73"/>
  </w:num>
  <w:num w:numId="60" w16cid:durableId="1181890614">
    <w:abstractNumId w:val="43"/>
  </w:num>
  <w:num w:numId="61" w16cid:durableId="1823810531">
    <w:abstractNumId w:val="75"/>
  </w:num>
  <w:num w:numId="62" w16cid:durableId="1369381088">
    <w:abstractNumId w:val="68"/>
  </w:num>
  <w:num w:numId="63" w16cid:durableId="838741215">
    <w:abstractNumId w:val="11"/>
  </w:num>
  <w:num w:numId="64" w16cid:durableId="1073315133">
    <w:abstractNumId w:val="60"/>
  </w:num>
  <w:num w:numId="65" w16cid:durableId="1326594368">
    <w:abstractNumId w:val="15"/>
  </w:num>
  <w:num w:numId="66" w16cid:durableId="268859294">
    <w:abstractNumId w:val="47"/>
  </w:num>
  <w:num w:numId="67" w16cid:durableId="1539274287">
    <w:abstractNumId w:val="48"/>
  </w:num>
  <w:num w:numId="68" w16cid:durableId="1264262120">
    <w:abstractNumId w:val="61"/>
  </w:num>
  <w:num w:numId="69" w16cid:durableId="1533297363">
    <w:abstractNumId w:val="52"/>
  </w:num>
  <w:num w:numId="70" w16cid:durableId="1896888069">
    <w:abstractNumId w:val="66"/>
  </w:num>
  <w:num w:numId="71" w16cid:durableId="1089424211">
    <w:abstractNumId w:val="67"/>
  </w:num>
  <w:num w:numId="72" w16cid:durableId="1720280839">
    <w:abstractNumId w:val="38"/>
  </w:num>
  <w:num w:numId="73" w16cid:durableId="1416632670">
    <w:abstractNumId w:val="53"/>
  </w:num>
  <w:num w:numId="74" w16cid:durableId="404569823">
    <w:abstractNumId w:val="37"/>
  </w:num>
  <w:num w:numId="75" w16cid:durableId="994575447">
    <w:abstractNumId w:val="33"/>
  </w:num>
  <w:num w:numId="76" w16cid:durableId="1195771267">
    <w:abstractNumId w:val="36"/>
  </w:num>
  <w:num w:numId="77" w16cid:durableId="357659836">
    <w:abstractNumId w:val="46"/>
  </w:num>
  <w:num w:numId="78" w16cid:durableId="248806337">
    <w:abstractNumId w:val="70"/>
  </w:num>
  <w:num w:numId="79" w16cid:durableId="9095858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7B"/>
    <w:rsid w:val="00013895"/>
    <w:rsid w:val="00020705"/>
    <w:rsid w:val="00034049"/>
    <w:rsid w:val="0004482B"/>
    <w:rsid w:val="00062FFE"/>
    <w:rsid w:val="00072BBC"/>
    <w:rsid w:val="00076745"/>
    <w:rsid w:val="00077510"/>
    <w:rsid w:val="00077782"/>
    <w:rsid w:val="00082AC6"/>
    <w:rsid w:val="00090737"/>
    <w:rsid w:val="000B5259"/>
    <w:rsid w:val="000F3AB9"/>
    <w:rsid w:val="000F60C9"/>
    <w:rsid w:val="00152330"/>
    <w:rsid w:val="001623A9"/>
    <w:rsid w:val="001763BE"/>
    <w:rsid w:val="00181F8D"/>
    <w:rsid w:val="0018684A"/>
    <w:rsid w:val="001913F1"/>
    <w:rsid w:val="00197EC4"/>
    <w:rsid w:val="001B1B19"/>
    <w:rsid w:val="001C35AE"/>
    <w:rsid w:val="001F60E7"/>
    <w:rsid w:val="0020707D"/>
    <w:rsid w:val="00212481"/>
    <w:rsid w:val="002641D3"/>
    <w:rsid w:val="002B76B7"/>
    <w:rsid w:val="002C7C3C"/>
    <w:rsid w:val="002D7AAB"/>
    <w:rsid w:val="002F2EF4"/>
    <w:rsid w:val="00312929"/>
    <w:rsid w:val="003267BD"/>
    <w:rsid w:val="00327588"/>
    <w:rsid w:val="00327874"/>
    <w:rsid w:val="00340E19"/>
    <w:rsid w:val="00351C7E"/>
    <w:rsid w:val="00354BBC"/>
    <w:rsid w:val="0038053F"/>
    <w:rsid w:val="00385906"/>
    <w:rsid w:val="00393A51"/>
    <w:rsid w:val="003B2A89"/>
    <w:rsid w:val="003C1AEF"/>
    <w:rsid w:val="003C2F27"/>
    <w:rsid w:val="003D7481"/>
    <w:rsid w:val="003F0FE6"/>
    <w:rsid w:val="00426982"/>
    <w:rsid w:val="00432399"/>
    <w:rsid w:val="00466575"/>
    <w:rsid w:val="004C45D6"/>
    <w:rsid w:val="004D0697"/>
    <w:rsid w:val="004D2049"/>
    <w:rsid w:val="004D7A9D"/>
    <w:rsid w:val="004E52D9"/>
    <w:rsid w:val="00515FD0"/>
    <w:rsid w:val="00516BD0"/>
    <w:rsid w:val="00520B5A"/>
    <w:rsid w:val="00527170"/>
    <w:rsid w:val="0054042F"/>
    <w:rsid w:val="00540D2B"/>
    <w:rsid w:val="0055049C"/>
    <w:rsid w:val="00552C08"/>
    <w:rsid w:val="00566855"/>
    <w:rsid w:val="00572E15"/>
    <w:rsid w:val="005813A3"/>
    <w:rsid w:val="005816F8"/>
    <w:rsid w:val="005858EC"/>
    <w:rsid w:val="0059490B"/>
    <w:rsid w:val="005C587D"/>
    <w:rsid w:val="005E126A"/>
    <w:rsid w:val="005E25F8"/>
    <w:rsid w:val="00606E10"/>
    <w:rsid w:val="00654CFD"/>
    <w:rsid w:val="00655C4F"/>
    <w:rsid w:val="00662BE1"/>
    <w:rsid w:val="006817B6"/>
    <w:rsid w:val="00697955"/>
    <w:rsid w:val="006A7B04"/>
    <w:rsid w:val="006B79AC"/>
    <w:rsid w:val="006D66CF"/>
    <w:rsid w:val="006E2EE5"/>
    <w:rsid w:val="00702833"/>
    <w:rsid w:val="00706ABD"/>
    <w:rsid w:val="00741D12"/>
    <w:rsid w:val="00762059"/>
    <w:rsid w:val="007955A9"/>
    <w:rsid w:val="007B409E"/>
    <w:rsid w:val="007B7B3A"/>
    <w:rsid w:val="007C117A"/>
    <w:rsid w:val="007E17F3"/>
    <w:rsid w:val="0083623B"/>
    <w:rsid w:val="00856166"/>
    <w:rsid w:val="00856B53"/>
    <w:rsid w:val="008600ED"/>
    <w:rsid w:val="008713F3"/>
    <w:rsid w:val="00895315"/>
    <w:rsid w:val="008957C9"/>
    <w:rsid w:val="008C3291"/>
    <w:rsid w:val="008C3590"/>
    <w:rsid w:val="008D258E"/>
    <w:rsid w:val="008E6341"/>
    <w:rsid w:val="009070CF"/>
    <w:rsid w:val="0091532C"/>
    <w:rsid w:val="00937EEF"/>
    <w:rsid w:val="00980EB2"/>
    <w:rsid w:val="00992D8F"/>
    <w:rsid w:val="009964E4"/>
    <w:rsid w:val="009A4CEF"/>
    <w:rsid w:val="009A7203"/>
    <w:rsid w:val="009B7557"/>
    <w:rsid w:val="009E3FAD"/>
    <w:rsid w:val="009F67EE"/>
    <w:rsid w:val="00A02ED7"/>
    <w:rsid w:val="00A05AD3"/>
    <w:rsid w:val="00A07D77"/>
    <w:rsid w:val="00A44217"/>
    <w:rsid w:val="00A470C0"/>
    <w:rsid w:val="00A542E4"/>
    <w:rsid w:val="00A55F92"/>
    <w:rsid w:val="00A56A3C"/>
    <w:rsid w:val="00A91046"/>
    <w:rsid w:val="00AA6EE5"/>
    <w:rsid w:val="00AC3F99"/>
    <w:rsid w:val="00AD5D9C"/>
    <w:rsid w:val="00B07D6F"/>
    <w:rsid w:val="00B17ED9"/>
    <w:rsid w:val="00B46260"/>
    <w:rsid w:val="00B47443"/>
    <w:rsid w:val="00B81F7B"/>
    <w:rsid w:val="00B912BB"/>
    <w:rsid w:val="00BC1841"/>
    <w:rsid w:val="00BE3170"/>
    <w:rsid w:val="00C10855"/>
    <w:rsid w:val="00C11BD1"/>
    <w:rsid w:val="00C12254"/>
    <w:rsid w:val="00C15F82"/>
    <w:rsid w:val="00C17DC9"/>
    <w:rsid w:val="00C42BCB"/>
    <w:rsid w:val="00C76761"/>
    <w:rsid w:val="00C944E7"/>
    <w:rsid w:val="00CA642B"/>
    <w:rsid w:val="00CA6C19"/>
    <w:rsid w:val="00CD549B"/>
    <w:rsid w:val="00CD7D86"/>
    <w:rsid w:val="00CF41C3"/>
    <w:rsid w:val="00CF68E3"/>
    <w:rsid w:val="00D254D1"/>
    <w:rsid w:val="00D25D41"/>
    <w:rsid w:val="00D54703"/>
    <w:rsid w:val="00DB033F"/>
    <w:rsid w:val="00DB3FCC"/>
    <w:rsid w:val="00DC0B9B"/>
    <w:rsid w:val="00DC2C46"/>
    <w:rsid w:val="00E01F4C"/>
    <w:rsid w:val="00E11B61"/>
    <w:rsid w:val="00E17011"/>
    <w:rsid w:val="00E74975"/>
    <w:rsid w:val="00E823CB"/>
    <w:rsid w:val="00E90C0B"/>
    <w:rsid w:val="00E9513B"/>
    <w:rsid w:val="00EA27E4"/>
    <w:rsid w:val="00EB38C4"/>
    <w:rsid w:val="00EE5EC8"/>
    <w:rsid w:val="00EF36B9"/>
    <w:rsid w:val="00F11074"/>
    <w:rsid w:val="00F162EC"/>
    <w:rsid w:val="00F20979"/>
    <w:rsid w:val="00F2288E"/>
    <w:rsid w:val="00F4377C"/>
    <w:rsid w:val="00F516BA"/>
    <w:rsid w:val="00FA2F4E"/>
    <w:rsid w:val="00FD1E9A"/>
    <w:rsid w:val="00FD2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9722"/>
  <w15:chartTrackingRefBased/>
  <w15:docId w15:val="{BF9A10C8-4194-1445-BC27-673AFDC73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2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81F7B"/>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81F7B"/>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81F7B"/>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B81F7B"/>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81F7B"/>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81F7B"/>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81F7B"/>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81F7B"/>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81F7B"/>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1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1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F7B"/>
    <w:rPr>
      <w:rFonts w:eastAsiaTheme="majorEastAsia" w:cstheme="majorBidi"/>
      <w:color w:val="272727" w:themeColor="text1" w:themeTint="D8"/>
    </w:rPr>
  </w:style>
  <w:style w:type="paragraph" w:styleId="Title">
    <w:name w:val="Title"/>
    <w:basedOn w:val="Normal"/>
    <w:next w:val="Normal"/>
    <w:link w:val="TitleChar"/>
    <w:uiPriority w:val="10"/>
    <w:qFormat/>
    <w:rsid w:val="00B81F7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81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F7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81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F7B"/>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81F7B"/>
    <w:rPr>
      <w:i/>
      <w:iCs/>
      <w:color w:val="404040" w:themeColor="text1" w:themeTint="BF"/>
    </w:rPr>
  </w:style>
  <w:style w:type="paragraph" w:styleId="ListParagraph">
    <w:name w:val="List Paragraph"/>
    <w:basedOn w:val="Normal"/>
    <w:uiPriority w:val="34"/>
    <w:qFormat/>
    <w:rsid w:val="00B81F7B"/>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81F7B"/>
    <w:rPr>
      <w:i/>
      <w:iCs/>
      <w:color w:val="0F4761" w:themeColor="accent1" w:themeShade="BF"/>
    </w:rPr>
  </w:style>
  <w:style w:type="paragraph" w:styleId="IntenseQuote">
    <w:name w:val="Intense Quote"/>
    <w:basedOn w:val="Normal"/>
    <w:next w:val="Normal"/>
    <w:link w:val="IntenseQuoteChar"/>
    <w:uiPriority w:val="30"/>
    <w:qFormat/>
    <w:rsid w:val="00B81F7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81F7B"/>
    <w:rPr>
      <w:i/>
      <w:iCs/>
      <w:color w:val="0F4761" w:themeColor="accent1" w:themeShade="BF"/>
    </w:rPr>
  </w:style>
  <w:style w:type="character" w:styleId="IntenseReference">
    <w:name w:val="Intense Reference"/>
    <w:basedOn w:val="DefaultParagraphFont"/>
    <w:uiPriority w:val="32"/>
    <w:qFormat/>
    <w:rsid w:val="00B81F7B"/>
    <w:rPr>
      <w:b/>
      <w:bCs/>
      <w:smallCaps/>
      <w:color w:val="0F4761" w:themeColor="accent1" w:themeShade="BF"/>
      <w:spacing w:val="5"/>
    </w:rPr>
  </w:style>
  <w:style w:type="character" w:styleId="Strong">
    <w:name w:val="Strong"/>
    <w:basedOn w:val="DefaultParagraphFont"/>
    <w:uiPriority w:val="22"/>
    <w:qFormat/>
    <w:rsid w:val="00B81F7B"/>
    <w:rPr>
      <w:b/>
      <w:bCs/>
    </w:rPr>
  </w:style>
  <w:style w:type="table" w:styleId="TableGrid">
    <w:name w:val="Table Grid"/>
    <w:basedOn w:val="TableNormal"/>
    <w:uiPriority w:val="39"/>
    <w:rsid w:val="00B81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516BA"/>
    <w:pPr>
      <w:widowControl w:val="0"/>
      <w:autoSpaceDE w:val="0"/>
      <w:autoSpaceDN w:val="0"/>
      <w:spacing w:before="204"/>
      <w:ind w:left="46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F516BA"/>
    <w:rPr>
      <w:rFonts w:ascii="Calibri" w:eastAsia="Calibri" w:hAnsi="Calibri" w:cs="Calibri"/>
      <w:kern w:val="0"/>
      <w:lang w:val="en-US"/>
      <w14:ligatures w14:val="none"/>
    </w:rPr>
  </w:style>
  <w:style w:type="paragraph" w:styleId="TOCHeading">
    <w:name w:val="TOC Heading"/>
    <w:basedOn w:val="Heading1"/>
    <w:next w:val="Normal"/>
    <w:uiPriority w:val="39"/>
    <w:unhideWhenUsed/>
    <w:qFormat/>
    <w:rsid w:val="008C329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3291"/>
    <w:pPr>
      <w:spacing w:before="120"/>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8C3291"/>
    <w:pPr>
      <w:spacing w:before="120"/>
      <w:ind w:left="240"/>
    </w:pPr>
    <w:rPr>
      <w:rFonts w:asciiTheme="minorHAnsi" w:eastAsiaTheme="minorHAnsi" w:hAnsiTheme="minorHAnsi" w:cstheme="minorBidi"/>
      <w:b/>
      <w:bCs/>
      <w:kern w:val="2"/>
      <w:sz w:val="22"/>
      <w:szCs w:val="22"/>
      <w:lang w:eastAsia="en-US"/>
      <w14:ligatures w14:val="standardContextual"/>
    </w:rPr>
  </w:style>
  <w:style w:type="character" w:styleId="Hyperlink">
    <w:name w:val="Hyperlink"/>
    <w:basedOn w:val="DefaultParagraphFont"/>
    <w:uiPriority w:val="99"/>
    <w:unhideWhenUsed/>
    <w:rsid w:val="008C3291"/>
    <w:rPr>
      <w:color w:val="467886" w:themeColor="hyperlink"/>
      <w:u w:val="single"/>
    </w:rPr>
  </w:style>
  <w:style w:type="paragraph" w:styleId="TOC3">
    <w:name w:val="toc 3"/>
    <w:basedOn w:val="Normal"/>
    <w:next w:val="Normal"/>
    <w:autoRedefine/>
    <w:uiPriority w:val="39"/>
    <w:unhideWhenUsed/>
    <w:rsid w:val="008C3291"/>
    <w:pPr>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8C3291"/>
    <w:pPr>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8C3291"/>
    <w:pPr>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8C3291"/>
    <w:pPr>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8C3291"/>
    <w:pPr>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8C3291"/>
    <w:pPr>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8C3291"/>
    <w:pPr>
      <w:ind w:left="1920"/>
    </w:pPr>
    <w:rPr>
      <w:rFonts w:asciiTheme="minorHAnsi" w:eastAsiaTheme="minorHAnsi" w:hAnsiTheme="minorHAnsi" w:cstheme="minorBidi"/>
      <w:kern w:val="2"/>
      <w:sz w:val="20"/>
      <w:szCs w:val="20"/>
      <w:lang w:eastAsia="en-US"/>
      <w14:ligatures w14:val="standardContextual"/>
    </w:rPr>
  </w:style>
  <w:style w:type="character" w:styleId="Emphasis">
    <w:name w:val="Emphasis"/>
    <w:basedOn w:val="DefaultParagraphFont"/>
    <w:uiPriority w:val="20"/>
    <w:qFormat/>
    <w:rsid w:val="0054042F"/>
    <w:rPr>
      <w:i/>
      <w:iCs/>
    </w:rPr>
  </w:style>
  <w:style w:type="paragraph" w:styleId="NormalWeb">
    <w:name w:val="Normal (Web)"/>
    <w:basedOn w:val="Normal"/>
    <w:uiPriority w:val="99"/>
    <w:unhideWhenUsed/>
    <w:rsid w:val="0054042F"/>
    <w:pPr>
      <w:spacing w:before="100" w:beforeAutospacing="1" w:after="100" w:afterAutospacing="1"/>
    </w:pPr>
  </w:style>
  <w:style w:type="character" w:customStyle="1" w:styleId="apple-converted-space">
    <w:name w:val="apple-converted-space"/>
    <w:basedOn w:val="DefaultParagraphFont"/>
    <w:rsid w:val="00E9513B"/>
  </w:style>
  <w:style w:type="paragraph" w:styleId="Footer">
    <w:name w:val="footer"/>
    <w:basedOn w:val="Normal"/>
    <w:link w:val="FooterChar"/>
    <w:uiPriority w:val="99"/>
    <w:unhideWhenUsed/>
    <w:rsid w:val="003C2F2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3C2F27"/>
  </w:style>
  <w:style w:type="character" w:styleId="PageNumber">
    <w:name w:val="page number"/>
    <w:basedOn w:val="DefaultParagraphFont"/>
    <w:uiPriority w:val="99"/>
    <w:semiHidden/>
    <w:unhideWhenUsed/>
    <w:rsid w:val="003C2F27"/>
  </w:style>
  <w:style w:type="paragraph" w:styleId="HTMLPreformatted">
    <w:name w:val="HTML Preformatted"/>
    <w:basedOn w:val="Normal"/>
    <w:link w:val="HTMLPreformattedChar"/>
    <w:uiPriority w:val="99"/>
    <w:unhideWhenUsed/>
    <w:rsid w:val="00D25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25D41"/>
    <w:rPr>
      <w:rFonts w:ascii="Courier New" w:eastAsia="Times New Roman" w:hAnsi="Courier New" w:cs="Courier New"/>
      <w:kern w:val="0"/>
      <w:sz w:val="20"/>
      <w:szCs w:val="20"/>
      <w:lang w:eastAsia="en-GB"/>
      <w14:ligatures w14:val="none"/>
    </w:rPr>
  </w:style>
  <w:style w:type="paragraph" w:styleId="NoSpacing">
    <w:name w:val="No Spacing"/>
    <w:uiPriority w:val="1"/>
    <w:qFormat/>
    <w:rsid w:val="004C45D6"/>
  </w:style>
  <w:style w:type="table" w:styleId="TableGridLight">
    <w:name w:val="Grid Table Light"/>
    <w:basedOn w:val="TableNormal"/>
    <w:uiPriority w:val="40"/>
    <w:rsid w:val="00BC18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18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1B1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08580">
      <w:bodyDiv w:val="1"/>
      <w:marLeft w:val="0"/>
      <w:marRight w:val="0"/>
      <w:marTop w:val="0"/>
      <w:marBottom w:val="0"/>
      <w:divBdr>
        <w:top w:val="none" w:sz="0" w:space="0" w:color="auto"/>
        <w:left w:val="none" w:sz="0" w:space="0" w:color="auto"/>
        <w:bottom w:val="none" w:sz="0" w:space="0" w:color="auto"/>
        <w:right w:val="none" w:sz="0" w:space="0" w:color="auto"/>
      </w:divBdr>
    </w:div>
    <w:div w:id="48966105">
      <w:bodyDiv w:val="1"/>
      <w:marLeft w:val="0"/>
      <w:marRight w:val="0"/>
      <w:marTop w:val="0"/>
      <w:marBottom w:val="0"/>
      <w:divBdr>
        <w:top w:val="none" w:sz="0" w:space="0" w:color="auto"/>
        <w:left w:val="none" w:sz="0" w:space="0" w:color="auto"/>
        <w:bottom w:val="none" w:sz="0" w:space="0" w:color="auto"/>
        <w:right w:val="none" w:sz="0" w:space="0" w:color="auto"/>
      </w:divBdr>
    </w:div>
    <w:div w:id="51268865">
      <w:bodyDiv w:val="1"/>
      <w:marLeft w:val="0"/>
      <w:marRight w:val="0"/>
      <w:marTop w:val="0"/>
      <w:marBottom w:val="0"/>
      <w:divBdr>
        <w:top w:val="none" w:sz="0" w:space="0" w:color="auto"/>
        <w:left w:val="none" w:sz="0" w:space="0" w:color="auto"/>
        <w:bottom w:val="none" w:sz="0" w:space="0" w:color="auto"/>
        <w:right w:val="none" w:sz="0" w:space="0" w:color="auto"/>
      </w:divBdr>
    </w:div>
    <w:div w:id="121967795">
      <w:bodyDiv w:val="1"/>
      <w:marLeft w:val="0"/>
      <w:marRight w:val="0"/>
      <w:marTop w:val="0"/>
      <w:marBottom w:val="0"/>
      <w:divBdr>
        <w:top w:val="none" w:sz="0" w:space="0" w:color="auto"/>
        <w:left w:val="none" w:sz="0" w:space="0" w:color="auto"/>
        <w:bottom w:val="none" w:sz="0" w:space="0" w:color="auto"/>
        <w:right w:val="none" w:sz="0" w:space="0" w:color="auto"/>
      </w:divBdr>
    </w:div>
    <w:div w:id="224030565">
      <w:bodyDiv w:val="1"/>
      <w:marLeft w:val="0"/>
      <w:marRight w:val="0"/>
      <w:marTop w:val="0"/>
      <w:marBottom w:val="0"/>
      <w:divBdr>
        <w:top w:val="none" w:sz="0" w:space="0" w:color="auto"/>
        <w:left w:val="none" w:sz="0" w:space="0" w:color="auto"/>
        <w:bottom w:val="none" w:sz="0" w:space="0" w:color="auto"/>
        <w:right w:val="none" w:sz="0" w:space="0" w:color="auto"/>
      </w:divBdr>
    </w:div>
    <w:div w:id="284386897">
      <w:bodyDiv w:val="1"/>
      <w:marLeft w:val="0"/>
      <w:marRight w:val="0"/>
      <w:marTop w:val="0"/>
      <w:marBottom w:val="0"/>
      <w:divBdr>
        <w:top w:val="none" w:sz="0" w:space="0" w:color="auto"/>
        <w:left w:val="none" w:sz="0" w:space="0" w:color="auto"/>
        <w:bottom w:val="none" w:sz="0" w:space="0" w:color="auto"/>
        <w:right w:val="none" w:sz="0" w:space="0" w:color="auto"/>
      </w:divBdr>
    </w:div>
    <w:div w:id="295184700">
      <w:bodyDiv w:val="1"/>
      <w:marLeft w:val="0"/>
      <w:marRight w:val="0"/>
      <w:marTop w:val="0"/>
      <w:marBottom w:val="0"/>
      <w:divBdr>
        <w:top w:val="none" w:sz="0" w:space="0" w:color="auto"/>
        <w:left w:val="none" w:sz="0" w:space="0" w:color="auto"/>
        <w:bottom w:val="none" w:sz="0" w:space="0" w:color="auto"/>
        <w:right w:val="none" w:sz="0" w:space="0" w:color="auto"/>
      </w:divBdr>
    </w:div>
    <w:div w:id="305816754">
      <w:bodyDiv w:val="1"/>
      <w:marLeft w:val="0"/>
      <w:marRight w:val="0"/>
      <w:marTop w:val="0"/>
      <w:marBottom w:val="0"/>
      <w:divBdr>
        <w:top w:val="none" w:sz="0" w:space="0" w:color="auto"/>
        <w:left w:val="none" w:sz="0" w:space="0" w:color="auto"/>
        <w:bottom w:val="none" w:sz="0" w:space="0" w:color="auto"/>
        <w:right w:val="none" w:sz="0" w:space="0" w:color="auto"/>
      </w:divBdr>
    </w:div>
    <w:div w:id="348527060">
      <w:bodyDiv w:val="1"/>
      <w:marLeft w:val="0"/>
      <w:marRight w:val="0"/>
      <w:marTop w:val="0"/>
      <w:marBottom w:val="0"/>
      <w:divBdr>
        <w:top w:val="none" w:sz="0" w:space="0" w:color="auto"/>
        <w:left w:val="none" w:sz="0" w:space="0" w:color="auto"/>
        <w:bottom w:val="none" w:sz="0" w:space="0" w:color="auto"/>
        <w:right w:val="none" w:sz="0" w:space="0" w:color="auto"/>
      </w:divBdr>
    </w:div>
    <w:div w:id="381949422">
      <w:bodyDiv w:val="1"/>
      <w:marLeft w:val="0"/>
      <w:marRight w:val="0"/>
      <w:marTop w:val="0"/>
      <w:marBottom w:val="0"/>
      <w:divBdr>
        <w:top w:val="none" w:sz="0" w:space="0" w:color="auto"/>
        <w:left w:val="none" w:sz="0" w:space="0" w:color="auto"/>
        <w:bottom w:val="none" w:sz="0" w:space="0" w:color="auto"/>
        <w:right w:val="none" w:sz="0" w:space="0" w:color="auto"/>
      </w:divBdr>
    </w:div>
    <w:div w:id="408894035">
      <w:bodyDiv w:val="1"/>
      <w:marLeft w:val="0"/>
      <w:marRight w:val="0"/>
      <w:marTop w:val="0"/>
      <w:marBottom w:val="0"/>
      <w:divBdr>
        <w:top w:val="none" w:sz="0" w:space="0" w:color="auto"/>
        <w:left w:val="none" w:sz="0" w:space="0" w:color="auto"/>
        <w:bottom w:val="none" w:sz="0" w:space="0" w:color="auto"/>
        <w:right w:val="none" w:sz="0" w:space="0" w:color="auto"/>
      </w:divBdr>
    </w:div>
    <w:div w:id="448159263">
      <w:bodyDiv w:val="1"/>
      <w:marLeft w:val="0"/>
      <w:marRight w:val="0"/>
      <w:marTop w:val="0"/>
      <w:marBottom w:val="0"/>
      <w:divBdr>
        <w:top w:val="none" w:sz="0" w:space="0" w:color="auto"/>
        <w:left w:val="none" w:sz="0" w:space="0" w:color="auto"/>
        <w:bottom w:val="none" w:sz="0" w:space="0" w:color="auto"/>
        <w:right w:val="none" w:sz="0" w:space="0" w:color="auto"/>
      </w:divBdr>
    </w:div>
    <w:div w:id="450710324">
      <w:bodyDiv w:val="1"/>
      <w:marLeft w:val="0"/>
      <w:marRight w:val="0"/>
      <w:marTop w:val="0"/>
      <w:marBottom w:val="0"/>
      <w:divBdr>
        <w:top w:val="none" w:sz="0" w:space="0" w:color="auto"/>
        <w:left w:val="none" w:sz="0" w:space="0" w:color="auto"/>
        <w:bottom w:val="none" w:sz="0" w:space="0" w:color="auto"/>
        <w:right w:val="none" w:sz="0" w:space="0" w:color="auto"/>
      </w:divBdr>
    </w:div>
    <w:div w:id="465585254">
      <w:bodyDiv w:val="1"/>
      <w:marLeft w:val="0"/>
      <w:marRight w:val="0"/>
      <w:marTop w:val="0"/>
      <w:marBottom w:val="0"/>
      <w:divBdr>
        <w:top w:val="none" w:sz="0" w:space="0" w:color="auto"/>
        <w:left w:val="none" w:sz="0" w:space="0" w:color="auto"/>
        <w:bottom w:val="none" w:sz="0" w:space="0" w:color="auto"/>
        <w:right w:val="none" w:sz="0" w:space="0" w:color="auto"/>
      </w:divBdr>
    </w:div>
    <w:div w:id="471145021">
      <w:bodyDiv w:val="1"/>
      <w:marLeft w:val="0"/>
      <w:marRight w:val="0"/>
      <w:marTop w:val="0"/>
      <w:marBottom w:val="0"/>
      <w:divBdr>
        <w:top w:val="none" w:sz="0" w:space="0" w:color="auto"/>
        <w:left w:val="none" w:sz="0" w:space="0" w:color="auto"/>
        <w:bottom w:val="none" w:sz="0" w:space="0" w:color="auto"/>
        <w:right w:val="none" w:sz="0" w:space="0" w:color="auto"/>
      </w:divBdr>
    </w:div>
    <w:div w:id="486477810">
      <w:bodyDiv w:val="1"/>
      <w:marLeft w:val="0"/>
      <w:marRight w:val="0"/>
      <w:marTop w:val="0"/>
      <w:marBottom w:val="0"/>
      <w:divBdr>
        <w:top w:val="none" w:sz="0" w:space="0" w:color="auto"/>
        <w:left w:val="none" w:sz="0" w:space="0" w:color="auto"/>
        <w:bottom w:val="none" w:sz="0" w:space="0" w:color="auto"/>
        <w:right w:val="none" w:sz="0" w:space="0" w:color="auto"/>
      </w:divBdr>
    </w:div>
    <w:div w:id="534926911">
      <w:bodyDiv w:val="1"/>
      <w:marLeft w:val="0"/>
      <w:marRight w:val="0"/>
      <w:marTop w:val="0"/>
      <w:marBottom w:val="0"/>
      <w:divBdr>
        <w:top w:val="none" w:sz="0" w:space="0" w:color="auto"/>
        <w:left w:val="none" w:sz="0" w:space="0" w:color="auto"/>
        <w:bottom w:val="none" w:sz="0" w:space="0" w:color="auto"/>
        <w:right w:val="none" w:sz="0" w:space="0" w:color="auto"/>
      </w:divBdr>
    </w:div>
    <w:div w:id="625355345">
      <w:bodyDiv w:val="1"/>
      <w:marLeft w:val="0"/>
      <w:marRight w:val="0"/>
      <w:marTop w:val="0"/>
      <w:marBottom w:val="0"/>
      <w:divBdr>
        <w:top w:val="none" w:sz="0" w:space="0" w:color="auto"/>
        <w:left w:val="none" w:sz="0" w:space="0" w:color="auto"/>
        <w:bottom w:val="none" w:sz="0" w:space="0" w:color="auto"/>
        <w:right w:val="none" w:sz="0" w:space="0" w:color="auto"/>
      </w:divBdr>
    </w:div>
    <w:div w:id="645284709">
      <w:bodyDiv w:val="1"/>
      <w:marLeft w:val="0"/>
      <w:marRight w:val="0"/>
      <w:marTop w:val="0"/>
      <w:marBottom w:val="0"/>
      <w:divBdr>
        <w:top w:val="none" w:sz="0" w:space="0" w:color="auto"/>
        <w:left w:val="none" w:sz="0" w:space="0" w:color="auto"/>
        <w:bottom w:val="none" w:sz="0" w:space="0" w:color="auto"/>
        <w:right w:val="none" w:sz="0" w:space="0" w:color="auto"/>
      </w:divBdr>
    </w:div>
    <w:div w:id="682361256">
      <w:bodyDiv w:val="1"/>
      <w:marLeft w:val="0"/>
      <w:marRight w:val="0"/>
      <w:marTop w:val="0"/>
      <w:marBottom w:val="0"/>
      <w:divBdr>
        <w:top w:val="none" w:sz="0" w:space="0" w:color="auto"/>
        <w:left w:val="none" w:sz="0" w:space="0" w:color="auto"/>
        <w:bottom w:val="none" w:sz="0" w:space="0" w:color="auto"/>
        <w:right w:val="none" w:sz="0" w:space="0" w:color="auto"/>
      </w:divBdr>
    </w:div>
    <w:div w:id="762071128">
      <w:bodyDiv w:val="1"/>
      <w:marLeft w:val="0"/>
      <w:marRight w:val="0"/>
      <w:marTop w:val="0"/>
      <w:marBottom w:val="0"/>
      <w:divBdr>
        <w:top w:val="none" w:sz="0" w:space="0" w:color="auto"/>
        <w:left w:val="none" w:sz="0" w:space="0" w:color="auto"/>
        <w:bottom w:val="none" w:sz="0" w:space="0" w:color="auto"/>
        <w:right w:val="none" w:sz="0" w:space="0" w:color="auto"/>
      </w:divBdr>
    </w:div>
    <w:div w:id="765225147">
      <w:bodyDiv w:val="1"/>
      <w:marLeft w:val="0"/>
      <w:marRight w:val="0"/>
      <w:marTop w:val="0"/>
      <w:marBottom w:val="0"/>
      <w:divBdr>
        <w:top w:val="none" w:sz="0" w:space="0" w:color="auto"/>
        <w:left w:val="none" w:sz="0" w:space="0" w:color="auto"/>
        <w:bottom w:val="none" w:sz="0" w:space="0" w:color="auto"/>
        <w:right w:val="none" w:sz="0" w:space="0" w:color="auto"/>
      </w:divBdr>
    </w:div>
    <w:div w:id="816536738">
      <w:bodyDiv w:val="1"/>
      <w:marLeft w:val="0"/>
      <w:marRight w:val="0"/>
      <w:marTop w:val="0"/>
      <w:marBottom w:val="0"/>
      <w:divBdr>
        <w:top w:val="none" w:sz="0" w:space="0" w:color="auto"/>
        <w:left w:val="none" w:sz="0" w:space="0" w:color="auto"/>
        <w:bottom w:val="none" w:sz="0" w:space="0" w:color="auto"/>
        <w:right w:val="none" w:sz="0" w:space="0" w:color="auto"/>
      </w:divBdr>
    </w:div>
    <w:div w:id="857086583">
      <w:bodyDiv w:val="1"/>
      <w:marLeft w:val="0"/>
      <w:marRight w:val="0"/>
      <w:marTop w:val="0"/>
      <w:marBottom w:val="0"/>
      <w:divBdr>
        <w:top w:val="none" w:sz="0" w:space="0" w:color="auto"/>
        <w:left w:val="none" w:sz="0" w:space="0" w:color="auto"/>
        <w:bottom w:val="none" w:sz="0" w:space="0" w:color="auto"/>
        <w:right w:val="none" w:sz="0" w:space="0" w:color="auto"/>
      </w:divBdr>
    </w:div>
    <w:div w:id="862785556">
      <w:bodyDiv w:val="1"/>
      <w:marLeft w:val="0"/>
      <w:marRight w:val="0"/>
      <w:marTop w:val="0"/>
      <w:marBottom w:val="0"/>
      <w:divBdr>
        <w:top w:val="none" w:sz="0" w:space="0" w:color="auto"/>
        <w:left w:val="none" w:sz="0" w:space="0" w:color="auto"/>
        <w:bottom w:val="none" w:sz="0" w:space="0" w:color="auto"/>
        <w:right w:val="none" w:sz="0" w:space="0" w:color="auto"/>
      </w:divBdr>
    </w:div>
    <w:div w:id="892346539">
      <w:bodyDiv w:val="1"/>
      <w:marLeft w:val="0"/>
      <w:marRight w:val="0"/>
      <w:marTop w:val="0"/>
      <w:marBottom w:val="0"/>
      <w:divBdr>
        <w:top w:val="none" w:sz="0" w:space="0" w:color="auto"/>
        <w:left w:val="none" w:sz="0" w:space="0" w:color="auto"/>
        <w:bottom w:val="none" w:sz="0" w:space="0" w:color="auto"/>
        <w:right w:val="none" w:sz="0" w:space="0" w:color="auto"/>
      </w:divBdr>
    </w:div>
    <w:div w:id="930553437">
      <w:bodyDiv w:val="1"/>
      <w:marLeft w:val="0"/>
      <w:marRight w:val="0"/>
      <w:marTop w:val="0"/>
      <w:marBottom w:val="0"/>
      <w:divBdr>
        <w:top w:val="none" w:sz="0" w:space="0" w:color="auto"/>
        <w:left w:val="none" w:sz="0" w:space="0" w:color="auto"/>
        <w:bottom w:val="none" w:sz="0" w:space="0" w:color="auto"/>
        <w:right w:val="none" w:sz="0" w:space="0" w:color="auto"/>
      </w:divBdr>
    </w:div>
    <w:div w:id="934820516">
      <w:bodyDiv w:val="1"/>
      <w:marLeft w:val="0"/>
      <w:marRight w:val="0"/>
      <w:marTop w:val="0"/>
      <w:marBottom w:val="0"/>
      <w:divBdr>
        <w:top w:val="none" w:sz="0" w:space="0" w:color="auto"/>
        <w:left w:val="none" w:sz="0" w:space="0" w:color="auto"/>
        <w:bottom w:val="none" w:sz="0" w:space="0" w:color="auto"/>
        <w:right w:val="none" w:sz="0" w:space="0" w:color="auto"/>
      </w:divBdr>
    </w:div>
    <w:div w:id="1050958421">
      <w:bodyDiv w:val="1"/>
      <w:marLeft w:val="0"/>
      <w:marRight w:val="0"/>
      <w:marTop w:val="0"/>
      <w:marBottom w:val="0"/>
      <w:divBdr>
        <w:top w:val="none" w:sz="0" w:space="0" w:color="auto"/>
        <w:left w:val="none" w:sz="0" w:space="0" w:color="auto"/>
        <w:bottom w:val="none" w:sz="0" w:space="0" w:color="auto"/>
        <w:right w:val="none" w:sz="0" w:space="0" w:color="auto"/>
      </w:divBdr>
    </w:div>
    <w:div w:id="1199856045">
      <w:bodyDiv w:val="1"/>
      <w:marLeft w:val="0"/>
      <w:marRight w:val="0"/>
      <w:marTop w:val="0"/>
      <w:marBottom w:val="0"/>
      <w:divBdr>
        <w:top w:val="none" w:sz="0" w:space="0" w:color="auto"/>
        <w:left w:val="none" w:sz="0" w:space="0" w:color="auto"/>
        <w:bottom w:val="none" w:sz="0" w:space="0" w:color="auto"/>
        <w:right w:val="none" w:sz="0" w:space="0" w:color="auto"/>
      </w:divBdr>
    </w:div>
    <w:div w:id="1257597140">
      <w:bodyDiv w:val="1"/>
      <w:marLeft w:val="0"/>
      <w:marRight w:val="0"/>
      <w:marTop w:val="0"/>
      <w:marBottom w:val="0"/>
      <w:divBdr>
        <w:top w:val="none" w:sz="0" w:space="0" w:color="auto"/>
        <w:left w:val="none" w:sz="0" w:space="0" w:color="auto"/>
        <w:bottom w:val="none" w:sz="0" w:space="0" w:color="auto"/>
        <w:right w:val="none" w:sz="0" w:space="0" w:color="auto"/>
      </w:divBdr>
    </w:div>
    <w:div w:id="1395465828">
      <w:bodyDiv w:val="1"/>
      <w:marLeft w:val="0"/>
      <w:marRight w:val="0"/>
      <w:marTop w:val="0"/>
      <w:marBottom w:val="0"/>
      <w:divBdr>
        <w:top w:val="none" w:sz="0" w:space="0" w:color="auto"/>
        <w:left w:val="none" w:sz="0" w:space="0" w:color="auto"/>
        <w:bottom w:val="none" w:sz="0" w:space="0" w:color="auto"/>
        <w:right w:val="none" w:sz="0" w:space="0" w:color="auto"/>
      </w:divBdr>
    </w:div>
    <w:div w:id="1415206272">
      <w:bodyDiv w:val="1"/>
      <w:marLeft w:val="0"/>
      <w:marRight w:val="0"/>
      <w:marTop w:val="0"/>
      <w:marBottom w:val="0"/>
      <w:divBdr>
        <w:top w:val="none" w:sz="0" w:space="0" w:color="auto"/>
        <w:left w:val="none" w:sz="0" w:space="0" w:color="auto"/>
        <w:bottom w:val="none" w:sz="0" w:space="0" w:color="auto"/>
        <w:right w:val="none" w:sz="0" w:space="0" w:color="auto"/>
      </w:divBdr>
    </w:div>
    <w:div w:id="1463310371">
      <w:bodyDiv w:val="1"/>
      <w:marLeft w:val="0"/>
      <w:marRight w:val="0"/>
      <w:marTop w:val="0"/>
      <w:marBottom w:val="0"/>
      <w:divBdr>
        <w:top w:val="none" w:sz="0" w:space="0" w:color="auto"/>
        <w:left w:val="none" w:sz="0" w:space="0" w:color="auto"/>
        <w:bottom w:val="none" w:sz="0" w:space="0" w:color="auto"/>
        <w:right w:val="none" w:sz="0" w:space="0" w:color="auto"/>
      </w:divBdr>
    </w:div>
    <w:div w:id="1494640193">
      <w:bodyDiv w:val="1"/>
      <w:marLeft w:val="0"/>
      <w:marRight w:val="0"/>
      <w:marTop w:val="0"/>
      <w:marBottom w:val="0"/>
      <w:divBdr>
        <w:top w:val="none" w:sz="0" w:space="0" w:color="auto"/>
        <w:left w:val="none" w:sz="0" w:space="0" w:color="auto"/>
        <w:bottom w:val="none" w:sz="0" w:space="0" w:color="auto"/>
        <w:right w:val="none" w:sz="0" w:space="0" w:color="auto"/>
      </w:divBdr>
    </w:div>
    <w:div w:id="1559587633">
      <w:bodyDiv w:val="1"/>
      <w:marLeft w:val="0"/>
      <w:marRight w:val="0"/>
      <w:marTop w:val="0"/>
      <w:marBottom w:val="0"/>
      <w:divBdr>
        <w:top w:val="none" w:sz="0" w:space="0" w:color="auto"/>
        <w:left w:val="none" w:sz="0" w:space="0" w:color="auto"/>
        <w:bottom w:val="none" w:sz="0" w:space="0" w:color="auto"/>
        <w:right w:val="none" w:sz="0" w:space="0" w:color="auto"/>
      </w:divBdr>
    </w:div>
    <w:div w:id="1587180682">
      <w:bodyDiv w:val="1"/>
      <w:marLeft w:val="0"/>
      <w:marRight w:val="0"/>
      <w:marTop w:val="0"/>
      <w:marBottom w:val="0"/>
      <w:divBdr>
        <w:top w:val="none" w:sz="0" w:space="0" w:color="auto"/>
        <w:left w:val="none" w:sz="0" w:space="0" w:color="auto"/>
        <w:bottom w:val="none" w:sz="0" w:space="0" w:color="auto"/>
        <w:right w:val="none" w:sz="0" w:space="0" w:color="auto"/>
      </w:divBdr>
    </w:div>
    <w:div w:id="1589923105">
      <w:bodyDiv w:val="1"/>
      <w:marLeft w:val="0"/>
      <w:marRight w:val="0"/>
      <w:marTop w:val="0"/>
      <w:marBottom w:val="0"/>
      <w:divBdr>
        <w:top w:val="none" w:sz="0" w:space="0" w:color="auto"/>
        <w:left w:val="none" w:sz="0" w:space="0" w:color="auto"/>
        <w:bottom w:val="none" w:sz="0" w:space="0" w:color="auto"/>
        <w:right w:val="none" w:sz="0" w:space="0" w:color="auto"/>
      </w:divBdr>
    </w:div>
    <w:div w:id="1792240289">
      <w:bodyDiv w:val="1"/>
      <w:marLeft w:val="0"/>
      <w:marRight w:val="0"/>
      <w:marTop w:val="0"/>
      <w:marBottom w:val="0"/>
      <w:divBdr>
        <w:top w:val="none" w:sz="0" w:space="0" w:color="auto"/>
        <w:left w:val="none" w:sz="0" w:space="0" w:color="auto"/>
        <w:bottom w:val="none" w:sz="0" w:space="0" w:color="auto"/>
        <w:right w:val="none" w:sz="0" w:space="0" w:color="auto"/>
      </w:divBdr>
    </w:div>
    <w:div w:id="1806041882">
      <w:bodyDiv w:val="1"/>
      <w:marLeft w:val="0"/>
      <w:marRight w:val="0"/>
      <w:marTop w:val="0"/>
      <w:marBottom w:val="0"/>
      <w:divBdr>
        <w:top w:val="none" w:sz="0" w:space="0" w:color="auto"/>
        <w:left w:val="none" w:sz="0" w:space="0" w:color="auto"/>
        <w:bottom w:val="none" w:sz="0" w:space="0" w:color="auto"/>
        <w:right w:val="none" w:sz="0" w:space="0" w:color="auto"/>
      </w:divBdr>
    </w:div>
    <w:div w:id="1881436568">
      <w:bodyDiv w:val="1"/>
      <w:marLeft w:val="0"/>
      <w:marRight w:val="0"/>
      <w:marTop w:val="0"/>
      <w:marBottom w:val="0"/>
      <w:divBdr>
        <w:top w:val="none" w:sz="0" w:space="0" w:color="auto"/>
        <w:left w:val="none" w:sz="0" w:space="0" w:color="auto"/>
        <w:bottom w:val="none" w:sz="0" w:space="0" w:color="auto"/>
        <w:right w:val="none" w:sz="0" w:space="0" w:color="auto"/>
      </w:divBdr>
    </w:div>
    <w:div w:id="1894612147">
      <w:bodyDiv w:val="1"/>
      <w:marLeft w:val="0"/>
      <w:marRight w:val="0"/>
      <w:marTop w:val="0"/>
      <w:marBottom w:val="0"/>
      <w:divBdr>
        <w:top w:val="none" w:sz="0" w:space="0" w:color="auto"/>
        <w:left w:val="none" w:sz="0" w:space="0" w:color="auto"/>
        <w:bottom w:val="none" w:sz="0" w:space="0" w:color="auto"/>
        <w:right w:val="none" w:sz="0" w:space="0" w:color="auto"/>
      </w:divBdr>
    </w:div>
    <w:div w:id="1914193145">
      <w:bodyDiv w:val="1"/>
      <w:marLeft w:val="0"/>
      <w:marRight w:val="0"/>
      <w:marTop w:val="0"/>
      <w:marBottom w:val="0"/>
      <w:divBdr>
        <w:top w:val="none" w:sz="0" w:space="0" w:color="auto"/>
        <w:left w:val="none" w:sz="0" w:space="0" w:color="auto"/>
        <w:bottom w:val="none" w:sz="0" w:space="0" w:color="auto"/>
        <w:right w:val="none" w:sz="0" w:space="0" w:color="auto"/>
      </w:divBdr>
    </w:div>
    <w:div w:id="1926500895">
      <w:bodyDiv w:val="1"/>
      <w:marLeft w:val="0"/>
      <w:marRight w:val="0"/>
      <w:marTop w:val="0"/>
      <w:marBottom w:val="0"/>
      <w:divBdr>
        <w:top w:val="none" w:sz="0" w:space="0" w:color="auto"/>
        <w:left w:val="none" w:sz="0" w:space="0" w:color="auto"/>
        <w:bottom w:val="none" w:sz="0" w:space="0" w:color="auto"/>
        <w:right w:val="none" w:sz="0" w:space="0" w:color="auto"/>
      </w:divBdr>
    </w:div>
    <w:div w:id="2010013839">
      <w:bodyDiv w:val="1"/>
      <w:marLeft w:val="0"/>
      <w:marRight w:val="0"/>
      <w:marTop w:val="0"/>
      <w:marBottom w:val="0"/>
      <w:divBdr>
        <w:top w:val="none" w:sz="0" w:space="0" w:color="auto"/>
        <w:left w:val="none" w:sz="0" w:space="0" w:color="auto"/>
        <w:bottom w:val="none" w:sz="0" w:space="0" w:color="auto"/>
        <w:right w:val="none" w:sz="0" w:space="0" w:color="auto"/>
      </w:divBdr>
    </w:div>
    <w:div w:id="2049328212">
      <w:bodyDiv w:val="1"/>
      <w:marLeft w:val="0"/>
      <w:marRight w:val="0"/>
      <w:marTop w:val="0"/>
      <w:marBottom w:val="0"/>
      <w:divBdr>
        <w:top w:val="none" w:sz="0" w:space="0" w:color="auto"/>
        <w:left w:val="none" w:sz="0" w:space="0" w:color="auto"/>
        <w:bottom w:val="none" w:sz="0" w:space="0" w:color="auto"/>
        <w:right w:val="none" w:sz="0" w:space="0" w:color="auto"/>
      </w:divBdr>
    </w:div>
    <w:div w:id="2051564292">
      <w:bodyDiv w:val="1"/>
      <w:marLeft w:val="0"/>
      <w:marRight w:val="0"/>
      <w:marTop w:val="0"/>
      <w:marBottom w:val="0"/>
      <w:divBdr>
        <w:top w:val="none" w:sz="0" w:space="0" w:color="auto"/>
        <w:left w:val="none" w:sz="0" w:space="0" w:color="auto"/>
        <w:bottom w:val="none" w:sz="0" w:space="0" w:color="auto"/>
        <w:right w:val="none" w:sz="0" w:space="0" w:color="auto"/>
      </w:divBdr>
    </w:div>
    <w:div w:id="2062632249">
      <w:bodyDiv w:val="1"/>
      <w:marLeft w:val="0"/>
      <w:marRight w:val="0"/>
      <w:marTop w:val="0"/>
      <w:marBottom w:val="0"/>
      <w:divBdr>
        <w:top w:val="none" w:sz="0" w:space="0" w:color="auto"/>
        <w:left w:val="none" w:sz="0" w:space="0" w:color="auto"/>
        <w:bottom w:val="none" w:sz="0" w:space="0" w:color="auto"/>
        <w:right w:val="none" w:sz="0" w:space="0" w:color="auto"/>
      </w:divBdr>
    </w:div>
    <w:div w:id="2063165877">
      <w:bodyDiv w:val="1"/>
      <w:marLeft w:val="0"/>
      <w:marRight w:val="0"/>
      <w:marTop w:val="0"/>
      <w:marBottom w:val="0"/>
      <w:divBdr>
        <w:top w:val="none" w:sz="0" w:space="0" w:color="auto"/>
        <w:left w:val="none" w:sz="0" w:space="0" w:color="auto"/>
        <w:bottom w:val="none" w:sz="0" w:space="0" w:color="auto"/>
        <w:right w:val="none" w:sz="0" w:space="0" w:color="auto"/>
      </w:divBdr>
    </w:div>
    <w:div w:id="207585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onlinelibrary.wiley.com/doi/abs/10.1111/1467-6486.00059" TargetMode="External"/><Relationship Id="rId39" Type="http://schemas.openxmlformats.org/officeDocument/2006/relationships/hyperlink" Target="https://eprints.qut.edu.au/209028/" TargetMode="External"/><Relationship Id="rId21" Type="http://schemas.openxmlformats.org/officeDocument/2006/relationships/hyperlink" Target="https://www.taylorfrancis.com/books/mono/10.4324/9781410617095/transformational-leadership-bernard-bass-ronald-riggio" TargetMode="External"/><Relationship Id="rId34" Type="http://schemas.openxmlformats.org/officeDocument/2006/relationships/hyperlink" Target="https://books.google.co.uk/books?hl=en&amp;lr=&amp;id=Mnres2PlFLMC&amp;oi=fnd&amp;pg=PR9&amp;dq=Schein,+E.H.,+2010.+Organizational+culture+and+leadership+(Vol.+2).+John+Wiley+%26+Sons.&amp;ots=oqhrLa0qLn&amp;sig=b5rQ9aYHsVHvvPgAn0uHESeO7_Q&amp;redir_esc=y"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emerald.com/ijoa/article-abstract/25/4/723/137536/Change-management-through-leadership-the-mediating?redirectedFrom=fulltext" TargetMode="External"/><Relationship Id="rId29" Type="http://schemas.openxmlformats.org/officeDocument/2006/relationships/hyperlink" Target="https://images.template.net/wp-content/uploads/2016/04/11122659/balanced-scorecard-key-performance-indicators.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nk.springer.com/article/10.1007/s11747-017-0542-9" TargetMode="External"/><Relationship Id="rId32" Type="http://schemas.openxmlformats.org/officeDocument/2006/relationships/hyperlink" Target="https://link.springer.com/article/10.1007/s11213-014-9317-0" TargetMode="External"/><Relationship Id="rId37" Type="http://schemas.openxmlformats.org/officeDocument/2006/relationships/hyperlink" Target="https://www.taylorfrancis.com/chapters/edit/10.4324/9781003008637-4/understanding-digital-transformation-gregory-vial" TargetMode="External"/><Relationship Id="rId40" Type="http://schemas.openxmlformats.org/officeDocument/2006/relationships/hyperlink" Target="https://link.springer.com/article/10.1186/S41239-019-0171-0"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onlinelibrary.wiley.com/doi/full/10.1111/j.1467-6486.2004.00463.x" TargetMode="External"/><Relationship Id="rId28" Type="http://schemas.openxmlformats.org/officeDocument/2006/relationships/hyperlink" Target="https://books.google.co.uk/books?hl=en&amp;lr=&amp;id=Te_cHbWv-ZgC&amp;oi=fnd&amp;pg=PA1&amp;dq=Hiatt,+J.,+2006.+ADKAR:+a+model+for+change+in+business,+government,+and+our+community.+Prosci.+Jarke,+J.+and+Breiter,+A.,+2019.+The+datafication+of+education.+Learning,+Media+and+Technology,+44(1),+pp.1-6.&amp;ots=1tjLl-nZKI&amp;sig=1zC8Nvg29yh8EkSDxaK_tBtKUzM&amp;redir_esc=y" TargetMode="External"/><Relationship Id="rId36" Type="http://schemas.openxmlformats.org/officeDocument/2006/relationships/hyperlink" Target="https://www.sciencedirect.com/science/article/pii/S014829631930547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journals.sagepub.com/doi/abs/10.1177/002188631039655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sciencedirect.com/science/article/abs/pii/S0308596117304238" TargetMode="External"/><Relationship Id="rId27" Type="http://schemas.openxmlformats.org/officeDocument/2006/relationships/hyperlink" Target="https://discovery.ucl.ac.uk/id/eprint/10053501/" TargetMode="External"/><Relationship Id="rId30" Type="http://schemas.openxmlformats.org/officeDocument/2006/relationships/hyperlink" Target="https://www.tandfonline.com/doi/abs/10.1080/1469701042000221696" TargetMode="External"/><Relationship Id="rId35" Type="http://schemas.openxmlformats.org/officeDocument/2006/relationships/hyperlink" Target="https://books.google.co.uk/books?hl=en&amp;lr=&amp;id=dMZKEAAAQBAJ&amp;oi=fnd&amp;pg=PR1&amp;dq=Selwyn,+N.,+2021.+Education+and+technology:+Key+issues+and+debates.+Bloomsbury+Publishing.&amp;ots=wnTOPJZHAu&amp;sig=-ydEqIFDg_KcoJJK2DQ8DOzgFDM&amp;redir_esc=y"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andfonline.com/doi/abs/10.1080/15391523.2010.10782551" TargetMode="External"/><Relationship Id="rId33" Type="http://schemas.openxmlformats.org/officeDocument/2006/relationships/hyperlink" Target="https://www.sciencedirect.com/science/article/abs/pii/S0959652618329810" TargetMode="External"/><Relationship Id="rId38" Type="http://schemas.openxmlformats.org/officeDocument/2006/relationships/hyperlink" Target="https://tompeters.com/docs/Structure_Is_Not_Organiz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4521-65B8-8243-8016-E89EA134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20</Pages>
  <Words>6298</Words>
  <Characters>35901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Nikolova</dc:creator>
  <cp:keywords/>
  <dc:description/>
  <cp:lastModifiedBy>Elena Popova (2241238)</cp:lastModifiedBy>
  <cp:revision>17</cp:revision>
  <dcterms:created xsi:type="dcterms:W3CDTF">2024-10-03T17:33:00Z</dcterms:created>
  <dcterms:modified xsi:type="dcterms:W3CDTF">2025-11-19T17:51:00Z</dcterms:modified>
</cp:coreProperties>
</file>