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1ABB9" w14:textId="77777777" w:rsidR="005C7D41" w:rsidRDefault="005C7D41" w:rsidP="005C7D41">
      <w:pPr>
        <w:spacing w:before="212"/>
        <w:jc w:val="center"/>
        <w:rPr>
          <w:rFonts w:ascii="Arial"/>
          <w:b/>
          <w:sz w:val="56"/>
        </w:rPr>
      </w:pPr>
      <w:r>
        <w:rPr>
          <w:rFonts w:ascii="Arial"/>
          <w:b/>
          <w:noProof/>
          <w:sz w:val="56"/>
        </w:rPr>
        <w:drawing>
          <wp:inline distT="0" distB="0" distL="0" distR="0" wp14:anchorId="027370ED" wp14:editId="4CD94F89">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7F5C693" w14:textId="77777777" w:rsidR="005C7D41" w:rsidRPr="0066224E" w:rsidRDefault="005C7D41" w:rsidP="005C7D41">
      <w:pPr>
        <w:spacing w:before="212"/>
        <w:jc w:val="center"/>
        <w:rPr>
          <w:rFonts w:ascii="Arial"/>
          <w:b/>
          <w:sz w:val="36"/>
          <w:szCs w:val="36"/>
        </w:rPr>
      </w:pPr>
    </w:p>
    <w:p w14:paraId="5ACFE498" w14:textId="77777777" w:rsidR="005C7D41" w:rsidRDefault="005C7D41" w:rsidP="005C7D41">
      <w:pPr>
        <w:spacing w:before="212"/>
        <w:rPr>
          <w:rFonts w:ascii="Arial"/>
          <w:b/>
          <w:sz w:val="56"/>
        </w:rPr>
      </w:pPr>
    </w:p>
    <w:p w14:paraId="74818A56" w14:textId="787E8E94" w:rsidR="005C7D41" w:rsidRDefault="005C7D41" w:rsidP="005C7D41">
      <w:pPr>
        <w:tabs>
          <w:tab w:val="left" w:pos="7056"/>
        </w:tabs>
        <w:spacing w:before="212"/>
        <w:rPr>
          <w:rFonts w:ascii="Arial"/>
          <w:b/>
          <w:sz w:val="48"/>
          <w:szCs w:val="48"/>
        </w:rPr>
      </w:pPr>
      <w:r w:rsidRPr="00DD5969">
        <w:rPr>
          <w:rFonts w:ascii="Arial"/>
          <w:b/>
          <w:sz w:val="48"/>
          <w:szCs w:val="48"/>
        </w:rPr>
        <w:t>MODULE CODE:</w:t>
      </w:r>
      <w:r w:rsidR="00FE1F5E">
        <w:rPr>
          <w:rFonts w:ascii="Arial"/>
          <w:b/>
          <w:sz w:val="48"/>
          <w:szCs w:val="48"/>
        </w:rPr>
        <w:t xml:space="preserve"> </w:t>
      </w:r>
      <w:r>
        <w:rPr>
          <w:rFonts w:ascii="Arial"/>
          <w:b/>
          <w:sz w:val="48"/>
          <w:szCs w:val="48"/>
        </w:rPr>
        <w:t>ECDE7021</w:t>
      </w:r>
      <w:r>
        <w:rPr>
          <w:rFonts w:ascii="Arial"/>
          <w:b/>
          <w:sz w:val="48"/>
          <w:szCs w:val="48"/>
        </w:rPr>
        <w:tab/>
      </w:r>
    </w:p>
    <w:p w14:paraId="28A4ED65" w14:textId="77777777" w:rsidR="005C7D41" w:rsidRDefault="005C7D41" w:rsidP="005C7D41">
      <w:pPr>
        <w:spacing w:before="212"/>
        <w:rPr>
          <w:rFonts w:ascii="Arial"/>
          <w:b/>
          <w:sz w:val="48"/>
          <w:szCs w:val="48"/>
        </w:rPr>
      </w:pPr>
    </w:p>
    <w:p w14:paraId="5A340199" w14:textId="104958B7" w:rsidR="005C7D41" w:rsidRPr="00DD5969" w:rsidRDefault="005C7D41" w:rsidP="005C7D41">
      <w:pPr>
        <w:spacing w:before="212"/>
        <w:rPr>
          <w:rFonts w:ascii="Arial"/>
          <w:b/>
          <w:sz w:val="48"/>
          <w:szCs w:val="48"/>
        </w:rPr>
      </w:pPr>
      <w:r>
        <w:rPr>
          <w:rFonts w:ascii="Arial"/>
          <w:b/>
          <w:sz w:val="48"/>
          <w:szCs w:val="48"/>
        </w:rPr>
        <w:t>ASSESSMENT COMPONENT: 3</w:t>
      </w:r>
    </w:p>
    <w:p w14:paraId="182E367B" w14:textId="77777777" w:rsidR="005C7D41" w:rsidRDefault="005C7D41" w:rsidP="005C7D41">
      <w:pPr>
        <w:spacing w:before="7"/>
        <w:jc w:val="center"/>
        <w:rPr>
          <w:rFonts w:ascii="Arial"/>
          <w:b/>
          <w:sz w:val="44"/>
        </w:rPr>
      </w:pPr>
    </w:p>
    <w:p w14:paraId="3FECD5BD" w14:textId="0D044959" w:rsidR="005C7D41" w:rsidRPr="00DD5969" w:rsidRDefault="005C7D41" w:rsidP="005C7D41">
      <w:pPr>
        <w:spacing w:before="3"/>
        <w:rPr>
          <w:rFonts w:ascii="Arial"/>
          <w:b/>
          <w:sz w:val="48"/>
          <w:szCs w:val="48"/>
        </w:rPr>
      </w:pPr>
      <w:r w:rsidRPr="00DD5969">
        <w:rPr>
          <w:rFonts w:ascii="Arial"/>
          <w:b/>
          <w:sz w:val="48"/>
          <w:szCs w:val="48"/>
        </w:rPr>
        <w:t>STUDENT NAME:</w:t>
      </w:r>
      <w:r w:rsidR="00FE1F5E">
        <w:rPr>
          <w:rFonts w:ascii="Arial"/>
          <w:b/>
          <w:sz w:val="48"/>
          <w:szCs w:val="48"/>
        </w:rPr>
        <w:t xml:space="preserve"> </w:t>
      </w:r>
      <w:r>
        <w:rPr>
          <w:rFonts w:ascii="Arial"/>
          <w:b/>
          <w:sz w:val="48"/>
          <w:szCs w:val="48"/>
        </w:rPr>
        <w:t>Inam Alsalim</w:t>
      </w:r>
    </w:p>
    <w:p w14:paraId="7BD09151" w14:textId="77777777" w:rsidR="005C7D41" w:rsidRPr="00DD5969" w:rsidRDefault="005C7D41" w:rsidP="005C7D41">
      <w:pPr>
        <w:spacing w:before="3"/>
        <w:rPr>
          <w:rFonts w:ascii="Arial"/>
          <w:b/>
          <w:sz w:val="48"/>
          <w:szCs w:val="48"/>
        </w:rPr>
      </w:pPr>
    </w:p>
    <w:p w14:paraId="0B63D294" w14:textId="77777777" w:rsidR="005C7D41" w:rsidRPr="00DD5969" w:rsidRDefault="005C7D41" w:rsidP="005C7D4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2502495</w:t>
      </w:r>
    </w:p>
    <w:p w14:paraId="0F923EE0" w14:textId="77777777" w:rsidR="005C7D41" w:rsidRDefault="005C7D41" w:rsidP="005C7D41">
      <w:pPr>
        <w:rPr>
          <w:rFonts w:ascii="Arial"/>
          <w:b/>
          <w:sz w:val="47"/>
        </w:rPr>
      </w:pPr>
    </w:p>
    <w:p w14:paraId="7882D94F" w14:textId="77777777" w:rsidR="005C7D41" w:rsidRPr="00192D3C" w:rsidRDefault="005C7D41" w:rsidP="005C7D41">
      <w:pPr>
        <w:ind w:left="100"/>
        <w:jc w:val="center"/>
        <w:rPr>
          <w:rFonts w:ascii="Arial"/>
          <w:b/>
          <w:sz w:val="47"/>
        </w:rPr>
      </w:pPr>
    </w:p>
    <w:p w14:paraId="4ED7A5E8" w14:textId="77777777" w:rsidR="005C7D41" w:rsidRDefault="005C7D41" w:rsidP="005C7D41">
      <w:pPr>
        <w:ind w:left="100"/>
        <w:rPr>
          <w:rFonts w:ascii="Arial"/>
          <w:b/>
          <w:sz w:val="47"/>
        </w:rPr>
      </w:pPr>
    </w:p>
    <w:p w14:paraId="42049903" w14:textId="77777777" w:rsidR="005C7D41" w:rsidRDefault="005C7D41" w:rsidP="005C7D41">
      <w:pPr>
        <w:ind w:left="100"/>
        <w:rPr>
          <w:rFonts w:ascii="Arial"/>
          <w:b/>
          <w:sz w:val="47"/>
        </w:rPr>
      </w:pPr>
    </w:p>
    <w:p w14:paraId="456ED8DD" w14:textId="77777777" w:rsidR="005C7D41" w:rsidRPr="00192D3C" w:rsidRDefault="005C7D41" w:rsidP="005C7D41">
      <w:pPr>
        <w:ind w:left="100"/>
        <w:rPr>
          <w:rFonts w:ascii="Arial"/>
          <w:b/>
          <w:sz w:val="47"/>
        </w:rPr>
      </w:pPr>
      <w:r w:rsidRPr="00192D3C">
        <w:rPr>
          <w:rFonts w:ascii="Arial"/>
          <w:b/>
          <w:sz w:val="47"/>
        </w:rPr>
        <w:t>Doctorate in Education (EdD)</w:t>
      </w:r>
    </w:p>
    <w:p w14:paraId="488268C8" w14:textId="77777777" w:rsidR="005C7D41" w:rsidRPr="00192D3C" w:rsidRDefault="005C7D41" w:rsidP="005C7D41">
      <w:pPr>
        <w:jc w:val="center"/>
        <w:rPr>
          <w:rFonts w:ascii="Arial"/>
          <w:b/>
          <w:sz w:val="40"/>
        </w:rPr>
      </w:pPr>
    </w:p>
    <w:p w14:paraId="4B388369" w14:textId="77777777" w:rsidR="008B0AEC" w:rsidRDefault="008B0AEC" w:rsidP="005C7D41">
      <w:pPr>
        <w:rPr>
          <w:b/>
          <w:bCs/>
          <w:sz w:val="32"/>
          <w:szCs w:val="32"/>
          <w:u w:val="single"/>
        </w:rPr>
      </w:pPr>
    </w:p>
    <w:p w14:paraId="361684BF" w14:textId="77777777" w:rsidR="008B0AEC" w:rsidRDefault="008B0AEC" w:rsidP="005C7D41">
      <w:pPr>
        <w:rPr>
          <w:b/>
          <w:bCs/>
          <w:sz w:val="32"/>
          <w:szCs w:val="32"/>
          <w:u w:val="single"/>
        </w:rPr>
      </w:pPr>
    </w:p>
    <w:p w14:paraId="3571ADE8" w14:textId="77777777" w:rsidR="008B0AEC" w:rsidRDefault="008B0AEC" w:rsidP="005C7D41">
      <w:pPr>
        <w:rPr>
          <w:b/>
          <w:bCs/>
          <w:sz w:val="32"/>
          <w:szCs w:val="32"/>
          <w:u w:val="single"/>
        </w:rPr>
      </w:pPr>
    </w:p>
    <w:p w14:paraId="7FE3336D" w14:textId="77777777" w:rsidR="008B0AEC" w:rsidRDefault="008B0AEC" w:rsidP="005C7D41">
      <w:pPr>
        <w:rPr>
          <w:b/>
          <w:bCs/>
          <w:sz w:val="32"/>
          <w:szCs w:val="32"/>
          <w:u w:val="single"/>
        </w:rPr>
      </w:pPr>
    </w:p>
    <w:p w14:paraId="0164A2B1" w14:textId="77777777" w:rsidR="008B0AEC" w:rsidRDefault="008B0AEC" w:rsidP="005C7D41">
      <w:pPr>
        <w:rPr>
          <w:b/>
          <w:bCs/>
          <w:sz w:val="32"/>
          <w:szCs w:val="32"/>
          <w:u w:val="single"/>
        </w:rPr>
      </w:pPr>
    </w:p>
    <w:p w14:paraId="0ED64FF1" w14:textId="77777777" w:rsidR="008B0AEC" w:rsidRDefault="008B0AEC" w:rsidP="005C7D41">
      <w:pPr>
        <w:rPr>
          <w:b/>
          <w:bCs/>
          <w:sz w:val="32"/>
          <w:szCs w:val="32"/>
          <w:u w:val="single"/>
        </w:rPr>
      </w:pPr>
    </w:p>
    <w:p w14:paraId="0976CD04" w14:textId="77777777" w:rsidR="008B0AEC" w:rsidRDefault="008B0AEC" w:rsidP="005C7D41">
      <w:pPr>
        <w:rPr>
          <w:b/>
          <w:bCs/>
          <w:sz w:val="32"/>
          <w:szCs w:val="32"/>
          <w:u w:val="single"/>
        </w:rPr>
      </w:pPr>
    </w:p>
    <w:p w14:paraId="4DFA99F8" w14:textId="4EC57DC5" w:rsidR="005C7D41" w:rsidRPr="00E243A8" w:rsidRDefault="005C7D41" w:rsidP="005C7D41">
      <w:pPr>
        <w:rPr>
          <w:b/>
          <w:bCs/>
          <w:sz w:val="32"/>
          <w:szCs w:val="32"/>
          <w:u w:val="single"/>
        </w:rPr>
      </w:pPr>
      <w:r w:rsidRPr="00E243A8">
        <w:rPr>
          <w:b/>
          <w:bCs/>
          <w:sz w:val="32"/>
          <w:szCs w:val="32"/>
          <w:u w:val="single"/>
        </w:rPr>
        <w:t>AI Acknowledgement</w:t>
      </w:r>
    </w:p>
    <w:p w14:paraId="21F1ACB7" w14:textId="77777777" w:rsidR="005C7D41" w:rsidRDefault="005C7D41" w:rsidP="005C7D41"/>
    <w:p w14:paraId="4F7BB85A" w14:textId="77777777" w:rsidR="005C7D41" w:rsidRDefault="005C7D41" w:rsidP="005C7D41">
      <w:r w:rsidRPr="00E243A8">
        <w:t xml:space="preserve">I confirm that I have not used any AI tools in the research and creation of this assignment. </w:t>
      </w:r>
    </w:p>
    <w:p w14:paraId="585C46A9" w14:textId="77777777" w:rsidR="005C7D41" w:rsidRDefault="005C7D41" w:rsidP="005C7D41">
      <w:r w:rsidRPr="00E243A8">
        <w:t xml:space="preserve">I confirm that I have not presented any AI generated materials as my own work. </w:t>
      </w:r>
    </w:p>
    <w:p w14:paraId="670FA5CC" w14:textId="77777777" w:rsidR="005C7D41" w:rsidRPr="00E243A8" w:rsidRDefault="005C7D41" w:rsidP="005C7D41">
      <w:r w:rsidRPr="00E243A8">
        <w:t xml:space="preserve">I confirm </w:t>
      </w:r>
      <w:r>
        <w:t xml:space="preserve">that </w:t>
      </w:r>
      <w:r w:rsidRPr="00E243A8">
        <w:t>I have copies of my drafts, notes, and other resources I used, which I may be asked to provide in evidence.</w:t>
      </w:r>
    </w:p>
    <w:p w14:paraId="5E586C3B" w14:textId="77777777" w:rsidR="005C7D41" w:rsidRDefault="005C7D41" w:rsidP="005C7D41"/>
    <w:p w14:paraId="579DCDB6" w14:textId="47CD2564" w:rsidR="005C7D41" w:rsidRPr="005C7D41" w:rsidRDefault="005C7D41" w:rsidP="005C7D41">
      <w:pPr>
        <w:rPr>
          <w:b/>
          <w:bCs/>
        </w:rPr>
      </w:pPr>
      <w:proofErr w:type="gramStart"/>
      <w:r w:rsidRPr="00C2550A">
        <w:rPr>
          <w:b/>
          <w:bCs/>
        </w:rPr>
        <w:t>OR:</w:t>
      </w:r>
      <w:r w:rsidRPr="00DD5969">
        <w:t>I</w:t>
      </w:r>
      <w:proofErr w:type="gramEnd"/>
      <w:r w:rsidRPr="00DD5969">
        <w:t xml:space="preserve"> acknowledge the use of [AI Tool] [(AI Tool </w:t>
      </w:r>
      <w:proofErr w:type="spellStart"/>
      <w:r w:rsidRPr="00DD5969">
        <w:t>url</w:t>
      </w:r>
      <w:proofErr w:type="spellEnd"/>
      <w:r w:rsidRPr="00DD5969">
        <w:t xml:space="preserve">)] on [Date] to [Purpose my work]. I used the prompt(s): </w:t>
      </w:r>
    </w:p>
    <w:p w14:paraId="5BE9A0DC" w14:textId="24205960" w:rsidR="005C7D41" w:rsidRPr="00DD5969" w:rsidRDefault="005C7D41" w:rsidP="005C7D41">
      <w:r w:rsidRPr="00DD5969">
        <w:t>1. [</w:t>
      </w:r>
      <w:r>
        <w:t>Grammarly for proof reading and punctuation</w:t>
      </w:r>
      <w:r w:rsidRPr="00DD5969">
        <w:t xml:space="preserve">] </w:t>
      </w:r>
      <w:r>
        <w:t>11/10/2026</w:t>
      </w:r>
    </w:p>
    <w:p w14:paraId="2CCD0312" w14:textId="08118EDF" w:rsidR="005C7D41" w:rsidRPr="00DD5969" w:rsidRDefault="005C7D41" w:rsidP="005C7D41">
      <w:r w:rsidRPr="00DD5969">
        <w:t>2. [</w:t>
      </w:r>
      <w:proofErr w:type="spellStart"/>
      <w:r>
        <w:t>quillbot</w:t>
      </w:r>
      <w:proofErr w:type="spellEnd"/>
      <w:r>
        <w:t xml:space="preserve"> to search for resources</w:t>
      </w:r>
      <w:r w:rsidRPr="00DD5969">
        <w:t xml:space="preserve">] </w:t>
      </w:r>
      <w:r>
        <w:t>16/10/2026</w:t>
      </w:r>
    </w:p>
    <w:p w14:paraId="4FFB99A3" w14:textId="77777777" w:rsidR="005C7D41" w:rsidRPr="00DD5969" w:rsidRDefault="005C7D41" w:rsidP="005C7D41">
      <w:r w:rsidRPr="00DD5969">
        <w:t>3. [</w:t>
      </w:r>
      <w:r>
        <w:t>CHAT GPT summarise some articles]</w:t>
      </w:r>
      <w:r w:rsidRPr="00DD5969">
        <w:t xml:space="preserve"> </w:t>
      </w:r>
      <w:r>
        <w:t>1/10/2026</w:t>
      </w:r>
    </w:p>
    <w:p w14:paraId="0241E2BA" w14:textId="77777777" w:rsidR="005C7D41" w:rsidRDefault="005C7D41" w:rsidP="005C7D41">
      <w:r w:rsidRPr="00DD5969">
        <w:t xml:space="preserve">I confirm that I have not presented any AI generated text as my own work. </w:t>
      </w:r>
    </w:p>
    <w:p w14:paraId="34A3AB40" w14:textId="77777777" w:rsidR="005C7D41" w:rsidRDefault="005C7D41" w:rsidP="005C7D41">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05ED7A24" w14:textId="77777777" w:rsidR="005C7D41" w:rsidRDefault="005C7D41" w:rsidP="005C7D41"/>
    <w:p w14:paraId="4DF5D7ED" w14:textId="77777777" w:rsidR="003037F6" w:rsidRDefault="003037F6">
      <w:pPr>
        <w:pStyle w:val="Title"/>
        <w:spacing w:after="360"/>
        <w:jc w:val="center"/>
        <w:rPr>
          <w:sz w:val="52"/>
          <w:szCs w:val="52"/>
        </w:rPr>
      </w:pPr>
    </w:p>
    <w:p w14:paraId="4AAFE592" w14:textId="77777777" w:rsidR="003037F6" w:rsidRDefault="003037F6">
      <w:pPr>
        <w:rPr>
          <w:sz w:val="52"/>
          <w:szCs w:val="52"/>
        </w:rPr>
      </w:pPr>
      <w:r>
        <w:rPr>
          <w:sz w:val="52"/>
          <w:szCs w:val="52"/>
        </w:rPr>
        <w:br w:type="page"/>
      </w:r>
    </w:p>
    <w:p w14:paraId="3C00F236" w14:textId="6B6988BF" w:rsidR="009D06F6" w:rsidRPr="00B67CD6" w:rsidRDefault="00597845">
      <w:pPr>
        <w:pStyle w:val="Title"/>
        <w:spacing w:after="360"/>
        <w:jc w:val="center"/>
        <w:rPr>
          <w:sz w:val="52"/>
          <w:szCs w:val="52"/>
        </w:rPr>
      </w:pPr>
      <w:r w:rsidRPr="00B67CD6">
        <w:rPr>
          <w:sz w:val="52"/>
          <w:szCs w:val="52"/>
        </w:rPr>
        <w:lastRenderedPageBreak/>
        <w:t>Exploring the Role of Play-Based Learning in Supporting the Engagement and Inclusion of Learners with Additional Learning Needs (ALN) in Mainstream Primary Classrooms in Wales</w:t>
      </w:r>
    </w:p>
    <w:p w14:paraId="0FFFC650" w14:textId="77777777" w:rsidR="00D6732F" w:rsidRDefault="00D6732F">
      <w:pPr>
        <w:pStyle w:val="Heading1"/>
      </w:pPr>
    </w:p>
    <w:p w14:paraId="3C25C6B6" w14:textId="77777777" w:rsidR="00D6732F" w:rsidRDefault="00D6732F">
      <w:pPr>
        <w:pStyle w:val="Heading1"/>
      </w:pPr>
    </w:p>
    <w:p w14:paraId="0B58E44D" w14:textId="62679E03" w:rsidR="00CD32BA" w:rsidRDefault="00597845">
      <w:pPr>
        <w:pStyle w:val="Heading1"/>
      </w:pPr>
      <w:r>
        <w:t>1. Introduction</w:t>
      </w:r>
    </w:p>
    <w:p w14:paraId="6C3B19EA" w14:textId="77777777" w:rsidR="00CD32BA" w:rsidRDefault="00597845">
      <w:pPr>
        <w:spacing w:after="140" w:line="360" w:lineRule="auto"/>
      </w:pPr>
      <w:r>
        <w:t>Inclusive education has become a central priority in Welsh educational policy. The Curriculum for Wales (Welsh Government, 2022) and the Additional Learning Needs and Education Tribunal (Wales) Act 2018 together create a policy environment in which mainstream schools are expected to support the full diversity of learners, including those with Additional Learning Needs (ALN), within everyday classroom practice rather than through separate provision. The Additional Learning Needs Code for Wales (Welsh Government, 2021) sets out the statutory guidance for this reform, which replaces the earlier Special Educational Needs framework with a single system for learners from birth to the age of twenty-five.</w:t>
      </w:r>
    </w:p>
    <w:p w14:paraId="325E0BD6" w14:textId="77777777" w:rsidR="00CD32BA" w:rsidRDefault="00597845">
      <w:pPr>
        <w:spacing w:after="140" w:line="360" w:lineRule="auto"/>
      </w:pPr>
      <w:r>
        <w:t>Alongside this reform, Wales has a long-established tradition of play-based pedagogy in the early years, formalised through the Foundation Phase Framework for children aged three to seven (Welsh Government, 2015). Play-based learning is well evidenced as a developmentally appropriate pedagogy, associated with gains in working memory, cognitive flexibility and self-regulation (Allee-Herndon and Roberts, 2021), and it is understood within the early intervention and special education literature as a naturalistic context for developing communication, social and motor skills (Lifter et al., 2011). Yet, despite this evidence base and the parallel emphasis in Welsh policy on inclusive practice and play-based pedagogy, I located little research examining how the two agendas meet in practice: specifically, how practitioners in Welsh mainstream primary schools use play-based learning to support learners with ALN.</w:t>
      </w:r>
    </w:p>
    <w:p w14:paraId="5CF8E4E3" w14:textId="77777777" w:rsidR="00CD32BA" w:rsidRDefault="00597845">
      <w:pPr>
        <w:spacing w:after="140" w:line="360" w:lineRule="auto"/>
      </w:pPr>
      <w:r>
        <w:lastRenderedPageBreak/>
        <w:t>This gap has practical consequences. Estyn’s thematic reviews of ALN reform (Estyn, 2023; 2024) indicate that implementation across Wales has been inconsistent, and that many school leaders were concerned about sustaining provision once additional funding ends. If practitioners are expected to draw on play-based approaches to support learners with ALN, but there is little evidence about how they do so, on what basis they adapt their practice, or what constrains them, then policy and professional learning risk being developed without a secure evidence base from the practitioners closest to the work.</w:t>
      </w:r>
    </w:p>
    <w:p w14:paraId="5371B1A1" w14:textId="77777777" w:rsidR="00CD32BA" w:rsidRDefault="00597845">
      <w:pPr>
        <w:spacing w:after="140" w:line="360" w:lineRule="auto"/>
      </w:pPr>
      <w:r>
        <w:t>Conn and Hutt (2020) provide an important part of this picture, identifying tensions in how practitioners reconcile individualised ALN arrangements with the broader curriculum vision. Their focus, however, was ALN reform in the light of curriculum change rather than any particular pedagogical approach. The present study narrows the focus, asking how one pedagogical approach, play-based learning, is used, adapted and experienced by the practitioners who deliver it.</w:t>
      </w:r>
    </w:p>
    <w:p w14:paraId="4BB84D2C" w14:textId="77777777" w:rsidR="00CD32BA" w:rsidRDefault="00597845">
      <w:pPr>
        <w:spacing w:after="140" w:line="360" w:lineRule="auto"/>
      </w:pPr>
      <w:r>
        <w:t>Data were generated through semi-structured interviews with four practitioners in different roles in relation to ALN provision: a teaching assistant, a class teacher and two Additional Learning Needs Co-ordinators (ALNCos). These four accounts do not represent practice across Wales, and this limitation, together with others encountered during the research, is examined critically in Section 8. What the study offers is a detailed, practitioner-grounded account of how play-based learning is understood and enacted as an inclusive strategy in four professional contexts. The data were analysed using Braun and Clarke’s (2006) reflexive thematic analysis and interpreted through a Vygotskian lens attentive to scaffolding, the zone of proximal development and mediating tools.</w:t>
      </w:r>
    </w:p>
    <w:p w14:paraId="78756919" w14:textId="77777777" w:rsidR="00CD32BA" w:rsidRDefault="00597845">
      <w:pPr>
        <w:spacing w:after="140" w:line="360" w:lineRule="auto"/>
      </w:pPr>
      <w:r>
        <w:t>The report is structured as follows. Section 2 reviews the literature, situating the study within Vygotskian theory, the general evidence on play-based learning and the Welsh policy context. Section 3 presents the research questions. Section 4 sets out the methodology, research tools and ethical framework. Section 5 describes the method of data analysis. Section 6 presents the findings, and Section 7 discusses their implications for practice and future research. Section 8 evaluates the research process, including its limitations.</w:t>
      </w:r>
    </w:p>
    <w:p w14:paraId="1A9F1EB2" w14:textId="77777777" w:rsidR="00D6732F" w:rsidRDefault="00D6732F">
      <w:pPr>
        <w:pStyle w:val="Heading1"/>
      </w:pPr>
    </w:p>
    <w:p w14:paraId="16F613BD" w14:textId="77777777" w:rsidR="00D6732F" w:rsidRDefault="00D6732F">
      <w:pPr>
        <w:pStyle w:val="Heading1"/>
      </w:pPr>
    </w:p>
    <w:p w14:paraId="71AE7726" w14:textId="77777777" w:rsidR="00D6732F" w:rsidRDefault="00D6732F">
      <w:pPr>
        <w:pStyle w:val="Heading1"/>
      </w:pPr>
    </w:p>
    <w:p w14:paraId="0F3441D3" w14:textId="77777777" w:rsidR="00D6732F" w:rsidRDefault="00D6732F">
      <w:pPr>
        <w:pStyle w:val="Heading1"/>
      </w:pPr>
    </w:p>
    <w:p w14:paraId="4B4DD54C" w14:textId="4D1DE703" w:rsidR="00CD32BA" w:rsidRDefault="00597845">
      <w:pPr>
        <w:pStyle w:val="Heading1"/>
      </w:pPr>
      <w:r>
        <w:t>2. Literature review</w:t>
      </w:r>
    </w:p>
    <w:p w14:paraId="03FCB023" w14:textId="77777777" w:rsidR="00CD32BA" w:rsidRDefault="00597845">
      <w:pPr>
        <w:spacing w:after="140" w:line="360" w:lineRule="auto"/>
      </w:pPr>
      <w:r>
        <w:t>This section situates the study within three bodies of literature: the Vygotskian theory that frames the analysis, the evidence on play-based learning and its relevance to additional needs, and the Welsh policy context for ALN reform. It closes by identifying the gap the study addresses.</w:t>
      </w:r>
    </w:p>
    <w:p w14:paraId="680EAC6A" w14:textId="77777777" w:rsidR="00D6732F" w:rsidRDefault="00D6732F">
      <w:pPr>
        <w:pStyle w:val="Heading2"/>
      </w:pPr>
    </w:p>
    <w:p w14:paraId="0FFDD4EE" w14:textId="58524ADC" w:rsidR="00CD32BA" w:rsidRDefault="00597845">
      <w:pPr>
        <w:pStyle w:val="Heading2"/>
      </w:pPr>
      <w:r>
        <w:t>2.1 Theoretical framework: a socio-cultural view of play and learning</w:t>
      </w:r>
    </w:p>
    <w:p w14:paraId="17DE7A5E" w14:textId="77777777" w:rsidR="00CD32BA" w:rsidRDefault="00597845">
      <w:pPr>
        <w:spacing w:after="140" w:line="360" w:lineRule="auto"/>
      </w:pPr>
      <w:r>
        <w:t>The study adopts a socio-cultural framework drawn from the work of Vygotsky (1978). Three linked concepts are central to the analysis: the zone of proximal development (ZPD), scaffolding and mediation through cultural tools.</w:t>
      </w:r>
    </w:p>
    <w:p w14:paraId="4D091BB3" w14:textId="77777777" w:rsidR="00CD32BA" w:rsidRDefault="00597845">
      <w:pPr>
        <w:spacing w:after="140" w:line="360" w:lineRule="auto"/>
      </w:pPr>
      <w:r>
        <w:t>Vygotsky (1978) argued that learning is fundamentally social, occurring first between people before it is internalised by the individual. The ZPD describes the distance between what a child can do independently and what they can achieve with the support of a more knowledgeable other. For practitioners, the concept reframes the task of teaching: the aim is to work just beyond what the learner can currently manage alone, with support calibrated to their needs. This matters for learners with ALN, whose independent level may differ from that of their peers in particular domains, and for whom well-judged support may be the difference between participating in an activity and being excluded from it.</w:t>
      </w:r>
    </w:p>
    <w:p w14:paraId="71787AAA" w14:textId="77777777" w:rsidR="00CD32BA" w:rsidRDefault="00597845">
      <w:pPr>
        <w:spacing w:after="140" w:line="360" w:lineRule="auto"/>
      </w:pPr>
      <w:r>
        <w:t>Vygotsky (1978) also gave play a distinctive developmental status. He argued that in play children behave beyond their average age and beyond their everyday behaviour, so that play creates its own zone of proximal development. Play involves imagined situations governed by implicit rules, and children must regulate their impulses to stay within them. On this account, play is not a break from learning but one of its most powerful contexts.</w:t>
      </w:r>
    </w:p>
    <w:p w14:paraId="3606C764" w14:textId="77777777" w:rsidR="00CD32BA" w:rsidRDefault="00597845">
      <w:pPr>
        <w:spacing w:after="140" w:line="360" w:lineRule="auto"/>
      </w:pPr>
      <w:r>
        <w:t xml:space="preserve">The second concept, scaffolding, was developed by Wood, Bruner and Ross (1976), who described how a more knowledgeable other can help a learner achieve something beyond their unaided reach by controlling those aspects of a task that the learner cannot yet manage, then gradually withdrawing that support as competence grows. The term has since become widely used in educational practice, sometimes loosely. In this study it is used in its more </w:t>
      </w:r>
      <w:r>
        <w:lastRenderedPageBreak/>
        <w:t>precise sense: support that is contingent on the learner’s responses, directed at a goal and designed to fade. The precision matters because ‘support’ in the ALN context can slide into doing things for a child, which is not scaffolding.</w:t>
      </w:r>
    </w:p>
    <w:p w14:paraId="3D1C15EE" w14:textId="77777777" w:rsidR="00CD32BA" w:rsidRDefault="00597845">
      <w:pPr>
        <w:spacing w:after="140" w:line="360" w:lineRule="auto"/>
      </w:pPr>
      <w:r>
        <w:t>The third concept, mediation, refers to Vygotsky’s (1978) argument that human thinking is shaped by cultural tools and signs, language being the most important, which stand between the learner and the world and transform how activity is carried out. In classrooms, mediating tools include spoken language, symbols, visual supports and communication systems. This is directly relevant to learners with communication needs, for whom alternative or augmentative tools may be what makes participation in shared activity possible at all.</w:t>
      </w:r>
    </w:p>
    <w:p w14:paraId="798213B0" w14:textId="77777777" w:rsidR="00CD32BA" w:rsidRDefault="00597845">
      <w:pPr>
        <w:spacing w:after="140" w:line="360" w:lineRule="auto"/>
      </w:pPr>
      <w:r>
        <w:t>Vygotskian ideas have been developed into approaches to early education in which adults deliberately support and extend children’s play, for example by Bodrova and Leong (2007). This underlines that, in this tradition, the adult’s role in play-based learning is active rather than passive.</w:t>
      </w:r>
    </w:p>
    <w:p w14:paraId="0E3A4B0A" w14:textId="77777777" w:rsidR="00CD32BA" w:rsidRDefault="00597845">
      <w:pPr>
        <w:spacing w:after="140" w:line="360" w:lineRule="auto"/>
      </w:pPr>
      <w:r>
        <w:t>Taken together, these concepts provide a framework for asking not only what practitioners do when they use play to support learners with ALN, but why it might work and what it depends upon. The framework suggests that effective practice relies on skilled adults who can judge the learner’s zone of proximal development, provide contingent scaffolding and offer appropriate mediating tools. I use the framework as an interpretive lens in the discussion, not as a device for generating themes, which were developed inductively from the data (Section 5).</w:t>
      </w:r>
    </w:p>
    <w:p w14:paraId="6D5D7B19" w14:textId="77777777" w:rsidR="00CD32BA" w:rsidRDefault="00597845">
      <w:pPr>
        <w:spacing w:after="140" w:line="360" w:lineRule="auto"/>
      </w:pPr>
      <w:r>
        <w:t>A critical note is warranted. Vygotsky’s own writing on play focused mainly on the pre-school years, and it is contested how far his account extends to older children or to children with developmental differences. Care is therefore needed in applying the framework to primary-aged learners with ALN, and Section 7 returns to this limitation.</w:t>
      </w:r>
    </w:p>
    <w:p w14:paraId="36485E53" w14:textId="77777777" w:rsidR="00CD32BA" w:rsidRDefault="00597845">
      <w:pPr>
        <w:pStyle w:val="Heading2"/>
      </w:pPr>
      <w:r>
        <w:t>2.2 Play-based learning: the general evidence</w:t>
      </w:r>
    </w:p>
    <w:p w14:paraId="115773BE" w14:textId="77777777" w:rsidR="00CD32BA" w:rsidRDefault="00597845">
      <w:pPr>
        <w:spacing w:after="140" w:line="360" w:lineRule="auto"/>
      </w:pPr>
      <w:r>
        <w:t>Play-based learning is used in many ways in the literature, and definitions vary. In this study it refers to structured and child-centred learning experiences that support exploration, interaction and active participation. This sits within a broader spectrum, from free play initiated and directed by children to guided or purposeful play in which adults plan or shape the learning context while retaining children’s agency.</w:t>
      </w:r>
    </w:p>
    <w:p w14:paraId="62FFEE7A" w14:textId="77777777" w:rsidR="00CD32BA" w:rsidRDefault="00597845">
      <w:pPr>
        <w:spacing w:after="140" w:line="360" w:lineRule="auto"/>
      </w:pPr>
      <w:r>
        <w:lastRenderedPageBreak/>
        <w:t>Pyle and Danniels (2017) conceptualise play-based learning as a continuum, running from free play initiated by children, through guided play, to more adult-directed, play-like activity, and draw attention to the teacher’s role in deciding where on that continuum an activity should sit. This helps explain why practitioners can describe quite different practices under the same label, and it offers a way of reading the adaptations reported in Section 6.</w:t>
      </w:r>
    </w:p>
    <w:p w14:paraId="0F6CAFD7" w14:textId="77777777" w:rsidR="00CD32BA" w:rsidRDefault="00597845">
      <w:pPr>
        <w:pStyle w:val="Heading2"/>
      </w:pPr>
      <w:r>
        <w:t>2.3 Play, additional needs and inclusion</w:t>
      </w:r>
    </w:p>
    <w:p w14:paraId="57A285B3" w14:textId="77777777" w:rsidR="009D06F6" w:rsidRDefault="00597845" w:rsidP="00D6732F">
      <w:pPr>
        <w:spacing w:line="360" w:lineRule="auto"/>
      </w:pPr>
      <w:r>
        <w:t>A further distinction is necessary between access to an activity and inclusion within it. A learner may be physically present at a play station yet remain peripheral to the interaction, while another may participate meaningfully through an alternative communication system rather than speech. Consequently, engagement cannot be inferred simply from enjoyment or time spent on task. The present study treats inclusion as a question of opportunities to contribute, communicate and influence shared activity. This distinction also cautions against reading practitioners’ positive examples as evidence that play alone produces inclusive outcomes. The nature of adult support, peer interaction and task design matters. It is therefore useful to examine not only whether practitioners value play, but what they do when participation does not emerge spontaneously.</w:t>
      </w:r>
    </w:p>
    <w:p w14:paraId="10EFFF85" w14:textId="77777777" w:rsidR="00CD32BA" w:rsidRDefault="00597845">
      <w:pPr>
        <w:spacing w:after="140" w:line="360" w:lineRule="auto"/>
      </w:pPr>
      <w:r>
        <w:t>Lifter et al. (2011) also describe why play is attractive in special education settings: it offers a naturalistic, comparatively low-pressure context in which language, social and motor goals can be addressed, and it can be used to assess children’s skills as well as to teach them. Howard and McInnes (2013) suggest that whether children perceive an activity as play, rather than not play, is associated with their emotional well-being, which is consistent with practitioners’ reports of reduced anxiety when learning is playful (Section 6). Play’s flexibility also means that activities can be adapted to children’s interests, abilities and pace.</w:t>
      </w:r>
    </w:p>
    <w:p w14:paraId="622A3C79" w14:textId="77777777" w:rsidR="00CD32BA" w:rsidRDefault="00597845">
      <w:pPr>
        <w:spacing w:after="140" w:line="360" w:lineRule="auto"/>
      </w:pPr>
      <w:r>
        <w:t>These features align with the principles of inclusive education, which emphasise participation alongside peers in shared activities. For learners with ALN, play-based contexts may offer routes to participation that more formal, text-based or teacher-led tasks do not. Yet the same flexibility creates demands on practitioners. Adapting play for a learner with communication needs, attention difficulties or social-interaction differences requires professional judgement about how much structure to offer, how to support turn-taking and sharing, and how to move learners between play and other tasks. Whether practitioners have the training, time and resources to make such judgements is a practical question that the policy literature in Section 2.4 helps to frame.</w:t>
      </w:r>
    </w:p>
    <w:p w14:paraId="095EDFC7" w14:textId="77777777" w:rsidR="00CD32BA" w:rsidRDefault="00597845">
      <w:pPr>
        <w:spacing w:after="140" w:line="360" w:lineRule="auto"/>
      </w:pPr>
      <w:r>
        <w:lastRenderedPageBreak/>
        <w:t>The evidence on play-based learning specifically for learners with additional or special needs in mainstream primary classrooms is also less developed than the general play literature. Findings from early years, specialist or non-UK contexts cannot be assumed to transfer directly to Welsh mainstream primary schools, which operate under their own statutory and curricular arrangements.</w:t>
      </w:r>
    </w:p>
    <w:p w14:paraId="17BB8566" w14:textId="77777777" w:rsidR="00CD32BA" w:rsidRDefault="00597845">
      <w:pPr>
        <w:pStyle w:val="Heading2"/>
      </w:pPr>
      <w:r>
        <w:t>2.4 The Welsh policy context</w:t>
      </w:r>
    </w:p>
    <w:p w14:paraId="0FF96510" w14:textId="77777777" w:rsidR="00CD32BA" w:rsidRDefault="00597845">
      <w:pPr>
        <w:spacing w:after="140" w:line="360" w:lineRule="auto"/>
      </w:pPr>
      <w:r>
        <w:t>Two strands of Welsh policy are directly relevant: the reform of ALN provision and the reform of the curriculum.</w:t>
      </w:r>
    </w:p>
    <w:p w14:paraId="6DA6C378" w14:textId="77777777" w:rsidR="00CD32BA" w:rsidRPr="00B67CD6" w:rsidRDefault="00597845">
      <w:pPr>
        <w:spacing w:after="140" w:line="360" w:lineRule="auto"/>
      </w:pPr>
      <w:r w:rsidRPr="00B67CD6">
        <w:t>ALN reform. The Additional Learning Needs and Education Tribunal (Wales) Act 2018 established a single statutory framework for learners with ALN from birth to twenty-five, replacing the earlier special educational needs system. The Act introduced the term additional learning needs, a requirement for individual development plans and the role of the ALN co-ordinator (ALNCo) in schools. The ALN Code for Wales</w:t>
      </w:r>
      <w:r>
        <w:rPr>
          <w:i/>
          <w:iCs/>
        </w:rPr>
        <w:t xml:space="preserve"> (Welsh Government, 2021) </w:t>
      </w:r>
      <w:r w:rsidRPr="00B67CD6">
        <w:t>provides the statutory guidance, and implementation was phased, beginning in September</w:t>
      </w:r>
      <w:r>
        <w:rPr>
          <w:i/>
          <w:iCs/>
        </w:rPr>
        <w:t xml:space="preserve"> </w:t>
      </w:r>
      <w:r w:rsidRPr="00B67CD6">
        <w:t>2021 and extending over three years. The reform places emphasis on person-centred planning, early identification and a stronger expectation that mainstream schools meet needs through high-quality teaching and appropriate adaptation.</w:t>
      </w:r>
    </w:p>
    <w:p w14:paraId="31A5B653" w14:textId="77777777" w:rsidR="00CD32BA" w:rsidRDefault="00597845">
      <w:pPr>
        <w:spacing w:after="140" w:line="360" w:lineRule="auto"/>
      </w:pPr>
      <w:r>
        <w:t>Estyn’s thematic reviews give a view of how this is going in practice. Its 2023 review made recommendations including that ALNCos should have sufficient time and resources to carry out their role, and that professional learning should give appropriate focus to high-quality teaching for learners with ALN (Estyn, 2023). Its 2024 report found that implementation had not been consistent across settings, and recorded concern among many leaders about how services could be sustained once additional funding ends (Estyn, 2024). These findings point to resourcing, time and professional learning as recurring pressure points, themes that return in the findings of this study.</w:t>
      </w:r>
    </w:p>
    <w:p w14:paraId="3D505F00" w14:textId="77777777" w:rsidR="00CD32BA" w:rsidRDefault="00597845">
      <w:pPr>
        <w:spacing w:after="140" w:line="360" w:lineRule="auto"/>
      </w:pPr>
      <w:r w:rsidRPr="00B67CD6">
        <w:t>Curriculum reform.</w:t>
      </w:r>
      <w:r>
        <w:t xml:space="preserve"> The Curriculum for Wales (Welsh Government, 2022) emphasises learner-centred teaching, well-being, inclusion and progression, giving schools greater autonomy over curriculum design. Wales also has a distinctive play-based tradition in the Foundation Phase, a curriculum for children aged three to seven, revised in 2015 (Welsh Government, 2015), which positions active, experiential learning and play as central to early education.</w:t>
      </w:r>
    </w:p>
    <w:p w14:paraId="4F595C77" w14:textId="77777777" w:rsidR="00CD32BA" w:rsidRDefault="00597845">
      <w:pPr>
        <w:spacing w:after="140" w:line="360" w:lineRule="auto"/>
      </w:pPr>
      <w:r>
        <w:lastRenderedPageBreak/>
        <w:t>Conn and Hutt (2020) examined ALN reform in the light of curriculum reform and identified tensions in how practitioners reconcile individual ALN arrangements with the broader curriculum vision. Their work suggests that the policy aspiration of inclusive, learner-centred education may be harder to realise in practice than it appears on paper, and that the conditions in which practitioners work shape what is possible.</w:t>
      </w:r>
    </w:p>
    <w:p w14:paraId="323D166D" w14:textId="77777777" w:rsidR="00CD32BA" w:rsidRDefault="00597845">
      <w:pPr>
        <w:pStyle w:val="Heading2"/>
      </w:pPr>
      <w:r>
        <w:t>2.5 Practitioners' perspectives</w:t>
      </w:r>
    </w:p>
    <w:p w14:paraId="6C921B3A" w14:textId="77777777" w:rsidR="00CD32BA" w:rsidRDefault="00597845">
      <w:pPr>
        <w:spacing w:after="140" w:line="360" w:lineRule="auto"/>
      </w:pPr>
      <w:r>
        <w:t>Practitioner accounts are central to understanding how policy becomes practice. Conn and Hutt’s (2020) analysis draws attention to how professionals interpret and negotiate reform, which is consistent with an interpretivist view that practice is not the mechanical application of guidance but a set of meanings and decisions made by people working within particular constraints. It also provides a justification for the choice of practitioner interviews as the data source for this study (Section 4).</w:t>
      </w:r>
    </w:p>
    <w:p w14:paraId="3C2B72C9" w14:textId="77777777" w:rsidR="00CD32BA" w:rsidRDefault="00597845">
      <w:pPr>
        <w:spacing w:after="140" w:line="360" w:lineRule="auto"/>
      </w:pPr>
      <w:r>
        <w:t>Practitioners in different roles hold different vantage points. Teaching assistants often provide much of the day-to-day, one-to-one support for learners with ALN; class teachers hold responsibility for curriculum delivery and whole-class organisation; and ALNCos have a strategic and statutory role in planning and coordinating provision. Examining accounts from each offers a more rounded picture than any single role could, though it also raises the possibility that different roles frame the same practice differently.</w:t>
      </w:r>
    </w:p>
    <w:p w14:paraId="69DF6674" w14:textId="77777777" w:rsidR="00CD32BA" w:rsidRDefault="00597845">
      <w:pPr>
        <w:spacing w:after="140" w:line="360" w:lineRule="auto"/>
      </w:pPr>
      <w:r>
        <w:t>Teaching assistants have a particular place in this picture. Research on the deployment of teaching assistants in English schools has raised questions about how far pupils with special educational needs are supported by teaching assistants rather than by teachers (Blatchford, Russell and Webster, 2012). The Welsh context differs, but the point suggests that the role of teaching assistants in delivering support for learners with ALN deserves attention.</w:t>
      </w:r>
    </w:p>
    <w:p w14:paraId="3A6A5D63" w14:textId="77777777" w:rsidR="00CD32BA" w:rsidRDefault="00597845">
      <w:pPr>
        <w:pStyle w:val="Heading2"/>
      </w:pPr>
      <w:r>
        <w:t>2.6 Summary and the gap addressed</w:t>
      </w:r>
    </w:p>
    <w:p w14:paraId="1D8D725D" w14:textId="77777777" w:rsidR="00CD32BA" w:rsidRDefault="00597845" w:rsidP="00B67CD6">
      <w:pPr>
        <w:spacing w:after="140" w:line="360" w:lineRule="auto"/>
      </w:pPr>
      <w:r>
        <w:t>What the literature I reviewed does not provide is a direct account of how practitioners in Welsh mainstream primary schools use play-based learning to support learners with ALN: what they do, what helps them and what limits them. The general play literature and the Welsh ALN policy literature exist in parallel, but I did not locate research that brings them together in this setting. It is this gap that the present study addresses, with the modest ambition of contributing a practitioner-grounded, if small-scale, account to a conversation that policy has opened but evidence has not yet fully informed.</w:t>
      </w:r>
    </w:p>
    <w:p w14:paraId="566913A1" w14:textId="77777777" w:rsidR="00CD32BA" w:rsidRDefault="00597845">
      <w:pPr>
        <w:pStyle w:val="Heading1"/>
      </w:pPr>
      <w:r>
        <w:lastRenderedPageBreak/>
        <w:t>3. Research questions</w:t>
      </w:r>
    </w:p>
    <w:p w14:paraId="1822EA06" w14:textId="77777777" w:rsidR="00CD32BA" w:rsidRDefault="00597845" w:rsidP="00B67CD6">
      <w:pPr>
        <w:spacing w:after="140" w:line="360" w:lineRule="auto"/>
      </w:pPr>
      <w:r>
        <w:t>This study is guided by one main research question and two sub-questions.</w:t>
      </w:r>
    </w:p>
    <w:p w14:paraId="0E789630" w14:textId="77777777" w:rsidR="00CD32BA" w:rsidRDefault="00597845" w:rsidP="00B67CD6">
      <w:pPr>
        <w:spacing w:after="140" w:line="360" w:lineRule="auto"/>
      </w:pPr>
      <w:r>
        <w:rPr>
          <w:i/>
          <w:iCs/>
        </w:rPr>
        <w:t>Main research question:</w:t>
      </w:r>
      <w:r>
        <w:t xml:space="preserve"> How do practitioners in mainstream primary schools in Wales use and experience play-based learning as a strategy to support learners with Additional Learning Needs (ALN)?</w:t>
      </w:r>
    </w:p>
    <w:p w14:paraId="43267725" w14:textId="77777777" w:rsidR="00CD32BA" w:rsidRDefault="00597845" w:rsidP="00B67CD6">
      <w:pPr>
        <w:spacing w:after="140" w:line="360" w:lineRule="auto"/>
      </w:pPr>
      <w:r>
        <w:rPr>
          <w:i/>
          <w:iCs/>
        </w:rPr>
        <w:t>Sub-question 1 (SQ1):</w:t>
      </w:r>
      <w:r>
        <w:t xml:space="preserve"> What strategies do practitioners use to adapt play-based learning for learners with ALN?</w:t>
      </w:r>
    </w:p>
    <w:p w14:paraId="35B599C3" w14:textId="77777777" w:rsidR="00CD32BA" w:rsidRDefault="00597845" w:rsidP="00B67CD6">
      <w:pPr>
        <w:spacing w:after="140" w:line="360" w:lineRule="auto"/>
      </w:pPr>
      <w:r>
        <w:rPr>
          <w:i/>
          <w:iCs/>
        </w:rPr>
        <w:t>Sub-question 2 (SQ2):</w:t>
      </w:r>
      <w:r>
        <w:t xml:space="preserve"> What training and resourcing factors support or limit this practice?</w:t>
      </w:r>
    </w:p>
    <w:p w14:paraId="12D8A715" w14:textId="77777777" w:rsidR="00CD32BA" w:rsidRDefault="00597845">
      <w:pPr>
        <w:pStyle w:val="Heading2"/>
      </w:pPr>
      <w:r>
        <w:t>3.1 Rationale</w:t>
      </w:r>
    </w:p>
    <w:p w14:paraId="1C8E90EB" w14:textId="77777777" w:rsidR="00CD32BA" w:rsidRDefault="00597845" w:rsidP="00B67CD6">
      <w:pPr>
        <w:spacing w:after="140" w:line="360" w:lineRule="auto"/>
      </w:pPr>
      <w:r>
        <w:t xml:space="preserve">The main question is framed in terms of use and experience for a reason. Use directs attention to what practitioners </w:t>
      </w:r>
      <w:proofErr w:type="gramStart"/>
      <w:r>
        <w:t>actually do</w:t>
      </w:r>
      <w:proofErr w:type="gramEnd"/>
      <w:r>
        <w:t>, while experience directs attention to how they interpret, evaluate and make sense of their practice. Together they reflect the interpretivist position set out in Section 4, in which practice is understood through the meanings that practitioners attach to it.</w:t>
      </w:r>
    </w:p>
    <w:p w14:paraId="245A5B5E" w14:textId="77777777" w:rsidR="00CD32BA" w:rsidRDefault="00597845">
      <w:pPr>
        <w:spacing w:after="140" w:line="360" w:lineRule="auto"/>
      </w:pPr>
      <w:r>
        <w:t>SQ1 addresses the practical, craft knowledge involved in making play-based activity work for individual learners. The literature establishes that play is flexible and widely used in special education (Lifter et al., 2011</w:t>
      </w:r>
      <w:proofErr w:type="gramStart"/>
      <w:r>
        <w:t>), but</w:t>
      </w:r>
      <w:proofErr w:type="gramEnd"/>
      <w:r>
        <w:t xml:space="preserve"> says little about how that flexibility is exercised in Welsh mainstream primary classrooms. SQ2 addresses the conditions under which this practice takes place. Estyn’s reviews identify time, resource and professional learning as recurring pressure points in ALN reform (Estyn, 2023; 2024), and SQ2 asks how these conditions are experienced by practitioners working with play-based approaches.</w:t>
      </w:r>
    </w:p>
    <w:p w14:paraId="396FF061" w14:textId="77777777" w:rsidR="00CD32BA" w:rsidRDefault="00597845">
      <w:pPr>
        <w:pStyle w:val="Heading2"/>
      </w:pPr>
      <w:r>
        <w:t>3.2 How the questions were developed</w:t>
      </w:r>
    </w:p>
    <w:p w14:paraId="16657ACE" w14:textId="77777777" w:rsidR="00CD32BA" w:rsidRDefault="00597845">
      <w:pPr>
        <w:spacing w:after="140" w:line="360" w:lineRule="auto"/>
      </w:pPr>
      <w:r>
        <w:t>The aim and objectives in the ethics application were broader than these questions. They sought to explore the role of play-based learning in supporting engagement and inclusion, to identify perceived benefits, challenges and barriers, and to develop recommendations for practice. After becoming familiar with the interview data, I refined the questions to focus on the two areas that were most consistently and richly evidenced across participants. Braun and Clarke (2021) treat research questions as open to refinement during analysis.</w:t>
      </w:r>
    </w:p>
    <w:p w14:paraId="4E24E1D7" w14:textId="77777777" w:rsidR="00CD32BA" w:rsidRDefault="00597845">
      <w:pPr>
        <w:spacing w:after="140" w:line="360" w:lineRule="auto"/>
      </w:pPr>
      <w:r>
        <w:t xml:space="preserve">Other patterns in the data, including perceived benefits for learners and the way play-based learning is positioned within different schools, are reported in Section 6 but are not framed as </w:t>
      </w:r>
      <w:proofErr w:type="gramStart"/>
      <w:r>
        <w:lastRenderedPageBreak/>
        <w:t>questions in their own right</w:t>
      </w:r>
      <w:proofErr w:type="gramEnd"/>
      <w:r>
        <w:t>. They describe what practitioners value and how schools organise provision, more than how practice is adapted or supported.</w:t>
      </w:r>
    </w:p>
    <w:p w14:paraId="77F8C700" w14:textId="77777777" w:rsidR="00CD32BA" w:rsidRDefault="00597845">
      <w:pPr>
        <w:pStyle w:val="Heading1"/>
      </w:pPr>
      <w:r>
        <w:t>4. Methodology, research tools and ethics</w:t>
      </w:r>
    </w:p>
    <w:p w14:paraId="3A8C1FD2" w14:textId="510C580A" w:rsidR="00B67CD6" w:rsidRPr="00B67CD6" w:rsidRDefault="00B67CD6" w:rsidP="00B67CD6">
      <w:pPr>
        <w:pStyle w:val="Heading1"/>
        <w:spacing w:line="360" w:lineRule="auto"/>
        <w:rPr>
          <w:rFonts w:asciiTheme="majorBidi" w:hAnsiTheme="majorBidi" w:cstheme="majorBidi"/>
          <w:b w:val="0"/>
          <w:bCs w:val="0"/>
          <w:sz w:val="24"/>
          <w:szCs w:val="24"/>
        </w:rPr>
      </w:pPr>
      <w:r w:rsidRPr="00B67CD6">
        <w:rPr>
          <w:rFonts w:asciiTheme="majorBidi" w:hAnsiTheme="majorBidi" w:cstheme="majorBidi"/>
          <w:b w:val="0"/>
          <w:bCs w:val="0"/>
          <w:color w:val="000000"/>
          <w:sz w:val="24"/>
          <w:szCs w:val="24"/>
        </w:rPr>
        <w:t>This chapter outlines and justifies the methodological approach taken in this small-scale study, including the research paradigm, design, sampling, data collection and analysis methods, and the ethical processes followed.</w:t>
      </w:r>
    </w:p>
    <w:p w14:paraId="1DF7394C" w14:textId="77777777" w:rsidR="00CD32BA" w:rsidRDefault="00597845">
      <w:pPr>
        <w:pStyle w:val="Heading2"/>
      </w:pPr>
      <w:r>
        <w:t>4.1 Research paradigm and design</w:t>
      </w:r>
    </w:p>
    <w:p w14:paraId="305DDA79" w14:textId="77777777" w:rsidR="00CD32BA" w:rsidRDefault="00597845">
      <w:pPr>
        <w:spacing w:after="140" w:line="360" w:lineRule="auto"/>
      </w:pPr>
      <w:r>
        <w:t xml:space="preserve">The study adopts an interpretivist paradigm, which holds that social reality is constructed through the meanings people give to their experiences, and that knowledge about it is generated through interpretation rather than measurement (Guba and Lincoln, 1994; Creswell and </w:t>
      </w:r>
      <w:proofErr w:type="spellStart"/>
      <w:r>
        <w:t>Poth</w:t>
      </w:r>
      <w:proofErr w:type="spellEnd"/>
      <w:r>
        <w:t>, 2018). This position fits the research question, which is concerned with how practitioners understand and enact their practice, not with measuring the effect of an intervention. It is also consistent with the socio-cultural framework in Section 2, which treats learning and teaching as socially situated activity.</w:t>
      </w:r>
    </w:p>
    <w:p w14:paraId="1B9320D6" w14:textId="77777777" w:rsidR="00CD32BA" w:rsidRDefault="00597845">
      <w:pPr>
        <w:spacing w:after="140" w:line="360" w:lineRule="auto"/>
      </w:pPr>
      <w:r>
        <w:t>A qualitative design follows from this. A questionnaire or experimental design would have required the categories of practice to be defined in advance, whereas the literature suggests that play-based learning is itself variably understood (Lifter et al., 2011). A qualitative approach allowed practitioners to describe, in their own terms, what they do and why.</w:t>
      </w:r>
    </w:p>
    <w:p w14:paraId="765F7327" w14:textId="77777777" w:rsidR="00CD32BA" w:rsidRDefault="00597845">
      <w:pPr>
        <w:pStyle w:val="Heading2"/>
      </w:pPr>
      <w:r>
        <w:t>4.2 Semi-structured interviews</w:t>
      </w:r>
    </w:p>
    <w:p w14:paraId="46D18EF6" w14:textId="77777777" w:rsidR="009D06F6" w:rsidRDefault="00597845" w:rsidP="00B67CD6">
      <w:pPr>
        <w:spacing w:line="360" w:lineRule="auto"/>
      </w:pPr>
      <w:r>
        <w:t>The choice of interviews also shapes the knowledge claim. Participants can explain why they regard an adaptation as helpful, but their explanations are retrospective interpretations rather than independent demonstrations of effectiveness. For example, a practitioner may attribute increased engagement to a game when the learner’s relationship with the adult, the familiarity of the task or the smaller group may also have contributed. An observational component could have tested these possibilities, but would have required additional access, consent and time. The resulting design therefore prioritises professional reasoning over causal inference. This is a defensible fit with the research question, provided the report consistently distinguishes perceived benefits from demonstrated learner outcomes.</w:t>
      </w:r>
    </w:p>
    <w:p w14:paraId="70664D81" w14:textId="77777777" w:rsidR="00CD32BA" w:rsidRDefault="00597845" w:rsidP="00B67CD6">
      <w:pPr>
        <w:spacing w:after="140" w:line="360" w:lineRule="auto"/>
      </w:pPr>
      <w:r>
        <w:t xml:space="preserve">Semi-structured interviews were the sole method of data collection. This format combines a shared set of topics, giving comparable coverage across participants, with the flexibility to </w:t>
      </w:r>
      <w:r>
        <w:lastRenderedPageBreak/>
        <w:t>follow up unexpected points (Kvale and Brinkmann, 2015). It is well suited to small-scale research in which participants occupy different roles (Drever, 1995). The flexibility mattered in practice: for example, one participant’s detailed account of a dedicated play area in her classroom would not have emerged from fixed-response questions.</w:t>
      </w:r>
    </w:p>
    <w:p w14:paraId="1FB83B69" w14:textId="77777777" w:rsidR="00CD32BA" w:rsidRDefault="00597845">
      <w:pPr>
        <w:spacing w:after="140" w:line="360" w:lineRule="auto"/>
      </w:pPr>
      <w:r>
        <w:t>Other methods were considered. A questionnaire could have reached more practitioners but would have fixed the categories of practice in advance and offered little opportunity to probe. Focus groups might have generated discussion between practitioners but risked inhibiting criticism of colleagues or resourcing. Classroom observation would have provided direct evidence of practice but was outside the scope of this project.</w:t>
      </w:r>
    </w:p>
    <w:p w14:paraId="79CBF40C" w14:textId="77777777" w:rsidR="00CD32BA" w:rsidRDefault="00597845">
      <w:pPr>
        <w:spacing w:after="140" w:line="360" w:lineRule="auto"/>
      </w:pPr>
      <w:r>
        <w:t>The method has limits. Interviews capture what practitioners say they do, which may differ from what they do in the classroom, and participants may present their practice favourably. Because no observation was undertaken, the findings should be read as practitioners’ accounts of practice and not as direct evidence of it.</w:t>
      </w:r>
    </w:p>
    <w:p w14:paraId="205E6673" w14:textId="77777777" w:rsidR="00CD32BA" w:rsidRDefault="00597845">
      <w:pPr>
        <w:pStyle w:val="Heading2"/>
      </w:pPr>
      <w:r>
        <w:t>4.3 Participants and sampling</w:t>
      </w:r>
    </w:p>
    <w:p w14:paraId="608D0771" w14:textId="77777777" w:rsidR="00CD32BA" w:rsidRDefault="00597845">
      <w:pPr>
        <w:spacing w:after="140" w:line="360" w:lineRule="auto"/>
      </w:pPr>
      <w:r>
        <w:t>Participants were selected purposively: practitioners working in mainstream primary schools in Wales with first-hand experience of using play-based approaches to support learners with ALN. The ethics application anticipated six to ten participants, a range justified by the aims of small-scale qualitative research, where depth is prioritised over statistical generalisation (Guest, Bunce and Johnson, 2006; Braun and Clarke, 2021). It also sought practitioners in different roles, to obtain different vantage points on the same practice.</w:t>
      </w:r>
    </w:p>
    <w:p w14:paraId="1D6366B3" w14:textId="77777777" w:rsidR="00CD32BA" w:rsidRDefault="00597845">
      <w:pPr>
        <w:spacing w:after="140" w:line="360" w:lineRule="auto"/>
      </w:pPr>
      <w:r>
        <w:t>Recruitment was the most difficult part of the study. After ethics approval, I emailed invitations to English-medium primary schools in Wales. The invitation asked interested practitioners to contact me directly, so that senior leaders did not select participants (BERA, 2024). This protected voluntary participation, but it meant that the invitation depended on being passed on, and read, by busy staff. Only practitioners replied, and four agreed to take part.</w:t>
      </w:r>
    </w:p>
    <w:p w14:paraId="46C2B967" w14:textId="77777777" w:rsidR="00B67CD6" w:rsidRDefault="00597845">
      <w:pPr>
        <w:spacing w:after="140" w:line="360" w:lineRule="auto"/>
        <w:rPr>
          <w:rFonts w:ascii="-webkit-standard" w:hAnsi="-webkit-standard"/>
          <w:color w:val="000000"/>
          <w:sz w:val="27"/>
          <w:szCs w:val="27"/>
        </w:rPr>
      </w:pPr>
      <w:r>
        <w:t xml:space="preserve">Several features of the context are likely to have contributed to the low response. These are possible explanations and not findings, because non-respondents were not asked. The first is timing. The ethics application was signed on 30 May 2026, and the interviews took place on 1, 3 and 7 July 2026 (P1: 1 July 2026), so recruitment ran through the final weeks of the summer term, when staff are managing assessment, reports, transition and events. In one </w:t>
      </w:r>
      <w:r>
        <w:lastRenderedPageBreak/>
        <w:t>interview I thanked the participant for her time, saying that it was a ‘very crucial time of the year’ and that ‘everybody was very busy’ (interviewer, in the P3 transcript, 13:17). The second is capacity. Estyn (2023) recommended that ALN co-ordinators have sufficient time and resources for their role, which implies that this time is not reliably available, so the practitioners best placed to contribute to this study may be those with least time to spare. The third is the cost of taking part: a recorded online interview, an information sheet to read, a minimum one-week period to decide and a signed consent form is a larger commitment than answering a short survey. The fourth is the lack of an existing relationship, since the invitation came from an unknown researcher without a gatekeeper’s endorsement. The fifth is perceived relevance. Some practitioners may have judged that the topic did not apply to them: P4 said at the outset that her school does not use play-based learning for ALN beyond nursery and reception (P4, 1:02), and others in the same position may simply not have replied. Difficulty of access is widely recognised in school-based research (Cohen, Manion and Morrison, 2018).</w:t>
      </w:r>
      <w:r w:rsidR="00B67CD6" w:rsidRPr="00B67CD6">
        <w:rPr>
          <w:rFonts w:ascii="-webkit-standard" w:hAnsi="-webkit-standard"/>
          <w:color w:val="000000"/>
          <w:sz w:val="27"/>
          <w:szCs w:val="27"/>
        </w:rPr>
        <w:t xml:space="preserve"> </w:t>
      </w:r>
    </w:p>
    <w:p w14:paraId="0967A30B" w14:textId="070E32E2" w:rsidR="00CD32BA" w:rsidRPr="00B67CD6" w:rsidRDefault="00B67CD6">
      <w:pPr>
        <w:spacing w:after="140" w:line="360" w:lineRule="auto"/>
        <w:rPr>
          <w:rFonts w:asciiTheme="majorBidi" w:hAnsiTheme="majorBidi" w:cstheme="majorBidi"/>
        </w:rPr>
      </w:pPr>
      <w:r w:rsidRPr="00B67CD6">
        <w:rPr>
          <w:rFonts w:asciiTheme="majorBidi" w:hAnsiTheme="majorBidi" w:cstheme="majorBidi"/>
          <w:color w:val="000000"/>
        </w:rPr>
        <w:t>Table 1 provides a summary of the key elements of this study’s methodology.</w:t>
      </w:r>
    </w:p>
    <w:p w14:paraId="668BD150" w14:textId="77777777" w:rsidR="00B67CD6" w:rsidRDefault="00B67CD6">
      <w:pPr>
        <w:keepNext/>
        <w:spacing w:before="160" w:after="100"/>
        <w:rPr>
          <w:b/>
          <w:bCs/>
          <w:sz w:val="22"/>
          <w:szCs w:val="22"/>
        </w:rPr>
      </w:pPr>
    </w:p>
    <w:p w14:paraId="67E69172" w14:textId="6CBE95F5" w:rsidR="00CD32BA" w:rsidRDefault="00597845">
      <w:pPr>
        <w:keepNext/>
        <w:spacing w:before="160" w:after="100"/>
      </w:pPr>
      <w:r>
        <w:rPr>
          <w:b/>
          <w:bCs/>
          <w:sz w:val="22"/>
          <w:szCs w:val="22"/>
        </w:rPr>
        <w:t>Table 1: Participants and interviews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3900"/>
        <w:gridCol w:w="2200"/>
        <w:gridCol w:w="2226"/>
      </w:tblGrid>
      <w:tr w:rsidR="00CD32BA" w14:paraId="7857F6CE" w14:textId="77777777">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1366A1F3" w14:textId="77777777" w:rsidR="00CD32BA" w:rsidRDefault="00597845">
            <w:r>
              <w:rPr>
                <w:b/>
                <w:bCs/>
                <w:sz w:val="19"/>
                <w:szCs w:val="19"/>
              </w:rPr>
              <w:t>Code</w:t>
            </w:r>
          </w:p>
        </w:tc>
        <w:tc>
          <w:tcPr>
            <w:tcW w:w="39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635FB174" w14:textId="77777777" w:rsidR="00CD32BA" w:rsidRDefault="00597845">
            <w:r>
              <w:rPr>
                <w:b/>
                <w:bCs/>
                <w:sz w:val="19"/>
                <w:szCs w:val="19"/>
              </w:rPr>
              <w:t>Role</w:t>
            </w:r>
          </w:p>
        </w:tc>
        <w:tc>
          <w:tcPr>
            <w:tcW w:w="22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6927A899" w14:textId="77777777" w:rsidR="00CD32BA" w:rsidRDefault="00597845">
            <w:r>
              <w:rPr>
                <w:b/>
                <w:bCs/>
                <w:sz w:val="19"/>
                <w:szCs w:val="19"/>
              </w:rPr>
              <w:t>Interview date</w:t>
            </w:r>
          </w:p>
        </w:tc>
        <w:tc>
          <w:tcPr>
            <w:tcW w:w="2226"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317BE048" w14:textId="77777777" w:rsidR="00CD32BA" w:rsidRDefault="00597845">
            <w:r>
              <w:rPr>
                <w:b/>
                <w:bCs/>
                <w:sz w:val="19"/>
                <w:szCs w:val="19"/>
              </w:rPr>
              <w:t>Length</w:t>
            </w:r>
          </w:p>
        </w:tc>
      </w:tr>
      <w:tr w:rsidR="00CD32BA" w14:paraId="19CAEC9F" w14:textId="77777777">
        <w:tc>
          <w:tcPr>
            <w:tcW w:w="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1A43611" w14:textId="77777777" w:rsidR="00CD32BA" w:rsidRDefault="00597845">
            <w:r>
              <w:rPr>
                <w:sz w:val="19"/>
                <w:szCs w:val="19"/>
              </w:rPr>
              <w:t>P1</w:t>
            </w:r>
          </w:p>
        </w:tc>
        <w:tc>
          <w:tcPr>
            <w:tcW w:w="39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3BB2654" w14:textId="77777777" w:rsidR="00CD32BA" w:rsidRDefault="00597845">
            <w:r>
              <w:rPr>
                <w:sz w:val="19"/>
                <w:szCs w:val="19"/>
              </w:rPr>
              <w:t>Teaching assistant</w:t>
            </w:r>
          </w:p>
        </w:tc>
        <w:tc>
          <w:tcPr>
            <w:tcW w:w="22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DBA63E4" w14:textId="77777777" w:rsidR="009D06F6" w:rsidRDefault="00597845">
            <w:r>
              <w:t>1 July 2026</w:t>
            </w:r>
          </w:p>
        </w:tc>
        <w:tc>
          <w:tcPr>
            <w:tcW w:w="22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229719F1" w14:textId="77777777" w:rsidR="00CD32BA" w:rsidRDefault="00597845">
            <w:r>
              <w:rPr>
                <w:sz w:val="19"/>
                <w:szCs w:val="19"/>
              </w:rPr>
              <w:t>about 9 minutes</w:t>
            </w:r>
          </w:p>
        </w:tc>
      </w:tr>
      <w:tr w:rsidR="00CD32BA" w14:paraId="42090D41" w14:textId="77777777">
        <w:tc>
          <w:tcPr>
            <w:tcW w:w="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8E460D6" w14:textId="77777777" w:rsidR="00CD32BA" w:rsidRDefault="00597845">
            <w:r>
              <w:rPr>
                <w:sz w:val="19"/>
                <w:szCs w:val="19"/>
              </w:rPr>
              <w:t>P2</w:t>
            </w:r>
          </w:p>
        </w:tc>
        <w:tc>
          <w:tcPr>
            <w:tcW w:w="39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C63B9C0" w14:textId="77777777" w:rsidR="00CD32BA" w:rsidRDefault="00597845">
            <w:r>
              <w:rPr>
                <w:sz w:val="19"/>
                <w:szCs w:val="19"/>
              </w:rPr>
              <w:t>Class teacher (languages)</w:t>
            </w:r>
          </w:p>
        </w:tc>
        <w:tc>
          <w:tcPr>
            <w:tcW w:w="22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8D9C394" w14:textId="77777777" w:rsidR="00CD32BA" w:rsidRDefault="00597845">
            <w:r>
              <w:rPr>
                <w:sz w:val="19"/>
                <w:szCs w:val="19"/>
              </w:rPr>
              <w:t>1 July 2026</w:t>
            </w:r>
          </w:p>
        </w:tc>
        <w:tc>
          <w:tcPr>
            <w:tcW w:w="22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530F3E3" w14:textId="77777777" w:rsidR="00CD32BA" w:rsidRDefault="00597845">
            <w:r>
              <w:rPr>
                <w:sz w:val="19"/>
                <w:szCs w:val="19"/>
              </w:rPr>
              <w:t>about 22 minutes</w:t>
            </w:r>
          </w:p>
        </w:tc>
      </w:tr>
      <w:tr w:rsidR="00CD32BA" w14:paraId="1802E140" w14:textId="77777777">
        <w:tc>
          <w:tcPr>
            <w:tcW w:w="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04E3C85" w14:textId="77777777" w:rsidR="00CD32BA" w:rsidRDefault="00597845">
            <w:r>
              <w:rPr>
                <w:sz w:val="19"/>
                <w:szCs w:val="19"/>
              </w:rPr>
              <w:t>P3</w:t>
            </w:r>
          </w:p>
        </w:tc>
        <w:tc>
          <w:tcPr>
            <w:tcW w:w="39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474A638" w14:textId="77777777" w:rsidR="00CD32BA" w:rsidRDefault="00597845">
            <w:r>
              <w:rPr>
                <w:sz w:val="19"/>
                <w:szCs w:val="19"/>
              </w:rPr>
              <w:t>ALN co-ordinator, also a class teacher</w:t>
            </w:r>
          </w:p>
        </w:tc>
        <w:tc>
          <w:tcPr>
            <w:tcW w:w="22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A19550A" w14:textId="77777777" w:rsidR="00CD32BA" w:rsidRDefault="00597845">
            <w:r>
              <w:rPr>
                <w:sz w:val="19"/>
                <w:szCs w:val="19"/>
              </w:rPr>
              <w:t>7 July 2026</w:t>
            </w:r>
          </w:p>
        </w:tc>
        <w:tc>
          <w:tcPr>
            <w:tcW w:w="22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8E017EF" w14:textId="77777777" w:rsidR="00CD32BA" w:rsidRDefault="00597845">
            <w:r>
              <w:rPr>
                <w:sz w:val="19"/>
                <w:szCs w:val="19"/>
              </w:rPr>
              <w:t>about 14 minutes</w:t>
            </w:r>
          </w:p>
        </w:tc>
      </w:tr>
      <w:tr w:rsidR="00CD32BA" w14:paraId="61BA06DB" w14:textId="77777777">
        <w:tc>
          <w:tcPr>
            <w:tcW w:w="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1881B48" w14:textId="77777777" w:rsidR="00CD32BA" w:rsidRDefault="00597845">
            <w:r>
              <w:rPr>
                <w:sz w:val="19"/>
                <w:szCs w:val="19"/>
              </w:rPr>
              <w:t>P4</w:t>
            </w:r>
          </w:p>
        </w:tc>
        <w:tc>
          <w:tcPr>
            <w:tcW w:w="39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D8B7A7E" w14:textId="77777777" w:rsidR="00CD32BA" w:rsidRDefault="00597845">
            <w:r>
              <w:rPr>
                <w:sz w:val="19"/>
                <w:szCs w:val="19"/>
              </w:rPr>
              <w:t>ALN co-ordinator, also in a senior leadership role</w:t>
            </w:r>
          </w:p>
        </w:tc>
        <w:tc>
          <w:tcPr>
            <w:tcW w:w="22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AE6E561" w14:textId="77777777" w:rsidR="00CD32BA" w:rsidRDefault="00597845">
            <w:r>
              <w:rPr>
                <w:sz w:val="19"/>
                <w:szCs w:val="19"/>
              </w:rPr>
              <w:t>3 July 2026</w:t>
            </w:r>
          </w:p>
        </w:tc>
        <w:tc>
          <w:tcPr>
            <w:tcW w:w="22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6FA7727" w14:textId="77777777" w:rsidR="00CD32BA" w:rsidRDefault="00597845">
            <w:r>
              <w:rPr>
                <w:sz w:val="19"/>
                <w:szCs w:val="19"/>
              </w:rPr>
              <w:t>about 13 minutes</w:t>
            </w:r>
          </w:p>
        </w:tc>
      </w:tr>
    </w:tbl>
    <w:p w14:paraId="38A5EAC8" w14:textId="77777777" w:rsidR="00CD32BA" w:rsidRDefault="00CD32BA">
      <w:pPr>
        <w:spacing w:after="160"/>
      </w:pPr>
    </w:p>
    <w:p w14:paraId="502CD1B9" w14:textId="77777777" w:rsidR="00CD32BA" w:rsidRDefault="00597845">
      <w:pPr>
        <w:spacing w:after="140" w:line="360" w:lineRule="auto"/>
      </w:pPr>
      <w:r>
        <w:t>Participants are identified only by code and role. School names and other identifying details are withheld.</w:t>
      </w:r>
    </w:p>
    <w:p w14:paraId="62768298" w14:textId="77777777" w:rsidR="00CD32BA" w:rsidRDefault="00597845">
      <w:pPr>
        <w:pStyle w:val="Heading2"/>
      </w:pPr>
      <w:r>
        <w:t>4.4 Research tool: the interview schedule</w:t>
      </w:r>
    </w:p>
    <w:p w14:paraId="777CD9A2" w14:textId="77777777" w:rsidR="00CD32BA" w:rsidRDefault="00597845">
      <w:pPr>
        <w:spacing w:after="140" w:line="360" w:lineRule="auto"/>
      </w:pPr>
      <w:r>
        <w:t xml:space="preserve">The interview schedule was built around the research aims and covered: the practitioner’s role and experience of working with learners with ALN; an example of play-based learning having a positive impact; benefits observed; how activities are adapted to diverse needs; challenges in implementation; the support, training or resources that have helped; and changes or additional support that would improve practice. Using the same prompts with each </w:t>
      </w:r>
      <w:r>
        <w:lastRenderedPageBreak/>
        <w:t>participant allowed responses to be compared, while follow-up questions let practitioners expand on what mattered most to them.</w:t>
      </w:r>
    </w:p>
    <w:p w14:paraId="0BB60295" w14:textId="77777777" w:rsidR="0082730F" w:rsidRDefault="00597845" w:rsidP="00B67CD6">
      <w:pPr>
        <w:pStyle w:val="NormalWeb"/>
        <w:spacing w:line="360" w:lineRule="auto"/>
        <w:rPr>
          <w:color w:val="000000"/>
        </w:rPr>
      </w:pPr>
      <w:r>
        <w:t>The interviews were conducted through Microsoft Teams, audio-recorded with consent and anonymised using codes P1–P4. Transcription and analysis are detailed in Section 5.</w:t>
      </w:r>
    </w:p>
    <w:p w14:paraId="608DC2CD" w14:textId="77777777" w:rsidR="00CD32BA" w:rsidRDefault="00597845">
      <w:pPr>
        <w:pStyle w:val="Heading2"/>
      </w:pPr>
      <w:r>
        <w:t>4.5 Choice of analytic approach</w:t>
      </w:r>
    </w:p>
    <w:p w14:paraId="397726E9" w14:textId="77777777" w:rsidR="00CD32BA" w:rsidRDefault="00597845">
      <w:pPr>
        <w:spacing w:after="140" w:line="360" w:lineRule="auto"/>
      </w:pPr>
      <w:r>
        <w:t>The interview data were analysed using reflexive thematic analysis (Braun and Clarke, 2006; 2021). The approach was chosen because it is a flexible method for identifying patterns of meaning across a dataset without being tied to a single theoretical framework, which suited a study that combined inductive coding with a later, deliberate interpretive lens. Alternatives were considered. Interpretative phenomenological analysis is oriented towards the detailed lived experience of individuals, whereas this study sought patterns across practitioners in different roles. Grounded theory aims at generating theory and ordinarily depends on theoretical sampling, which was not feasible with a sample of this size and recruitment difficulty.</w:t>
      </w:r>
    </w:p>
    <w:p w14:paraId="2B1C9CD3" w14:textId="77777777" w:rsidR="00CD32BA" w:rsidRDefault="00597845">
      <w:pPr>
        <w:spacing w:after="140" w:line="360" w:lineRule="auto"/>
      </w:pPr>
      <w:r>
        <w:t>Coding was inductive in the sense that themes were not derived from a pre-set framework. I do not, however, claim that it was free of prior assumptions: my reading of the literature inevitably shaped what I noticed in the data, and reflexive thematic analysis treats this as part of the process and not as a flaw to be eliminated (Braun and Clarke, 2021). The procedure followed is described in Section 5.</w:t>
      </w:r>
    </w:p>
    <w:p w14:paraId="03B91EE0" w14:textId="77777777" w:rsidR="00CD32BA" w:rsidRDefault="00597845">
      <w:pPr>
        <w:pStyle w:val="Heading2"/>
      </w:pPr>
      <w:r>
        <w:t>4.6 Ethical considerations</w:t>
      </w:r>
    </w:p>
    <w:p w14:paraId="6FE23124" w14:textId="77777777" w:rsidR="00CD32BA" w:rsidRDefault="00597845">
      <w:pPr>
        <w:spacing w:after="140" w:line="360" w:lineRule="auto"/>
      </w:pPr>
      <w:r>
        <w:t>The study was conducted in line with the UWTSD Research Ethics and Integrity Policy, the BERA Ethical Guidelines for Educational Research (2024) and the British Psychological Society’s Code of Human Research Ethics (2021</w:t>
      </w:r>
      <w:proofErr w:type="gramStart"/>
      <w:r>
        <w:t>), and</w:t>
      </w:r>
      <w:proofErr w:type="gramEnd"/>
      <w:r>
        <w:t xml:space="preserve"> received university ethics approval before data collection. I held a current DBS certificate.</w:t>
      </w:r>
    </w:p>
    <w:p w14:paraId="53843401" w14:textId="77777777" w:rsidR="00CD32BA" w:rsidRDefault="00597845">
      <w:pPr>
        <w:spacing w:after="140" w:line="360" w:lineRule="auto"/>
      </w:pPr>
      <w:r>
        <w:rPr>
          <w:i/>
          <w:iCs/>
        </w:rPr>
        <w:t>Informed consent and voluntary participation.</w:t>
      </w:r>
      <w:r>
        <w:t xml:space="preserve"> Prospective participants received a participant information sheet and had at least one week to decide whether to take part. Written consent was obtained before the interviews. Participants were told that taking part was voluntary, that they could decline any question, and that they could withdraw up to the point at which their data were anonymised and incorporated into the analysis. After that point, individual contributions could no longer be separated from the wider dataset (British Psychological Society, 2021).</w:t>
      </w:r>
    </w:p>
    <w:p w14:paraId="11CBE2DB" w14:textId="77777777" w:rsidR="00CD32BA" w:rsidRDefault="00597845">
      <w:pPr>
        <w:spacing w:after="140" w:line="360" w:lineRule="auto"/>
      </w:pPr>
      <w:r>
        <w:rPr>
          <w:i/>
          <w:iCs/>
        </w:rPr>
        <w:lastRenderedPageBreak/>
        <w:t>Confidentiality and anonymity.</w:t>
      </w:r>
      <w:r>
        <w:t xml:space="preserve"> Names, school names and identifying references were replaced with participant codes, and participants are reported by role only. Because roles can themselves be identifying in a small sample, quotations are attributed using the code and a general role, and details that could identify a school or colleague have been removed.</w:t>
      </w:r>
    </w:p>
    <w:p w14:paraId="55CAB2E4" w14:textId="77777777" w:rsidR="00CD32BA" w:rsidRDefault="00597845">
      <w:pPr>
        <w:spacing w:after="140" w:line="360" w:lineRule="auto"/>
      </w:pPr>
      <w:r>
        <w:rPr>
          <w:i/>
          <w:iCs/>
        </w:rPr>
        <w:t>Risk and well-being.</w:t>
      </w:r>
      <w:r>
        <w:t xml:space="preserve"> The topic concerned professional practice and was assessed as low risk, though participants might feel uncomfortable criticising practice or resourcing. Participants were reminded that the interviews focused on professional experience, not performance, and that they could pause or stop at any time. Safeguarding disclosures would have been handled in line with university procedures.</w:t>
      </w:r>
    </w:p>
    <w:p w14:paraId="5C3DABAB" w14:textId="77777777" w:rsidR="00CD32BA" w:rsidRDefault="00597845">
      <w:pPr>
        <w:spacing w:after="140" w:line="360" w:lineRule="auto"/>
      </w:pPr>
      <w:r>
        <w:rPr>
          <w:i/>
          <w:iCs/>
        </w:rPr>
        <w:t>Data storage.</w:t>
      </w:r>
      <w:r>
        <w:t xml:space="preserve"> Recordings, transcripts and consent forms were stored securely and protected with a password.</w:t>
      </w:r>
    </w:p>
    <w:p w14:paraId="44EFACF7" w14:textId="77777777" w:rsidR="00CD32BA" w:rsidRDefault="00597845">
      <w:pPr>
        <w:spacing w:after="140" w:line="360" w:lineRule="auto"/>
      </w:pPr>
      <w:r>
        <w:t>The use of an AI tool in this project is documented in the separate AI declaration submitted with this report.</w:t>
      </w:r>
    </w:p>
    <w:p w14:paraId="39CB6482" w14:textId="77777777" w:rsidR="00CD32BA" w:rsidRDefault="00597845">
      <w:pPr>
        <w:pStyle w:val="Heading2"/>
      </w:pPr>
      <w:r>
        <w:t>4.7 Rigour and reflexivity</w:t>
      </w:r>
    </w:p>
    <w:p w14:paraId="4ADBB4D4" w14:textId="77777777" w:rsidR="00CD32BA" w:rsidRDefault="00597845">
      <w:pPr>
        <w:spacing w:after="140" w:line="360" w:lineRule="auto"/>
      </w:pPr>
      <w:r>
        <w:t xml:space="preserve">Reflexivity is central to reflexive thematic analysis, which treats the researcher’s assumptions and position as part of the analytic process (Braun and Clarke, 2021). </w:t>
      </w:r>
    </w:p>
    <w:p w14:paraId="15D38525" w14:textId="77777777" w:rsidR="00CD32BA" w:rsidRDefault="00597845">
      <w:pPr>
        <w:spacing w:after="140" w:line="360" w:lineRule="auto"/>
      </w:pPr>
      <w:r>
        <w:t>Trustworthiness is approached through the criteria of credibility, transferability and transparency (Lincoln and Guba, 1985). Credibility is supported by checking quotations against the transcripts and by requiring each theme to rest on at least two participants. Transferability is limited by the small, self-selected sample, so the findings are offered as indicative patterns, and readers must judge their relevance to other settings. Transparency is supported by describing the analytic procedure in Section 5 and by recording departures from the ethics application in Section 8.4. The analysis was carried out by one researcher without an independent second coder, so the themes reflect one set of interpretive choices.</w:t>
      </w:r>
    </w:p>
    <w:p w14:paraId="69B50E8B" w14:textId="77777777" w:rsidR="00CD32BA" w:rsidRDefault="00597845">
      <w:pPr>
        <w:pStyle w:val="Heading1"/>
      </w:pPr>
      <w:r>
        <w:t>5. Description of method and data analysis</w:t>
      </w:r>
    </w:p>
    <w:p w14:paraId="61FBC90E" w14:textId="77777777" w:rsidR="00CD32BA" w:rsidRDefault="00597845">
      <w:pPr>
        <w:pStyle w:val="Heading2"/>
      </w:pPr>
      <w:r>
        <w:t>5.1 Preparing the data</w:t>
      </w:r>
    </w:p>
    <w:p w14:paraId="135D00C5" w14:textId="77777777" w:rsidR="0082730F" w:rsidRDefault="0082730F" w:rsidP="0082730F">
      <w:pPr>
        <w:pStyle w:val="NormalWeb"/>
        <w:rPr>
          <w:color w:val="000000"/>
        </w:rPr>
      </w:pPr>
      <w:r>
        <w:rPr>
          <w:color w:val="000000"/>
        </w:rPr>
        <w:t>I manually transcribed all four recorded interviews, checked the transcripts against the recordings and reread them to become familiar with the data before thematic analysis.</w:t>
      </w:r>
    </w:p>
    <w:p w14:paraId="71F34182" w14:textId="77777777" w:rsidR="00CD32BA" w:rsidRDefault="00597845">
      <w:pPr>
        <w:spacing w:after="140" w:line="360" w:lineRule="auto"/>
      </w:pPr>
      <w:r>
        <w:lastRenderedPageBreak/>
        <w:t>Names, school names and other identifying references were replaced with participant codes P1 to P4 and ‘Interviewer’. In the extracts reported below, timestamps refer to positions in the interview material.</w:t>
      </w:r>
    </w:p>
    <w:p w14:paraId="1C24FE0E" w14:textId="77777777" w:rsidR="00CD32BA" w:rsidRDefault="00597845">
      <w:pPr>
        <w:spacing w:after="140" w:line="360" w:lineRule="auto"/>
      </w:pPr>
      <w:r>
        <w:t>The interview material available for analysis was uneven in length. P1’s transcript contains a gap between 1:29 and 4:12, so that portion is not represented in the analysis. The interviews were short, and the available transcripts contain approximately 5,300 words of participant speech in total (P1 approximately 310, P2 approximately 2,580, P3 approximately 1,190 and P4 approximately 1,260). This limits the breadth of the findings.</w:t>
      </w:r>
    </w:p>
    <w:p w14:paraId="5233333B" w14:textId="77777777" w:rsidR="00CD32BA" w:rsidRDefault="00597845">
      <w:pPr>
        <w:spacing w:after="140" w:line="360" w:lineRule="auto"/>
      </w:pPr>
      <w:r>
        <w:t>Quotations are reported as they appear in the transcripts. Ellipses mark omitted text, and square brackets mark words added or corrected for clarity.</w:t>
      </w:r>
    </w:p>
    <w:p w14:paraId="1141379A" w14:textId="77777777" w:rsidR="00CD32BA" w:rsidRDefault="00597845">
      <w:pPr>
        <w:pStyle w:val="Heading2"/>
      </w:pPr>
      <w:r>
        <w:t>5.2 The analytic procedure</w:t>
      </w:r>
    </w:p>
    <w:p w14:paraId="0DFEC845" w14:textId="77777777" w:rsidR="00CD32BA" w:rsidRDefault="00597845">
      <w:pPr>
        <w:spacing w:after="140" w:line="360" w:lineRule="auto"/>
      </w:pPr>
      <w:r>
        <w:t>The data were analysed following the six phases of reflexive thematic analysis described by Braun and Clarke (2006; 2021).</w:t>
      </w:r>
    </w:p>
    <w:p w14:paraId="0255B0D3" w14:textId="77777777" w:rsidR="00CD32BA" w:rsidRDefault="00597845">
      <w:pPr>
        <w:spacing w:after="140" w:line="360" w:lineRule="auto"/>
      </w:pPr>
      <w:r>
        <w:rPr>
          <w:i/>
          <w:iCs/>
        </w:rPr>
        <w:t>Phase 1, familiarisation.</w:t>
      </w:r>
      <w:r>
        <w:t xml:space="preserve"> The transcripts were read repeatedly, and initial impressions were noted alongside the data-quality issues described above.</w:t>
      </w:r>
    </w:p>
    <w:p w14:paraId="2C6D3325" w14:textId="77777777" w:rsidR="00CD32BA" w:rsidRDefault="00597845">
      <w:pPr>
        <w:spacing w:after="140" w:line="360" w:lineRule="auto"/>
      </w:pPr>
      <w:r>
        <w:rPr>
          <w:i/>
          <w:iCs/>
        </w:rPr>
        <w:t>Phase 2, generating initial codes.</w:t>
      </w:r>
      <w:r>
        <w:t xml:space="preserve"> Each transcript was worked through segment by </w:t>
      </w:r>
      <w:proofErr w:type="gramStart"/>
      <w:r>
        <w:t>segment, and</w:t>
      </w:r>
      <w:proofErr w:type="gramEnd"/>
      <w:r>
        <w:t xml:space="preserve"> features relevant to the research aim were given short labels that stayed close to participants’ own language, for example ‘following interests’, ‘structured routes into play’, ‘AAC boards’, ‘training gap’ and ‘class size’.</w:t>
      </w:r>
    </w:p>
    <w:p w14:paraId="744FD786" w14:textId="77777777" w:rsidR="00CD32BA" w:rsidRDefault="00597845">
      <w:pPr>
        <w:spacing w:after="140" w:line="360" w:lineRule="auto"/>
      </w:pPr>
      <w:r>
        <w:rPr>
          <w:i/>
          <w:iCs/>
        </w:rPr>
        <w:t>Phase 3, searching for themes.</w:t>
      </w:r>
      <w:r>
        <w:t xml:space="preserve"> Related codes were grouped into candidate themes. For example, codes for following interests, strengths, structured routines, scaffolding, visual and communication </w:t>
      </w:r>
      <w:proofErr w:type="gramStart"/>
      <w:r>
        <w:t>supports</w:t>
      </w:r>
      <w:proofErr w:type="gramEnd"/>
      <w:r>
        <w:t xml:space="preserve"> and a dedicated play area were gathered under the adaptation of play-based learning.</w:t>
      </w:r>
    </w:p>
    <w:p w14:paraId="360C32A8" w14:textId="77777777" w:rsidR="00CD32BA" w:rsidRDefault="00597845">
      <w:pPr>
        <w:spacing w:after="140" w:line="360" w:lineRule="auto"/>
      </w:pPr>
      <w:r>
        <w:rPr>
          <w:i/>
          <w:iCs/>
        </w:rPr>
        <w:t>Phase 4, reviewing themes.</w:t>
      </w:r>
      <w:r>
        <w:t xml:space="preserve"> Candidate themes were checked against the coded extracts and across the dataset. Two decisions are worth recording. First, how play-based learning is positioned within a school was kept as a theme separate from training and resourcing, because it concerns where and how play-based learning is used and not whether staff have the means to use it. Second, benefits and challenges were kept apart from the adaptation strategies, so that what practitioners do could be distinguished from what they say it achieves and what makes it difficult.</w:t>
      </w:r>
    </w:p>
    <w:p w14:paraId="0D001DFE" w14:textId="77777777" w:rsidR="00CD32BA" w:rsidRDefault="00597845">
      <w:pPr>
        <w:spacing w:after="140" w:line="360" w:lineRule="auto"/>
      </w:pPr>
      <w:r>
        <w:rPr>
          <w:i/>
          <w:iCs/>
        </w:rPr>
        <w:lastRenderedPageBreak/>
        <w:t>Phase 5, defining and naming themes.</w:t>
      </w:r>
      <w:r>
        <w:t xml:space="preserve"> Each theme was given a short definition so that its scope was clear and did not overlap with the others (Table 2).</w:t>
      </w:r>
    </w:p>
    <w:p w14:paraId="588B4D46" w14:textId="77777777" w:rsidR="00CD32BA" w:rsidRDefault="00597845">
      <w:pPr>
        <w:spacing w:after="140" w:line="360" w:lineRule="auto"/>
      </w:pPr>
      <w:r>
        <w:rPr>
          <w:i/>
          <w:iCs/>
        </w:rPr>
        <w:t>Phase 6, producing the report.</w:t>
      </w:r>
      <w:r>
        <w:t xml:space="preserve"> Illustrative extracts were selected for each theme and related back to the research questions (Section 6).</w:t>
      </w:r>
    </w:p>
    <w:p w14:paraId="73205284" w14:textId="77777777" w:rsidR="00CD32BA" w:rsidRDefault="00597845">
      <w:pPr>
        <w:spacing w:after="140" w:line="360" w:lineRule="auto"/>
      </w:pPr>
      <w:r>
        <w:t>Coding was inductive. The Vygotskian framework was applied afterwards, as an interpretive lens in Section 7, and not as a device for generating themes. The role of an AI tool in this process is documented in the separate AI declaration submitted with this report.</w:t>
      </w:r>
    </w:p>
    <w:p w14:paraId="5D967F7C" w14:textId="77777777" w:rsidR="00B67CD6" w:rsidRDefault="00B67CD6">
      <w:pPr>
        <w:keepNext/>
        <w:spacing w:before="160" w:after="100"/>
        <w:rPr>
          <w:b/>
          <w:bCs/>
          <w:sz w:val="22"/>
          <w:szCs w:val="22"/>
        </w:rPr>
      </w:pPr>
    </w:p>
    <w:p w14:paraId="78D1B803" w14:textId="77777777" w:rsidR="00B67CD6" w:rsidRDefault="00B67CD6">
      <w:pPr>
        <w:keepNext/>
        <w:spacing w:before="160" w:after="100"/>
        <w:rPr>
          <w:b/>
          <w:bCs/>
          <w:sz w:val="22"/>
          <w:szCs w:val="22"/>
        </w:rPr>
      </w:pPr>
    </w:p>
    <w:p w14:paraId="661E5E8B" w14:textId="77777777" w:rsidR="00B67CD6" w:rsidRDefault="00B67CD6">
      <w:pPr>
        <w:keepNext/>
        <w:spacing w:before="160" w:after="100"/>
        <w:rPr>
          <w:b/>
          <w:bCs/>
          <w:sz w:val="22"/>
          <w:szCs w:val="22"/>
        </w:rPr>
      </w:pPr>
    </w:p>
    <w:p w14:paraId="3A0A74DC" w14:textId="4A1EA7FE" w:rsidR="00CD32BA" w:rsidRDefault="00597845">
      <w:pPr>
        <w:keepNext/>
        <w:spacing w:before="160" w:after="100"/>
      </w:pPr>
      <w:r>
        <w:rPr>
          <w:b/>
          <w:bCs/>
          <w:sz w:val="22"/>
          <w:szCs w:val="22"/>
        </w:rPr>
        <w:t>Table 2: Themes developed from the data</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2500"/>
        <w:gridCol w:w="2300"/>
        <w:gridCol w:w="1400"/>
        <w:gridCol w:w="1126"/>
      </w:tblGrid>
      <w:tr w:rsidR="00CD32BA" w14:paraId="3FB251C2" w14:textId="77777777">
        <w:trPr>
          <w:tblHeader/>
        </w:trPr>
        <w:tc>
          <w:tcPr>
            <w:tcW w:w="17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3E31ECC5" w14:textId="77777777" w:rsidR="00CD32BA" w:rsidRDefault="00597845">
            <w:r>
              <w:rPr>
                <w:b/>
                <w:bCs/>
                <w:sz w:val="19"/>
                <w:szCs w:val="19"/>
              </w:rPr>
              <w:t>Theme</w:t>
            </w:r>
          </w:p>
        </w:tc>
        <w:tc>
          <w:tcPr>
            <w:tcW w:w="25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1C551B09" w14:textId="77777777" w:rsidR="00CD32BA" w:rsidRDefault="00597845">
            <w:r>
              <w:rPr>
                <w:b/>
                <w:bCs/>
                <w:sz w:val="19"/>
                <w:szCs w:val="19"/>
              </w:rPr>
              <w:t>Definition</w:t>
            </w:r>
          </w:p>
        </w:tc>
        <w:tc>
          <w:tcPr>
            <w:tcW w:w="23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07FAD71A" w14:textId="77777777" w:rsidR="00CD32BA" w:rsidRDefault="00597845">
            <w:r>
              <w:rPr>
                <w:b/>
                <w:bCs/>
                <w:sz w:val="19"/>
                <w:szCs w:val="19"/>
              </w:rPr>
              <w:t>Illustrative codes</w:t>
            </w:r>
          </w:p>
        </w:tc>
        <w:tc>
          <w:tcPr>
            <w:tcW w:w="1400"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3D1AC814" w14:textId="77777777" w:rsidR="00CD32BA" w:rsidRDefault="00597845">
            <w:r>
              <w:rPr>
                <w:b/>
                <w:bCs/>
                <w:sz w:val="19"/>
                <w:szCs w:val="19"/>
              </w:rPr>
              <w:t>Participants</w:t>
            </w:r>
          </w:p>
        </w:tc>
        <w:tc>
          <w:tcPr>
            <w:tcW w:w="1126" w:type="dxa"/>
            <w:tcBorders>
              <w:top w:val="single" w:sz="4" w:space="0" w:color="999999"/>
              <w:left w:val="single" w:sz="4" w:space="0" w:color="999999"/>
              <w:bottom w:val="single" w:sz="4" w:space="0" w:color="999999"/>
              <w:right w:val="single" w:sz="4" w:space="0" w:color="999999"/>
            </w:tcBorders>
            <w:shd w:val="clear" w:color="auto" w:fill="E7E6E6"/>
            <w:tcMar>
              <w:top w:w="60" w:type="dxa"/>
              <w:left w:w="90" w:type="dxa"/>
              <w:bottom w:w="60" w:type="dxa"/>
              <w:right w:w="90" w:type="dxa"/>
            </w:tcMar>
          </w:tcPr>
          <w:p w14:paraId="477A739E" w14:textId="77777777" w:rsidR="00CD32BA" w:rsidRDefault="00597845">
            <w:r>
              <w:rPr>
                <w:b/>
                <w:bCs/>
                <w:sz w:val="19"/>
                <w:szCs w:val="19"/>
              </w:rPr>
              <w:t>Addresses</w:t>
            </w:r>
          </w:p>
        </w:tc>
      </w:tr>
      <w:tr w:rsidR="00CD32BA" w14:paraId="1E4E8377"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6F765C1" w14:textId="77777777" w:rsidR="00CD32BA" w:rsidRDefault="00597845">
            <w:r>
              <w:rPr>
                <w:sz w:val="19"/>
                <w:szCs w:val="19"/>
              </w:rPr>
              <w:t>1. Play-based learning as purposeful pedagogy</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C0774A1" w14:textId="77777777" w:rsidR="00CD32BA" w:rsidRDefault="00597845">
            <w:r>
              <w:rPr>
                <w:sz w:val="19"/>
                <w:szCs w:val="19"/>
              </w:rPr>
              <w:t>Play-based learning is treated as deliberate teaching, placed on a continuum between child-led and adult-led, and not as ‘just play’</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5122452" w14:textId="77777777" w:rsidR="00CD32BA" w:rsidRDefault="00597845">
            <w:r>
              <w:rPr>
                <w:sz w:val="19"/>
                <w:szCs w:val="19"/>
              </w:rPr>
              <w:t>purposeful play; continuum; balance of play and adult-led learning</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40843D8" w14:textId="77777777" w:rsidR="00CD32BA" w:rsidRDefault="00597845">
            <w:r>
              <w:rPr>
                <w:sz w:val="19"/>
                <w:szCs w:val="19"/>
              </w:rPr>
              <w:t>P1,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C1F7815" w14:textId="77777777" w:rsidR="00CD32BA" w:rsidRDefault="00597845">
            <w:r>
              <w:rPr>
                <w:sz w:val="19"/>
                <w:szCs w:val="19"/>
              </w:rPr>
              <w:t>SQ1</w:t>
            </w:r>
          </w:p>
        </w:tc>
      </w:tr>
      <w:tr w:rsidR="00CD32BA" w14:paraId="5D8B539D"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5162ACC" w14:textId="77777777" w:rsidR="00CD32BA" w:rsidRDefault="00597845">
            <w:r>
              <w:rPr>
                <w:sz w:val="19"/>
                <w:szCs w:val="19"/>
              </w:rPr>
              <w:t>2. Adapting play-based learning</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E74A148" w14:textId="77777777" w:rsidR="00CD32BA" w:rsidRDefault="00597845">
            <w:r>
              <w:rPr>
                <w:sz w:val="19"/>
                <w:szCs w:val="19"/>
              </w:rPr>
              <w:t>The ways activities, routines, environments and support are adapted to individual learners</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B5C4ACE" w14:textId="77777777" w:rsidR="00CD32BA" w:rsidRDefault="00597845">
            <w:r>
              <w:rPr>
                <w:sz w:val="19"/>
                <w:szCs w:val="19"/>
              </w:rPr>
              <w:t xml:space="preserve">following interests and strengths; structured routes into play; scaffolding; visual and communication </w:t>
            </w:r>
            <w:proofErr w:type="gramStart"/>
            <w:r>
              <w:rPr>
                <w:sz w:val="19"/>
                <w:szCs w:val="19"/>
              </w:rPr>
              <w:t>supports</w:t>
            </w:r>
            <w:proofErr w:type="gramEnd"/>
            <w:r>
              <w:rPr>
                <w:sz w:val="19"/>
                <w:szCs w:val="19"/>
              </w:rPr>
              <w:t>; learner-owned environment; several ways in</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EAEA037" w14:textId="77777777" w:rsidR="00CD32BA" w:rsidRDefault="00597845">
            <w:r>
              <w:rPr>
                <w:sz w:val="19"/>
                <w:szCs w:val="19"/>
              </w:rPr>
              <w:t>P1, P2,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C4566F4" w14:textId="77777777" w:rsidR="00CD32BA" w:rsidRDefault="00597845">
            <w:r>
              <w:rPr>
                <w:sz w:val="19"/>
                <w:szCs w:val="19"/>
              </w:rPr>
              <w:t>SQ1</w:t>
            </w:r>
          </w:p>
        </w:tc>
      </w:tr>
      <w:tr w:rsidR="00CD32BA" w14:paraId="305B7044"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51397FC" w14:textId="77777777" w:rsidR="00CD32BA" w:rsidRDefault="00597845">
            <w:r>
              <w:rPr>
                <w:sz w:val="19"/>
                <w:szCs w:val="19"/>
              </w:rPr>
              <w:t>3. Perceived benefits</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BBA723F" w14:textId="77777777" w:rsidR="00CD32BA" w:rsidRDefault="00597845">
            <w:r>
              <w:rPr>
                <w:sz w:val="19"/>
                <w:szCs w:val="19"/>
              </w:rPr>
              <w:t>Reported positive effects of play-based learning for learners with ALN</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ABD8A3D" w14:textId="77777777" w:rsidR="00CD32BA" w:rsidRDefault="00597845">
            <w:r>
              <w:rPr>
                <w:sz w:val="19"/>
                <w:szCs w:val="19"/>
              </w:rPr>
              <w:t>engagement; confidence and pride; voice; collaboration and communication</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46D3E92" w14:textId="77777777" w:rsidR="00CD32BA" w:rsidRDefault="00597845">
            <w:r>
              <w:rPr>
                <w:sz w:val="19"/>
                <w:szCs w:val="19"/>
              </w:rPr>
              <w:t>P1, P2,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E063CE8" w14:textId="77777777" w:rsidR="00CD32BA" w:rsidRDefault="00597845">
            <w:r>
              <w:rPr>
                <w:sz w:val="19"/>
                <w:szCs w:val="19"/>
              </w:rPr>
              <w:t>SQ1</w:t>
            </w:r>
          </w:p>
        </w:tc>
      </w:tr>
      <w:tr w:rsidR="00CD32BA" w14:paraId="6DBA21F0"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EEEAE54" w14:textId="77777777" w:rsidR="00CD32BA" w:rsidRDefault="00597845">
            <w:r>
              <w:rPr>
                <w:sz w:val="19"/>
                <w:szCs w:val="19"/>
              </w:rPr>
              <w:t>4. Challenges</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5A2AD3F" w14:textId="77777777" w:rsidR="00CD32BA" w:rsidRDefault="00597845">
            <w:r>
              <w:rPr>
                <w:sz w:val="19"/>
                <w:szCs w:val="19"/>
              </w:rPr>
              <w:t>Difficulties in delivering play-based learning for learners with ALN</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2CDD36D5" w14:textId="77777777" w:rsidR="00CD32BA" w:rsidRDefault="00597845">
            <w:r>
              <w:rPr>
                <w:sz w:val="19"/>
                <w:szCs w:val="19"/>
              </w:rPr>
              <w:t>overexcitement; focus and transitions; keeping a learning purpose; recognising learning in play; teaching social skills</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3D8D6744" w14:textId="77777777" w:rsidR="00CD32BA" w:rsidRDefault="00597845">
            <w:r>
              <w:rPr>
                <w:sz w:val="19"/>
                <w:szCs w:val="19"/>
              </w:rPr>
              <w:t>P1, P2,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4BF6607" w14:textId="77777777" w:rsidR="00CD32BA" w:rsidRDefault="00597845">
            <w:r>
              <w:rPr>
                <w:sz w:val="19"/>
                <w:szCs w:val="19"/>
              </w:rPr>
              <w:t>SQ1</w:t>
            </w:r>
          </w:p>
        </w:tc>
      </w:tr>
      <w:tr w:rsidR="00CD32BA" w14:paraId="28C4FE01"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8B4D6B9" w14:textId="77777777" w:rsidR="00CD32BA" w:rsidRDefault="00597845">
            <w:r>
              <w:rPr>
                <w:sz w:val="19"/>
                <w:szCs w:val="19"/>
              </w:rPr>
              <w:t>5. Training gaps</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C9E2549" w14:textId="77777777" w:rsidR="00CD32BA" w:rsidRDefault="00597845">
            <w:r>
              <w:rPr>
                <w:sz w:val="19"/>
                <w:szCs w:val="19"/>
              </w:rPr>
              <w:t>Absence of training that combines play-based learning with ALN</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0A095690" w14:textId="77777777" w:rsidR="00CD32BA" w:rsidRDefault="00597845">
            <w:r>
              <w:rPr>
                <w:sz w:val="19"/>
                <w:szCs w:val="19"/>
              </w:rPr>
              <w:t>no combined training; no special-needs training; training on the value of play</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234A7B27" w14:textId="77777777" w:rsidR="00CD32BA" w:rsidRDefault="00597845">
            <w:r>
              <w:rPr>
                <w:sz w:val="19"/>
                <w:szCs w:val="19"/>
              </w:rPr>
              <w:t>P1, P2,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B633A6A" w14:textId="77777777" w:rsidR="00CD32BA" w:rsidRDefault="00597845">
            <w:r>
              <w:rPr>
                <w:sz w:val="19"/>
                <w:szCs w:val="19"/>
              </w:rPr>
              <w:t>SQ2</w:t>
            </w:r>
          </w:p>
        </w:tc>
      </w:tr>
      <w:tr w:rsidR="00CD32BA" w14:paraId="3EE42414"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28512BD4" w14:textId="77777777" w:rsidR="00CD32BA" w:rsidRDefault="00597845">
            <w:r>
              <w:rPr>
                <w:sz w:val="19"/>
                <w:szCs w:val="19"/>
              </w:rPr>
              <w:t>6. Structural constraints</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D0B3816" w14:textId="77777777" w:rsidR="00CD32BA" w:rsidRDefault="00597845">
            <w:r>
              <w:rPr>
                <w:sz w:val="19"/>
                <w:szCs w:val="19"/>
              </w:rPr>
              <w:t>Funding, staffing, class size and time as limits on practice</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42737630" w14:textId="77777777" w:rsidR="00CD32BA" w:rsidRDefault="00597845">
            <w:r>
              <w:rPr>
                <w:sz w:val="19"/>
                <w:szCs w:val="19"/>
              </w:rPr>
              <w:t>funding; assistant teachers; class size; planning time; recognition of teaching assistants</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289F33D" w14:textId="77777777" w:rsidR="00CD32BA" w:rsidRDefault="00597845">
            <w:r>
              <w:rPr>
                <w:sz w:val="19"/>
                <w:szCs w:val="19"/>
              </w:rPr>
              <w:t>P1, P2, 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61456943" w14:textId="77777777" w:rsidR="00CD32BA" w:rsidRDefault="00597845">
            <w:r>
              <w:rPr>
                <w:sz w:val="19"/>
                <w:szCs w:val="19"/>
              </w:rPr>
              <w:t>SQ2</w:t>
            </w:r>
          </w:p>
        </w:tc>
      </w:tr>
      <w:tr w:rsidR="00CD32BA" w14:paraId="0CD32F15" w14:textId="77777777">
        <w:tc>
          <w:tcPr>
            <w:tcW w:w="17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5148ECF4" w14:textId="77777777" w:rsidR="00CD32BA" w:rsidRDefault="00597845">
            <w:r>
              <w:rPr>
                <w:sz w:val="19"/>
                <w:szCs w:val="19"/>
              </w:rPr>
              <w:t>7. Positioning of play-based learning</w:t>
            </w:r>
          </w:p>
        </w:tc>
        <w:tc>
          <w:tcPr>
            <w:tcW w:w="25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5B736BC" w14:textId="77777777" w:rsidR="00CD32BA" w:rsidRDefault="00597845">
            <w:r>
              <w:rPr>
                <w:sz w:val="19"/>
                <w:szCs w:val="19"/>
              </w:rPr>
              <w:t>Where and how play-based learning is used within a school</w:t>
            </w:r>
          </w:p>
        </w:tc>
        <w:tc>
          <w:tcPr>
            <w:tcW w:w="23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0BBD24C" w14:textId="77777777" w:rsidR="00CD32BA" w:rsidRDefault="00597845">
            <w:r>
              <w:rPr>
                <w:sz w:val="19"/>
                <w:szCs w:val="19"/>
              </w:rPr>
              <w:t>early years and older pupils; needs-led and play-led planning</w:t>
            </w:r>
          </w:p>
        </w:tc>
        <w:tc>
          <w:tcPr>
            <w:tcW w:w="1400"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107F54CD" w14:textId="77777777" w:rsidR="00CD32BA" w:rsidRDefault="00597845">
            <w:r>
              <w:rPr>
                <w:sz w:val="19"/>
                <w:szCs w:val="19"/>
              </w:rPr>
              <w:t>P3, P4</w:t>
            </w:r>
          </w:p>
        </w:tc>
        <w:tc>
          <w:tcPr>
            <w:tcW w:w="1126" w:type="dxa"/>
            <w:tcBorders>
              <w:top w:val="single" w:sz="4" w:space="0" w:color="999999"/>
              <w:left w:val="single" w:sz="4" w:space="0" w:color="999999"/>
              <w:bottom w:val="single" w:sz="4" w:space="0" w:color="999999"/>
              <w:right w:val="single" w:sz="4" w:space="0" w:color="999999"/>
            </w:tcBorders>
            <w:tcMar>
              <w:top w:w="60" w:type="dxa"/>
              <w:left w:w="90" w:type="dxa"/>
              <w:bottom w:w="60" w:type="dxa"/>
              <w:right w:w="90" w:type="dxa"/>
            </w:tcMar>
          </w:tcPr>
          <w:p w14:paraId="7FE4EFDF" w14:textId="77777777" w:rsidR="00CD32BA" w:rsidRDefault="00597845">
            <w:r>
              <w:rPr>
                <w:sz w:val="19"/>
                <w:szCs w:val="19"/>
              </w:rPr>
              <w:t>Reported separately</w:t>
            </w:r>
          </w:p>
        </w:tc>
      </w:tr>
    </w:tbl>
    <w:p w14:paraId="1CC1EFDB" w14:textId="77777777" w:rsidR="00CD32BA" w:rsidRDefault="00CD32BA">
      <w:pPr>
        <w:spacing w:after="160"/>
      </w:pPr>
    </w:p>
    <w:p w14:paraId="571B5303" w14:textId="77777777" w:rsidR="00CD32BA" w:rsidRDefault="00597845">
      <w:pPr>
        <w:spacing w:after="140" w:line="360" w:lineRule="auto"/>
      </w:pPr>
      <w:r>
        <w:lastRenderedPageBreak/>
        <w:t>Codes were developed through close reading of the interview transcripts and organised into candidate themes. These were reviewed against the data and refined to reflect the practitioners’ accounts. The resulting themes provide an interpretation of the four interviews rather than a claim of generalisability.</w:t>
      </w:r>
    </w:p>
    <w:p w14:paraId="4E4C8B9B" w14:textId="77777777" w:rsidR="00CD32BA" w:rsidRDefault="00597845">
      <w:pPr>
        <w:pStyle w:val="Heading1"/>
      </w:pPr>
      <w:r>
        <w:t>6. Findings</w:t>
      </w:r>
    </w:p>
    <w:p w14:paraId="69949A43" w14:textId="77777777" w:rsidR="00CD32BA" w:rsidRDefault="00597845">
      <w:pPr>
        <w:spacing w:after="140" w:line="360" w:lineRule="auto"/>
      </w:pPr>
      <w:r>
        <w:t>The analysis identified seven provisional themes (Table 2). Four of them (Themes 1 to 4) bear on SQ1, how practitioners adapt play-based learning. Two (Themes 5 and 6) bear on SQ2, the training and resourcing factors that support or limit this practice. One (Theme 7) concerns how play-based learning is positioned within schools and is reported separately. Every theme rests on at least two participants. Participants are identified by code and role: P1, teaching assistant; P2, class teacher; P3 and P4, ALNCos.</w:t>
      </w:r>
    </w:p>
    <w:p w14:paraId="04EEFE32" w14:textId="77777777" w:rsidR="00CD32BA" w:rsidRDefault="00597845">
      <w:pPr>
        <w:pStyle w:val="Heading2"/>
      </w:pPr>
      <w:r>
        <w:t>6.1 Play-based learning as purposeful pedagogy (Theme 1; P1, P3, P4)</w:t>
      </w:r>
    </w:p>
    <w:p w14:paraId="5F9A6F52" w14:textId="77777777" w:rsidR="00CD32BA" w:rsidRDefault="00597845">
      <w:pPr>
        <w:spacing w:after="140" w:line="360" w:lineRule="auto"/>
      </w:pPr>
      <w:r>
        <w:t>Practitioners did not describe play-based learning as unstructured activity. P4 placed it on a continuum and described her task as one of balance:</w:t>
      </w:r>
    </w:p>
    <w:p w14:paraId="42AD8E9B" w14:textId="236B0954" w:rsidR="00CD32BA" w:rsidRDefault="00110B5E">
      <w:pPr>
        <w:spacing w:before="60" w:after="200" w:line="276" w:lineRule="auto"/>
        <w:ind w:left="720" w:right="720"/>
      </w:pPr>
      <w:r>
        <w:rPr>
          <w:sz w:val="22"/>
          <w:szCs w:val="22"/>
        </w:rPr>
        <w:t>“</w:t>
      </w:r>
      <w:r w:rsidR="00597845">
        <w:rPr>
          <w:sz w:val="22"/>
          <w:szCs w:val="22"/>
        </w:rPr>
        <w:t xml:space="preserve">I think play-based learning can be a bit Marmite. Some people really like </w:t>
      </w:r>
      <w:proofErr w:type="gramStart"/>
      <w:r w:rsidR="00597845">
        <w:rPr>
          <w:sz w:val="22"/>
          <w:szCs w:val="22"/>
        </w:rPr>
        <w:t>it</w:t>
      </w:r>
      <w:proofErr w:type="gramEnd"/>
      <w:r w:rsidR="00597845">
        <w:rPr>
          <w:sz w:val="22"/>
          <w:szCs w:val="22"/>
        </w:rPr>
        <w:t xml:space="preserve"> and it depends on your own philosophy as to how far, I suppose, along the continuum of play-based learning you go. </w:t>
      </w:r>
      <w:r>
        <w:rPr>
          <w:sz w:val="22"/>
          <w:szCs w:val="22"/>
        </w:rPr>
        <w:t>“</w:t>
      </w:r>
      <w:r w:rsidR="00597845">
        <w:rPr>
          <w:sz w:val="22"/>
          <w:szCs w:val="22"/>
        </w:rPr>
        <w:t>(P4, 2:15)</w:t>
      </w:r>
    </w:p>
    <w:p w14:paraId="1744A6C7" w14:textId="77777777" w:rsidR="00CD32BA" w:rsidRDefault="00597845">
      <w:pPr>
        <w:spacing w:after="140" w:line="360" w:lineRule="auto"/>
      </w:pPr>
      <w:r>
        <w:t>She explained that some children ‘don’t have any experiences or situations where they know how to do things’, so that learning ‘has to come and be adult led’, and that her aim was a balance ‘so that it doesn’t become just play based because children often, we don’t know what we don’t know’ (P4, 2:15).</w:t>
      </w:r>
    </w:p>
    <w:p w14:paraId="3FBEEB4C" w14:textId="77777777" w:rsidR="00CD32BA" w:rsidRDefault="00597845">
      <w:pPr>
        <w:spacing w:after="140" w:line="360" w:lineRule="auto"/>
      </w:pPr>
      <w:r>
        <w:t>P3 stressed that play contains learning that observers may miss:</w:t>
      </w:r>
    </w:p>
    <w:p w14:paraId="1A5595A2" w14:textId="3AB1FA2B" w:rsidR="00CD32BA" w:rsidRDefault="00110B5E">
      <w:pPr>
        <w:spacing w:before="60" w:after="200" w:line="276" w:lineRule="auto"/>
        <w:ind w:left="720" w:right="720"/>
      </w:pPr>
      <w:r>
        <w:rPr>
          <w:sz w:val="22"/>
          <w:szCs w:val="22"/>
        </w:rPr>
        <w:t>“</w:t>
      </w:r>
      <w:r w:rsidR="00597845">
        <w:rPr>
          <w:sz w:val="22"/>
          <w:szCs w:val="22"/>
        </w:rPr>
        <w:t xml:space="preserve">There is interaction, there is talk, there is using imagination, there is, you know, playing in parallel, they scaffold each other’s learning. </w:t>
      </w:r>
      <w:r>
        <w:rPr>
          <w:sz w:val="22"/>
          <w:szCs w:val="22"/>
        </w:rPr>
        <w:t>“</w:t>
      </w:r>
      <w:r w:rsidR="00597845">
        <w:rPr>
          <w:sz w:val="22"/>
          <w:szCs w:val="22"/>
        </w:rPr>
        <w:t>(P3, 9:12)</w:t>
      </w:r>
    </w:p>
    <w:p w14:paraId="605A2537" w14:textId="77777777" w:rsidR="00CD32BA" w:rsidRDefault="00597845">
      <w:pPr>
        <w:spacing w:after="140" w:line="360" w:lineRule="auto"/>
      </w:pPr>
      <w:r>
        <w:t>She called the difficulty one of recognition: ‘It is a skill to unpick, you know, if you were to observe a group of children, exactly what are they doing when you are perceived as just playing and there never is just play’ (P3, 9:12). P1 made a related point from the perspective of planning. She tried ‘to make the activity feel enjoyable while still having a learning purpose’ (P1, 4:12</w:t>
      </w:r>
      <w:proofErr w:type="gramStart"/>
      <w:r>
        <w:t>), and</w:t>
      </w:r>
      <w:proofErr w:type="gramEnd"/>
      <w:r>
        <w:t xml:space="preserve"> said that play-based learning should not be ‘seen as just play, but has a meaningful way to support learning’ (P1, 6:56).</w:t>
      </w:r>
    </w:p>
    <w:p w14:paraId="7D52A61D" w14:textId="77777777" w:rsidR="00CD32BA" w:rsidRDefault="00597845">
      <w:pPr>
        <w:spacing w:after="140" w:line="360" w:lineRule="auto"/>
      </w:pPr>
      <w:r>
        <w:lastRenderedPageBreak/>
        <w:t>These accounts treat play-based learning as deliberate pedagogy. This echoes the distinction between purposeful and free play in the literature (Allee-Herndon and Roberts, 2021) and Pyle and Danniels’ (2017) continuum from child-led to adult-directed activity. P1 also named the risk this creates, that it can be hard ‘to make sure the play activity has a clear learning purpose and is not just free play’ (P1, 6:25).</w:t>
      </w:r>
    </w:p>
    <w:p w14:paraId="66BB9F64" w14:textId="77777777" w:rsidR="00CD32BA" w:rsidRDefault="00597845">
      <w:pPr>
        <w:pStyle w:val="Heading2"/>
      </w:pPr>
      <w:r>
        <w:t>6.2 Adapting play-based learning (Theme 2; P1, P2, P3, P4)</w:t>
      </w:r>
    </w:p>
    <w:p w14:paraId="46DEBF15" w14:textId="77777777" w:rsidR="00CD32BA" w:rsidRDefault="00597845">
      <w:pPr>
        <w:spacing w:after="140" w:line="360" w:lineRule="auto"/>
      </w:pPr>
      <w:r>
        <w:t>Practitioners described four kinds of adaptation.</w:t>
      </w:r>
    </w:p>
    <w:p w14:paraId="6A5556DA" w14:textId="77777777" w:rsidR="00CD32BA" w:rsidRDefault="00597845">
      <w:pPr>
        <w:spacing w:after="140" w:line="360" w:lineRule="auto"/>
      </w:pPr>
      <w:r>
        <w:rPr>
          <w:i/>
          <w:iCs/>
        </w:rPr>
        <w:t>Following interests and strengths.</w:t>
      </w:r>
      <w:r>
        <w:t xml:space="preserve"> P3 explained that her approach is ‘through noticing what their preferences are and how to then use those preferences in different areas of learning to encourage them’ (P3, 5:23). Children who had been mark making decided that they wanted to make books, so she provided different papers and ‘little sort of folded books’, and she saw the change in their writing: ‘it’s been a real eye opener, particularly for children who perhaps don’t want to put pencil to paper’ (P3, 5:23). P4 described a child who loves dinosaurs, whose language work could ‘focus some of our communication along the child’s line of interest’ (P4, 7:54). P1 chose activities ‘linked to what motivates each child’ (P1, 6:10). P3 also described a quiet, withdrawn boy who knew how to tie knots and, in forest school, became the person the other children turned to: ‘it was just magic that everybody is good at something and it’s just giving everybody a chance to shine’ (P3, 4:12). P2 expressed the same expectation more bluntly. She described being told ‘they are not able’, and her reaction was ‘I don’t believe you, everybody’s able’ (P2, 7:32).</w:t>
      </w:r>
    </w:p>
    <w:p w14:paraId="66F1DB4F" w14:textId="16CA2FF7" w:rsidR="00CD32BA" w:rsidRDefault="00597845">
      <w:pPr>
        <w:spacing w:after="140" w:line="360" w:lineRule="auto"/>
      </w:pPr>
      <w:r>
        <w:rPr>
          <w:i/>
          <w:iCs/>
        </w:rPr>
        <w:t>Structure and scaffolded routes into play.</w:t>
      </w:r>
      <w:r>
        <w:t xml:space="preserve"> P4 explained that for some pupils ‘they </w:t>
      </w:r>
      <w:proofErr w:type="gramStart"/>
      <w:r>
        <w:t>have to</w:t>
      </w:r>
      <w:proofErr w:type="gramEnd"/>
      <w:r>
        <w:t xml:space="preserve"> learn turn taking and that </w:t>
      </w:r>
      <w:proofErr w:type="gramStart"/>
      <w:r>
        <w:t>has to</w:t>
      </w:r>
      <w:proofErr w:type="gramEnd"/>
      <w:r>
        <w:t xml:space="preserve"> be done sometimes in a structured format, whether that’s through attention autism sessions’, because without this they ‘can’t engage in effective </w:t>
      </w:r>
      <w:proofErr w:type="gramStart"/>
      <w:r>
        <w:t>play based</w:t>
      </w:r>
      <w:proofErr w:type="gramEnd"/>
      <w:r>
        <w:t xml:space="preserve"> experiences because they are almost playing alone or alongside others’ (P4, 3:49). In her example, children are taught ‘over a series of learning experiences to maintain that focus’ until ‘they are inviting another child into their play’, a process that ‘can take many years’ (P4, 6:08). P1 described the same principle as small adaptations:</w:t>
      </w:r>
    </w:p>
    <w:p w14:paraId="6777580A" w14:textId="5292932B" w:rsidR="00CD32BA" w:rsidRDefault="00110B5E">
      <w:pPr>
        <w:spacing w:before="60" w:after="200" w:line="276" w:lineRule="auto"/>
        <w:ind w:left="720" w:right="720"/>
      </w:pPr>
      <w:r>
        <w:rPr>
          <w:sz w:val="22"/>
          <w:szCs w:val="22"/>
        </w:rPr>
        <w:t>“</w:t>
      </w:r>
      <w:r w:rsidR="00597845">
        <w:rPr>
          <w:sz w:val="22"/>
          <w:szCs w:val="22"/>
        </w:rPr>
        <w:t xml:space="preserve">I use play-based learning by considering each child’s needs and abilities. For example, I may use visual support or shorter instructions or one-to-one support. I would also give children extra time, break activities into small steps. And choose activities linked to what motivates each child. </w:t>
      </w:r>
      <w:r>
        <w:rPr>
          <w:sz w:val="22"/>
          <w:szCs w:val="22"/>
        </w:rPr>
        <w:t>“</w:t>
      </w:r>
      <w:r w:rsidR="00597845">
        <w:rPr>
          <w:sz w:val="22"/>
          <w:szCs w:val="22"/>
        </w:rPr>
        <w:t>(P1, 5:50)</w:t>
      </w:r>
    </w:p>
    <w:p w14:paraId="68795883" w14:textId="77777777" w:rsidR="00CD32BA" w:rsidRDefault="00597845">
      <w:pPr>
        <w:spacing w:after="140" w:line="360" w:lineRule="auto"/>
      </w:pPr>
      <w:r>
        <w:t xml:space="preserve">P3’s activities ‘are always practical’, ‘Everything that we do has manipulatives’, and the class uses ‘challenge cards’ (P3, 7:44). She added that ‘sometimes I think you just need to stand </w:t>
      </w:r>
      <w:r>
        <w:lastRenderedPageBreak/>
        <w:t>back. It’s quite hard as a teacher to stand back and observe exactly what’s happening, to be able to unpick’ (P3, 7:44). P2 described a lesson structure that offers several routes into the same learning, so that each child can find one: ‘at least singing or maybe just moving, or maybe it’s reading the story, or maybe it’s drawing, or maybe it’s a conversation, maybe it’s a game’ (P2, 14:45). She also said ‘I didn’t think about additional learning needs. I think about... We have different ways to learn’ (P2, 13:07), and that structure keeps the energy manageable: ‘I have that structure. I know what I’m going to do’ (P2, 15:39).</w:t>
      </w:r>
    </w:p>
    <w:p w14:paraId="1245947A" w14:textId="77777777" w:rsidR="00CD32BA" w:rsidRDefault="00597845">
      <w:pPr>
        <w:spacing w:after="140" w:line="360" w:lineRule="auto"/>
      </w:pPr>
      <w:r>
        <w:rPr>
          <w:i/>
          <w:iCs/>
        </w:rPr>
        <w:t xml:space="preserve">Visual and communication </w:t>
      </w:r>
      <w:proofErr w:type="gramStart"/>
      <w:r>
        <w:rPr>
          <w:i/>
          <w:iCs/>
        </w:rPr>
        <w:t>supports</w:t>
      </w:r>
      <w:proofErr w:type="gramEnd"/>
      <w:r>
        <w:rPr>
          <w:i/>
          <w:iCs/>
        </w:rPr>
        <w:t>.</w:t>
      </w:r>
      <w:r>
        <w:t xml:space="preserve"> P1 mentioned ‘visual support or shorter instructions or one-to-one support’ (P1, 5:50) and wished for ‘sensory toys, visual aids, or communication cards’ (P1, 7:33). P4 described AAC (augmentative and alternative communication) boards:</w:t>
      </w:r>
    </w:p>
    <w:p w14:paraId="125DBB9A" w14:textId="2EEE2578" w:rsidR="00CD32BA" w:rsidRDefault="00110B5E">
      <w:pPr>
        <w:spacing w:before="60" w:after="200" w:line="276" w:lineRule="auto"/>
        <w:ind w:left="720" w:right="720"/>
      </w:pPr>
      <w:r>
        <w:rPr>
          <w:sz w:val="22"/>
          <w:szCs w:val="22"/>
        </w:rPr>
        <w:t>“</w:t>
      </w:r>
      <w:proofErr w:type="gramStart"/>
      <w:r w:rsidR="00597845">
        <w:rPr>
          <w:sz w:val="22"/>
          <w:szCs w:val="22"/>
        </w:rPr>
        <w:t>if</w:t>
      </w:r>
      <w:proofErr w:type="gramEnd"/>
      <w:r w:rsidR="00597845">
        <w:rPr>
          <w:sz w:val="22"/>
          <w:szCs w:val="22"/>
        </w:rPr>
        <w:t xml:space="preserve"> they are supporting children in their play-based learning, the communication boards would be there available </w:t>
      </w:r>
      <w:proofErr w:type="gramStart"/>
      <w:r w:rsidR="00597845">
        <w:rPr>
          <w:sz w:val="22"/>
          <w:szCs w:val="22"/>
        </w:rPr>
        <w:t>in order for</w:t>
      </w:r>
      <w:proofErr w:type="gramEnd"/>
      <w:r w:rsidR="00597845">
        <w:rPr>
          <w:sz w:val="22"/>
          <w:szCs w:val="22"/>
        </w:rPr>
        <w:t xml:space="preserve"> them to direct the child to support their expressive language. </w:t>
      </w:r>
      <w:r>
        <w:rPr>
          <w:sz w:val="22"/>
          <w:szCs w:val="22"/>
        </w:rPr>
        <w:t>“</w:t>
      </w:r>
      <w:r w:rsidR="00597845">
        <w:rPr>
          <w:sz w:val="22"/>
          <w:szCs w:val="22"/>
        </w:rPr>
        <w:t>(P4, 10:49)</w:t>
      </w:r>
    </w:p>
    <w:p w14:paraId="30F2CE06" w14:textId="77777777" w:rsidR="00CD32BA" w:rsidRDefault="00597845">
      <w:pPr>
        <w:spacing w:after="140" w:line="360" w:lineRule="auto"/>
      </w:pPr>
      <w:r>
        <w:t>P2 used songs with shared movements, ‘singing and with gestures always when we do the same mimic in every song’ (P2, 3:34).</w:t>
      </w:r>
    </w:p>
    <w:p w14:paraId="6DD6962B" w14:textId="77777777" w:rsidR="00CD32BA" w:rsidRDefault="00597845">
      <w:pPr>
        <w:spacing w:after="140" w:line="360" w:lineRule="auto"/>
      </w:pPr>
      <w:r>
        <w:rPr>
          <w:i/>
          <w:iCs/>
        </w:rPr>
        <w:t>A learner-owned environment.</w:t>
      </w:r>
      <w:r>
        <w:t xml:space="preserve"> P3 described a low table with natural resources in her classroom, which she called an imagination area, and stressed that it belongs to the children:</w:t>
      </w:r>
    </w:p>
    <w:p w14:paraId="5C4BCF3A" w14:textId="507BE2A2" w:rsidR="00CD32BA" w:rsidRDefault="00110B5E">
      <w:pPr>
        <w:spacing w:before="60" w:after="200" w:line="276" w:lineRule="auto"/>
        <w:ind w:left="720" w:right="720"/>
      </w:pPr>
      <w:r>
        <w:rPr>
          <w:sz w:val="22"/>
          <w:szCs w:val="22"/>
        </w:rPr>
        <w:t>“</w:t>
      </w:r>
      <w:r w:rsidR="00597845">
        <w:rPr>
          <w:sz w:val="22"/>
          <w:szCs w:val="22"/>
        </w:rPr>
        <w:t xml:space="preserve">This area is theirs. They claim it, they can leave it out. … It’s just a constant area that they can revisit, adapt, doesn’t belong to anybody else except them. And I really wouldn’t want to do without that area in my classroom. </w:t>
      </w:r>
      <w:r>
        <w:rPr>
          <w:sz w:val="22"/>
          <w:szCs w:val="22"/>
        </w:rPr>
        <w:t>“</w:t>
      </w:r>
      <w:r w:rsidR="00597845">
        <w:rPr>
          <w:sz w:val="22"/>
          <w:szCs w:val="22"/>
        </w:rPr>
        <w:t>(P3, 10:10)</w:t>
      </w:r>
    </w:p>
    <w:p w14:paraId="6359DB94" w14:textId="77777777" w:rsidR="00CD32BA" w:rsidRDefault="00597845">
      <w:pPr>
        <w:pStyle w:val="Heading2"/>
      </w:pPr>
      <w:r>
        <w:t>6.3 Perceived benefits (Theme 3; P1, P2, P3, P4)</w:t>
      </w:r>
    </w:p>
    <w:p w14:paraId="0949B21B" w14:textId="77777777" w:rsidR="00CD32BA" w:rsidRDefault="00597845">
      <w:pPr>
        <w:spacing w:after="140" w:line="360" w:lineRule="auto"/>
      </w:pPr>
      <w:r>
        <w:t xml:space="preserve">All four participants described benefits, and the examples were concrete. P1 reported ‘increased engagement and communication and social </w:t>
      </w:r>
      <w:proofErr w:type="gramStart"/>
      <w:r>
        <w:t>interactions’, and</w:t>
      </w:r>
      <w:proofErr w:type="gramEnd"/>
      <w:r>
        <w:t xml:space="preserve"> said that ‘some learners who may struggle with written or formal tasks can become more involved with learning’ (P1, 5:14). A playful activity ‘helps the child feel more confident and more willing to take part’ (P1, 4:58) and ‘can also reduce anxiety and encourage sharing’ (P1, 5:33).</w:t>
      </w:r>
    </w:p>
    <w:p w14:paraId="6B427A84" w14:textId="77777777" w:rsidR="00CD32BA" w:rsidRDefault="00597845">
      <w:pPr>
        <w:spacing w:after="140" w:line="360" w:lineRule="auto"/>
      </w:pPr>
      <w:r>
        <w:t xml:space="preserve">P2 described a Year 4 pupil who rarely engaged. After a ball game in which each child said their name, ‘he </w:t>
      </w:r>
      <w:proofErr w:type="gramStart"/>
      <w:r>
        <w:t>feel</w:t>
      </w:r>
      <w:proofErr w:type="gramEnd"/>
      <w:r>
        <w:t xml:space="preserve"> proud, and then he really engaged in the reading’ (P2, 10:03). Staff told her that ‘it’s the first time that he’s like really engaged’ (P2, 11:02). More generally, ‘they get engaged easily’ (P2, 12:40) and ‘if you’re enjoying, you do more’ (P2, 12:51).</w:t>
      </w:r>
    </w:p>
    <w:p w14:paraId="70630972" w14:textId="77777777" w:rsidR="00CD32BA" w:rsidRDefault="00597845">
      <w:pPr>
        <w:spacing w:after="140" w:line="360" w:lineRule="auto"/>
      </w:pPr>
      <w:r>
        <w:t xml:space="preserve">P3 gave the forest school example in Section 6.2 and said there were ‘hundreds of benefits’ (P3, 6:53). P4 said that play ‘gives them the opportunity to play alongside others and to </w:t>
      </w:r>
      <w:r>
        <w:lastRenderedPageBreak/>
        <w:t>develop those collaboration and communication skills’, but only if it is ‘carefully scaffolded with an adult there’ (P4, 7:05). Without that, ‘it can become the child just playing without engaging with others’ (P4, 7:05).</w:t>
      </w:r>
    </w:p>
    <w:p w14:paraId="226E3F0B" w14:textId="77777777" w:rsidR="00CD32BA" w:rsidRDefault="00597845">
      <w:pPr>
        <w:spacing w:after="140" w:line="360" w:lineRule="auto"/>
      </w:pPr>
      <w:r>
        <w:t>The benefits described are therefore not only engagement but also confidence, a voice for quiet pupils and collaboration. They are practitioners’ perceptions of effects and not measured outcomes.</w:t>
      </w:r>
    </w:p>
    <w:p w14:paraId="7A7560BC" w14:textId="77777777" w:rsidR="00CD32BA" w:rsidRDefault="00597845">
      <w:pPr>
        <w:pStyle w:val="Heading2"/>
      </w:pPr>
      <w:r>
        <w:t>6.4 Challenges in practice (Theme 4; P1, P2, P3, P4)</w:t>
      </w:r>
    </w:p>
    <w:p w14:paraId="040D010A" w14:textId="77777777" w:rsidR="00CD32BA" w:rsidRDefault="00597845">
      <w:pPr>
        <w:spacing w:after="140" w:line="360" w:lineRule="auto"/>
      </w:pPr>
      <w:r>
        <w:t xml:space="preserve">Challenges appeared in all four accounts and were mostly about balance. P1 identified practical difficulties for learners: ‘some children may find it difficult to stay focused, follow rules or move from play back to another task’ (P1, 6:25). P2 described the opposite risk, that enjoyment can tip into overexcitement: ‘the kids can go over the moon. When this fun, too much fun, they can go crazy. </w:t>
      </w:r>
      <w:proofErr w:type="gramStart"/>
      <w:r>
        <w:t>So</w:t>
      </w:r>
      <w:proofErr w:type="gramEnd"/>
      <w:r>
        <w:t xml:space="preserve"> it’s that balance’ (P2, 15:25). She managed this through structure (Section 6.2) and by grouping pupils so that one could help another: ‘Okay, help him’ (P2, 16:27). She also acknowledged the demand on the teacher: ‘it’s more time consuming, like you need to be really </w:t>
      </w:r>
      <w:proofErr w:type="gramStart"/>
      <w:r>
        <w:t>alert</w:t>
      </w:r>
      <w:proofErr w:type="gramEnd"/>
      <w:r>
        <w:t xml:space="preserve"> in class, but I think it’s worth it’ (P2, 12:05).</w:t>
      </w:r>
    </w:p>
    <w:p w14:paraId="01ED8FF6" w14:textId="77777777" w:rsidR="00CD32BA" w:rsidRDefault="00597845">
      <w:pPr>
        <w:spacing w:after="140" w:line="360" w:lineRule="auto"/>
      </w:pPr>
      <w:r>
        <w:t xml:space="preserve">P3’s challenges were recognition, as reported in Section 6.1, and extending the approach beyond the early years: her school has ‘tried to encourage play-based learning further up into the school, so into key stage two, which has had a mixed response’ (P3, 2:00). P4’s challenge was teaching social skills. A child who builds a den and takes resources that other children are using </w:t>
      </w:r>
      <w:proofErr w:type="gramStart"/>
      <w:r>
        <w:t>has to</w:t>
      </w:r>
      <w:proofErr w:type="gramEnd"/>
      <w:r>
        <w:t xml:space="preserve"> be supported to understand ‘we can take things with us, but we need to be mindful of others’, which ‘needs a lot of scaffolding and supporting those children’ (P4, 9:06).</w:t>
      </w:r>
    </w:p>
    <w:p w14:paraId="11B8941B" w14:textId="77777777" w:rsidR="00CD32BA" w:rsidRDefault="00597845">
      <w:pPr>
        <w:pStyle w:val="Heading2"/>
      </w:pPr>
      <w:r>
        <w:t>6.5 Training gaps (Theme 5; P1, P2, P3, P4)</w:t>
      </w:r>
    </w:p>
    <w:p w14:paraId="71168B14" w14:textId="77777777" w:rsidR="00CD32BA" w:rsidRDefault="00597845">
      <w:pPr>
        <w:spacing w:after="140" w:line="360" w:lineRule="auto"/>
      </w:pPr>
      <w:r>
        <w:t>The clearest finding in relation to SQ2 is the lack of training that combines play-based learning with ALN. P4 reported that staff had attended professional learning on play-based learning, as part of a Welsh Government rollout of foundation learning modules, and ALN training on communication, but nothing that connects the two:</w:t>
      </w:r>
    </w:p>
    <w:p w14:paraId="08E262C0" w14:textId="3DA72939" w:rsidR="00CD32BA" w:rsidRDefault="00110B5E">
      <w:pPr>
        <w:spacing w:before="60" w:after="200" w:line="276" w:lineRule="auto"/>
        <w:ind w:left="720" w:right="720"/>
      </w:pPr>
      <w:r>
        <w:rPr>
          <w:sz w:val="22"/>
          <w:szCs w:val="22"/>
        </w:rPr>
        <w:t>“</w:t>
      </w:r>
      <w:r w:rsidR="00597845">
        <w:rPr>
          <w:sz w:val="22"/>
          <w:szCs w:val="22"/>
        </w:rPr>
        <w:t xml:space="preserve">I wouldn’t say we’ve been on any training or professional learning that links play-based learning with ALN. </w:t>
      </w:r>
      <w:r>
        <w:rPr>
          <w:sz w:val="22"/>
          <w:szCs w:val="22"/>
        </w:rPr>
        <w:t>“</w:t>
      </w:r>
      <w:r w:rsidR="00597845">
        <w:rPr>
          <w:sz w:val="22"/>
          <w:szCs w:val="22"/>
        </w:rPr>
        <w:t>(P4, 10:05)</w:t>
      </w:r>
    </w:p>
    <w:p w14:paraId="6FF30330" w14:textId="77777777" w:rsidR="00CD32BA" w:rsidRDefault="00597845">
      <w:pPr>
        <w:spacing w:after="140" w:line="360" w:lineRule="auto"/>
      </w:pPr>
      <w:r>
        <w:t xml:space="preserve">She added that ‘there hasn’t been anybody who has been on anything specific that links [play-based learning] with ALN’ (P4, 10:05). P2’s experience was similar. Her postgraduate </w:t>
      </w:r>
      <w:r>
        <w:lastRenderedPageBreak/>
        <w:t>course in education included ‘a part that you learn about the special needs’ (P2, 17:02) but ‘not really one course just for special needs training specifically’ (P2, 17:29), and she described much of her practice as intuitive: ‘I’m more like instinct, doing it really’ (P2, 16:31). P3 called for training for teaching assistants:</w:t>
      </w:r>
    </w:p>
    <w:p w14:paraId="58CE456B" w14:textId="39C0968F" w:rsidR="00CD32BA" w:rsidRDefault="00110B5E">
      <w:pPr>
        <w:spacing w:before="60" w:after="200" w:line="276" w:lineRule="auto"/>
        <w:ind w:left="720" w:right="720"/>
      </w:pPr>
      <w:r>
        <w:rPr>
          <w:sz w:val="22"/>
          <w:szCs w:val="22"/>
        </w:rPr>
        <w:t>“</w:t>
      </w:r>
      <w:proofErr w:type="gramStart"/>
      <w:r w:rsidR="00597845">
        <w:rPr>
          <w:sz w:val="22"/>
          <w:szCs w:val="22"/>
        </w:rPr>
        <w:t>to</w:t>
      </w:r>
      <w:proofErr w:type="gramEnd"/>
      <w:r w:rsidR="00597845">
        <w:rPr>
          <w:sz w:val="22"/>
          <w:szCs w:val="22"/>
        </w:rPr>
        <w:t xml:space="preserve"> have a sort of training programme that they can learn about things like the value of play or, you know, how to teach children different literacy skills when the mainstream way isn’t working, I think really lacking in. </w:t>
      </w:r>
      <w:r>
        <w:rPr>
          <w:sz w:val="22"/>
          <w:szCs w:val="22"/>
        </w:rPr>
        <w:t>“</w:t>
      </w:r>
      <w:r w:rsidR="00597845">
        <w:rPr>
          <w:sz w:val="22"/>
          <w:szCs w:val="22"/>
        </w:rPr>
        <w:t>(P3, 11:36)</w:t>
      </w:r>
    </w:p>
    <w:p w14:paraId="7C49F2CF" w14:textId="77777777" w:rsidR="00CD32BA" w:rsidRDefault="00597845">
      <w:pPr>
        <w:spacing w:after="140" w:line="360" w:lineRule="auto"/>
      </w:pPr>
      <w:r>
        <w:t>P1 recommended ‘more training’ and ‘more planning time’ (P1, 6:56; 7:52), and P4 wanted staff trained ‘to have those opportunities to understand how they can support’ communication through play (P4, 11:23).</w:t>
      </w:r>
    </w:p>
    <w:p w14:paraId="3BF4E057" w14:textId="77777777" w:rsidR="00CD32BA" w:rsidRDefault="00597845">
      <w:pPr>
        <w:pStyle w:val="Heading2"/>
      </w:pPr>
      <w:r>
        <w:t>6.6 Structural constraints (Theme 6; P1, P2, P3, P4)</w:t>
      </w:r>
    </w:p>
    <w:p w14:paraId="3C4F4E16" w14:textId="77777777" w:rsidR="00CD32BA" w:rsidRDefault="00597845">
      <w:pPr>
        <w:spacing w:after="140" w:line="360" w:lineRule="auto"/>
      </w:pPr>
      <w:r>
        <w:t>All four participants pointed, in different ways, to funding, staffing, class size and time. P2 saw assistant teachers as a strength of provision in Wales: ‘something good here if you have assistant teachers, and this is amazing’ (P2, 18:24). In a large class, ‘you need to have more energy, you know, and to control everyone. But you have one assistant teacher, so you know that the special need, the kid is more complicated or behave, you have somebody supporting you’ (P2, 18:52), and in a ‘class of 15, 20 kids’ it is ‘fantastic’ (P2, 19:07). She argued that this means ‘no one is left behind’ (P2, 20:01).</w:t>
      </w:r>
    </w:p>
    <w:p w14:paraId="49736BB9" w14:textId="77777777" w:rsidR="00CD32BA" w:rsidRDefault="00597845">
      <w:pPr>
        <w:spacing w:after="140" w:line="360" w:lineRule="auto"/>
      </w:pPr>
      <w:r>
        <w:t xml:space="preserve">P3 said that ‘the word on everybody’s lips </w:t>
      </w:r>
      <w:proofErr w:type="gramStart"/>
      <w:r>
        <w:t>at the moment</w:t>
      </w:r>
      <w:proofErr w:type="gramEnd"/>
      <w:r>
        <w:t xml:space="preserve"> is funding, more support in classrooms, more teaching assistants and </w:t>
      </w:r>
      <w:proofErr w:type="gramStart"/>
      <w:r>
        <w:t>actually give</w:t>
      </w:r>
      <w:proofErr w:type="gramEnd"/>
      <w:r>
        <w:t xml:space="preserve"> teaching assistants the kudos they deserve. They work really hard</w:t>
      </w:r>
      <w:proofErr w:type="gramStart"/>
      <w:r>
        <w:t>’, and</w:t>
      </w:r>
      <w:proofErr w:type="gramEnd"/>
      <w:r>
        <w:t xml:space="preserve"> wanted ‘money into the people that are doing the jobs in our schools’ (P3, 11:36). P4 named ‘time, money’ as ‘the big challenge’, because </w:t>
      </w:r>
      <w:proofErr w:type="gramStart"/>
      <w:r>
        <w:t>ideally</w:t>
      </w:r>
      <w:proofErr w:type="gramEnd"/>
      <w:r>
        <w:t xml:space="preserve"> she would ‘train everybody being able to use these approaches’ (P4, 12:08). P1 asked for ‘more staff support’ because ‘some learners need that one-to-one attention’ (P1, 7:33), and for ‘more planning time’ (P1, 7:52). These accounts echo the pressure points identified in Estyn’s reviews (Estyn, 2023; 2024), and Section 7.4 returns to them.</w:t>
      </w:r>
    </w:p>
    <w:p w14:paraId="6BF867DA" w14:textId="77777777" w:rsidR="00CD32BA" w:rsidRDefault="00597845">
      <w:pPr>
        <w:pStyle w:val="Heading2"/>
      </w:pPr>
      <w:r>
        <w:t>6.7 The positioning of play-based learning (Theme 7; P3, P4)</w:t>
      </w:r>
    </w:p>
    <w:p w14:paraId="33B5199F" w14:textId="77777777" w:rsidR="00CD32BA" w:rsidRDefault="00597845">
      <w:pPr>
        <w:spacing w:after="140" w:line="360" w:lineRule="auto"/>
      </w:pPr>
      <w:r>
        <w:t>The two ALNCos positioned play-based learning differently. For P3 it is ‘at the very heart of everything that we do. And we’re very lucky to be teaching in Wales because that’s how things are’ (P3, 2:00). It is recognised from the early years and ‘into year one and two’, and the school has tried to extend it into Key Stage 2 with ‘a mixed response’ (P3, 2:00).</w:t>
      </w:r>
    </w:p>
    <w:p w14:paraId="45A4B32A" w14:textId="77777777" w:rsidR="00CD32BA" w:rsidRDefault="00597845">
      <w:pPr>
        <w:spacing w:after="140" w:line="360" w:lineRule="auto"/>
      </w:pPr>
      <w:r>
        <w:lastRenderedPageBreak/>
        <w:t>P4 said at the start of her interview:</w:t>
      </w:r>
    </w:p>
    <w:p w14:paraId="5A7A3A42" w14:textId="40D6071A" w:rsidR="00CD32BA" w:rsidRDefault="00110B5E">
      <w:pPr>
        <w:spacing w:before="60" w:after="200" w:line="276" w:lineRule="auto"/>
        <w:ind w:left="720" w:right="720"/>
      </w:pPr>
      <w:r>
        <w:rPr>
          <w:sz w:val="22"/>
          <w:szCs w:val="22"/>
        </w:rPr>
        <w:t>“</w:t>
      </w:r>
      <w:proofErr w:type="gramStart"/>
      <w:r w:rsidR="00597845">
        <w:rPr>
          <w:sz w:val="22"/>
          <w:szCs w:val="22"/>
        </w:rPr>
        <w:t>we</w:t>
      </w:r>
      <w:proofErr w:type="gramEnd"/>
      <w:r w:rsidR="00597845">
        <w:rPr>
          <w:sz w:val="22"/>
          <w:szCs w:val="22"/>
        </w:rPr>
        <w:t xml:space="preserve"> don’t use </w:t>
      </w:r>
      <w:proofErr w:type="gramStart"/>
      <w:r w:rsidR="00597845">
        <w:rPr>
          <w:sz w:val="22"/>
          <w:szCs w:val="22"/>
        </w:rPr>
        <w:t>play based</w:t>
      </w:r>
      <w:proofErr w:type="gramEnd"/>
      <w:r w:rsidR="00597845">
        <w:rPr>
          <w:sz w:val="22"/>
          <w:szCs w:val="22"/>
        </w:rPr>
        <w:t xml:space="preserve"> learning other than in nursery and reception. So therefore, in relation to ALN, if the questions are about play based learning in ALN, we don’t approach ALN in that way. </w:t>
      </w:r>
      <w:r>
        <w:rPr>
          <w:sz w:val="22"/>
          <w:szCs w:val="22"/>
        </w:rPr>
        <w:t>“</w:t>
      </w:r>
      <w:r w:rsidR="00597845">
        <w:rPr>
          <w:sz w:val="22"/>
          <w:szCs w:val="22"/>
        </w:rPr>
        <w:t>(P4, 1:02)</w:t>
      </w:r>
    </w:p>
    <w:p w14:paraId="1E19D450" w14:textId="77777777" w:rsidR="00CD32BA" w:rsidRDefault="00597845">
      <w:pPr>
        <w:spacing w:after="140" w:line="360" w:lineRule="auto"/>
      </w:pPr>
      <w:r>
        <w:t xml:space="preserve">She later explained the reasoning: ‘We probably don’t use a </w:t>
      </w:r>
      <w:proofErr w:type="gramStart"/>
      <w:r>
        <w:t>play based</w:t>
      </w:r>
      <w:proofErr w:type="gramEnd"/>
      <w:r>
        <w:t xml:space="preserve"> approach. </w:t>
      </w:r>
      <w:proofErr w:type="gramStart"/>
      <w:r>
        <w:t>So</w:t>
      </w:r>
      <w:proofErr w:type="gramEnd"/>
      <w:r>
        <w:t xml:space="preserve"> we would use, we would look at the ALN. </w:t>
      </w:r>
      <w:proofErr w:type="gramStart"/>
      <w:r>
        <w:t>So</w:t>
      </w:r>
      <w:proofErr w:type="gramEnd"/>
      <w:r>
        <w:t xml:space="preserve"> we would use play or structured play or structured learning activities, which to the children may be play’ (P4, 5:19). Planning starts from the child: ‘we would go primarily from the children’s specific outcomes of what they need, as opposed to giving them the play and adjust it the other way’ (P4, 5:36). She observed that the Welsh Government documentation on play-based learning addresses all pupils, so that for ALN ‘we’d have to look at it differently’ (P4, 3:49).</w:t>
      </w:r>
    </w:p>
    <w:p w14:paraId="5FF2CED6" w14:textId="77777777" w:rsidR="00CD32BA" w:rsidRDefault="00597845">
      <w:pPr>
        <w:spacing w:after="140" w:line="360" w:lineRule="auto"/>
      </w:pPr>
      <w:r>
        <w:t>These are contrasting positions and not necessarily contradictory. P4’s structured play sits towards the adult-led end of the continuum she described (Section 6.1), and her examples of structured sessions that lead to children ‘inviting another child into their play’ (P4, 6:08) show play as the destination of the support. The difference is where the practitioner starts: P3’s school starts from play and follows children’s interests, and P4’s from the child’s outcomes.</w:t>
      </w:r>
    </w:p>
    <w:p w14:paraId="00F5D66A" w14:textId="77777777" w:rsidR="00CD32BA" w:rsidRDefault="00597845">
      <w:pPr>
        <w:pStyle w:val="Heading2"/>
      </w:pPr>
      <w:r>
        <w:t>6.8 Summary of findings</w:t>
      </w:r>
    </w:p>
    <w:p w14:paraId="722F5ED8" w14:textId="77777777" w:rsidR="009D06F6" w:rsidRDefault="00597845" w:rsidP="00110B5E">
      <w:pPr>
        <w:spacing w:line="360" w:lineRule="auto"/>
      </w:pPr>
      <w:r>
        <w:t>A cross-theme reading suggests a productive tension. Practitioners describe play as flexible and responsive to children’s interests, but also insist that it requires deliberate planning, adult judgement and sometimes direct instruction. These positions are not necessarily incompatible: structure may enable a learner to enter shared play, while too much adult control may reduce the very choice and agency that make play distinctive. The interview material does not establish an ideal balance, nor does it show that all learners require the same level of support. Instead, it indicates that the balance is negotiated in particular classrooms and is affected by staffing, communication needs and school expectations. This interpretation connects the adaptation, benefits and challenges themes without treating any one participant’s experience as typical of Wales.</w:t>
      </w:r>
    </w:p>
    <w:p w14:paraId="6DCA97F2" w14:textId="77777777" w:rsidR="00CC0440" w:rsidRDefault="00CC0440">
      <w:pPr>
        <w:pStyle w:val="Heading1"/>
      </w:pPr>
    </w:p>
    <w:p w14:paraId="6B4AC8A3" w14:textId="77777777" w:rsidR="00C3700C" w:rsidRDefault="00C3700C">
      <w:pPr>
        <w:pStyle w:val="Heading1"/>
      </w:pPr>
    </w:p>
    <w:p w14:paraId="1E568978" w14:textId="5D965514" w:rsidR="00CD32BA" w:rsidRDefault="00597845">
      <w:pPr>
        <w:pStyle w:val="Heading1"/>
      </w:pPr>
      <w:r>
        <w:lastRenderedPageBreak/>
        <w:t>7. Critical discussion</w:t>
      </w:r>
    </w:p>
    <w:p w14:paraId="671B27D2" w14:textId="77777777" w:rsidR="00CC0440" w:rsidRDefault="00CC0440" w:rsidP="00CC0440">
      <w:pPr>
        <w:pStyle w:val="Heading1"/>
        <w:spacing w:line="360" w:lineRule="auto"/>
        <w:rPr>
          <w:rFonts w:asciiTheme="majorBidi" w:hAnsiTheme="majorBidi" w:cstheme="majorBidi"/>
          <w:b w:val="0"/>
          <w:bCs w:val="0"/>
          <w:color w:val="000000"/>
          <w:sz w:val="24"/>
          <w:szCs w:val="24"/>
        </w:rPr>
      </w:pPr>
      <w:r w:rsidRPr="00CC0440">
        <w:rPr>
          <w:rFonts w:asciiTheme="majorBidi" w:hAnsiTheme="majorBidi" w:cstheme="majorBidi"/>
          <w:b w:val="0"/>
          <w:bCs w:val="0"/>
          <w:color w:val="000000"/>
          <w:sz w:val="24"/>
          <w:szCs w:val="24"/>
        </w:rPr>
        <w:t>This chapter critically discusses the findings in relation to the literature and the Welsh policy context, considering what they suggest about how play-based learning is used to support learners with ALN in mainstream primary schools.</w:t>
      </w:r>
    </w:p>
    <w:p w14:paraId="78E48F57" w14:textId="5BE479A2" w:rsidR="00CD32BA" w:rsidRPr="00CC0440" w:rsidRDefault="00597845" w:rsidP="00CC0440">
      <w:pPr>
        <w:pStyle w:val="Heading1"/>
        <w:spacing w:line="360" w:lineRule="auto"/>
        <w:rPr>
          <w:rFonts w:asciiTheme="majorBidi" w:hAnsiTheme="majorBidi" w:cstheme="majorBidi"/>
          <w:b w:val="0"/>
          <w:bCs w:val="0"/>
          <w:sz w:val="24"/>
          <w:szCs w:val="24"/>
        </w:rPr>
      </w:pPr>
      <w:r>
        <w:t>7.1 Reading practitioners' accounts through a Vygotskian lens</w:t>
      </w:r>
    </w:p>
    <w:p w14:paraId="735BF922" w14:textId="77777777" w:rsidR="00CD32BA" w:rsidRDefault="00597845">
      <w:pPr>
        <w:spacing w:after="140" w:line="360" w:lineRule="auto"/>
      </w:pPr>
      <w:r>
        <w:rPr>
          <w:i/>
          <w:iCs/>
        </w:rPr>
        <w:t>Scaffolding.</w:t>
      </w:r>
      <w:r>
        <w:t xml:space="preserve"> P4’s account is the closest to scaffolding in the sense used by Wood, Bruner and Ross (1976). Children are taught in structured sessions, with an adult supporting attention and turn-taking, until they invite another child into their play, so that support is directed at a goal and, over ‘many years’, withdrawn (P4, 6:08). P1’s small steps, extra time and shorter instructions are also calibrated support, but her account does not say whether or how it is withdrawn, and ‘one-to-one support’ (P1, 5:50) could describe scaffolding or substitution. P3’s advice that ‘you just need to stand back’ (P3, 7:44) describes a precondition for scaffolding: judging what a child can do with help before offering it.</w:t>
      </w:r>
    </w:p>
    <w:p w14:paraId="2A718936" w14:textId="77777777" w:rsidR="00CD32BA" w:rsidRDefault="00597845">
      <w:pPr>
        <w:spacing w:after="140" w:line="360" w:lineRule="auto"/>
      </w:pPr>
      <w:r>
        <w:rPr>
          <w:i/>
          <w:iCs/>
        </w:rPr>
        <w:t>Play and the zone of proximal development.</w:t>
      </w:r>
      <w:r>
        <w:t xml:space="preserve"> Vygotsky (1978) saw play as creating its own zone of proximal development. P4’s account qualifies this for children with ALN. Some children ‘can’t engage in effective </w:t>
      </w:r>
      <w:proofErr w:type="gramStart"/>
      <w:r>
        <w:t>play based</w:t>
      </w:r>
      <w:proofErr w:type="gramEnd"/>
      <w:r>
        <w:t xml:space="preserve"> experiences’ without first learning skills such as turn-taking (P4, 3:49), and play can become ‘the child just playing without engaging with others’ unless it is carefully scaffolded (P4, 7:05). On this reading play does not lead development automatically. For some children it depends on adult-taught foundations, which fits P4’s remark that ‘children often, we don’t know what we don’t know’ (P4, 2:15). P2’s belief that ‘everybody’s able’ (P2, 7:32), and her decision to push (‘I know I’m pushing a bit, but it worked’, P2, 10:36), show deliberate work at the edge of what a child can do, and she acknowledges the risk: ‘you risk it when you push’ (P2, 11:34).</w:t>
      </w:r>
    </w:p>
    <w:p w14:paraId="60A999D5" w14:textId="77777777" w:rsidR="00CD32BA" w:rsidRDefault="00597845">
      <w:pPr>
        <w:spacing w:after="140" w:line="360" w:lineRule="auto"/>
      </w:pPr>
      <w:r>
        <w:rPr>
          <w:i/>
          <w:iCs/>
        </w:rPr>
        <w:t>Peers as more knowledgeable others.</w:t>
      </w:r>
      <w:r>
        <w:t xml:space="preserve"> P3’s forest school example shows a quiet child becoming the expert, as other children ‘were coming to him and saying, we can’t do this, can you show us how to do it?’ (P3, 4:12). This extends the more knowledgeable other beyond the adult and shows that a learner with additional needs can occupy that role. It fits P3’s observation that children ‘scaffold each other’s learning’ (P3, 9:12).</w:t>
      </w:r>
    </w:p>
    <w:p w14:paraId="657F6994" w14:textId="77777777" w:rsidR="00CD32BA" w:rsidRDefault="00597845">
      <w:pPr>
        <w:spacing w:after="140" w:line="360" w:lineRule="auto"/>
      </w:pPr>
      <w:r>
        <w:rPr>
          <w:i/>
          <w:iCs/>
        </w:rPr>
        <w:t>Mediating tools.</w:t>
      </w:r>
      <w:r>
        <w:t xml:space="preserve"> AAC boards, visual supports and communication cards act as mediating tools that give children a way into shared activity (P4, 10:49; P1, 7:33). P2’s songs with </w:t>
      </w:r>
      <w:r>
        <w:lastRenderedPageBreak/>
        <w:t xml:space="preserve">gestures work similarly, giving pupils a shared, repeatable form in which language can be used before it is fully understood: ‘you sing a </w:t>
      </w:r>
      <w:proofErr w:type="gramStart"/>
      <w:r>
        <w:t>song</w:t>
      </w:r>
      <w:proofErr w:type="gramEnd"/>
      <w:r>
        <w:t xml:space="preserve"> and they already learn by heart, even if you don’t understand full’ (P2, 13:28).</w:t>
      </w:r>
    </w:p>
    <w:p w14:paraId="64022D80" w14:textId="77777777" w:rsidR="00CD32BA" w:rsidRDefault="00597845">
      <w:pPr>
        <w:pStyle w:val="Heading2"/>
      </w:pPr>
      <w:r>
        <w:t>7.2 Play-led or needs-led: the positioning of play-based learning</w:t>
      </w:r>
    </w:p>
    <w:p w14:paraId="4298866E" w14:textId="77777777" w:rsidR="00CD32BA" w:rsidRDefault="00597845">
      <w:pPr>
        <w:spacing w:after="140" w:line="360" w:lineRule="auto"/>
      </w:pPr>
      <w:r>
        <w:t>The two ALNCos hold different positions, and the continuum described by Pyle and Danniels (2017) helps to read them. Neither rejects adult direction. The difference is the starting point: P3 starts from play and follows children’s interests, while P4 starts from the child’s outcomes and offers structured activity that children may experience as play (P4, 5:19). The emphasis on person-centred planning in the ALN system (Welsh Government, 2021) is consistent with P4’s needs-led stance, and the Foundation Phase tradition (Welsh Government, 2015) with P3’s.</w:t>
      </w:r>
    </w:p>
    <w:p w14:paraId="7069F842" w14:textId="77777777" w:rsidR="00CD32BA" w:rsidRDefault="00597845">
      <w:pPr>
        <w:spacing w:after="140" w:line="360" w:lineRule="auto"/>
      </w:pPr>
      <w:r>
        <w:t>P3’s ‘mixed response’ in Key Stage 2 (P3, 2:00) and P4’s remark that how far a school goes ‘depends on your own philosophy’ (P4, 2:15) suggest that the positioning of play-based learning is a matter of school culture as much as of policy. The findings do not show which starting point serves learners with ALN better. They show that practitioners in at least two schools have thought carefully about it, and that national guidance on play-based learning, as P4 saw it, does not address ALN specifically (P4, 3:49). This is one participant’s view, but it is consistent with the gap identified in Section 2.</w:t>
      </w:r>
    </w:p>
    <w:p w14:paraId="2C65F510" w14:textId="77777777" w:rsidR="00CD32BA" w:rsidRDefault="00597845">
      <w:pPr>
        <w:pStyle w:val="Heading2"/>
      </w:pPr>
      <w:r>
        <w:t>7.3 Dependence on skilled adults and the training gap</w:t>
      </w:r>
    </w:p>
    <w:p w14:paraId="5E772EAB" w14:textId="77777777" w:rsidR="009D06F6" w:rsidRDefault="00597845" w:rsidP="00110B5E">
      <w:pPr>
        <w:spacing w:line="360" w:lineRule="auto"/>
      </w:pPr>
      <w:r>
        <w:t>The interviews suggest a perceived gap in professional learning that connects play-based learning with ALN. P4 described separate training in play and communication, while P3 called for teaching assistants to understand learning through play. Joint planning, worked examples and reflection on adaptations could help address this gap, although these proposals were not evaluated in the study.</w:t>
      </w:r>
    </w:p>
    <w:p w14:paraId="1D463761" w14:textId="77777777" w:rsidR="00CD32BA" w:rsidRDefault="00597845">
      <w:pPr>
        <w:spacing w:after="140" w:line="360" w:lineRule="auto"/>
      </w:pPr>
      <w:r>
        <w:t>Each strategy reported depends on adult judgement: recognising learning in play (P3), deciding how much structure to offer (P4), and knowing when to push (P2). P2 described her practice as largely intuitive (P2, 16:31) and had not had training specific to special needs (P2, 17:29). P4 reported no combined training (P4, 10:05), and P3 called for training for teaching assistants (P3, 11:36). If effective scaffolding depends on adult skill, the training gap limits the mechanism that the theoretical framework says matters. This is consistent with Estyn’s recommendation that professional learning focus on high-quality teaching for learners with ALN (Estyn, 2023).</w:t>
      </w:r>
    </w:p>
    <w:p w14:paraId="29C7553D" w14:textId="77777777" w:rsidR="00CD32BA" w:rsidRDefault="00597845">
      <w:pPr>
        <w:spacing w:after="140" w:line="360" w:lineRule="auto"/>
      </w:pPr>
      <w:r>
        <w:lastRenderedPageBreak/>
        <w:t>Teaching assistants and assistant teachers feature in several accounts. Research on teaching assistants in English schools has raised questions about how far pupils with special educational needs are supported by teaching assistants rather than teachers (Blatchford, Russell and Webster, 2012). This study cannot say how much of the support described was delivered by assistants, but P1’s role, P2’s praise of assistant teachers and P3’s call for their training suggest that they are central to this work. Conn and Hutt’s (2020) tension between individual provision and the wider curriculum also appears: P1 and P3 describe individual adaptation, while P2 describes the pressure of managing a whole class while supporting individual children (P2, 18:52).</w:t>
      </w:r>
    </w:p>
    <w:p w14:paraId="12027595" w14:textId="77777777" w:rsidR="00110B5E" w:rsidRDefault="00110B5E">
      <w:pPr>
        <w:pStyle w:val="Heading2"/>
      </w:pPr>
    </w:p>
    <w:p w14:paraId="5F1DC632" w14:textId="6DDB52C0" w:rsidR="00CD32BA" w:rsidRDefault="00597845">
      <w:pPr>
        <w:pStyle w:val="Heading2"/>
      </w:pPr>
      <w:r>
        <w:t>7.4 Resourcing, class size and time</w:t>
      </w:r>
    </w:p>
    <w:p w14:paraId="14495F7B" w14:textId="77777777" w:rsidR="00CD32BA" w:rsidRDefault="00597845">
      <w:pPr>
        <w:spacing w:after="140" w:line="360" w:lineRule="auto"/>
      </w:pPr>
      <w:r>
        <w:t>Funding, staffing and time were raised by all four participants. This matches Estyn’s finding that implementation has been inconsistent and that leaders are concerned about sustaining services once additional funding ends (Estyn, 2024), and its recommendation that ALNCos have sufficient time and resources (Estyn, 2023). P2, who trained outside the UK, saw assistant teachers as a strength of provision in Wales (P2, 18:24), which sits alongside P3’s call for more funding and recognition for them (P3, 11:36) and shows that practitioners may evaluate the same provision differently.</w:t>
      </w:r>
    </w:p>
    <w:p w14:paraId="5DE0BA10" w14:textId="77777777" w:rsidR="00CD32BA" w:rsidRDefault="00597845">
      <w:pPr>
        <w:spacing w:after="140" w:line="360" w:lineRule="auto"/>
      </w:pPr>
      <w:r>
        <w:t>Many of the strategies described are modest in cost: songs and a ball game, folded paper books, challenge cards, natural materials from charity shops. This suggests that some effective practice depends less on large budgets than on planning time, observation and adult skill. It would be wrong to push this far, since participants also asked for more staff and money, and the data cannot say which constraint matters most.</w:t>
      </w:r>
    </w:p>
    <w:p w14:paraId="114EE37D" w14:textId="77777777" w:rsidR="00CD32BA" w:rsidRDefault="00597845">
      <w:pPr>
        <w:spacing w:after="140" w:line="360" w:lineRule="auto"/>
      </w:pPr>
      <w:r>
        <w:t xml:space="preserve">The accounts also suggest that resourcing is felt differently depending on role. P2 contrasted a class of 12 to 15 pupils, which she called a good size, with classes of 30, and said an assistant teacher made a real difference (P2, 18:31). P3 called for more teaching assistants, recognition for their work and a training programme of their own (P3, 11:36). P4 named time and money as the main obstacles to training everyone (P4, 12:08), and P1 asked for more planning time (P1, 7:52). For the teacher, the constraint is felt in the room, as the number of children and adults. For the ALNCo, it is felt across the school, as the budget and hours available to prepare and train staff. The study cannot say which matters more, but the </w:t>
      </w:r>
      <w:r>
        <w:lastRenderedPageBreak/>
        <w:t>accounts agree that scaffolded play depends on adult attention, which small classes and well supported assistants help to provide.</w:t>
      </w:r>
    </w:p>
    <w:p w14:paraId="1A79E690" w14:textId="77777777" w:rsidR="00CD32BA" w:rsidRDefault="00597845">
      <w:pPr>
        <w:pStyle w:val="Heading2"/>
      </w:pPr>
      <w:r>
        <w:t>7.5 Implications for practice</w:t>
      </w:r>
    </w:p>
    <w:p w14:paraId="518EE5F9" w14:textId="77777777" w:rsidR="00CD32BA" w:rsidRDefault="00597845">
      <w:pPr>
        <w:spacing w:after="140" w:line="360" w:lineRule="auto"/>
      </w:pPr>
      <w:r>
        <w:t>The study is small, so the following implications are offered tentatively.</w:t>
      </w:r>
    </w:p>
    <w:p w14:paraId="72195C1E" w14:textId="77777777" w:rsidR="00CD32BA" w:rsidRDefault="00597845">
      <w:pPr>
        <w:spacing w:after="140" w:line="360" w:lineRule="auto"/>
      </w:pPr>
      <w:r>
        <w:t xml:space="preserve">1. Professional learning should combine play-based learning and </w:t>
      </w:r>
      <w:proofErr w:type="gramStart"/>
      <w:r>
        <w:t>ALN, and</w:t>
      </w:r>
      <w:proofErr w:type="gramEnd"/>
      <w:r>
        <w:t xml:space="preserve"> include teaching assistants as well as teachers and ALNCos. It should cover how to recognise learning in play and how to withdraw support.</w:t>
      </w:r>
    </w:p>
    <w:p w14:paraId="51EFE2DC" w14:textId="77777777" w:rsidR="00CD32BA" w:rsidRDefault="00597845">
      <w:pPr>
        <w:spacing w:after="140" w:line="360" w:lineRule="auto"/>
      </w:pPr>
      <w:r>
        <w:t>2. Planning and observation time should be protected, since time was named by three participants.</w:t>
      </w:r>
    </w:p>
    <w:p w14:paraId="7ADEE46A" w14:textId="77777777" w:rsidR="00CD32BA" w:rsidRDefault="00597845">
      <w:pPr>
        <w:spacing w:after="140" w:line="360" w:lineRule="auto"/>
      </w:pPr>
      <w:r>
        <w:t>3. The learning purpose of play-based activity, and where it sits on the child-led and adult-led continuum, should be explicit in planning, so that play and structure are not set against each other.</w:t>
      </w:r>
    </w:p>
    <w:p w14:paraId="53EDB62F" w14:textId="77777777" w:rsidR="00CD32BA" w:rsidRDefault="00597845">
      <w:pPr>
        <w:spacing w:after="140" w:line="360" w:lineRule="auto"/>
      </w:pPr>
      <w:r>
        <w:t xml:space="preserve">4. Practice should start from children’s interests and strengths as well as their </w:t>
      </w:r>
      <w:proofErr w:type="gramStart"/>
      <w:r>
        <w:t>outcomes, and</w:t>
      </w:r>
      <w:proofErr w:type="gramEnd"/>
      <w:r>
        <w:t xml:space="preserve"> give children ownership of some space.</w:t>
      </w:r>
    </w:p>
    <w:p w14:paraId="617316B1" w14:textId="77777777" w:rsidR="00CD32BA" w:rsidRDefault="00597845">
      <w:pPr>
        <w:spacing w:after="140" w:line="360" w:lineRule="auto"/>
      </w:pPr>
      <w:r>
        <w:t>5. Social skills such as turn-taking should be taught explicitly where needed, and communication supports should aim to widen children’s play with peers and not only with adults.</w:t>
      </w:r>
    </w:p>
    <w:p w14:paraId="173A7A8A" w14:textId="77777777" w:rsidR="009D06F6" w:rsidRDefault="00597845" w:rsidP="00110B5E">
      <w:pPr>
        <w:spacing w:line="360" w:lineRule="auto"/>
      </w:pPr>
      <w:r>
        <w:t>The relationship between structure and choice also deserves attention in planning. A child may benefit from visual prompts, a predictable sequence or an explicitly modelled social skill without losing all control over what happens next. Conversely, an activity described as child-led may still exclude a learner if the materials, language or social expectations are inaccessible. The interviews do not establish an ideal balance between these approaches, because participants described different settings and learner needs. A useful practical question is therefore not simply whether play should be directed by adults, but which decisions require adult support and which can remain with the child. This shifts the focus from competing labels towards responsive adjustment. It also suggests a role for joint reflection between teachers, teaching assistants and ALNCos, who may notice different aspects of participation.</w:t>
      </w:r>
    </w:p>
    <w:p w14:paraId="397BCBBC" w14:textId="77777777" w:rsidR="009D06F6" w:rsidRDefault="00597845" w:rsidP="00110B5E">
      <w:pPr>
        <w:spacing w:line="360" w:lineRule="auto"/>
      </w:pPr>
      <w:r>
        <w:t xml:space="preserve">A further implication concerns how schools judge whether a play-based adaptation is inclusive. Participation in the same activity is not necessarily evidence that a learner has meaningful access to it. P4's emphasis on communication and turn-taking suggests that an </w:t>
      </w:r>
      <w:r>
        <w:lastRenderedPageBreak/>
        <w:t xml:space="preserve">adult may need to make entry into shared play possible, whereas P3's example of a child becoming an expert in forest school illustrates how participation can also redistribute status among peers. These accounts point to different indicators of inclusion: opportunities to communicate, sustained involvement, peer recognition and the child's scope to influence the activity. For practice, this suggests that observation records could attend not only to whether a child completed an intended task, but also to whose ideas shaped the play, whether interaction with peers increased and when adult assistance was reduced. </w:t>
      </w:r>
    </w:p>
    <w:p w14:paraId="5D43CFB3" w14:textId="77777777" w:rsidR="009D06F6" w:rsidRDefault="00597845" w:rsidP="00110B5E">
      <w:pPr>
        <w:spacing w:line="360" w:lineRule="auto"/>
      </w:pPr>
      <w:r>
        <w:t>Future research could also examine how practitioners interpret the same play episode. For example, a teacher might focus on curriculum outcomes, a teaching assistant on access and communication, and an ALNCo on progress towards an individual development plan. Comparing these interpretations with a short observation record could reveal whether the apparent differences are matters of professional role, school culture or the needs of particular learners. A small multiple-case study, conducted across more than one term, could follow planning, enactment and reflection for a limited number of activities. It would be important to seek children's perspectives through accessible methods where ethically appropriate, since adult accounts alone cannot establish whether children experience an activity as enjoyable, inclusive or empowering.</w:t>
      </w:r>
    </w:p>
    <w:p w14:paraId="0D83EF28" w14:textId="77777777" w:rsidR="00CD32BA" w:rsidRDefault="00597845">
      <w:pPr>
        <w:pStyle w:val="Heading2"/>
      </w:pPr>
      <w:r>
        <w:t>7.6 Implications for future research</w:t>
      </w:r>
    </w:p>
    <w:p w14:paraId="197A7EF1" w14:textId="77777777" w:rsidR="009D06F6" w:rsidRDefault="00597845" w:rsidP="00110B5E">
      <w:pPr>
        <w:spacing w:line="360" w:lineRule="auto"/>
      </w:pPr>
      <w:r>
        <w:t>The apparent contrast between play-led and outcomes-led planning also requires careful investigation before it is treated as a difference between schools. P3 and P4 may have been describing different age groups, learner profiles or definitions of play, rather than mutually exclusive institutional philosophies. A future comparative design should therefore document year group, type of activity, intended learning outcomes and the learner’s opportunities for choice. Including observations and the perspectives of children would make it possible to examine whether an activity that adults describe as play is experienced as play by learners themselves. Such evidence would help move beyond the professional accounts available here without diminishing their value as an initial exploration.</w:t>
      </w:r>
    </w:p>
    <w:p w14:paraId="21BAFBD1" w14:textId="77777777" w:rsidR="00CC0440" w:rsidRDefault="00CC0440">
      <w:pPr>
        <w:pStyle w:val="Heading1"/>
      </w:pPr>
    </w:p>
    <w:p w14:paraId="52F856EB" w14:textId="77777777" w:rsidR="00CC0440" w:rsidRDefault="00CC0440">
      <w:pPr>
        <w:pStyle w:val="Heading1"/>
      </w:pPr>
    </w:p>
    <w:p w14:paraId="48369200" w14:textId="77777777" w:rsidR="00CC0440" w:rsidRDefault="00CC0440">
      <w:pPr>
        <w:pStyle w:val="Heading1"/>
      </w:pPr>
    </w:p>
    <w:p w14:paraId="0B6499E1" w14:textId="1C2B67B7" w:rsidR="00CD32BA" w:rsidRDefault="00597845">
      <w:pPr>
        <w:pStyle w:val="Heading1"/>
      </w:pPr>
      <w:r>
        <w:lastRenderedPageBreak/>
        <w:t>8. Evaluation of the research process</w:t>
      </w:r>
    </w:p>
    <w:p w14:paraId="48AB639C" w14:textId="3F2FF36B" w:rsidR="00110B5E" w:rsidRPr="00110B5E" w:rsidRDefault="00110B5E" w:rsidP="00110B5E">
      <w:pPr>
        <w:pStyle w:val="Heading1"/>
        <w:spacing w:line="360" w:lineRule="auto"/>
        <w:rPr>
          <w:rFonts w:asciiTheme="majorBidi" w:hAnsiTheme="majorBidi" w:cstheme="majorBidi"/>
          <w:b w:val="0"/>
          <w:bCs w:val="0"/>
          <w:sz w:val="24"/>
          <w:szCs w:val="24"/>
        </w:rPr>
      </w:pPr>
      <w:r w:rsidRPr="00110B5E">
        <w:rPr>
          <w:rFonts w:asciiTheme="majorBidi" w:hAnsiTheme="majorBidi" w:cstheme="majorBidi"/>
          <w:b w:val="0"/>
          <w:bCs w:val="0"/>
          <w:color w:val="000000"/>
          <w:sz w:val="24"/>
          <w:szCs w:val="24"/>
        </w:rPr>
        <w:t>This chapter critically evaluates the research process, considering what worked well, the limitations of the study and the lessons learned for future research and practice.</w:t>
      </w:r>
    </w:p>
    <w:p w14:paraId="2D6FF44D" w14:textId="77777777" w:rsidR="00CD32BA" w:rsidRDefault="00597845">
      <w:pPr>
        <w:pStyle w:val="Heading2"/>
      </w:pPr>
      <w:r>
        <w:t>8.1 What worked</w:t>
      </w:r>
    </w:p>
    <w:p w14:paraId="3AFC0437" w14:textId="2BBDB506" w:rsidR="00236238" w:rsidRDefault="00597845" w:rsidP="00110B5E">
      <w:pPr>
        <w:spacing w:line="360" w:lineRule="auto"/>
      </w:pPr>
      <w:r>
        <w:t>The semi-structured interview format worked well for exploring how practitioners understood and adapted play-based learning for learners with ALN. Participants could describe examples from their own professional roles, and follow-up questions allowed me to explore explanations beyond a fixed interview schedule. Conducting interviews through Microsoft Teams made participation possible without travel. The inclusion of a teaching assistant, a class teacher and two ALNCos offered contrasting perspectives, particularly on the balance between child-led and structured play. Repeated listening during manual transcription supported close engagement with participants’ accounts before coding. These were methodological strengths rather than evidence of representativeness: four short interviews cannot establish how common the reported practices are, and practitioners’ accounts were not corroborated by classroom observation.</w:t>
      </w:r>
    </w:p>
    <w:p w14:paraId="713A8E70" w14:textId="4246BE4E" w:rsidR="00CD32BA" w:rsidRDefault="00597845">
      <w:pPr>
        <w:pStyle w:val="Heading2"/>
      </w:pPr>
      <w:r>
        <w:t>8.2 Recruitment and sampling</w:t>
      </w:r>
    </w:p>
    <w:p w14:paraId="6E77646F" w14:textId="77777777" w:rsidR="00CD32BA" w:rsidRDefault="00597845">
      <w:pPr>
        <w:spacing w:after="140" w:line="360" w:lineRule="auto"/>
      </w:pPr>
      <w:r>
        <w:t>The ethics application anticipated six to ten participants, and four took part. I contacted a substantial number of English-medium primary schools in Wales, but recruitment remained difficult. This shortfall has consequences. First, the sample is small and its composition was set by who volunteered: a teaching assistant, a language teacher, and two ALNCos who also hold classroom or leadership roles. Roles cannot be compared evenly across so few people. Second, volunteering may have favoured practitioners with an interest in the topic. The sample does include a practitioner who does not use play-based learning for ALN (P4), so it is not uniformly enthusiastic, but I cannot say how far self-selection shaped it. Third, restricting the sampling frame to English-medium schools excluded Welsh-medium and bilingual settings, a notable gap in a Welsh study.</w:t>
      </w:r>
    </w:p>
    <w:p w14:paraId="7554D900" w14:textId="77777777" w:rsidR="00CD32BA" w:rsidRDefault="00597845">
      <w:pPr>
        <w:spacing w:after="140" w:line="360" w:lineRule="auto"/>
      </w:pPr>
      <w:r>
        <w:t>If I repeated the study, I would recruit outside the end of the summer term; work through ALNCo forums, local authority ALN teams and teaching assistant networks, with a letter of support from the university; send a reminder; offer shorter or more flexible participation; and ask non-respondents, with a short optional tick-box, why they did not take part.</w:t>
      </w:r>
    </w:p>
    <w:p w14:paraId="5315DDBE" w14:textId="77777777" w:rsidR="00CD32BA" w:rsidRDefault="00597845">
      <w:pPr>
        <w:pStyle w:val="Heading2"/>
      </w:pPr>
      <w:r>
        <w:lastRenderedPageBreak/>
        <w:t>8.3 Data quality</w:t>
      </w:r>
    </w:p>
    <w:p w14:paraId="08E8AEE6" w14:textId="77777777" w:rsidR="0082730F" w:rsidRDefault="0082730F" w:rsidP="0082730F">
      <w:pPr>
        <w:pStyle w:val="NormalWeb"/>
        <w:rPr>
          <w:color w:val="000000"/>
        </w:rPr>
      </w:pPr>
      <w:r>
        <w:rPr>
          <w:color w:val="000000"/>
        </w:rPr>
        <w:t>Repeated listening and manual checking supported accurate transcription and familiarisation with the data, as described in Section 5.1.</w:t>
      </w:r>
    </w:p>
    <w:p w14:paraId="618A5E1B" w14:textId="77777777" w:rsidR="00CD32BA" w:rsidRDefault="00597845">
      <w:pPr>
        <w:spacing w:after="140" w:line="360" w:lineRule="auto"/>
      </w:pPr>
      <w:r>
        <w:t>Transcription of any kind can still involve omissions, mishearing or interpretive decisions, so the quotations and analytic claims should be checked against the original recordings where available. P1’s available transcript has a gap of approximately two and a half minutes, which restricts interpretation of that interview. The interviews were short (approximately 9-22 minutes), and the relatively small amount of participant speech limits the claims that can be made. Thematic saturation cannot be claimed, and the themes should be treated as provisional patterns.</w:t>
      </w:r>
    </w:p>
    <w:p w14:paraId="144926A0" w14:textId="77777777" w:rsidR="00CD32BA" w:rsidRDefault="00597845">
      <w:pPr>
        <w:spacing w:after="140" w:line="360" w:lineRule="auto"/>
      </w:pPr>
      <w:r>
        <w:t>The transcripts also show features of my own interviewing that should be acknowledged. On several occasions I offered brief agreement, and in one interview I invited a participant to draw on international experience when they were unsure how to answer (P2, 18:15). Responses of this kind can encourage participants to say more, but they can also steer answers towards what the interviewer appears to want to hear. I also rephrased questions when participants asked for them to be repeated (P3, 3:37; P2, 16:54), so the wording was not identical across interviews. These features do not invalidate the data, but they are a reason to read the findings as accounts produced in conversation and not as neutral reports.</w:t>
      </w:r>
    </w:p>
    <w:p w14:paraId="555B826B" w14:textId="77777777" w:rsidR="00CD32BA" w:rsidRDefault="00597845">
      <w:pPr>
        <w:spacing w:after="140" w:line="360" w:lineRule="auto"/>
      </w:pPr>
      <w:r>
        <w:t>The lessons are practical. Interview material should be checked promptly after each interview, and any missing passages documented. Participants could also be invited to check a summary of their account, where appropriate and approved, to support credibility.</w:t>
      </w:r>
    </w:p>
    <w:p w14:paraId="32A728DA" w14:textId="77777777" w:rsidR="00CD32BA" w:rsidRDefault="00597845">
      <w:pPr>
        <w:pStyle w:val="Heading2"/>
      </w:pPr>
      <w:r>
        <w:t>8.4 Departures from the ethics application</w:t>
      </w:r>
    </w:p>
    <w:p w14:paraId="51D6EED6" w14:textId="77777777" w:rsidR="00CD32BA" w:rsidRDefault="00597845">
      <w:pPr>
        <w:spacing w:after="140" w:line="360" w:lineRule="auto"/>
      </w:pPr>
      <w:r>
        <w:t>Departures from the approved ethics application are recorded here because transparency is part of research integrity (BERA, 2024). First, four practitioners participated rather than the six to ten anticipated. Second, the use of an AI tool is addressed in the separate AI declaration accompanying the report.</w:t>
      </w:r>
    </w:p>
    <w:p w14:paraId="3D95780F" w14:textId="77777777" w:rsidR="009D06F6" w:rsidRDefault="00597845" w:rsidP="00110B5E">
      <w:pPr>
        <w:spacing w:line="360" w:lineRule="auto"/>
      </w:pPr>
      <w:r>
        <w:t>I distinguished shared perceptions from evidence of effectiveness. Participants’ positive accounts do not demonstrate causal improvements in learning or inclusion. Future analysis should also document examples that challenge emerging interpretations, such as occasions when structured teaching is preferred or play does not produce the intended interaction.</w:t>
      </w:r>
    </w:p>
    <w:p w14:paraId="67DED3FE" w14:textId="77777777" w:rsidR="00CC0440" w:rsidRDefault="00CC0440">
      <w:pPr>
        <w:pStyle w:val="Heading2"/>
      </w:pPr>
    </w:p>
    <w:p w14:paraId="2A2BBC01" w14:textId="27D66B4B" w:rsidR="00CD32BA" w:rsidRDefault="00597845">
      <w:pPr>
        <w:pStyle w:val="Heading2"/>
      </w:pPr>
      <w:r>
        <w:lastRenderedPageBreak/>
        <w:t>8.5 Reflexivity and the limits of interpretation</w:t>
      </w:r>
    </w:p>
    <w:p w14:paraId="6AD8430F" w14:textId="77777777" w:rsidR="009D06F6" w:rsidRDefault="00597845" w:rsidP="00110B5E">
      <w:pPr>
        <w:spacing w:line="360" w:lineRule="auto"/>
      </w:pPr>
      <w:r>
        <w:t>A further reflexive issue concerns the selection of examples for reporting. Vivid stories, such as a child gaining status among peers in forest school, can be analytically persuasive precisely because they are memorable. Yet memorable cases are not necessarily frequent cases. I therefore distinguish an illustrative example from a recurring pattern across participants, and avoid claiming that a single story demonstrates an intervention’s effectiveness. The uneven interview lengths also mean that P2’s account supplies more textual material than P1’s; the amount of quotation should not be mistaken for the relative importance of a participant’s perspective. These decisions are central to presenting a small dataset fairly.</w:t>
      </w:r>
    </w:p>
    <w:p w14:paraId="05918858" w14:textId="77777777" w:rsidR="00CD32BA" w:rsidRDefault="00597845">
      <w:pPr>
        <w:spacing w:after="140" w:line="360" w:lineRule="auto"/>
      </w:pPr>
      <w:r>
        <w:t>The analysis was undertaken within a small qualitative project, and the themes represent an interpretation of the participants’ accounts rather than an exhaustive explanation of play-based practice. The interview lengths varied, and the reported findings should be read in that context. My prior understanding of play-based learning may have influenced which examples appeared most significant, making reflexive consideration important.</w:t>
      </w:r>
    </w:p>
    <w:p w14:paraId="3B284F0B" w14:textId="444111E6" w:rsidR="00CD32BA" w:rsidRDefault="00CC0440">
      <w:pPr>
        <w:pStyle w:val="Heading2"/>
      </w:pPr>
      <w:r>
        <w:t>9.</w:t>
      </w:r>
      <w:r w:rsidR="00597845">
        <w:t>Conclusion</w:t>
      </w:r>
      <w:r>
        <w:t xml:space="preserve"> and future work</w:t>
      </w:r>
    </w:p>
    <w:p w14:paraId="5F23BD09" w14:textId="77777777" w:rsidR="00CC0440" w:rsidRDefault="00CC0440" w:rsidP="00CC0440">
      <w:pPr>
        <w:pStyle w:val="NormalWeb"/>
        <w:spacing w:line="360" w:lineRule="auto"/>
        <w:rPr>
          <w:color w:val="000000"/>
        </w:rPr>
      </w:pPr>
      <w:r>
        <w:rPr>
          <w:color w:val="000000"/>
        </w:rPr>
        <w:t>The study set out to explore how practitioners in Welsh mainstream primary schools use and experience play-based learning to support learners with ALN. Within the limits described above, it suggests that practitioners treat play-based learning as purposeful and adapt it through children’s interests, structure and supports, and that its quality depends on skilled adult scaffolding. It also suggests that training and resourcing that combine play and ALN are not yet reliably in place, and that schools differ in whether they start from play or from the child’s outcomes. These findings indicate that schools and local authorities should prioritise professional learning that brings together play-based pedagogy and ALN, so that practitioners are better equipped to plan and scaffold play for learners with ALN. The study offers a practitioner-grounded, if small, contribution to a question that policy has opened but evidence has not yet fully addressed.</w:t>
      </w:r>
    </w:p>
    <w:p w14:paraId="7917E21A" w14:textId="20BEE5D7" w:rsidR="00CC0440" w:rsidRDefault="00CC0440" w:rsidP="00CC0440">
      <w:pPr>
        <w:pStyle w:val="NormalWeb"/>
        <w:spacing w:line="360" w:lineRule="auto"/>
        <w:rPr>
          <w:color w:val="000000"/>
        </w:rPr>
      </w:pPr>
      <w:r>
        <w:rPr>
          <w:color w:val="000000"/>
        </w:rPr>
        <w:t xml:space="preserve">A repeat study with a larger sample, a wider range of schools and member-checked transcripts would be able to test and extend these findings. Future research could also include the perspectives of children with ALN and their parents; to understand how play-based learning is experienced by those it is intended to support. In addition, observational or longitudinal studies could examine how practitioners’ approaches to play develop over time </w:t>
      </w:r>
      <w:r>
        <w:rPr>
          <w:color w:val="000000"/>
        </w:rPr>
        <w:lastRenderedPageBreak/>
        <w:t>as ALN reform and the Curriculum for Wales become more fully embedded. Ultimately, the study highlights that play can be a meaningful route to inclusion for learners with ALN, but only when practitioners are supported to deliver it skilfully.</w:t>
      </w:r>
    </w:p>
    <w:p w14:paraId="396CCE22" w14:textId="77777777" w:rsidR="00CD32BA" w:rsidRDefault="00597845">
      <w:pPr>
        <w:pStyle w:val="Heading1"/>
      </w:pPr>
      <w:r>
        <w:t>References</w:t>
      </w:r>
    </w:p>
    <w:p w14:paraId="1E2CCE90" w14:textId="0CE089A8" w:rsidR="00CD32BA" w:rsidRDefault="00597845">
      <w:pPr>
        <w:spacing w:after="120" w:line="276" w:lineRule="auto"/>
        <w:ind w:left="720" w:hanging="720"/>
      </w:pPr>
      <w:r>
        <w:rPr>
          <w:sz w:val="22"/>
          <w:szCs w:val="22"/>
        </w:rPr>
        <w:t>Additional Learning Needs and Education Tribunal (Wales) Act 2018 (</w:t>
      </w:r>
      <w:proofErr w:type="spellStart"/>
      <w:r>
        <w:rPr>
          <w:sz w:val="22"/>
          <w:szCs w:val="22"/>
        </w:rPr>
        <w:t>anaw</w:t>
      </w:r>
      <w:proofErr w:type="spellEnd"/>
      <w:r>
        <w:rPr>
          <w:sz w:val="22"/>
          <w:szCs w:val="22"/>
        </w:rPr>
        <w:t xml:space="preserve"> 2). Available at: https://www.legislation.gov.uk/anaw/2018/2/contents/enacted (Accessed:</w:t>
      </w:r>
      <w:r w:rsidR="0082730F">
        <w:rPr>
          <w:color w:val="000000"/>
        </w:rPr>
        <w:t>11</w:t>
      </w:r>
      <w:r w:rsidR="0082730F">
        <w:rPr>
          <w:rStyle w:val="apple-converted-space"/>
          <w:color w:val="000000"/>
        </w:rPr>
        <w:t> </w:t>
      </w:r>
      <w:r w:rsidR="0082730F">
        <w:rPr>
          <w:color w:val="000000"/>
        </w:rPr>
        <w:t>October</w:t>
      </w:r>
      <w:r w:rsidR="0082730F">
        <w:rPr>
          <w:rStyle w:val="apple-converted-space"/>
          <w:color w:val="000000"/>
        </w:rPr>
        <w:t> </w:t>
      </w:r>
      <w:r w:rsidR="0082730F">
        <w:rPr>
          <w:color w:val="000000"/>
        </w:rPr>
        <w:t>2026</w:t>
      </w:r>
      <w:r>
        <w:rPr>
          <w:sz w:val="22"/>
          <w:szCs w:val="22"/>
        </w:rPr>
        <w:t>).</w:t>
      </w:r>
    </w:p>
    <w:p w14:paraId="37FD267B" w14:textId="77777777" w:rsidR="00CD32BA" w:rsidRDefault="00597845">
      <w:pPr>
        <w:spacing w:after="120" w:line="276" w:lineRule="auto"/>
        <w:ind w:left="720" w:hanging="720"/>
      </w:pPr>
      <w:r>
        <w:t>Allee-Herndon, K.A. and Roberts, S.K. (2021) ‘The power of purposeful play in primary grades: adjusting pedagogy for children’s needs and academic gains’, Journal of Education, 201(1), pp. 54–63. Available at: https://doi.org/10.1177/0022057420903272.</w:t>
      </w:r>
    </w:p>
    <w:p w14:paraId="05BA110F" w14:textId="77777777" w:rsidR="00CD32BA" w:rsidRDefault="00597845">
      <w:pPr>
        <w:spacing w:after="120" w:line="276" w:lineRule="auto"/>
        <w:ind w:left="720" w:hanging="720"/>
      </w:pPr>
      <w:r>
        <w:rPr>
          <w:sz w:val="22"/>
          <w:szCs w:val="22"/>
        </w:rPr>
        <w:t xml:space="preserve">BERA (2024) </w:t>
      </w:r>
      <w:r>
        <w:rPr>
          <w:i/>
          <w:iCs/>
          <w:sz w:val="22"/>
          <w:szCs w:val="22"/>
        </w:rPr>
        <w:t>Ethical guidelines for educational research</w:t>
      </w:r>
      <w:r>
        <w:rPr>
          <w:sz w:val="22"/>
          <w:szCs w:val="22"/>
        </w:rPr>
        <w:t xml:space="preserve">. 5th </w:t>
      </w:r>
      <w:proofErr w:type="spellStart"/>
      <w:r>
        <w:rPr>
          <w:sz w:val="22"/>
          <w:szCs w:val="22"/>
        </w:rPr>
        <w:t>edn</w:t>
      </w:r>
      <w:proofErr w:type="spellEnd"/>
      <w:r>
        <w:rPr>
          <w:sz w:val="22"/>
          <w:szCs w:val="22"/>
        </w:rPr>
        <w:t>. London: British Educational Research Association.</w:t>
      </w:r>
    </w:p>
    <w:p w14:paraId="4E2D0DCB" w14:textId="77777777" w:rsidR="00CD32BA" w:rsidRDefault="00597845">
      <w:pPr>
        <w:spacing w:after="120" w:line="276" w:lineRule="auto"/>
        <w:ind w:left="720" w:hanging="720"/>
      </w:pPr>
      <w:r>
        <w:t>Blatchford, P., Russell, A. and Webster, R. (2012) Reassessing the impact of teaching assistants: how research challenges practice and policy. Abingdon: Routledge.</w:t>
      </w:r>
    </w:p>
    <w:p w14:paraId="3176F811" w14:textId="77777777" w:rsidR="00CD32BA" w:rsidRDefault="00597845">
      <w:pPr>
        <w:spacing w:after="120" w:line="276" w:lineRule="auto"/>
        <w:ind w:left="720" w:hanging="720"/>
      </w:pPr>
      <w:r>
        <w:t>Bodrova, E. and Leong, D.J. (2007) Tools of the mind: the Vygotskian approach to early childhood education. 2nd edn. Upper Saddle River, NJ: Pearson Education.</w:t>
      </w:r>
    </w:p>
    <w:p w14:paraId="3C177D6A" w14:textId="77777777" w:rsidR="00CD32BA" w:rsidRDefault="00597845">
      <w:pPr>
        <w:spacing w:after="120" w:line="276" w:lineRule="auto"/>
        <w:ind w:left="720" w:hanging="720"/>
      </w:pPr>
      <w:r>
        <w:rPr>
          <w:sz w:val="22"/>
          <w:szCs w:val="22"/>
        </w:rPr>
        <w:t xml:space="preserve">Braun, V. and Clarke, V. (2006) ‘Using thematic analysis in psychology’, </w:t>
      </w:r>
      <w:r>
        <w:rPr>
          <w:i/>
          <w:iCs/>
          <w:sz w:val="22"/>
          <w:szCs w:val="22"/>
        </w:rPr>
        <w:t>Qualitative Research in Psychology</w:t>
      </w:r>
      <w:r>
        <w:rPr>
          <w:sz w:val="22"/>
          <w:szCs w:val="22"/>
        </w:rPr>
        <w:t>, 3(2), pp. 77-101.</w:t>
      </w:r>
    </w:p>
    <w:p w14:paraId="6C333228" w14:textId="77777777" w:rsidR="00CD32BA" w:rsidRDefault="00597845">
      <w:pPr>
        <w:spacing w:after="120" w:line="276" w:lineRule="auto"/>
        <w:ind w:left="720" w:hanging="720"/>
      </w:pPr>
      <w:r>
        <w:rPr>
          <w:sz w:val="22"/>
          <w:szCs w:val="22"/>
        </w:rPr>
        <w:t xml:space="preserve">Braun, V. and Clarke, V. (2021) </w:t>
      </w:r>
      <w:r>
        <w:rPr>
          <w:i/>
          <w:iCs/>
          <w:sz w:val="22"/>
          <w:szCs w:val="22"/>
        </w:rPr>
        <w:t>Thematic analysis: a practical guide</w:t>
      </w:r>
      <w:r>
        <w:rPr>
          <w:sz w:val="22"/>
          <w:szCs w:val="22"/>
        </w:rPr>
        <w:t>. London: Sage.</w:t>
      </w:r>
    </w:p>
    <w:p w14:paraId="031822E5" w14:textId="77777777" w:rsidR="00CD32BA" w:rsidRDefault="00597845">
      <w:pPr>
        <w:spacing w:after="120" w:line="276" w:lineRule="auto"/>
        <w:ind w:left="720" w:hanging="720"/>
      </w:pPr>
      <w:r>
        <w:rPr>
          <w:sz w:val="22"/>
          <w:szCs w:val="22"/>
        </w:rPr>
        <w:t xml:space="preserve">British Psychological Society (2021) </w:t>
      </w:r>
      <w:r>
        <w:rPr>
          <w:i/>
          <w:iCs/>
          <w:sz w:val="22"/>
          <w:szCs w:val="22"/>
        </w:rPr>
        <w:t>Code of human research ethics</w:t>
      </w:r>
      <w:r>
        <w:rPr>
          <w:sz w:val="22"/>
          <w:szCs w:val="22"/>
        </w:rPr>
        <w:t>. Leicester: British Psychological Society.</w:t>
      </w:r>
    </w:p>
    <w:p w14:paraId="4FFF5021" w14:textId="77777777" w:rsidR="00CD32BA" w:rsidRDefault="00597845">
      <w:pPr>
        <w:spacing w:after="120" w:line="276" w:lineRule="auto"/>
        <w:ind w:left="720" w:hanging="720"/>
      </w:pPr>
      <w:r>
        <w:rPr>
          <w:sz w:val="22"/>
          <w:szCs w:val="22"/>
        </w:rPr>
        <w:t xml:space="preserve">Cohen, L., Manion, L. and Morrison, K. (2018) </w:t>
      </w:r>
      <w:r>
        <w:rPr>
          <w:i/>
          <w:iCs/>
          <w:sz w:val="22"/>
          <w:szCs w:val="22"/>
        </w:rPr>
        <w:t>Research methods in education</w:t>
      </w:r>
      <w:r>
        <w:rPr>
          <w:sz w:val="22"/>
          <w:szCs w:val="22"/>
        </w:rPr>
        <w:t xml:space="preserve">. 8th </w:t>
      </w:r>
      <w:proofErr w:type="spellStart"/>
      <w:r>
        <w:rPr>
          <w:sz w:val="22"/>
          <w:szCs w:val="22"/>
        </w:rPr>
        <w:t>edn</w:t>
      </w:r>
      <w:proofErr w:type="spellEnd"/>
      <w:r>
        <w:rPr>
          <w:sz w:val="22"/>
          <w:szCs w:val="22"/>
        </w:rPr>
        <w:t>. Abingdon: Routledge.</w:t>
      </w:r>
    </w:p>
    <w:p w14:paraId="10B1F0E3" w14:textId="77777777" w:rsidR="00CD32BA" w:rsidRDefault="00597845">
      <w:pPr>
        <w:spacing w:after="120" w:line="276" w:lineRule="auto"/>
        <w:ind w:left="720" w:hanging="720"/>
      </w:pPr>
      <w:r>
        <w:t>Conn, C. and Hutt, M. (2020) ‘Successful futures for all? Additional learning needs in Wales in the light of curriculum reform’, British Journal of Special Education, 47(2), pp. 152–169. Available at: https://doi.org/10.1111/1467-8578.12307.</w:t>
      </w:r>
    </w:p>
    <w:p w14:paraId="1572F85A" w14:textId="77777777" w:rsidR="00CD32BA" w:rsidRDefault="00597845">
      <w:pPr>
        <w:spacing w:after="120" w:line="276" w:lineRule="auto"/>
        <w:ind w:left="720" w:hanging="720"/>
      </w:pPr>
      <w:r>
        <w:rPr>
          <w:sz w:val="22"/>
          <w:szCs w:val="22"/>
        </w:rPr>
        <w:t xml:space="preserve">Creswell, J.W. and </w:t>
      </w:r>
      <w:proofErr w:type="spellStart"/>
      <w:r>
        <w:rPr>
          <w:sz w:val="22"/>
          <w:szCs w:val="22"/>
        </w:rPr>
        <w:t>Poth</w:t>
      </w:r>
      <w:proofErr w:type="spellEnd"/>
      <w:r>
        <w:rPr>
          <w:sz w:val="22"/>
          <w:szCs w:val="22"/>
        </w:rPr>
        <w:t xml:space="preserve">, C.N. (2018) </w:t>
      </w:r>
      <w:r>
        <w:rPr>
          <w:i/>
          <w:iCs/>
          <w:sz w:val="22"/>
          <w:szCs w:val="22"/>
        </w:rPr>
        <w:t>Qualitative inquiry and research design: choosing among five approaches</w:t>
      </w:r>
      <w:r>
        <w:rPr>
          <w:sz w:val="22"/>
          <w:szCs w:val="22"/>
        </w:rPr>
        <w:t xml:space="preserve">. 4th </w:t>
      </w:r>
      <w:proofErr w:type="spellStart"/>
      <w:r>
        <w:rPr>
          <w:sz w:val="22"/>
          <w:szCs w:val="22"/>
        </w:rPr>
        <w:t>edn</w:t>
      </w:r>
      <w:proofErr w:type="spellEnd"/>
      <w:r>
        <w:rPr>
          <w:sz w:val="22"/>
          <w:szCs w:val="22"/>
        </w:rPr>
        <w:t>. Thousand Oaks, CA: Sage.</w:t>
      </w:r>
    </w:p>
    <w:p w14:paraId="76AE5DE6" w14:textId="77777777" w:rsidR="00CD32BA" w:rsidRDefault="00597845">
      <w:pPr>
        <w:spacing w:after="120" w:line="276" w:lineRule="auto"/>
        <w:ind w:left="720" w:hanging="720"/>
      </w:pPr>
      <w:r>
        <w:t>Drever, E. (1995) Using semi-structured interviews in small-scale research: a teacher’s guide. Glasgow: Scottish Council for Research in Education.</w:t>
      </w:r>
    </w:p>
    <w:p w14:paraId="1A552C28" w14:textId="77777777" w:rsidR="00CD32BA" w:rsidRDefault="00597845">
      <w:pPr>
        <w:spacing w:after="120" w:line="276" w:lineRule="auto"/>
        <w:ind w:left="720" w:hanging="720"/>
      </w:pPr>
      <w:r>
        <w:t>Estyn (2023) The new additional learning needs system. Cardiff: Estyn. Available at: https://estyn.gov.wales/improvement-resources/the-new-additional-learning-needs-system/.</w:t>
      </w:r>
    </w:p>
    <w:p w14:paraId="508BA7B6" w14:textId="77777777" w:rsidR="00CD32BA" w:rsidRDefault="00597845">
      <w:pPr>
        <w:spacing w:after="120" w:line="276" w:lineRule="auto"/>
        <w:ind w:left="720" w:hanging="720"/>
      </w:pPr>
      <w:r>
        <w:t>Estyn (2024) The additional learning needs system: progress of schools, settings and local authorities in supporting pupils with additional learning needs. Cardiff: Estyn. Available at: https://estyn.gov.wales/app/uploads/2024/12/The-additional-learning-needs-system.pdf.</w:t>
      </w:r>
    </w:p>
    <w:p w14:paraId="18ADDF44" w14:textId="77777777" w:rsidR="00CD32BA" w:rsidRDefault="00597845">
      <w:pPr>
        <w:spacing w:after="120" w:line="276" w:lineRule="auto"/>
        <w:ind w:left="720" w:hanging="720"/>
      </w:pPr>
      <w:r>
        <w:rPr>
          <w:sz w:val="22"/>
          <w:szCs w:val="22"/>
        </w:rPr>
        <w:lastRenderedPageBreak/>
        <w:t xml:space="preserve">Guba, E.G. and Lincoln, Y.S. (1994) ‘Competing paradigms in qualitative research’, in Denzin, N.K. and Lincoln, Y.S. (eds) </w:t>
      </w:r>
      <w:r>
        <w:rPr>
          <w:i/>
          <w:iCs/>
          <w:sz w:val="22"/>
          <w:szCs w:val="22"/>
        </w:rPr>
        <w:t>Handbook of qualitative research</w:t>
      </w:r>
      <w:r>
        <w:rPr>
          <w:sz w:val="22"/>
          <w:szCs w:val="22"/>
        </w:rPr>
        <w:t>. Thousand Oaks, CA: Sage, pp. 105-117.</w:t>
      </w:r>
    </w:p>
    <w:p w14:paraId="615AE7A0" w14:textId="77777777" w:rsidR="00CD32BA" w:rsidRDefault="00597845">
      <w:pPr>
        <w:spacing w:after="120" w:line="276" w:lineRule="auto"/>
        <w:ind w:left="720" w:hanging="720"/>
      </w:pPr>
      <w:r>
        <w:rPr>
          <w:sz w:val="22"/>
          <w:szCs w:val="22"/>
        </w:rPr>
        <w:t xml:space="preserve">Guest, G., Bunce, A. and Johnson, L. (2006) ‘How many interviews are enough? An experiment with data saturation and variability’, </w:t>
      </w:r>
      <w:r>
        <w:rPr>
          <w:i/>
          <w:iCs/>
          <w:sz w:val="22"/>
          <w:szCs w:val="22"/>
        </w:rPr>
        <w:t>Field Methods</w:t>
      </w:r>
      <w:r>
        <w:rPr>
          <w:sz w:val="22"/>
          <w:szCs w:val="22"/>
        </w:rPr>
        <w:t>, 18(1), pp. 59-82.</w:t>
      </w:r>
    </w:p>
    <w:p w14:paraId="7774E09B" w14:textId="77777777" w:rsidR="00CD32BA" w:rsidRDefault="00597845">
      <w:pPr>
        <w:spacing w:after="120" w:line="276" w:lineRule="auto"/>
        <w:ind w:left="720" w:hanging="720"/>
      </w:pPr>
      <w:r>
        <w:t>Howard, J. and McInnes, K. (2013) ‘The impact of children’s perception of an activity as play rather than not play on emotional well-being’, Child: Care, Health and Development, 39(5), pp. 737–742. Available at: https://doi.org/10.1111/j.1365-2214.2012.01405.x.</w:t>
      </w:r>
    </w:p>
    <w:p w14:paraId="59D98155" w14:textId="77777777" w:rsidR="00CD32BA" w:rsidRDefault="00597845">
      <w:pPr>
        <w:spacing w:after="120" w:line="276" w:lineRule="auto"/>
        <w:ind w:left="720" w:hanging="720"/>
      </w:pPr>
      <w:r>
        <w:rPr>
          <w:sz w:val="22"/>
          <w:szCs w:val="22"/>
        </w:rPr>
        <w:t xml:space="preserve">Kvale, S. and Brinkmann, S. (2015) </w:t>
      </w:r>
      <w:proofErr w:type="spellStart"/>
      <w:r>
        <w:rPr>
          <w:i/>
          <w:iCs/>
          <w:sz w:val="22"/>
          <w:szCs w:val="22"/>
        </w:rPr>
        <w:t>InterViews</w:t>
      </w:r>
      <w:proofErr w:type="spellEnd"/>
      <w:r>
        <w:rPr>
          <w:i/>
          <w:iCs/>
          <w:sz w:val="22"/>
          <w:szCs w:val="22"/>
        </w:rPr>
        <w:t>: learning the craft of qualitative research interviewing</w:t>
      </w:r>
      <w:r>
        <w:rPr>
          <w:sz w:val="22"/>
          <w:szCs w:val="22"/>
        </w:rPr>
        <w:t xml:space="preserve">. 3rd </w:t>
      </w:r>
      <w:proofErr w:type="spellStart"/>
      <w:r>
        <w:rPr>
          <w:sz w:val="22"/>
          <w:szCs w:val="22"/>
        </w:rPr>
        <w:t>edn</w:t>
      </w:r>
      <w:proofErr w:type="spellEnd"/>
      <w:r>
        <w:rPr>
          <w:sz w:val="22"/>
          <w:szCs w:val="22"/>
        </w:rPr>
        <w:t>. Thousand Oaks, CA: Sage.</w:t>
      </w:r>
    </w:p>
    <w:p w14:paraId="084390CB" w14:textId="77777777" w:rsidR="00CD32BA" w:rsidRDefault="00597845">
      <w:pPr>
        <w:spacing w:after="120" w:line="276" w:lineRule="auto"/>
        <w:ind w:left="720" w:hanging="720"/>
      </w:pPr>
      <w:r>
        <w:rPr>
          <w:sz w:val="22"/>
          <w:szCs w:val="22"/>
        </w:rPr>
        <w:t xml:space="preserve">Lifter, K., Foster-Sanda, S., </w:t>
      </w:r>
      <w:proofErr w:type="spellStart"/>
      <w:r>
        <w:rPr>
          <w:sz w:val="22"/>
          <w:szCs w:val="22"/>
        </w:rPr>
        <w:t>Arzamarski</w:t>
      </w:r>
      <w:proofErr w:type="spellEnd"/>
      <w:r>
        <w:rPr>
          <w:sz w:val="22"/>
          <w:szCs w:val="22"/>
        </w:rPr>
        <w:t xml:space="preserve">, C., Briesch, J. and McClure, E. (2011) ‘Overview of play: its uses and importance in early intervention/early childhood special education’, </w:t>
      </w:r>
      <w:r>
        <w:rPr>
          <w:i/>
          <w:iCs/>
          <w:sz w:val="22"/>
          <w:szCs w:val="22"/>
        </w:rPr>
        <w:t>Infants &amp; Young Children</w:t>
      </w:r>
      <w:r>
        <w:rPr>
          <w:sz w:val="22"/>
          <w:szCs w:val="22"/>
        </w:rPr>
        <w:t>, 24(3), pp. 225-245.</w:t>
      </w:r>
    </w:p>
    <w:p w14:paraId="23167957" w14:textId="77777777" w:rsidR="00CD32BA" w:rsidRDefault="00597845">
      <w:pPr>
        <w:spacing w:after="120" w:line="276" w:lineRule="auto"/>
        <w:ind w:left="720" w:hanging="720"/>
      </w:pPr>
      <w:r>
        <w:rPr>
          <w:sz w:val="22"/>
          <w:szCs w:val="22"/>
        </w:rPr>
        <w:t xml:space="preserve">Lincoln, Y.S. and Guba, E.G. (1985) </w:t>
      </w:r>
      <w:r>
        <w:rPr>
          <w:i/>
          <w:iCs/>
          <w:sz w:val="22"/>
          <w:szCs w:val="22"/>
        </w:rPr>
        <w:t>Naturalistic inquiry</w:t>
      </w:r>
      <w:r>
        <w:rPr>
          <w:sz w:val="22"/>
          <w:szCs w:val="22"/>
        </w:rPr>
        <w:t>. Beverly Hills, CA: Sage.</w:t>
      </w:r>
    </w:p>
    <w:p w14:paraId="3039BDEC" w14:textId="77777777" w:rsidR="00CD32BA" w:rsidRDefault="00597845">
      <w:pPr>
        <w:spacing w:after="120" w:line="276" w:lineRule="auto"/>
        <w:ind w:left="720" w:hanging="720"/>
      </w:pPr>
      <w:r>
        <w:t>Pyle, A. and Danniels, E. (2017) ‘A continuum of play-based learning: the role of the teacher in play-based pedagogy and the fear of hijacking play’, Early Education and Development, 28(3), pp. 274–289. Available at: https://doi.org/10.1080/10409289.2016.1220771.</w:t>
      </w:r>
    </w:p>
    <w:p w14:paraId="3237CCDE" w14:textId="77777777" w:rsidR="00CD32BA" w:rsidRDefault="00597845">
      <w:pPr>
        <w:spacing w:after="120" w:line="276" w:lineRule="auto"/>
        <w:ind w:left="720" w:hanging="720"/>
      </w:pPr>
      <w:r>
        <w:rPr>
          <w:sz w:val="22"/>
          <w:szCs w:val="22"/>
        </w:rPr>
        <w:t xml:space="preserve">Vygotsky, L.S. (1978) </w:t>
      </w:r>
      <w:r>
        <w:rPr>
          <w:i/>
          <w:iCs/>
          <w:sz w:val="22"/>
          <w:szCs w:val="22"/>
        </w:rPr>
        <w:t>Mind in society: the development of higher psychological processes</w:t>
      </w:r>
      <w:r>
        <w:rPr>
          <w:sz w:val="22"/>
          <w:szCs w:val="22"/>
        </w:rPr>
        <w:t xml:space="preserve">. Edited by M. Cole, V. John-Steiner, S. Scribner and E. </w:t>
      </w:r>
      <w:proofErr w:type="spellStart"/>
      <w:r>
        <w:rPr>
          <w:sz w:val="22"/>
          <w:szCs w:val="22"/>
        </w:rPr>
        <w:t>Souberman</w:t>
      </w:r>
      <w:proofErr w:type="spellEnd"/>
      <w:r>
        <w:rPr>
          <w:sz w:val="22"/>
          <w:szCs w:val="22"/>
        </w:rPr>
        <w:t>. Cambridge, MA: Harvard University Press.</w:t>
      </w:r>
    </w:p>
    <w:p w14:paraId="21BB3B17" w14:textId="77777777" w:rsidR="00CD32BA" w:rsidRDefault="00597845">
      <w:pPr>
        <w:spacing w:after="120" w:line="276" w:lineRule="auto"/>
        <w:ind w:left="720" w:hanging="720"/>
      </w:pPr>
      <w:r>
        <w:t>Welsh Government (2015) Foundation phase framework (revised 2015). Cardiff: Welsh Government. Available at: https://www.gov.wales/sites/default/files/publications/2018-02/foundation-phase-framework-revised-2015.pdf.</w:t>
      </w:r>
    </w:p>
    <w:p w14:paraId="26D69E0D" w14:textId="77777777" w:rsidR="00CD32BA" w:rsidRDefault="00597845">
      <w:pPr>
        <w:spacing w:after="120" w:line="276" w:lineRule="auto"/>
        <w:ind w:left="720" w:hanging="720"/>
      </w:pPr>
      <w:r>
        <w:t>Welsh Government (2021) The additional learning needs code for Wales 2021. Cardiff: Welsh Government. Available at: https://www.gov.wales/additional-learning-needs-code.</w:t>
      </w:r>
    </w:p>
    <w:p w14:paraId="127A1126" w14:textId="5A2DABF9" w:rsidR="00CD32BA" w:rsidRDefault="00597845">
      <w:pPr>
        <w:spacing w:after="120" w:line="276" w:lineRule="auto"/>
        <w:ind w:left="720" w:hanging="720"/>
      </w:pPr>
      <w:r>
        <w:t xml:space="preserve">Welsh Government (2022) Curriculum for Wales: statutory guidance. Cardiff: Welsh Government. Available at: </w:t>
      </w:r>
      <w:hyperlink r:id="rId8" w:history="1">
        <w:r w:rsidR="00110B5E" w:rsidRPr="00ED35B6">
          <w:rPr>
            <w:rStyle w:val="Hyperlink"/>
          </w:rPr>
          <w:t>https://www.gov.wales/curriculum-wales-statutory-guidance</w:t>
        </w:r>
      </w:hyperlink>
      <w:r w:rsidR="00110B5E">
        <w:t xml:space="preserve"> </w:t>
      </w:r>
      <w:r w:rsidR="00110B5E">
        <w:rPr>
          <w:sz w:val="22"/>
          <w:szCs w:val="22"/>
        </w:rPr>
        <w:t>(Accessed:</w:t>
      </w:r>
      <w:r w:rsidR="00110B5E">
        <w:rPr>
          <w:color w:val="000000"/>
        </w:rPr>
        <w:t>10</w:t>
      </w:r>
      <w:r w:rsidR="00110B5E">
        <w:rPr>
          <w:rStyle w:val="apple-converted-space"/>
          <w:color w:val="000000"/>
        </w:rPr>
        <w:t> </w:t>
      </w:r>
      <w:r w:rsidR="00110B5E">
        <w:rPr>
          <w:color w:val="000000"/>
        </w:rPr>
        <w:t>October</w:t>
      </w:r>
      <w:r w:rsidR="00110B5E">
        <w:rPr>
          <w:rStyle w:val="apple-converted-space"/>
          <w:color w:val="000000"/>
        </w:rPr>
        <w:t> </w:t>
      </w:r>
      <w:r w:rsidR="00110B5E">
        <w:rPr>
          <w:color w:val="000000"/>
        </w:rPr>
        <w:t>2026</w:t>
      </w:r>
      <w:r w:rsidR="00110B5E">
        <w:rPr>
          <w:sz w:val="22"/>
          <w:szCs w:val="22"/>
        </w:rPr>
        <w:t>)</w:t>
      </w:r>
      <w:r>
        <w:t>.</w:t>
      </w:r>
      <w:r w:rsidR="00110B5E" w:rsidRPr="00110B5E">
        <w:rPr>
          <w:sz w:val="22"/>
          <w:szCs w:val="22"/>
        </w:rPr>
        <w:t xml:space="preserve"> </w:t>
      </w:r>
    </w:p>
    <w:p w14:paraId="6FF089A9" w14:textId="77777777" w:rsidR="00CD32BA" w:rsidRDefault="00597845">
      <w:pPr>
        <w:spacing w:after="120" w:line="276" w:lineRule="auto"/>
        <w:ind w:left="720" w:hanging="720"/>
      </w:pPr>
      <w:r>
        <w:rPr>
          <w:sz w:val="22"/>
          <w:szCs w:val="22"/>
        </w:rPr>
        <w:t xml:space="preserve">Wood, D., Bruner, J.S. and Ross, G. (1976) ‘The role of tutoring in problem solving’, </w:t>
      </w:r>
      <w:r>
        <w:rPr>
          <w:i/>
          <w:iCs/>
          <w:sz w:val="22"/>
          <w:szCs w:val="22"/>
        </w:rPr>
        <w:t>Journal of Child Psychology and Psychiatry</w:t>
      </w:r>
      <w:r>
        <w:rPr>
          <w:sz w:val="22"/>
          <w:szCs w:val="22"/>
        </w:rPr>
        <w:t>, 17(2), pp. 89-100.</w:t>
      </w:r>
    </w:p>
    <w:sectPr w:rsidR="00CD32BA">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89FD7" w14:textId="77777777" w:rsidR="00421FCC" w:rsidRDefault="00421FCC">
      <w:r>
        <w:separator/>
      </w:r>
    </w:p>
  </w:endnote>
  <w:endnote w:type="continuationSeparator" w:id="0">
    <w:p w14:paraId="7C25D53E" w14:textId="77777777" w:rsidR="00421FCC" w:rsidRDefault="00421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610C0" w14:textId="77777777" w:rsidR="00CD32BA" w:rsidRDefault="00597845">
    <w:pPr>
      <w:jc w:val="center"/>
    </w:pPr>
    <w:r>
      <w:rPr>
        <w:sz w:val="20"/>
        <w:szCs w:val="20"/>
      </w:rPr>
      <w:fldChar w:fldCharType="begin"/>
    </w:r>
    <w:r>
      <w:rPr>
        <w:sz w:val="20"/>
        <w:szCs w:val="20"/>
      </w:rPr>
      <w:instrText>PAGE</w:instrText>
    </w:r>
    <w:r>
      <w:rPr>
        <w:sz w:val="20"/>
        <w:szCs w:val="20"/>
      </w:rPr>
      <w:fldChar w:fldCharType="separate"/>
    </w:r>
    <w:r w:rsidR="0054224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DFFDA" w14:textId="77777777" w:rsidR="00421FCC" w:rsidRDefault="00421FCC">
      <w:r>
        <w:separator/>
      </w:r>
    </w:p>
  </w:footnote>
  <w:footnote w:type="continuationSeparator" w:id="0">
    <w:p w14:paraId="187B981F" w14:textId="77777777" w:rsidR="00421FCC" w:rsidRDefault="00421F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B3128D"/>
    <w:multiLevelType w:val="hybridMultilevel"/>
    <w:tmpl w:val="CDC6D97C"/>
    <w:lvl w:ilvl="0" w:tplc="04849058">
      <w:start w:val="1"/>
      <w:numFmt w:val="bullet"/>
      <w:lvlText w:val="●"/>
      <w:lvlJc w:val="left"/>
      <w:pPr>
        <w:ind w:left="720" w:hanging="360"/>
      </w:pPr>
    </w:lvl>
    <w:lvl w:ilvl="1" w:tplc="EB5A835C">
      <w:start w:val="1"/>
      <w:numFmt w:val="bullet"/>
      <w:lvlText w:val="○"/>
      <w:lvlJc w:val="left"/>
      <w:pPr>
        <w:ind w:left="1440" w:hanging="360"/>
      </w:pPr>
    </w:lvl>
    <w:lvl w:ilvl="2" w:tplc="F5429120">
      <w:start w:val="1"/>
      <w:numFmt w:val="bullet"/>
      <w:lvlText w:val="■"/>
      <w:lvlJc w:val="left"/>
      <w:pPr>
        <w:ind w:left="2160" w:hanging="360"/>
      </w:pPr>
    </w:lvl>
    <w:lvl w:ilvl="3" w:tplc="EB2EE080">
      <w:start w:val="1"/>
      <w:numFmt w:val="bullet"/>
      <w:lvlText w:val="●"/>
      <w:lvlJc w:val="left"/>
      <w:pPr>
        <w:ind w:left="2880" w:hanging="360"/>
      </w:pPr>
    </w:lvl>
    <w:lvl w:ilvl="4" w:tplc="3B96725A">
      <w:start w:val="1"/>
      <w:numFmt w:val="bullet"/>
      <w:lvlText w:val="○"/>
      <w:lvlJc w:val="left"/>
      <w:pPr>
        <w:ind w:left="3600" w:hanging="360"/>
      </w:pPr>
    </w:lvl>
    <w:lvl w:ilvl="5" w:tplc="4A46B206">
      <w:start w:val="1"/>
      <w:numFmt w:val="bullet"/>
      <w:lvlText w:val="■"/>
      <w:lvlJc w:val="left"/>
      <w:pPr>
        <w:ind w:left="4320" w:hanging="360"/>
      </w:pPr>
    </w:lvl>
    <w:lvl w:ilvl="6" w:tplc="05D05764">
      <w:start w:val="1"/>
      <w:numFmt w:val="bullet"/>
      <w:lvlText w:val="●"/>
      <w:lvlJc w:val="left"/>
      <w:pPr>
        <w:ind w:left="5040" w:hanging="360"/>
      </w:pPr>
    </w:lvl>
    <w:lvl w:ilvl="7" w:tplc="FCD05886">
      <w:start w:val="1"/>
      <w:numFmt w:val="bullet"/>
      <w:lvlText w:val="●"/>
      <w:lvlJc w:val="left"/>
      <w:pPr>
        <w:ind w:left="5760" w:hanging="360"/>
      </w:pPr>
    </w:lvl>
    <w:lvl w:ilvl="8" w:tplc="6A14EC48">
      <w:start w:val="1"/>
      <w:numFmt w:val="bullet"/>
      <w:lvlText w:val="●"/>
      <w:lvlJc w:val="left"/>
      <w:pPr>
        <w:ind w:left="6480" w:hanging="360"/>
      </w:pPr>
    </w:lvl>
  </w:abstractNum>
  <w:num w:numId="1" w16cid:durableId="54093966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2BA"/>
    <w:rsid w:val="00110B5E"/>
    <w:rsid w:val="00171451"/>
    <w:rsid w:val="00236238"/>
    <w:rsid w:val="00294F98"/>
    <w:rsid w:val="003037F6"/>
    <w:rsid w:val="003D5AFF"/>
    <w:rsid w:val="00421FCC"/>
    <w:rsid w:val="004E2645"/>
    <w:rsid w:val="004F36D5"/>
    <w:rsid w:val="00542244"/>
    <w:rsid w:val="00597845"/>
    <w:rsid w:val="005C7D41"/>
    <w:rsid w:val="00647328"/>
    <w:rsid w:val="00665970"/>
    <w:rsid w:val="006863A2"/>
    <w:rsid w:val="0082730F"/>
    <w:rsid w:val="008668D8"/>
    <w:rsid w:val="008B0AEC"/>
    <w:rsid w:val="008B1DFC"/>
    <w:rsid w:val="009D06F6"/>
    <w:rsid w:val="00A76AB5"/>
    <w:rsid w:val="00AF15E4"/>
    <w:rsid w:val="00B67CD6"/>
    <w:rsid w:val="00C3700C"/>
    <w:rsid w:val="00C50D13"/>
    <w:rsid w:val="00CC0440"/>
    <w:rsid w:val="00CD32BA"/>
    <w:rsid w:val="00D031DE"/>
    <w:rsid w:val="00D6732F"/>
    <w:rsid w:val="00D818DF"/>
    <w:rsid w:val="00E37DB5"/>
    <w:rsid w:val="00F0186A"/>
    <w:rsid w:val="00FE1F5E"/>
    <w:rsid w:val="00FE6D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F895710"/>
  <w15:docId w15:val="{DB11A546-C094-D042-BC04-A41B328E9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sz w:val="30"/>
      <w:szCs w:val="30"/>
    </w:rPr>
  </w:style>
  <w:style w:type="paragraph" w:styleId="Heading2">
    <w:name w:val="heading 2"/>
    <w:uiPriority w:val="9"/>
    <w:unhideWhenUsed/>
    <w:qFormat/>
    <w:pPr>
      <w:spacing w:before="280" w:after="14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82730F"/>
    <w:pPr>
      <w:spacing w:before="100" w:beforeAutospacing="1" w:after="100" w:afterAutospacing="1"/>
    </w:pPr>
  </w:style>
  <w:style w:type="character" w:customStyle="1" w:styleId="apple-converted-space">
    <w:name w:val="apple-converted-space"/>
    <w:basedOn w:val="DefaultParagraphFont"/>
    <w:rsid w:val="0082730F"/>
  </w:style>
  <w:style w:type="character" w:styleId="UnresolvedMention">
    <w:name w:val="Unresolved Mention"/>
    <w:basedOn w:val="DefaultParagraphFont"/>
    <w:uiPriority w:val="99"/>
    <w:semiHidden/>
    <w:unhideWhenUsed/>
    <w:rsid w:val="00110B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wales/curriculum-wales-statutory-guidanc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33</Pages>
  <Words>11268</Words>
  <Characters>64232</Characters>
  <Application>Microsoft Office Word</Application>
  <DocSecurity>0</DocSecurity>
  <Lines>535</Lines>
  <Paragraphs>150</Paragraphs>
  <ScaleCrop>false</ScaleCrop>
  <Company/>
  <LinksUpToDate>false</LinksUpToDate>
  <CharactersWithSpaces>75350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Inam Alsalim (2502495)</cp:lastModifiedBy>
  <cp:revision>4</cp:revision>
  <dcterms:created xsi:type="dcterms:W3CDTF">2026-10-16T13:56:00Z</dcterms:created>
  <dcterms:modified xsi:type="dcterms:W3CDTF">2026-10-16T13:58:00Z</dcterms:modified>
</cp:coreProperties>
</file>