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83EB70" w14:textId="4851889A" w:rsidR="00E522AD" w:rsidRDefault="00E522AD" w:rsidP="00E522AD">
      <w:r w:rsidRPr="00E522AD">
        <w:rPr>
          <w:noProof/>
        </w:rPr>
        <w:drawing>
          <wp:inline distT="0" distB="0" distL="0" distR="0" wp14:anchorId="7AF25B2D" wp14:editId="3EDD8AB0">
            <wp:extent cx="2216150" cy="844281"/>
            <wp:effectExtent l="0" t="0" r="0" b="0"/>
            <wp:docPr id="12745935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593567" name=""/>
                    <pic:cNvPicPr/>
                  </pic:nvPicPr>
                  <pic:blipFill>
                    <a:blip r:embed="rId7"/>
                    <a:stretch>
                      <a:fillRect/>
                    </a:stretch>
                  </pic:blipFill>
                  <pic:spPr>
                    <a:xfrm>
                      <a:off x="0" y="0"/>
                      <a:ext cx="2224364" cy="847410"/>
                    </a:xfrm>
                    <a:prstGeom prst="rect">
                      <a:avLst/>
                    </a:prstGeom>
                  </pic:spPr>
                </pic:pic>
              </a:graphicData>
            </a:graphic>
          </wp:inline>
        </w:drawing>
      </w:r>
    </w:p>
    <w:p w14:paraId="2BE4E7B9" w14:textId="77777777" w:rsidR="00E522AD" w:rsidRDefault="00E522AD" w:rsidP="00E522AD"/>
    <w:p w14:paraId="67C32834" w14:textId="354F0E93" w:rsidR="00E522AD" w:rsidRPr="00E522AD" w:rsidRDefault="00E522AD" w:rsidP="00E522AD">
      <w:pPr>
        <w:jc w:val="center"/>
        <w:rPr>
          <w:rFonts w:ascii="Arial" w:hAnsi="Arial" w:cs="Arial"/>
          <w:b/>
          <w:bCs/>
          <w:sz w:val="32"/>
          <w:szCs w:val="32"/>
        </w:rPr>
      </w:pPr>
      <w:r w:rsidRPr="00E522AD">
        <w:rPr>
          <w:rFonts w:ascii="Arial" w:hAnsi="Arial" w:cs="Arial"/>
          <w:b/>
          <w:bCs/>
          <w:sz w:val="32"/>
          <w:szCs w:val="32"/>
        </w:rPr>
        <w:t xml:space="preserve">Program: </w:t>
      </w:r>
      <w:r w:rsidRPr="00E522AD">
        <w:rPr>
          <w:rFonts w:ascii="Arial" w:hAnsi="Arial" w:cs="Arial"/>
          <w:b/>
          <w:bCs/>
          <w:i/>
          <w:iCs/>
          <w:sz w:val="32"/>
          <w:szCs w:val="32"/>
        </w:rPr>
        <w:t>BSc Health and Social Care</w:t>
      </w:r>
    </w:p>
    <w:p w14:paraId="44EA4049" w14:textId="77777777" w:rsidR="00E522AD" w:rsidRPr="00E522AD" w:rsidRDefault="00E522AD" w:rsidP="00E522AD">
      <w:pPr>
        <w:jc w:val="center"/>
        <w:rPr>
          <w:rFonts w:ascii="Arial" w:hAnsi="Arial" w:cs="Arial"/>
          <w:b/>
          <w:bCs/>
          <w:sz w:val="32"/>
          <w:szCs w:val="32"/>
        </w:rPr>
      </w:pPr>
      <w:r w:rsidRPr="00E522AD">
        <w:rPr>
          <w:rFonts w:ascii="Arial" w:hAnsi="Arial" w:cs="Arial"/>
          <w:b/>
          <w:bCs/>
          <w:sz w:val="32"/>
          <w:szCs w:val="32"/>
        </w:rPr>
        <w:t xml:space="preserve">Module: </w:t>
      </w:r>
      <w:r w:rsidRPr="00E522AD">
        <w:rPr>
          <w:rFonts w:ascii="Arial" w:hAnsi="Arial" w:cs="Arial"/>
          <w:b/>
          <w:bCs/>
          <w:i/>
          <w:iCs/>
          <w:sz w:val="32"/>
          <w:szCs w:val="32"/>
        </w:rPr>
        <w:t>Introduction to Independent Research Skills</w:t>
      </w:r>
    </w:p>
    <w:p w14:paraId="204452D1" w14:textId="2AC95BD4" w:rsidR="00E522AD" w:rsidRPr="009B45AA" w:rsidRDefault="00E522AD" w:rsidP="009B45AA">
      <w:pPr>
        <w:jc w:val="center"/>
        <w:rPr>
          <w:rFonts w:ascii="Arial" w:hAnsi="Arial" w:cs="Arial"/>
          <w:b/>
          <w:bCs/>
          <w:sz w:val="32"/>
          <w:szCs w:val="32"/>
        </w:rPr>
      </w:pPr>
      <w:r w:rsidRPr="00E522AD">
        <w:rPr>
          <w:rFonts w:ascii="Arial" w:hAnsi="Arial" w:cs="Arial"/>
          <w:b/>
          <w:bCs/>
          <w:sz w:val="32"/>
          <w:szCs w:val="32"/>
        </w:rPr>
        <w:t xml:space="preserve">Module Code: </w:t>
      </w:r>
      <w:r w:rsidRPr="00E522AD">
        <w:rPr>
          <w:rFonts w:ascii="Arial" w:hAnsi="Arial" w:cs="Arial"/>
          <w:b/>
          <w:bCs/>
          <w:i/>
          <w:iCs/>
          <w:sz w:val="32"/>
          <w:szCs w:val="32"/>
        </w:rPr>
        <w:t>BMHP5019</w:t>
      </w:r>
    </w:p>
    <w:p w14:paraId="2D1B02CD" w14:textId="77777777" w:rsidR="00E522AD" w:rsidRDefault="00E522AD" w:rsidP="00E522AD">
      <w:pPr>
        <w:jc w:val="center"/>
        <w:rPr>
          <w:b/>
          <w:bCs/>
        </w:rPr>
      </w:pPr>
    </w:p>
    <w:p w14:paraId="3B6BD9D9" w14:textId="77777777" w:rsidR="00E522AD" w:rsidRDefault="00E522AD" w:rsidP="00E522AD">
      <w:pPr>
        <w:jc w:val="center"/>
        <w:rPr>
          <w:b/>
          <w:bCs/>
        </w:rPr>
      </w:pPr>
    </w:p>
    <w:p w14:paraId="4B0DC9ED" w14:textId="77777777" w:rsidR="00E522AD" w:rsidRPr="00E522AD" w:rsidRDefault="00E522AD" w:rsidP="00E522AD">
      <w:pPr>
        <w:jc w:val="center"/>
        <w:rPr>
          <w:b/>
          <w:bCs/>
        </w:rPr>
      </w:pPr>
    </w:p>
    <w:p w14:paraId="28E2C456" w14:textId="34EBFC49" w:rsidR="00E522AD" w:rsidRPr="00565009" w:rsidRDefault="00E522AD" w:rsidP="00E522AD">
      <w:pPr>
        <w:jc w:val="center"/>
        <w:rPr>
          <w:rFonts w:ascii="Arial" w:hAnsi="Arial" w:cs="Arial"/>
          <w:i/>
          <w:iCs/>
          <w:sz w:val="40"/>
          <w:szCs w:val="40"/>
        </w:rPr>
      </w:pPr>
      <w:r w:rsidRPr="00565009">
        <w:rPr>
          <w:rFonts w:ascii="Arial" w:hAnsi="Arial" w:cs="Arial"/>
          <w:i/>
          <w:iCs/>
          <w:sz w:val="40"/>
          <w:szCs w:val="40"/>
        </w:rPr>
        <w:t>Digital Health Interventions for Type 2 Diabetes Self-Management in UK Primary Care: A Scoping Review</w:t>
      </w:r>
    </w:p>
    <w:p w14:paraId="61AE6DC1" w14:textId="77777777" w:rsidR="00E522AD" w:rsidRDefault="00E522AD" w:rsidP="009B45AA">
      <w:pPr>
        <w:rPr>
          <w:b/>
          <w:bCs/>
        </w:rPr>
      </w:pPr>
    </w:p>
    <w:p w14:paraId="3CB6F820" w14:textId="77777777" w:rsidR="00E522AD" w:rsidRDefault="00E522AD" w:rsidP="00E522AD">
      <w:pPr>
        <w:jc w:val="center"/>
        <w:rPr>
          <w:b/>
          <w:bCs/>
        </w:rPr>
      </w:pPr>
    </w:p>
    <w:p w14:paraId="485BCEA1" w14:textId="77777777" w:rsidR="00E522AD" w:rsidRDefault="00E522AD" w:rsidP="00E522AD">
      <w:pPr>
        <w:jc w:val="center"/>
        <w:rPr>
          <w:b/>
          <w:bCs/>
        </w:rPr>
      </w:pPr>
    </w:p>
    <w:p w14:paraId="3EA3AE9E" w14:textId="77777777" w:rsidR="00E522AD" w:rsidRPr="00E522AD" w:rsidRDefault="00E522AD" w:rsidP="00E522AD">
      <w:pPr>
        <w:jc w:val="center"/>
        <w:rPr>
          <w:b/>
          <w:bCs/>
        </w:rPr>
      </w:pPr>
    </w:p>
    <w:p w14:paraId="7AFF662B" w14:textId="43E6258E" w:rsidR="00E522AD" w:rsidRPr="00E522AD" w:rsidRDefault="00E522AD" w:rsidP="00E522AD">
      <w:pPr>
        <w:jc w:val="center"/>
        <w:rPr>
          <w:rFonts w:ascii="Arial" w:hAnsi="Arial" w:cs="Arial"/>
        </w:rPr>
      </w:pPr>
      <w:r w:rsidRPr="00E522AD">
        <w:rPr>
          <w:rFonts w:ascii="Arial" w:hAnsi="Arial" w:cs="Arial"/>
        </w:rPr>
        <w:t>Student’s Nam</w:t>
      </w:r>
      <w:r w:rsidR="009B45AA">
        <w:rPr>
          <w:rFonts w:ascii="Arial" w:hAnsi="Arial" w:cs="Arial"/>
        </w:rPr>
        <w:t xml:space="preserve">e: </w:t>
      </w:r>
      <w:r w:rsidR="00B55DFD">
        <w:rPr>
          <w:rFonts w:ascii="Arial" w:hAnsi="Arial" w:cs="Arial"/>
        </w:rPr>
        <w:t>Rogers Nyanga</w:t>
      </w:r>
    </w:p>
    <w:p w14:paraId="7218289D" w14:textId="252F4651" w:rsidR="00E522AD" w:rsidRDefault="00E522AD" w:rsidP="00E522AD">
      <w:pPr>
        <w:jc w:val="center"/>
        <w:rPr>
          <w:rFonts w:ascii="Arial" w:hAnsi="Arial" w:cs="Arial"/>
        </w:rPr>
      </w:pPr>
      <w:proofErr w:type="gramStart"/>
      <w:r w:rsidRPr="00E522AD">
        <w:rPr>
          <w:rFonts w:ascii="Arial" w:hAnsi="Arial" w:cs="Arial"/>
        </w:rPr>
        <w:t xml:space="preserve">Student’s </w:t>
      </w:r>
      <w:r w:rsidR="009B45AA">
        <w:rPr>
          <w:rFonts w:ascii="Arial" w:hAnsi="Arial" w:cs="Arial"/>
        </w:rPr>
        <w:t xml:space="preserve"> </w:t>
      </w:r>
      <w:proofErr w:type="gramEnd"/>
      <w:r w:rsidR="009B45AA">
        <w:rPr>
          <w:rFonts w:ascii="Arial" w:hAnsi="Arial" w:cs="Arial"/>
        </w:rPr>
        <w:t xml:space="preserve"> </w:t>
      </w:r>
      <w:r w:rsidR="00B55DFD">
        <w:rPr>
          <w:rFonts w:ascii="Arial" w:hAnsi="Arial" w:cs="Arial"/>
        </w:rPr>
        <w:t>2309150</w:t>
      </w:r>
    </w:p>
    <w:p w14:paraId="31F9468A" w14:textId="7D42F06F" w:rsidR="009B45AA" w:rsidRDefault="009B45AA" w:rsidP="00E522AD">
      <w:pPr>
        <w:jc w:val="center"/>
        <w:rPr>
          <w:rFonts w:ascii="Arial" w:hAnsi="Arial" w:cs="Arial"/>
        </w:rPr>
      </w:pPr>
      <w:r>
        <w:rPr>
          <w:rFonts w:ascii="Arial" w:hAnsi="Arial" w:cs="Arial"/>
        </w:rPr>
        <w:t xml:space="preserve">Module </w:t>
      </w:r>
      <w:proofErr w:type="gramStart"/>
      <w:r>
        <w:rPr>
          <w:rFonts w:ascii="Arial" w:hAnsi="Arial" w:cs="Arial"/>
        </w:rPr>
        <w:t>Code:</w:t>
      </w:r>
      <w:r w:rsidR="00B55DFD">
        <w:rPr>
          <w:rFonts w:ascii="Arial" w:hAnsi="Arial" w:cs="Arial"/>
        </w:rPr>
        <w:t>BMHP</w:t>
      </w:r>
      <w:proofErr w:type="gramEnd"/>
      <w:r w:rsidR="00B55DFD">
        <w:rPr>
          <w:rFonts w:ascii="Arial" w:hAnsi="Arial" w:cs="Arial"/>
        </w:rPr>
        <w:t>5019</w:t>
      </w:r>
    </w:p>
    <w:p w14:paraId="2785BA44" w14:textId="0E355507" w:rsidR="009B45AA" w:rsidRPr="009B45AA" w:rsidRDefault="009B45AA" w:rsidP="009B45AA">
      <w:pPr>
        <w:jc w:val="center"/>
        <w:rPr>
          <w:rFonts w:ascii="Arial" w:hAnsi="Arial" w:cs="Arial"/>
          <w:b/>
          <w:bCs/>
          <w:sz w:val="28"/>
          <w:szCs w:val="28"/>
        </w:rPr>
      </w:pPr>
      <w:r w:rsidRPr="009B45AA">
        <w:rPr>
          <w:rFonts w:ascii="Arial" w:hAnsi="Arial" w:cs="Arial"/>
          <w:bCs/>
          <w:sz w:val="28"/>
          <w:szCs w:val="28"/>
        </w:rPr>
        <w:t>Title</w:t>
      </w:r>
      <w:r w:rsidRPr="00E522AD">
        <w:rPr>
          <w:rFonts w:ascii="Arial" w:hAnsi="Arial" w:cs="Arial"/>
          <w:b/>
          <w:bCs/>
          <w:sz w:val="28"/>
          <w:szCs w:val="28"/>
        </w:rPr>
        <w:t xml:space="preserve">: </w:t>
      </w:r>
      <w:r w:rsidRPr="00E522AD">
        <w:rPr>
          <w:rFonts w:ascii="Arial" w:hAnsi="Arial" w:cs="Arial"/>
          <w:sz w:val="28"/>
          <w:szCs w:val="28"/>
        </w:rPr>
        <w:t>Written Assignment (Research Report)</w:t>
      </w:r>
    </w:p>
    <w:p w14:paraId="48FF0E30" w14:textId="68F7AEEC" w:rsidR="009B45AA" w:rsidRPr="00E522AD" w:rsidRDefault="009B45AA" w:rsidP="009B45AA">
      <w:pPr>
        <w:jc w:val="center"/>
        <w:rPr>
          <w:rFonts w:ascii="Arial" w:hAnsi="Arial" w:cs="Arial"/>
          <w:b/>
          <w:bCs/>
          <w:sz w:val="28"/>
          <w:szCs w:val="28"/>
        </w:rPr>
      </w:pPr>
      <w:r w:rsidRPr="009B45AA">
        <w:rPr>
          <w:rFonts w:ascii="Arial" w:hAnsi="Arial" w:cs="Arial"/>
          <w:bCs/>
          <w:sz w:val="28"/>
          <w:szCs w:val="28"/>
        </w:rPr>
        <w:t>Assignment</w:t>
      </w:r>
      <w:r w:rsidRPr="00E522AD">
        <w:rPr>
          <w:rFonts w:ascii="Arial" w:hAnsi="Arial" w:cs="Arial"/>
          <w:b/>
          <w:bCs/>
          <w:sz w:val="28"/>
          <w:szCs w:val="28"/>
        </w:rPr>
        <w:t xml:space="preserve">: </w:t>
      </w:r>
      <w:r w:rsidRPr="00E522AD">
        <w:rPr>
          <w:rFonts w:ascii="Arial" w:hAnsi="Arial" w:cs="Arial"/>
          <w:sz w:val="28"/>
          <w:szCs w:val="28"/>
        </w:rPr>
        <w:t>Component 2</w:t>
      </w:r>
      <w:r w:rsidR="004327C1">
        <w:rPr>
          <w:rFonts w:ascii="Arial" w:hAnsi="Arial" w:cs="Arial"/>
          <w:sz w:val="28"/>
          <w:szCs w:val="28"/>
        </w:rPr>
        <w:br/>
        <w:t xml:space="preserve">Lecturer Name: </w:t>
      </w:r>
      <w:r w:rsidR="00B55DFD">
        <w:rPr>
          <w:rFonts w:ascii="Arial" w:hAnsi="Arial" w:cs="Arial"/>
          <w:sz w:val="28"/>
          <w:szCs w:val="28"/>
        </w:rPr>
        <w:t>RIZWAN NADIM</w:t>
      </w:r>
    </w:p>
    <w:p w14:paraId="4E6BE874" w14:textId="65AF3947" w:rsidR="009B45AA" w:rsidRDefault="009B45AA" w:rsidP="00E522AD">
      <w:pPr>
        <w:jc w:val="center"/>
        <w:rPr>
          <w:rFonts w:ascii="Arial" w:hAnsi="Arial" w:cs="Arial"/>
        </w:rPr>
      </w:pPr>
      <w:r>
        <w:rPr>
          <w:rFonts w:ascii="Arial" w:hAnsi="Arial" w:cs="Arial"/>
          <w:b/>
          <w:bCs/>
          <w:sz w:val="28"/>
          <w:szCs w:val="28"/>
        </w:rPr>
        <w:tab/>
      </w:r>
    </w:p>
    <w:p w14:paraId="3C781AC0" w14:textId="66A71EA0" w:rsidR="009B45AA" w:rsidRDefault="009B45AA" w:rsidP="00E522AD">
      <w:pPr>
        <w:jc w:val="center"/>
        <w:rPr>
          <w:rFonts w:ascii="Arial" w:hAnsi="Arial" w:cs="Arial"/>
        </w:rPr>
      </w:pPr>
    </w:p>
    <w:p w14:paraId="344EC907" w14:textId="4D82D068" w:rsidR="009B45AA" w:rsidRDefault="009B45AA" w:rsidP="00E522AD">
      <w:pPr>
        <w:jc w:val="center"/>
        <w:rPr>
          <w:rFonts w:ascii="Arial" w:hAnsi="Arial" w:cs="Arial"/>
        </w:rPr>
      </w:pPr>
    </w:p>
    <w:p w14:paraId="2E820ED5" w14:textId="4E7FCE2E" w:rsidR="009B45AA" w:rsidRDefault="009B45AA" w:rsidP="00E522AD">
      <w:pPr>
        <w:jc w:val="center"/>
        <w:rPr>
          <w:rFonts w:ascii="Arial" w:hAnsi="Arial" w:cs="Arial"/>
        </w:rPr>
      </w:pPr>
    </w:p>
    <w:p w14:paraId="18159B85" w14:textId="0FFC0ADF" w:rsidR="009B45AA" w:rsidRDefault="009B45AA" w:rsidP="00E522AD">
      <w:pPr>
        <w:jc w:val="center"/>
        <w:rPr>
          <w:rFonts w:ascii="Arial" w:hAnsi="Arial" w:cs="Arial"/>
        </w:rPr>
      </w:pPr>
    </w:p>
    <w:p w14:paraId="5339C069" w14:textId="69976D36" w:rsidR="009B45AA" w:rsidRDefault="009B45AA" w:rsidP="00E522AD">
      <w:pPr>
        <w:jc w:val="center"/>
        <w:rPr>
          <w:rFonts w:ascii="Arial" w:hAnsi="Arial" w:cs="Arial"/>
        </w:rPr>
      </w:pPr>
    </w:p>
    <w:p w14:paraId="71458E20" w14:textId="77777777" w:rsidR="009B45AA" w:rsidRPr="00E522AD" w:rsidRDefault="009B45AA" w:rsidP="00E522AD">
      <w:pPr>
        <w:jc w:val="center"/>
        <w:rPr>
          <w:rFonts w:ascii="Arial" w:hAnsi="Arial" w:cs="Arial"/>
        </w:rPr>
      </w:pPr>
    </w:p>
    <w:sdt>
      <w:sdtPr>
        <w:rPr>
          <w:rFonts w:asciiTheme="minorHAnsi" w:eastAsiaTheme="minorHAnsi" w:hAnsiTheme="minorHAnsi" w:cstheme="minorBidi"/>
          <w:color w:val="auto"/>
          <w:kern w:val="2"/>
          <w:sz w:val="24"/>
          <w:szCs w:val="24"/>
          <w14:ligatures w14:val="standardContextual"/>
        </w:rPr>
        <w:id w:val="-1082071442"/>
        <w:docPartObj>
          <w:docPartGallery w:val="Table of Contents"/>
          <w:docPartUnique/>
        </w:docPartObj>
      </w:sdtPr>
      <w:sdtEndPr>
        <w:rPr>
          <w:b/>
          <w:bCs/>
          <w:noProof/>
        </w:rPr>
      </w:sdtEndPr>
      <w:sdtContent>
        <w:p w14:paraId="1F43AF2A" w14:textId="21C3632D" w:rsidR="00AE1381" w:rsidRPr="00AE1381" w:rsidRDefault="00AE1381" w:rsidP="00AE1381">
          <w:pPr>
            <w:pStyle w:val="TOCHeading"/>
            <w:jc w:val="center"/>
            <w:rPr>
              <w:rFonts w:ascii="Arial" w:hAnsi="Arial" w:cs="Arial"/>
              <w:b/>
              <w:bCs/>
              <w:color w:val="000000" w:themeColor="text1"/>
            </w:rPr>
          </w:pPr>
          <w:r w:rsidRPr="00AE1381">
            <w:rPr>
              <w:rFonts w:ascii="Arial" w:hAnsi="Arial" w:cs="Arial"/>
              <w:b/>
              <w:bCs/>
              <w:color w:val="000000" w:themeColor="text1"/>
            </w:rPr>
            <w:t>Table of Contents</w:t>
          </w:r>
        </w:p>
        <w:p w14:paraId="3F530705" w14:textId="77777777" w:rsidR="00AE1381" w:rsidRDefault="00AE1381">
          <w:pPr>
            <w:pStyle w:val="TOC1"/>
            <w:tabs>
              <w:tab w:val="right" w:leader="dot" w:pos="9350"/>
            </w:tabs>
          </w:pPr>
        </w:p>
        <w:p w14:paraId="1442B9C8" w14:textId="3730D54A" w:rsidR="00AE1381" w:rsidRPr="00AE1381" w:rsidRDefault="00AE1381" w:rsidP="00AE1381">
          <w:pPr>
            <w:pStyle w:val="TOC1"/>
            <w:tabs>
              <w:tab w:val="right" w:leader="dot" w:pos="9350"/>
            </w:tabs>
            <w:spacing w:line="360" w:lineRule="auto"/>
            <w:rPr>
              <w:rFonts w:ascii="Arial" w:hAnsi="Arial" w:cs="Arial"/>
              <w:noProof/>
            </w:rPr>
          </w:pPr>
          <w:r>
            <w:fldChar w:fldCharType="begin"/>
          </w:r>
          <w:r>
            <w:instrText xml:space="preserve"> TOC \o "1-3" \h \z \u </w:instrText>
          </w:r>
          <w:r>
            <w:fldChar w:fldCharType="separate"/>
          </w:r>
          <w:hyperlink w:anchor="_Toc224734278" w:history="1">
            <w:r w:rsidRPr="00AE1381">
              <w:rPr>
                <w:rStyle w:val="Hyperlink"/>
                <w:rFonts w:ascii="Arial" w:hAnsi="Arial" w:cs="Arial"/>
                <w:noProof/>
              </w:rPr>
              <w:t>Introduction</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_Toc224734278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3</w:t>
            </w:r>
            <w:r w:rsidRPr="00AE1381">
              <w:rPr>
                <w:rFonts w:ascii="Arial" w:hAnsi="Arial" w:cs="Arial"/>
                <w:noProof/>
                <w:webHidden/>
              </w:rPr>
              <w:fldChar w:fldCharType="end"/>
            </w:r>
          </w:hyperlink>
        </w:p>
        <w:p w14:paraId="5EDDEF71" w14:textId="4EEA8E2E" w:rsidR="00AE1381" w:rsidRPr="00AE1381" w:rsidRDefault="00AE1381" w:rsidP="00AE1381">
          <w:pPr>
            <w:pStyle w:val="TOC2"/>
            <w:tabs>
              <w:tab w:val="right" w:leader="dot" w:pos="9350"/>
            </w:tabs>
            <w:spacing w:line="360" w:lineRule="auto"/>
            <w:rPr>
              <w:rFonts w:ascii="Arial" w:hAnsi="Arial" w:cs="Arial"/>
              <w:i/>
              <w:iCs/>
              <w:noProof/>
            </w:rPr>
          </w:pPr>
          <w:hyperlink w:anchor="_Toc224734279" w:history="1">
            <w:r w:rsidRPr="00AE1381">
              <w:rPr>
                <w:rStyle w:val="Hyperlink"/>
                <w:rFonts w:ascii="Arial" w:hAnsi="Arial" w:cs="Arial"/>
                <w:i/>
                <w:iCs/>
                <w:noProof/>
              </w:rPr>
              <w:t>Rationale</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_Toc224734279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3</w:t>
            </w:r>
            <w:r w:rsidRPr="00AE1381">
              <w:rPr>
                <w:rFonts w:ascii="Arial" w:hAnsi="Arial" w:cs="Arial"/>
                <w:i/>
                <w:iCs/>
                <w:noProof/>
                <w:webHidden/>
              </w:rPr>
              <w:fldChar w:fldCharType="end"/>
            </w:r>
          </w:hyperlink>
        </w:p>
        <w:p w14:paraId="0337AE54" w14:textId="721CDB6B" w:rsidR="00AE1381" w:rsidRPr="00AE1381" w:rsidRDefault="00AE1381" w:rsidP="00AE1381">
          <w:pPr>
            <w:pStyle w:val="TOC2"/>
            <w:tabs>
              <w:tab w:val="right" w:leader="dot" w:pos="9350"/>
            </w:tabs>
            <w:spacing w:line="360" w:lineRule="auto"/>
            <w:rPr>
              <w:rFonts w:ascii="Arial" w:hAnsi="Arial" w:cs="Arial"/>
              <w:i/>
              <w:iCs/>
              <w:noProof/>
            </w:rPr>
          </w:pPr>
          <w:hyperlink w:anchor="_Toc224734280" w:history="1">
            <w:r w:rsidRPr="00AE1381">
              <w:rPr>
                <w:rStyle w:val="Hyperlink"/>
                <w:rFonts w:ascii="Arial" w:hAnsi="Arial" w:cs="Arial"/>
                <w:i/>
                <w:iCs/>
                <w:noProof/>
              </w:rPr>
              <w:t>Aim and Objectives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_Toc224734280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3</w:t>
            </w:r>
            <w:r w:rsidRPr="00AE1381">
              <w:rPr>
                <w:rFonts w:ascii="Arial" w:hAnsi="Arial" w:cs="Arial"/>
                <w:i/>
                <w:iCs/>
                <w:noProof/>
                <w:webHidden/>
              </w:rPr>
              <w:fldChar w:fldCharType="end"/>
            </w:r>
          </w:hyperlink>
        </w:p>
        <w:p w14:paraId="0A276BB0" w14:textId="0DD61369" w:rsidR="00AE1381" w:rsidRPr="00AE1381" w:rsidRDefault="00AE1381" w:rsidP="00AE1381">
          <w:pPr>
            <w:pStyle w:val="TOC2"/>
            <w:tabs>
              <w:tab w:val="right" w:leader="dot" w:pos="9350"/>
            </w:tabs>
            <w:spacing w:line="360" w:lineRule="auto"/>
            <w:rPr>
              <w:rFonts w:ascii="Arial" w:hAnsi="Arial" w:cs="Arial"/>
              <w:i/>
              <w:iCs/>
              <w:noProof/>
            </w:rPr>
          </w:pPr>
          <w:hyperlink w:anchor="_Toc224734281" w:history="1">
            <w:r w:rsidRPr="00AE1381">
              <w:rPr>
                <w:rStyle w:val="Hyperlink"/>
                <w:rFonts w:ascii="Arial" w:hAnsi="Arial" w:cs="Arial"/>
                <w:i/>
                <w:iCs/>
                <w:noProof/>
              </w:rPr>
              <w:t>Review Question</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_Toc224734281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4</w:t>
            </w:r>
            <w:r w:rsidRPr="00AE1381">
              <w:rPr>
                <w:rFonts w:ascii="Arial" w:hAnsi="Arial" w:cs="Arial"/>
                <w:i/>
                <w:iCs/>
                <w:noProof/>
                <w:webHidden/>
              </w:rPr>
              <w:fldChar w:fldCharType="end"/>
            </w:r>
          </w:hyperlink>
        </w:p>
        <w:p w14:paraId="255B07FF" w14:textId="44427599" w:rsidR="00AE1381" w:rsidRPr="00AE1381" w:rsidRDefault="00AE1381" w:rsidP="00AE1381">
          <w:pPr>
            <w:pStyle w:val="TOC1"/>
            <w:tabs>
              <w:tab w:val="right" w:leader="dot" w:pos="9350"/>
            </w:tabs>
            <w:spacing w:line="360" w:lineRule="auto"/>
            <w:rPr>
              <w:rFonts w:ascii="Arial" w:hAnsi="Arial" w:cs="Arial"/>
              <w:noProof/>
            </w:rPr>
          </w:pPr>
          <w:hyperlink w:anchor="_Toc224734282" w:history="1">
            <w:r w:rsidRPr="00AE1381">
              <w:rPr>
                <w:rStyle w:val="Hyperlink"/>
                <w:rFonts w:ascii="Arial" w:hAnsi="Arial" w:cs="Arial"/>
                <w:noProof/>
              </w:rPr>
              <w:t>Background</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_Toc224734282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4</w:t>
            </w:r>
            <w:r w:rsidRPr="00AE1381">
              <w:rPr>
                <w:rFonts w:ascii="Arial" w:hAnsi="Arial" w:cs="Arial"/>
                <w:noProof/>
                <w:webHidden/>
              </w:rPr>
              <w:fldChar w:fldCharType="end"/>
            </w:r>
          </w:hyperlink>
        </w:p>
        <w:p w14:paraId="304E8FEE" w14:textId="374CAA67" w:rsidR="00AE1381" w:rsidRPr="00AE1381" w:rsidRDefault="00AE1381" w:rsidP="00AE1381">
          <w:pPr>
            <w:pStyle w:val="TOC2"/>
            <w:tabs>
              <w:tab w:val="right" w:leader="dot" w:pos="9350"/>
            </w:tabs>
            <w:spacing w:line="360" w:lineRule="auto"/>
            <w:rPr>
              <w:rFonts w:ascii="Arial" w:hAnsi="Arial" w:cs="Arial"/>
              <w:i/>
              <w:iCs/>
              <w:noProof/>
            </w:rPr>
          </w:pPr>
          <w:hyperlink w:anchor="_Toc224734283" w:history="1">
            <w:r w:rsidRPr="00AE1381">
              <w:rPr>
                <w:rStyle w:val="Hyperlink"/>
                <w:rFonts w:ascii="Arial" w:hAnsi="Arial" w:cs="Arial"/>
                <w:i/>
                <w:iCs/>
                <w:noProof/>
              </w:rPr>
              <w:t>Digital Health in the UK Policy Context</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_Toc224734283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4</w:t>
            </w:r>
            <w:r w:rsidRPr="00AE1381">
              <w:rPr>
                <w:rFonts w:ascii="Arial" w:hAnsi="Arial" w:cs="Arial"/>
                <w:i/>
                <w:iCs/>
                <w:noProof/>
                <w:webHidden/>
              </w:rPr>
              <w:fldChar w:fldCharType="end"/>
            </w:r>
          </w:hyperlink>
        </w:p>
        <w:p w14:paraId="50F460EF" w14:textId="00CFE132" w:rsidR="00AE1381" w:rsidRPr="00AE1381" w:rsidRDefault="00AE1381" w:rsidP="00AE1381">
          <w:pPr>
            <w:pStyle w:val="TOC2"/>
            <w:tabs>
              <w:tab w:val="right" w:leader="dot" w:pos="9350"/>
            </w:tabs>
            <w:spacing w:line="360" w:lineRule="auto"/>
            <w:rPr>
              <w:rFonts w:ascii="Arial" w:hAnsi="Arial" w:cs="Arial"/>
              <w:i/>
              <w:iCs/>
              <w:noProof/>
            </w:rPr>
          </w:pPr>
          <w:hyperlink w:anchor="_Toc224734284" w:history="1">
            <w:r w:rsidRPr="00AE1381">
              <w:rPr>
                <w:rStyle w:val="Hyperlink"/>
                <w:rFonts w:ascii="Arial" w:hAnsi="Arial" w:cs="Arial"/>
                <w:i/>
                <w:iCs/>
                <w:noProof/>
              </w:rPr>
              <w:t>Role of Digital Interventions in Self-Management</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_Toc224734284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5</w:t>
            </w:r>
            <w:r w:rsidRPr="00AE1381">
              <w:rPr>
                <w:rFonts w:ascii="Arial" w:hAnsi="Arial" w:cs="Arial"/>
                <w:i/>
                <w:iCs/>
                <w:noProof/>
                <w:webHidden/>
              </w:rPr>
              <w:fldChar w:fldCharType="end"/>
            </w:r>
          </w:hyperlink>
        </w:p>
        <w:p w14:paraId="4A378D3F" w14:textId="6E6EA038" w:rsidR="00AE1381" w:rsidRPr="00AE1381" w:rsidRDefault="00AE1381" w:rsidP="00AE1381">
          <w:pPr>
            <w:pStyle w:val="TOC2"/>
            <w:tabs>
              <w:tab w:val="right" w:leader="dot" w:pos="9350"/>
            </w:tabs>
            <w:spacing w:line="360" w:lineRule="auto"/>
            <w:rPr>
              <w:rFonts w:ascii="Arial" w:hAnsi="Arial" w:cs="Arial"/>
              <w:i/>
              <w:iCs/>
              <w:noProof/>
            </w:rPr>
          </w:pPr>
          <w:hyperlink w:anchor="_Toc224734285" w:history="1">
            <w:r w:rsidRPr="00AE1381">
              <w:rPr>
                <w:rStyle w:val="Hyperlink"/>
                <w:rFonts w:ascii="Arial" w:hAnsi="Arial" w:cs="Arial"/>
                <w:i/>
                <w:iCs/>
                <w:noProof/>
              </w:rPr>
              <w:t>Challenges: Equity &amp; Implementation</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_Toc224734285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5</w:t>
            </w:r>
            <w:r w:rsidRPr="00AE1381">
              <w:rPr>
                <w:rFonts w:ascii="Arial" w:hAnsi="Arial" w:cs="Arial"/>
                <w:i/>
                <w:iCs/>
                <w:noProof/>
                <w:webHidden/>
              </w:rPr>
              <w:fldChar w:fldCharType="end"/>
            </w:r>
          </w:hyperlink>
        </w:p>
        <w:p w14:paraId="503298EE" w14:textId="5EC94B78" w:rsidR="00AE1381" w:rsidRPr="00AE1381" w:rsidRDefault="00AE1381" w:rsidP="00AE1381">
          <w:pPr>
            <w:pStyle w:val="TOC1"/>
            <w:tabs>
              <w:tab w:val="right" w:leader="dot" w:pos="9350"/>
            </w:tabs>
            <w:spacing w:line="360" w:lineRule="auto"/>
            <w:rPr>
              <w:rFonts w:ascii="Arial" w:hAnsi="Arial" w:cs="Arial"/>
              <w:noProof/>
            </w:rPr>
          </w:pPr>
          <w:hyperlink w:anchor="_Toc224734286" w:history="1">
            <w:r w:rsidRPr="00AE1381">
              <w:rPr>
                <w:rStyle w:val="Hyperlink"/>
                <w:rFonts w:ascii="Arial" w:hAnsi="Arial" w:cs="Arial"/>
                <w:noProof/>
              </w:rPr>
              <w:t>Methodology</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_Toc224734286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5</w:t>
            </w:r>
            <w:r w:rsidRPr="00AE1381">
              <w:rPr>
                <w:rFonts w:ascii="Arial" w:hAnsi="Arial" w:cs="Arial"/>
                <w:noProof/>
                <w:webHidden/>
              </w:rPr>
              <w:fldChar w:fldCharType="end"/>
            </w:r>
          </w:hyperlink>
        </w:p>
        <w:p w14:paraId="4021C3A5" w14:textId="07764B32" w:rsidR="00AE1381" w:rsidRPr="00AE1381" w:rsidRDefault="00AE1381" w:rsidP="00AE1381">
          <w:pPr>
            <w:pStyle w:val="TOC2"/>
            <w:tabs>
              <w:tab w:val="right" w:leader="dot" w:pos="9350"/>
            </w:tabs>
            <w:spacing w:line="360" w:lineRule="auto"/>
            <w:rPr>
              <w:rFonts w:ascii="Arial" w:hAnsi="Arial" w:cs="Arial"/>
              <w:i/>
              <w:iCs/>
              <w:noProof/>
            </w:rPr>
          </w:pPr>
          <w:hyperlink w:anchor="_Toc224734287" w:history="1">
            <w:r w:rsidRPr="00AE1381">
              <w:rPr>
                <w:rStyle w:val="Hyperlink"/>
                <w:rFonts w:ascii="Arial" w:hAnsi="Arial" w:cs="Arial"/>
                <w:i/>
                <w:iCs/>
                <w:noProof/>
              </w:rPr>
              <w:t>Search Strategy</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_Toc224734287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6</w:t>
            </w:r>
            <w:r w:rsidRPr="00AE1381">
              <w:rPr>
                <w:rFonts w:ascii="Arial" w:hAnsi="Arial" w:cs="Arial"/>
                <w:i/>
                <w:iCs/>
                <w:noProof/>
                <w:webHidden/>
              </w:rPr>
              <w:fldChar w:fldCharType="end"/>
            </w:r>
          </w:hyperlink>
        </w:p>
        <w:p w14:paraId="6A5B5AF8" w14:textId="190C3DB7" w:rsidR="00AE1381" w:rsidRPr="00AE1381" w:rsidRDefault="00AE1381" w:rsidP="00AE1381">
          <w:pPr>
            <w:pStyle w:val="TOC2"/>
            <w:tabs>
              <w:tab w:val="right" w:leader="dot" w:pos="9350"/>
            </w:tabs>
            <w:spacing w:line="360" w:lineRule="auto"/>
            <w:rPr>
              <w:rFonts w:ascii="Arial" w:hAnsi="Arial" w:cs="Arial"/>
              <w:i/>
              <w:iCs/>
              <w:noProof/>
            </w:rPr>
          </w:pPr>
          <w:hyperlink w:anchor="_Toc224734288" w:history="1">
            <w:r w:rsidRPr="00AE1381">
              <w:rPr>
                <w:rStyle w:val="Hyperlink"/>
                <w:rFonts w:ascii="Arial" w:hAnsi="Arial" w:cs="Arial"/>
                <w:i/>
                <w:iCs/>
                <w:noProof/>
              </w:rPr>
              <w:t>Inclusion &amp; Exclusion Criteria</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_Toc224734288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6</w:t>
            </w:r>
            <w:r w:rsidRPr="00AE1381">
              <w:rPr>
                <w:rFonts w:ascii="Arial" w:hAnsi="Arial" w:cs="Arial"/>
                <w:i/>
                <w:iCs/>
                <w:noProof/>
                <w:webHidden/>
              </w:rPr>
              <w:fldChar w:fldCharType="end"/>
            </w:r>
          </w:hyperlink>
        </w:p>
        <w:p w14:paraId="4DBDC79E" w14:textId="268793B5" w:rsidR="00AE1381" w:rsidRPr="00AE1381" w:rsidRDefault="00AE1381" w:rsidP="00AE1381">
          <w:pPr>
            <w:pStyle w:val="TOC2"/>
            <w:tabs>
              <w:tab w:val="right" w:leader="dot" w:pos="9350"/>
            </w:tabs>
            <w:spacing w:line="360" w:lineRule="auto"/>
            <w:rPr>
              <w:rFonts w:ascii="Arial" w:hAnsi="Arial" w:cs="Arial"/>
              <w:i/>
              <w:iCs/>
              <w:noProof/>
            </w:rPr>
          </w:pPr>
          <w:hyperlink w:anchor="_Toc224734289" w:history="1">
            <w:r w:rsidRPr="00AE1381">
              <w:rPr>
                <w:rStyle w:val="Hyperlink"/>
                <w:rFonts w:ascii="Arial" w:hAnsi="Arial" w:cs="Arial"/>
                <w:i/>
                <w:iCs/>
                <w:noProof/>
              </w:rPr>
              <w:t>Study Selection Process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_Toc224734289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6</w:t>
            </w:r>
            <w:r w:rsidRPr="00AE1381">
              <w:rPr>
                <w:rFonts w:ascii="Arial" w:hAnsi="Arial" w:cs="Arial"/>
                <w:i/>
                <w:iCs/>
                <w:noProof/>
                <w:webHidden/>
              </w:rPr>
              <w:fldChar w:fldCharType="end"/>
            </w:r>
          </w:hyperlink>
        </w:p>
        <w:p w14:paraId="049FC4FB" w14:textId="6C2B3DCD" w:rsidR="00AE1381" w:rsidRPr="00AE1381" w:rsidRDefault="00AE1381" w:rsidP="00AE1381">
          <w:pPr>
            <w:pStyle w:val="TOC2"/>
            <w:tabs>
              <w:tab w:val="right" w:leader="dot" w:pos="9350"/>
            </w:tabs>
            <w:spacing w:line="360" w:lineRule="auto"/>
            <w:rPr>
              <w:rFonts w:ascii="Arial" w:hAnsi="Arial" w:cs="Arial"/>
              <w:i/>
              <w:iCs/>
              <w:noProof/>
            </w:rPr>
          </w:pPr>
          <w:hyperlink w:anchor="_Toc224734290" w:history="1">
            <w:r w:rsidRPr="00AE1381">
              <w:rPr>
                <w:rStyle w:val="Hyperlink"/>
                <w:rFonts w:ascii="Arial" w:hAnsi="Arial" w:cs="Arial"/>
                <w:i/>
                <w:iCs/>
                <w:noProof/>
              </w:rPr>
              <w:t>Data Extraction</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_Toc224734290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7</w:t>
            </w:r>
            <w:r w:rsidRPr="00AE1381">
              <w:rPr>
                <w:rFonts w:ascii="Arial" w:hAnsi="Arial" w:cs="Arial"/>
                <w:i/>
                <w:iCs/>
                <w:noProof/>
                <w:webHidden/>
              </w:rPr>
              <w:fldChar w:fldCharType="end"/>
            </w:r>
          </w:hyperlink>
        </w:p>
        <w:p w14:paraId="005476BA" w14:textId="54BBF6F0" w:rsidR="00AE1381" w:rsidRPr="00AE1381" w:rsidRDefault="00AE1381" w:rsidP="00AE1381">
          <w:pPr>
            <w:pStyle w:val="TOC2"/>
            <w:tabs>
              <w:tab w:val="right" w:leader="dot" w:pos="9350"/>
            </w:tabs>
            <w:spacing w:line="360" w:lineRule="auto"/>
            <w:rPr>
              <w:rFonts w:ascii="Arial" w:hAnsi="Arial" w:cs="Arial"/>
              <w:i/>
              <w:iCs/>
              <w:noProof/>
            </w:rPr>
          </w:pPr>
          <w:hyperlink w:anchor="_Toc224734291" w:history="1">
            <w:r w:rsidRPr="00AE1381">
              <w:rPr>
                <w:rStyle w:val="Hyperlink"/>
                <w:rFonts w:ascii="Arial" w:hAnsi="Arial" w:cs="Arial"/>
                <w:i/>
                <w:iCs/>
                <w:noProof/>
              </w:rPr>
              <w:t>Data Analysis – Thematic Analysis (Aveyard)</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_Toc224734291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7</w:t>
            </w:r>
            <w:r w:rsidRPr="00AE1381">
              <w:rPr>
                <w:rFonts w:ascii="Arial" w:hAnsi="Arial" w:cs="Arial"/>
                <w:i/>
                <w:iCs/>
                <w:noProof/>
                <w:webHidden/>
              </w:rPr>
              <w:fldChar w:fldCharType="end"/>
            </w:r>
          </w:hyperlink>
        </w:p>
        <w:p w14:paraId="435B711F" w14:textId="12BF7D2C" w:rsidR="00AE1381" w:rsidRPr="00AE1381" w:rsidRDefault="00AE1381" w:rsidP="00AE1381">
          <w:pPr>
            <w:pStyle w:val="TOC2"/>
            <w:tabs>
              <w:tab w:val="right" w:leader="dot" w:pos="9350"/>
            </w:tabs>
            <w:spacing w:line="360" w:lineRule="auto"/>
            <w:rPr>
              <w:rFonts w:ascii="Arial" w:hAnsi="Arial" w:cs="Arial"/>
              <w:i/>
              <w:iCs/>
              <w:noProof/>
            </w:rPr>
          </w:pPr>
          <w:hyperlink w:anchor="_Toc224734292" w:history="1">
            <w:r w:rsidRPr="00AE1381">
              <w:rPr>
                <w:rStyle w:val="Hyperlink"/>
                <w:rFonts w:ascii="Arial" w:hAnsi="Arial" w:cs="Arial"/>
                <w:i/>
                <w:iCs/>
                <w:noProof/>
              </w:rPr>
              <w:t>Ethical Considerations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_Toc224734292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7</w:t>
            </w:r>
            <w:r w:rsidRPr="00AE1381">
              <w:rPr>
                <w:rFonts w:ascii="Arial" w:hAnsi="Arial" w:cs="Arial"/>
                <w:i/>
                <w:iCs/>
                <w:noProof/>
                <w:webHidden/>
              </w:rPr>
              <w:fldChar w:fldCharType="end"/>
            </w:r>
          </w:hyperlink>
        </w:p>
        <w:p w14:paraId="260F8AE8" w14:textId="2AD62E2B" w:rsidR="00AE1381" w:rsidRPr="00AE1381" w:rsidRDefault="00AE1381" w:rsidP="00AE1381">
          <w:pPr>
            <w:pStyle w:val="TOC1"/>
            <w:tabs>
              <w:tab w:val="right" w:leader="dot" w:pos="9350"/>
            </w:tabs>
            <w:spacing w:line="360" w:lineRule="auto"/>
            <w:rPr>
              <w:rFonts w:ascii="Arial" w:hAnsi="Arial" w:cs="Arial"/>
              <w:noProof/>
            </w:rPr>
          </w:pPr>
          <w:hyperlink w:anchor="_Toc224734293" w:history="1">
            <w:r w:rsidRPr="00AE1381">
              <w:rPr>
                <w:rStyle w:val="Hyperlink"/>
                <w:rFonts w:ascii="Arial" w:hAnsi="Arial" w:cs="Arial"/>
                <w:noProof/>
              </w:rPr>
              <w:t>Results</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_Toc224734293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7</w:t>
            </w:r>
            <w:r w:rsidRPr="00AE1381">
              <w:rPr>
                <w:rFonts w:ascii="Arial" w:hAnsi="Arial" w:cs="Arial"/>
                <w:noProof/>
                <w:webHidden/>
              </w:rPr>
              <w:fldChar w:fldCharType="end"/>
            </w:r>
          </w:hyperlink>
        </w:p>
        <w:p w14:paraId="3D50A393" w14:textId="5EF624FB" w:rsidR="00AE1381" w:rsidRPr="00AE1381" w:rsidRDefault="00AE1381" w:rsidP="00AE1381">
          <w:pPr>
            <w:pStyle w:val="TOC2"/>
            <w:tabs>
              <w:tab w:val="right" w:leader="dot" w:pos="9350"/>
            </w:tabs>
            <w:spacing w:line="360" w:lineRule="auto"/>
            <w:rPr>
              <w:rFonts w:ascii="Arial" w:hAnsi="Arial" w:cs="Arial"/>
              <w:i/>
              <w:iCs/>
              <w:noProof/>
            </w:rPr>
          </w:pPr>
          <w:hyperlink w:anchor="_Toc224734294" w:history="1">
            <w:r w:rsidRPr="00AE1381">
              <w:rPr>
                <w:rStyle w:val="Hyperlink"/>
                <w:rFonts w:ascii="Arial" w:hAnsi="Arial" w:cs="Arial"/>
                <w:i/>
                <w:iCs/>
                <w:noProof/>
              </w:rPr>
              <w:t>Study Characteristics Table</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_Toc224734294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8</w:t>
            </w:r>
            <w:r w:rsidRPr="00AE1381">
              <w:rPr>
                <w:rFonts w:ascii="Arial" w:hAnsi="Arial" w:cs="Arial"/>
                <w:i/>
                <w:iCs/>
                <w:noProof/>
                <w:webHidden/>
              </w:rPr>
              <w:fldChar w:fldCharType="end"/>
            </w:r>
          </w:hyperlink>
        </w:p>
        <w:p w14:paraId="59A00835" w14:textId="2238C4EF" w:rsidR="00AE1381" w:rsidRPr="00AE1381" w:rsidRDefault="00AE1381" w:rsidP="00AE1381">
          <w:pPr>
            <w:pStyle w:val="TOC2"/>
            <w:tabs>
              <w:tab w:val="right" w:leader="dot" w:pos="9350"/>
            </w:tabs>
            <w:spacing w:line="360" w:lineRule="auto"/>
            <w:rPr>
              <w:rFonts w:ascii="Arial" w:hAnsi="Arial" w:cs="Arial"/>
              <w:i/>
              <w:iCs/>
              <w:noProof/>
            </w:rPr>
          </w:pPr>
          <w:hyperlink w:anchor="_Toc224734295" w:history="1">
            <w:r w:rsidRPr="00AE1381">
              <w:rPr>
                <w:rStyle w:val="Hyperlink"/>
                <w:rFonts w:ascii="Arial" w:hAnsi="Arial" w:cs="Arial"/>
                <w:i/>
                <w:iCs/>
                <w:noProof/>
              </w:rPr>
              <w:t>Thematic Findings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_Toc224734295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9</w:t>
            </w:r>
            <w:r w:rsidRPr="00AE1381">
              <w:rPr>
                <w:rFonts w:ascii="Arial" w:hAnsi="Arial" w:cs="Arial"/>
                <w:i/>
                <w:iCs/>
                <w:noProof/>
                <w:webHidden/>
              </w:rPr>
              <w:fldChar w:fldCharType="end"/>
            </w:r>
          </w:hyperlink>
        </w:p>
        <w:p w14:paraId="6B67AFDE" w14:textId="359890FC" w:rsidR="00AE1381" w:rsidRPr="00AE1381" w:rsidRDefault="00AE1381" w:rsidP="00AE1381">
          <w:pPr>
            <w:pStyle w:val="TOC3"/>
            <w:tabs>
              <w:tab w:val="right" w:leader="dot" w:pos="9350"/>
            </w:tabs>
            <w:spacing w:line="360" w:lineRule="auto"/>
            <w:rPr>
              <w:rFonts w:ascii="Arial" w:hAnsi="Arial" w:cs="Arial"/>
              <w:i/>
              <w:iCs/>
              <w:noProof/>
            </w:rPr>
          </w:pPr>
          <w:hyperlink w:anchor="_Toc224734296" w:history="1">
            <w:r w:rsidRPr="00AE1381">
              <w:rPr>
                <w:rStyle w:val="Hyperlink"/>
                <w:rFonts w:ascii="Arial" w:hAnsi="Arial" w:cs="Arial"/>
                <w:i/>
                <w:iCs/>
                <w:noProof/>
              </w:rPr>
              <w:t>Effectiveness of Digital Interventions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_Toc224734296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9</w:t>
            </w:r>
            <w:r w:rsidRPr="00AE1381">
              <w:rPr>
                <w:rFonts w:ascii="Arial" w:hAnsi="Arial" w:cs="Arial"/>
                <w:i/>
                <w:iCs/>
                <w:noProof/>
                <w:webHidden/>
              </w:rPr>
              <w:fldChar w:fldCharType="end"/>
            </w:r>
          </w:hyperlink>
        </w:p>
        <w:p w14:paraId="03D2D6F5" w14:textId="2810B330" w:rsidR="00AE1381" w:rsidRPr="00AE1381" w:rsidRDefault="00AE1381" w:rsidP="00AE1381">
          <w:pPr>
            <w:pStyle w:val="TOC3"/>
            <w:tabs>
              <w:tab w:val="right" w:leader="dot" w:pos="9350"/>
            </w:tabs>
            <w:spacing w:line="360" w:lineRule="auto"/>
            <w:rPr>
              <w:rFonts w:ascii="Arial" w:hAnsi="Arial" w:cs="Arial"/>
              <w:i/>
              <w:iCs/>
              <w:noProof/>
            </w:rPr>
          </w:pPr>
          <w:hyperlink w:anchor="_Toc224734297" w:history="1">
            <w:r w:rsidRPr="00AE1381">
              <w:rPr>
                <w:rStyle w:val="Hyperlink"/>
                <w:rFonts w:ascii="Arial" w:hAnsi="Arial" w:cs="Arial"/>
                <w:i/>
                <w:iCs/>
                <w:noProof/>
              </w:rPr>
              <w:t>Patient Engagement and Usability</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_Toc224734297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9</w:t>
            </w:r>
            <w:r w:rsidRPr="00AE1381">
              <w:rPr>
                <w:rFonts w:ascii="Arial" w:hAnsi="Arial" w:cs="Arial"/>
                <w:i/>
                <w:iCs/>
                <w:noProof/>
                <w:webHidden/>
              </w:rPr>
              <w:fldChar w:fldCharType="end"/>
            </w:r>
          </w:hyperlink>
        </w:p>
        <w:p w14:paraId="4A8D197E" w14:textId="4036CB9F" w:rsidR="00AE1381" w:rsidRPr="00AE1381" w:rsidRDefault="00AE1381" w:rsidP="00AE1381">
          <w:pPr>
            <w:pStyle w:val="TOC3"/>
            <w:tabs>
              <w:tab w:val="right" w:leader="dot" w:pos="9350"/>
            </w:tabs>
            <w:spacing w:line="360" w:lineRule="auto"/>
            <w:rPr>
              <w:rFonts w:ascii="Arial" w:hAnsi="Arial" w:cs="Arial"/>
              <w:i/>
              <w:iCs/>
              <w:noProof/>
            </w:rPr>
          </w:pPr>
          <w:hyperlink w:anchor="_Toc224734298" w:history="1">
            <w:r w:rsidRPr="00AE1381">
              <w:rPr>
                <w:rStyle w:val="Hyperlink"/>
                <w:rFonts w:ascii="Arial" w:hAnsi="Arial" w:cs="Arial"/>
                <w:i/>
                <w:iCs/>
                <w:noProof/>
              </w:rPr>
              <w:t>Acceptability and Satisfaction</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_Toc224734298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9</w:t>
            </w:r>
            <w:r w:rsidRPr="00AE1381">
              <w:rPr>
                <w:rFonts w:ascii="Arial" w:hAnsi="Arial" w:cs="Arial"/>
                <w:i/>
                <w:iCs/>
                <w:noProof/>
                <w:webHidden/>
              </w:rPr>
              <w:fldChar w:fldCharType="end"/>
            </w:r>
          </w:hyperlink>
        </w:p>
        <w:p w14:paraId="2217E239" w14:textId="3D879BED" w:rsidR="00AE1381" w:rsidRPr="00AE1381" w:rsidRDefault="00AE1381" w:rsidP="00AE1381">
          <w:pPr>
            <w:pStyle w:val="TOC3"/>
            <w:tabs>
              <w:tab w:val="right" w:leader="dot" w:pos="9350"/>
            </w:tabs>
            <w:spacing w:line="360" w:lineRule="auto"/>
            <w:rPr>
              <w:rFonts w:ascii="Arial" w:hAnsi="Arial" w:cs="Arial"/>
              <w:i/>
              <w:iCs/>
              <w:noProof/>
            </w:rPr>
          </w:pPr>
          <w:hyperlink w:anchor="_Toc224734299" w:history="1">
            <w:r w:rsidRPr="00AE1381">
              <w:rPr>
                <w:rStyle w:val="Hyperlink"/>
                <w:rFonts w:ascii="Arial" w:hAnsi="Arial" w:cs="Arial"/>
                <w:i/>
                <w:iCs/>
                <w:noProof/>
              </w:rPr>
              <w:t>Barriers to Implementation</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_Toc224734299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9</w:t>
            </w:r>
            <w:r w:rsidRPr="00AE1381">
              <w:rPr>
                <w:rFonts w:ascii="Arial" w:hAnsi="Arial" w:cs="Arial"/>
                <w:i/>
                <w:iCs/>
                <w:noProof/>
                <w:webHidden/>
              </w:rPr>
              <w:fldChar w:fldCharType="end"/>
            </w:r>
          </w:hyperlink>
        </w:p>
        <w:p w14:paraId="094E6A52" w14:textId="3CF97388" w:rsidR="00AE1381" w:rsidRPr="00AE1381" w:rsidRDefault="00AE1381" w:rsidP="00AE1381">
          <w:pPr>
            <w:pStyle w:val="TOC3"/>
            <w:tabs>
              <w:tab w:val="right" w:leader="dot" w:pos="9350"/>
            </w:tabs>
            <w:spacing w:line="360" w:lineRule="auto"/>
            <w:rPr>
              <w:rFonts w:ascii="Arial" w:hAnsi="Arial" w:cs="Arial"/>
              <w:i/>
              <w:iCs/>
              <w:noProof/>
            </w:rPr>
          </w:pPr>
          <w:hyperlink w:anchor="_Toc224734300" w:history="1">
            <w:r w:rsidRPr="00AE1381">
              <w:rPr>
                <w:rStyle w:val="Hyperlink"/>
                <w:rFonts w:ascii="Arial" w:hAnsi="Arial" w:cs="Arial"/>
                <w:i/>
                <w:iCs/>
                <w:noProof/>
              </w:rPr>
              <w:t>Digital Inequality</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_Toc224734300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10</w:t>
            </w:r>
            <w:r w:rsidRPr="00AE1381">
              <w:rPr>
                <w:rFonts w:ascii="Arial" w:hAnsi="Arial" w:cs="Arial"/>
                <w:i/>
                <w:iCs/>
                <w:noProof/>
                <w:webHidden/>
              </w:rPr>
              <w:fldChar w:fldCharType="end"/>
            </w:r>
          </w:hyperlink>
        </w:p>
        <w:p w14:paraId="20517574" w14:textId="39571776" w:rsidR="00AE1381" w:rsidRPr="00AE1381" w:rsidRDefault="00AE1381" w:rsidP="00AE1381">
          <w:pPr>
            <w:pStyle w:val="TOC1"/>
            <w:tabs>
              <w:tab w:val="right" w:leader="dot" w:pos="9350"/>
            </w:tabs>
            <w:spacing w:line="360" w:lineRule="auto"/>
            <w:rPr>
              <w:rFonts w:ascii="Arial" w:hAnsi="Arial" w:cs="Arial"/>
              <w:noProof/>
            </w:rPr>
          </w:pPr>
          <w:hyperlink w:anchor="_Toc224734301" w:history="1">
            <w:r w:rsidRPr="00AE1381">
              <w:rPr>
                <w:rStyle w:val="Hyperlink"/>
                <w:rFonts w:ascii="Arial" w:hAnsi="Arial" w:cs="Arial"/>
                <w:noProof/>
              </w:rPr>
              <w:t>Discussion</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_Toc224734301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10</w:t>
            </w:r>
            <w:r w:rsidRPr="00AE1381">
              <w:rPr>
                <w:rFonts w:ascii="Arial" w:hAnsi="Arial" w:cs="Arial"/>
                <w:noProof/>
                <w:webHidden/>
              </w:rPr>
              <w:fldChar w:fldCharType="end"/>
            </w:r>
          </w:hyperlink>
        </w:p>
        <w:p w14:paraId="70139650" w14:textId="73F454A7" w:rsidR="00AE1381" w:rsidRPr="00AE1381" w:rsidRDefault="00AE1381" w:rsidP="00AE1381">
          <w:pPr>
            <w:pStyle w:val="TOC2"/>
            <w:tabs>
              <w:tab w:val="right" w:leader="dot" w:pos="9350"/>
            </w:tabs>
            <w:spacing w:line="360" w:lineRule="auto"/>
            <w:rPr>
              <w:rFonts w:ascii="Arial" w:hAnsi="Arial" w:cs="Arial"/>
              <w:i/>
              <w:iCs/>
              <w:noProof/>
            </w:rPr>
          </w:pPr>
          <w:hyperlink w:anchor="_Toc224734302" w:history="1">
            <w:r w:rsidRPr="00AE1381">
              <w:rPr>
                <w:rStyle w:val="Hyperlink"/>
                <w:rFonts w:ascii="Arial" w:hAnsi="Arial" w:cs="Arial"/>
                <w:i/>
                <w:iCs/>
                <w:noProof/>
              </w:rPr>
              <w:t>Comparison with Existing Literature</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_Toc224734302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11</w:t>
            </w:r>
            <w:r w:rsidRPr="00AE1381">
              <w:rPr>
                <w:rFonts w:ascii="Arial" w:hAnsi="Arial" w:cs="Arial"/>
                <w:i/>
                <w:iCs/>
                <w:noProof/>
                <w:webHidden/>
              </w:rPr>
              <w:fldChar w:fldCharType="end"/>
            </w:r>
          </w:hyperlink>
        </w:p>
        <w:p w14:paraId="3A7A7D97" w14:textId="3429F0DD" w:rsidR="00AE1381" w:rsidRPr="00AE1381" w:rsidRDefault="00AE1381" w:rsidP="00AE1381">
          <w:pPr>
            <w:pStyle w:val="TOC2"/>
            <w:tabs>
              <w:tab w:val="right" w:leader="dot" w:pos="9350"/>
            </w:tabs>
            <w:spacing w:line="360" w:lineRule="auto"/>
            <w:rPr>
              <w:rFonts w:ascii="Arial" w:hAnsi="Arial" w:cs="Arial"/>
              <w:i/>
              <w:iCs/>
              <w:noProof/>
            </w:rPr>
          </w:pPr>
          <w:hyperlink w:anchor="_Toc224734303" w:history="1">
            <w:r w:rsidRPr="00AE1381">
              <w:rPr>
                <w:rStyle w:val="Hyperlink"/>
                <w:rFonts w:ascii="Arial" w:hAnsi="Arial" w:cs="Arial"/>
                <w:i/>
                <w:iCs/>
                <w:noProof/>
              </w:rPr>
              <w:t>Strengths and Limitations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_Toc224734303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11</w:t>
            </w:r>
            <w:r w:rsidRPr="00AE1381">
              <w:rPr>
                <w:rFonts w:ascii="Arial" w:hAnsi="Arial" w:cs="Arial"/>
                <w:i/>
                <w:iCs/>
                <w:noProof/>
                <w:webHidden/>
              </w:rPr>
              <w:fldChar w:fldCharType="end"/>
            </w:r>
          </w:hyperlink>
        </w:p>
        <w:p w14:paraId="0830CD85" w14:textId="49E89754" w:rsidR="00AE1381" w:rsidRPr="00AE1381" w:rsidRDefault="00AE1381" w:rsidP="00AE1381">
          <w:pPr>
            <w:pStyle w:val="TOC2"/>
            <w:tabs>
              <w:tab w:val="right" w:leader="dot" w:pos="9350"/>
            </w:tabs>
            <w:spacing w:line="360" w:lineRule="auto"/>
            <w:rPr>
              <w:rFonts w:ascii="Arial" w:hAnsi="Arial" w:cs="Arial"/>
              <w:i/>
              <w:iCs/>
              <w:noProof/>
            </w:rPr>
          </w:pPr>
          <w:hyperlink w:anchor="_Toc224734304" w:history="1">
            <w:r w:rsidRPr="00AE1381">
              <w:rPr>
                <w:rStyle w:val="Hyperlink"/>
                <w:rFonts w:ascii="Arial" w:hAnsi="Arial" w:cs="Arial"/>
                <w:i/>
                <w:iCs/>
                <w:noProof/>
              </w:rPr>
              <w:t>Implications for Practice</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_Toc224734304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11</w:t>
            </w:r>
            <w:r w:rsidRPr="00AE1381">
              <w:rPr>
                <w:rFonts w:ascii="Arial" w:hAnsi="Arial" w:cs="Arial"/>
                <w:i/>
                <w:iCs/>
                <w:noProof/>
                <w:webHidden/>
              </w:rPr>
              <w:fldChar w:fldCharType="end"/>
            </w:r>
          </w:hyperlink>
        </w:p>
        <w:p w14:paraId="53491B9E" w14:textId="244ADA20" w:rsidR="00AE1381" w:rsidRPr="00AE1381" w:rsidRDefault="00AE1381" w:rsidP="00AE1381">
          <w:pPr>
            <w:pStyle w:val="TOC1"/>
            <w:tabs>
              <w:tab w:val="right" w:leader="dot" w:pos="9350"/>
            </w:tabs>
            <w:spacing w:line="360" w:lineRule="auto"/>
            <w:rPr>
              <w:rFonts w:ascii="Arial" w:hAnsi="Arial" w:cs="Arial"/>
              <w:noProof/>
            </w:rPr>
          </w:pPr>
          <w:hyperlink w:anchor="_Toc224734305" w:history="1">
            <w:r w:rsidRPr="00AE1381">
              <w:rPr>
                <w:rStyle w:val="Hyperlink"/>
                <w:rFonts w:ascii="Arial" w:hAnsi="Arial" w:cs="Arial"/>
                <w:noProof/>
              </w:rPr>
              <w:t>Conclusion</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_Toc224734305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12</w:t>
            </w:r>
            <w:r w:rsidRPr="00AE1381">
              <w:rPr>
                <w:rFonts w:ascii="Arial" w:hAnsi="Arial" w:cs="Arial"/>
                <w:noProof/>
                <w:webHidden/>
              </w:rPr>
              <w:fldChar w:fldCharType="end"/>
            </w:r>
          </w:hyperlink>
        </w:p>
        <w:p w14:paraId="36B54DFF" w14:textId="751ED486" w:rsidR="00AE1381" w:rsidRPr="00AE1381" w:rsidRDefault="00AE1381" w:rsidP="00AE1381">
          <w:pPr>
            <w:pStyle w:val="TOC1"/>
            <w:tabs>
              <w:tab w:val="right" w:leader="dot" w:pos="9350"/>
            </w:tabs>
            <w:spacing w:line="360" w:lineRule="auto"/>
            <w:rPr>
              <w:rFonts w:ascii="Arial" w:hAnsi="Arial" w:cs="Arial"/>
              <w:noProof/>
            </w:rPr>
          </w:pPr>
          <w:hyperlink w:anchor="_Toc224734306" w:history="1">
            <w:r w:rsidRPr="00AE1381">
              <w:rPr>
                <w:rStyle w:val="Hyperlink"/>
                <w:rFonts w:ascii="Arial" w:hAnsi="Arial" w:cs="Arial"/>
                <w:noProof/>
              </w:rPr>
              <w:t>Recommendations</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_Toc224734306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12</w:t>
            </w:r>
            <w:r w:rsidRPr="00AE1381">
              <w:rPr>
                <w:rFonts w:ascii="Arial" w:hAnsi="Arial" w:cs="Arial"/>
                <w:noProof/>
                <w:webHidden/>
              </w:rPr>
              <w:fldChar w:fldCharType="end"/>
            </w:r>
          </w:hyperlink>
        </w:p>
        <w:p w14:paraId="647E020E" w14:textId="3FC44BCD" w:rsidR="00AE1381" w:rsidRPr="00AE1381" w:rsidRDefault="00AE1381" w:rsidP="00AE1381">
          <w:pPr>
            <w:pStyle w:val="TOC2"/>
            <w:tabs>
              <w:tab w:val="right" w:leader="dot" w:pos="9350"/>
            </w:tabs>
            <w:spacing w:line="360" w:lineRule="auto"/>
            <w:rPr>
              <w:rFonts w:ascii="Arial" w:hAnsi="Arial" w:cs="Arial"/>
              <w:i/>
              <w:iCs/>
              <w:noProof/>
            </w:rPr>
          </w:pPr>
          <w:hyperlink w:anchor="_Toc224734307" w:history="1">
            <w:r w:rsidRPr="00AE1381">
              <w:rPr>
                <w:rStyle w:val="Hyperlink"/>
                <w:rFonts w:ascii="Arial" w:hAnsi="Arial" w:cs="Arial"/>
                <w:i/>
                <w:iCs/>
                <w:noProof/>
              </w:rPr>
              <w:t>Policy Recommendations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_Toc224734307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13</w:t>
            </w:r>
            <w:r w:rsidRPr="00AE1381">
              <w:rPr>
                <w:rFonts w:ascii="Arial" w:hAnsi="Arial" w:cs="Arial"/>
                <w:i/>
                <w:iCs/>
                <w:noProof/>
                <w:webHidden/>
              </w:rPr>
              <w:fldChar w:fldCharType="end"/>
            </w:r>
          </w:hyperlink>
        </w:p>
        <w:p w14:paraId="5121CBCB" w14:textId="63479989" w:rsidR="00AE1381" w:rsidRPr="00AE1381" w:rsidRDefault="00AE1381" w:rsidP="00AE1381">
          <w:pPr>
            <w:pStyle w:val="TOC2"/>
            <w:tabs>
              <w:tab w:val="right" w:leader="dot" w:pos="9350"/>
            </w:tabs>
            <w:spacing w:line="360" w:lineRule="auto"/>
            <w:rPr>
              <w:rFonts w:ascii="Arial" w:hAnsi="Arial" w:cs="Arial"/>
              <w:i/>
              <w:iCs/>
              <w:noProof/>
            </w:rPr>
          </w:pPr>
          <w:hyperlink w:anchor="_Toc224734308" w:history="1">
            <w:r w:rsidRPr="00AE1381">
              <w:rPr>
                <w:rStyle w:val="Hyperlink"/>
                <w:rFonts w:ascii="Arial" w:hAnsi="Arial" w:cs="Arial"/>
                <w:i/>
                <w:iCs/>
                <w:noProof/>
              </w:rPr>
              <w:t>Practice Recommendations</w:t>
            </w:r>
            <w:r w:rsidRPr="00AE1381">
              <w:rPr>
                <w:rFonts w:ascii="Arial" w:hAnsi="Arial" w:cs="Arial"/>
                <w:i/>
                <w:iCs/>
                <w:noProof/>
                <w:webHidden/>
              </w:rPr>
              <w:tab/>
            </w:r>
            <w:r w:rsidRPr="00AE1381">
              <w:rPr>
                <w:rFonts w:ascii="Arial" w:hAnsi="Arial" w:cs="Arial"/>
                <w:i/>
                <w:iCs/>
                <w:noProof/>
                <w:webHidden/>
              </w:rPr>
              <w:fldChar w:fldCharType="begin"/>
            </w:r>
            <w:r w:rsidRPr="00AE1381">
              <w:rPr>
                <w:rFonts w:ascii="Arial" w:hAnsi="Arial" w:cs="Arial"/>
                <w:i/>
                <w:iCs/>
                <w:noProof/>
                <w:webHidden/>
              </w:rPr>
              <w:instrText xml:space="preserve"> PAGEREF _Toc224734308 \h </w:instrText>
            </w:r>
            <w:r w:rsidRPr="00AE1381">
              <w:rPr>
                <w:rFonts w:ascii="Arial" w:hAnsi="Arial" w:cs="Arial"/>
                <w:i/>
                <w:iCs/>
                <w:noProof/>
                <w:webHidden/>
              </w:rPr>
            </w:r>
            <w:r w:rsidRPr="00AE1381">
              <w:rPr>
                <w:rFonts w:ascii="Arial" w:hAnsi="Arial" w:cs="Arial"/>
                <w:i/>
                <w:iCs/>
                <w:noProof/>
                <w:webHidden/>
              </w:rPr>
              <w:fldChar w:fldCharType="separate"/>
            </w:r>
            <w:r w:rsidR="007871B5">
              <w:rPr>
                <w:rFonts w:ascii="Arial" w:hAnsi="Arial" w:cs="Arial"/>
                <w:i/>
                <w:iCs/>
                <w:noProof/>
                <w:webHidden/>
              </w:rPr>
              <w:t>13</w:t>
            </w:r>
            <w:r w:rsidRPr="00AE1381">
              <w:rPr>
                <w:rFonts w:ascii="Arial" w:hAnsi="Arial" w:cs="Arial"/>
                <w:i/>
                <w:iCs/>
                <w:noProof/>
                <w:webHidden/>
              </w:rPr>
              <w:fldChar w:fldCharType="end"/>
            </w:r>
          </w:hyperlink>
        </w:p>
        <w:p w14:paraId="18941C7D" w14:textId="61C5259C" w:rsidR="00AE1381" w:rsidRPr="00AE1381" w:rsidRDefault="00AE1381" w:rsidP="00AE1381">
          <w:pPr>
            <w:pStyle w:val="TOC1"/>
            <w:tabs>
              <w:tab w:val="right" w:leader="dot" w:pos="9350"/>
            </w:tabs>
            <w:spacing w:line="360" w:lineRule="auto"/>
            <w:rPr>
              <w:noProof/>
            </w:rPr>
          </w:pPr>
          <w:hyperlink w:anchor="_Toc224734309" w:history="1">
            <w:r w:rsidRPr="00AE1381">
              <w:rPr>
                <w:rStyle w:val="Hyperlink"/>
                <w:rFonts w:ascii="Arial" w:hAnsi="Arial" w:cs="Arial"/>
                <w:noProof/>
              </w:rPr>
              <w:t>References</w:t>
            </w:r>
            <w:r w:rsidRPr="00AE1381">
              <w:rPr>
                <w:rFonts w:ascii="Arial" w:hAnsi="Arial" w:cs="Arial"/>
                <w:noProof/>
                <w:webHidden/>
              </w:rPr>
              <w:tab/>
            </w:r>
            <w:r w:rsidRPr="00AE1381">
              <w:rPr>
                <w:rFonts w:ascii="Arial" w:hAnsi="Arial" w:cs="Arial"/>
                <w:noProof/>
                <w:webHidden/>
              </w:rPr>
              <w:fldChar w:fldCharType="begin"/>
            </w:r>
            <w:r w:rsidRPr="00AE1381">
              <w:rPr>
                <w:rFonts w:ascii="Arial" w:hAnsi="Arial" w:cs="Arial"/>
                <w:noProof/>
                <w:webHidden/>
              </w:rPr>
              <w:instrText xml:space="preserve"> PAGEREF _Toc224734309 \h </w:instrText>
            </w:r>
            <w:r w:rsidRPr="00AE1381">
              <w:rPr>
                <w:rFonts w:ascii="Arial" w:hAnsi="Arial" w:cs="Arial"/>
                <w:noProof/>
                <w:webHidden/>
              </w:rPr>
            </w:r>
            <w:r w:rsidRPr="00AE1381">
              <w:rPr>
                <w:rFonts w:ascii="Arial" w:hAnsi="Arial" w:cs="Arial"/>
                <w:noProof/>
                <w:webHidden/>
              </w:rPr>
              <w:fldChar w:fldCharType="separate"/>
            </w:r>
            <w:r w:rsidR="007871B5">
              <w:rPr>
                <w:rFonts w:ascii="Arial" w:hAnsi="Arial" w:cs="Arial"/>
                <w:noProof/>
                <w:webHidden/>
              </w:rPr>
              <w:t>14</w:t>
            </w:r>
            <w:r w:rsidRPr="00AE1381">
              <w:rPr>
                <w:rFonts w:ascii="Arial" w:hAnsi="Arial" w:cs="Arial"/>
                <w:noProof/>
                <w:webHidden/>
              </w:rPr>
              <w:fldChar w:fldCharType="end"/>
            </w:r>
          </w:hyperlink>
        </w:p>
        <w:p w14:paraId="02A39901" w14:textId="2A8DECD5" w:rsidR="00AE1381" w:rsidRDefault="00AE1381">
          <w:r>
            <w:rPr>
              <w:b/>
              <w:bCs/>
              <w:noProof/>
            </w:rPr>
            <w:fldChar w:fldCharType="end"/>
          </w:r>
        </w:p>
      </w:sdtContent>
    </w:sdt>
    <w:p w14:paraId="6B0B112E" w14:textId="77777777" w:rsidR="00E522AD" w:rsidRDefault="00E522AD">
      <w:r>
        <w:br w:type="page"/>
      </w:r>
    </w:p>
    <w:p w14:paraId="1E92D1B0" w14:textId="7388BDDB" w:rsidR="00E522AD" w:rsidRPr="007E5AE0" w:rsidRDefault="00E522AD" w:rsidP="007E5AE0">
      <w:pPr>
        <w:pStyle w:val="Heading1"/>
        <w:spacing w:line="360" w:lineRule="auto"/>
        <w:jc w:val="both"/>
        <w:rPr>
          <w:rFonts w:cs="Arial"/>
        </w:rPr>
      </w:pPr>
      <w:bookmarkStart w:id="0" w:name="_Toc224734278"/>
      <w:r w:rsidRPr="007E5AE0">
        <w:rPr>
          <w:rFonts w:cs="Arial"/>
        </w:rPr>
        <w:lastRenderedPageBreak/>
        <w:t>Introduction</w:t>
      </w:r>
      <w:bookmarkEnd w:id="0"/>
      <w:r w:rsidRPr="007E5AE0">
        <w:rPr>
          <w:rFonts w:cs="Arial"/>
        </w:rPr>
        <w:t xml:space="preserve"> </w:t>
      </w:r>
    </w:p>
    <w:p w14:paraId="1C33C684" w14:textId="1AB12134" w:rsidR="00E522AD" w:rsidRPr="007E5AE0" w:rsidRDefault="00F93EA4" w:rsidP="007E5AE0">
      <w:pPr>
        <w:spacing w:line="360" w:lineRule="auto"/>
        <w:ind w:firstLine="720"/>
        <w:jc w:val="both"/>
        <w:rPr>
          <w:rFonts w:ascii="Arial" w:hAnsi="Arial" w:cs="Arial"/>
          <w:sz w:val="22"/>
          <w:szCs w:val="22"/>
        </w:rPr>
      </w:pPr>
      <w:r w:rsidRPr="007E5AE0">
        <w:rPr>
          <w:rFonts w:ascii="Arial" w:hAnsi="Arial" w:cs="Arial"/>
          <w:sz w:val="22"/>
          <w:szCs w:val="22"/>
        </w:rPr>
        <w:t xml:space="preserve">The insulin resistance and inability to control </w:t>
      </w:r>
      <w:proofErr w:type="spellStart"/>
      <w:r w:rsidRPr="007E5AE0">
        <w:rPr>
          <w:rFonts w:ascii="Arial" w:hAnsi="Arial" w:cs="Arial"/>
          <w:sz w:val="22"/>
          <w:szCs w:val="22"/>
        </w:rPr>
        <w:t>glycaemic</w:t>
      </w:r>
      <w:proofErr w:type="spellEnd"/>
      <w:r w:rsidRPr="007E5AE0">
        <w:rPr>
          <w:rFonts w:ascii="Arial" w:hAnsi="Arial" w:cs="Arial"/>
          <w:sz w:val="22"/>
          <w:szCs w:val="22"/>
        </w:rPr>
        <w:t xml:space="preserve"> hormones are the main features of type 2 diabetes (T2D), which represents a significant and increasing population health concern in the United Kingdom (UK) (World Health Organization, 2023). Self-management is one of the key objectives of effective management as it refers to the capacity of the person to deal with symptoms, management, lifestyle </w:t>
      </w:r>
      <w:proofErr w:type="spellStart"/>
      <w:r w:rsidRPr="007E5AE0">
        <w:rPr>
          <w:rFonts w:ascii="Arial" w:hAnsi="Arial" w:cs="Arial"/>
          <w:sz w:val="22"/>
          <w:szCs w:val="22"/>
        </w:rPr>
        <w:t>behaviours</w:t>
      </w:r>
      <w:proofErr w:type="spellEnd"/>
      <w:r w:rsidRPr="007E5AE0">
        <w:rPr>
          <w:rFonts w:ascii="Arial" w:hAnsi="Arial" w:cs="Arial"/>
          <w:sz w:val="22"/>
          <w:szCs w:val="22"/>
        </w:rPr>
        <w:t>, and psychosocial impact of chronic illness (Barlow et al., 2022). In the UK, it is mainly provided in the form of primary care that is the initial interface in the scope of the National Health Service (NHS) and is the core of long-term disease monitoring and prevention (NHS England, 2023).</w:t>
      </w:r>
      <w:r w:rsidR="007E5AE0">
        <w:rPr>
          <w:rFonts w:ascii="Arial" w:hAnsi="Arial" w:cs="Arial"/>
          <w:sz w:val="22"/>
          <w:szCs w:val="22"/>
        </w:rPr>
        <w:t xml:space="preserve"> </w:t>
      </w:r>
      <w:r w:rsidRPr="007E5AE0">
        <w:rPr>
          <w:rFonts w:ascii="Arial" w:hAnsi="Arial" w:cs="Arial"/>
          <w:sz w:val="22"/>
          <w:szCs w:val="22"/>
        </w:rPr>
        <w:t xml:space="preserve">Digital health interventions, such as mobile apps, telehealth, SMS support, and remote monitoring, have become referred to with growing interest, in this regard, as a tool to increase patient following (Marcolino et al., 2021). These technologies present the possibility of </w:t>
      </w:r>
      <w:proofErr w:type="spellStart"/>
      <w:r w:rsidRPr="007E5AE0">
        <w:rPr>
          <w:rFonts w:ascii="Arial" w:hAnsi="Arial" w:cs="Arial"/>
          <w:sz w:val="22"/>
          <w:szCs w:val="22"/>
        </w:rPr>
        <w:t>customised</w:t>
      </w:r>
      <w:proofErr w:type="spellEnd"/>
      <w:r w:rsidRPr="007E5AE0">
        <w:rPr>
          <w:rFonts w:ascii="Arial" w:hAnsi="Arial" w:cs="Arial"/>
          <w:sz w:val="22"/>
          <w:szCs w:val="22"/>
        </w:rPr>
        <w:t xml:space="preserve"> and accessible care; yet, their efficiency is also situational and changeable among populations.</w:t>
      </w:r>
    </w:p>
    <w:p w14:paraId="1D9C072D" w14:textId="49D640F1" w:rsidR="00E522AD" w:rsidRPr="007E5AE0" w:rsidRDefault="00E522AD" w:rsidP="007E5AE0">
      <w:pPr>
        <w:pStyle w:val="Heading2"/>
        <w:spacing w:line="360" w:lineRule="auto"/>
        <w:jc w:val="both"/>
        <w:rPr>
          <w:rFonts w:cs="Arial"/>
        </w:rPr>
      </w:pPr>
      <w:bookmarkStart w:id="1" w:name="_Toc224734279"/>
      <w:r w:rsidRPr="007E5AE0">
        <w:rPr>
          <w:rFonts w:cs="Arial"/>
        </w:rPr>
        <w:t>Rationale</w:t>
      </w:r>
      <w:bookmarkEnd w:id="1"/>
      <w:r w:rsidRPr="007E5AE0">
        <w:rPr>
          <w:rFonts w:cs="Arial"/>
        </w:rPr>
        <w:t xml:space="preserve"> </w:t>
      </w:r>
    </w:p>
    <w:p w14:paraId="2710689D" w14:textId="38B462C1" w:rsidR="00E522AD" w:rsidRPr="007E5AE0" w:rsidRDefault="00F93EA4" w:rsidP="007E5AE0">
      <w:pPr>
        <w:spacing w:line="360" w:lineRule="auto"/>
        <w:ind w:firstLine="720"/>
        <w:jc w:val="both"/>
        <w:rPr>
          <w:rFonts w:ascii="Arial" w:hAnsi="Arial" w:cs="Arial"/>
          <w:sz w:val="22"/>
          <w:szCs w:val="22"/>
        </w:rPr>
      </w:pPr>
      <w:r w:rsidRPr="007E5AE0">
        <w:rPr>
          <w:rFonts w:ascii="Arial" w:hAnsi="Arial" w:cs="Arial"/>
          <w:sz w:val="22"/>
          <w:szCs w:val="22"/>
        </w:rPr>
        <w:t>T2D is on the increase in the UK, and this presents citizens with considerable clinical and economic burdens on the primary care services in the NHS (Diabetes UK, 2023). In turn, to enhance the management of chronic diseases, the concept of digital health has been placed at the forefront of the recent adjustments to the national policy (NHS England, 2022). Nevertheless, as the results of the current evidence show, there are discrepancies regarding the outcomes across the effectiveness, patient engagement, and acceptability (Car et al., 2020). In addition, digital exclusion, data policies, and lack of integration into clinical processes and decision-making processes are a few of the problems that point out the disparity between a policy ambition and a real-world scenario. This highlights the significance of a systematic review of existing evidence to guide practice and research on the matter.</w:t>
      </w:r>
    </w:p>
    <w:p w14:paraId="05CC140E" w14:textId="21F404F6" w:rsidR="00E522AD" w:rsidRPr="007E5AE0" w:rsidRDefault="00E522AD" w:rsidP="007E5AE0">
      <w:pPr>
        <w:pStyle w:val="Heading2"/>
        <w:spacing w:line="360" w:lineRule="auto"/>
        <w:jc w:val="both"/>
        <w:rPr>
          <w:rFonts w:cs="Arial"/>
        </w:rPr>
      </w:pPr>
      <w:bookmarkStart w:id="2" w:name="_Toc224734280"/>
      <w:r w:rsidRPr="007E5AE0">
        <w:rPr>
          <w:rFonts w:cs="Arial"/>
        </w:rPr>
        <w:t>Aim and Objectives</w:t>
      </w:r>
      <w:bookmarkEnd w:id="2"/>
      <w:r w:rsidRPr="007E5AE0">
        <w:rPr>
          <w:rFonts w:cs="Arial"/>
        </w:rPr>
        <w:t xml:space="preserve"> </w:t>
      </w:r>
    </w:p>
    <w:p w14:paraId="25138D62" w14:textId="4E22E930" w:rsidR="00E522AD" w:rsidRPr="007E5AE0" w:rsidRDefault="00F93EA4" w:rsidP="007E5AE0">
      <w:pPr>
        <w:spacing w:line="360" w:lineRule="auto"/>
        <w:ind w:firstLine="720"/>
        <w:jc w:val="both"/>
        <w:rPr>
          <w:rFonts w:ascii="Arial" w:hAnsi="Arial" w:cs="Arial"/>
          <w:sz w:val="22"/>
          <w:szCs w:val="22"/>
        </w:rPr>
      </w:pPr>
      <w:r w:rsidRPr="007E5AE0">
        <w:rPr>
          <w:rFonts w:ascii="Arial" w:hAnsi="Arial" w:cs="Arial"/>
          <w:sz w:val="22"/>
          <w:szCs w:val="22"/>
        </w:rPr>
        <w:t>This scoping review will attempt to chart peer-reviewed articles published in the United Kingdom on digital health interventions to support adult T2D in primary care self-management. It aims at categorizing the types of intervention, investigating the themes of effectiveness and participation, and defining challenges of implementation and evidence gaps.</w:t>
      </w:r>
    </w:p>
    <w:p w14:paraId="012A1FBD" w14:textId="20E57C4C" w:rsidR="00E522AD" w:rsidRPr="007E5AE0" w:rsidRDefault="00E522AD" w:rsidP="007E5AE0">
      <w:pPr>
        <w:pStyle w:val="Heading2"/>
        <w:spacing w:line="360" w:lineRule="auto"/>
        <w:jc w:val="both"/>
        <w:rPr>
          <w:rFonts w:cs="Arial"/>
        </w:rPr>
      </w:pPr>
      <w:bookmarkStart w:id="3" w:name="_Toc224734281"/>
      <w:r w:rsidRPr="007E5AE0">
        <w:rPr>
          <w:rFonts w:cs="Arial"/>
        </w:rPr>
        <w:lastRenderedPageBreak/>
        <w:t>Review Question</w:t>
      </w:r>
      <w:bookmarkEnd w:id="3"/>
      <w:r w:rsidRPr="007E5AE0">
        <w:rPr>
          <w:rFonts w:cs="Arial"/>
        </w:rPr>
        <w:t xml:space="preserve"> </w:t>
      </w:r>
    </w:p>
    <w:p w14:paraId="501C394E" w14:textId="56C48A67" w:rsidR="00E522AD" w:rsidRPr="007E5AE0" w:rsidRDefault="00F93EA4" w:rsidP="007E5AE0">
      <w:pPr>
        <w:spacing w:line="360" w:lineRule="auto"/>
        <w:ind w:firstLine="720"/>
        <w:jc w:val="both"/>
        <w:rPr>
          <w:rFonts w:ascii="Arial" w:hAnsi="Arial" w:cs="Arial"/>
          <w:sz w:val="22"/>
          <w:szCs w:val="22"/>
        </w:rPr>
      </w:pPr>
      <w:r w:rsidRPr="007E5AE0">
        <w:rPr>
          <w:rFonts w:ascii="Arial" w:hAnsi="Arial" w:cs="Arial"/>
          <w:sz w:val="22"/>
          <w:szCs w:val="22"/>
        </w:rPr>
        <w:t>The question that is guiding the review is the following:</w:t>
      </w:r>
      <w:r w:rsidR="007E5AE0">
        <w:rPr>
          <w:rFonts w:ascii="Arial" w:hAnsi="Arial" w:cs="Arial"/>
          <w:sz w:val="22"/>
          <w:szCs w:val="22"/>
        </w:rPr>
        <w:t xml:space="preserve"> </w:t>
      </w:r>
      <w:r w:rsidRPr="007E5AE0">
        <w:rPr>
          <w:rFonts w:ascii="Arial" w:hAnsi="Arial" w:cs="Arial"/>
          <w:i/>
          <w:iCs/>
          <w:sz w:val="22"/>
          <w:szCs w:val="22"/>
        </w:rPr>
        <w:t>What do UK peer-reviewed sources suggest are the key themes of digital interventions in primary care to support adult T2D self-management?</w:t>
      </w:r>
    </w:p>
    <w:p w14:paraId="48104BCC" w14:textId="0FA23F4C" w:rsidR="00E522AD" w:rsidRPr="007E5AE0" w:rsidRDefault="00E522AD" w:rsidP="007E5AE0">
      <w:pPr>
        <w:pStyle w:val="Heading1"/>
        <w:spacing w:line="360" w:lineRule="auto"/>
        <w:jc w:val="both"/>
        <w:rPr>
          <w:rFonts w:cs="Arial"/>
        </w:rPr>
      </w:pPr>
      <w:bookmarkStart w:id="4" w:name="_Toc224734282"/>
      <w:r w:rsidRPr="007E5AE0">
        <w:rPr>
          <w:rFonts w:cs="Arial"/>
        </w:rPr>
        <w:t>Background</w:t>
      </w:r>
      <w:bookmarkEnd w:id="4"/>
      <w:r w:rsidRPr="007E5AE0">
        <w:rPr>
          <w:rFonts w:cs="Arial"/>
        </w:rPr>
        <w:t xml:space="preserve"> </w:t>
      </w:r>
    </w:p>
    <w:p w14:paraId="13690786" w14:textId="1A747125" w:rsidR="00E522AD" w:rsidRPr="007E5AE0" w:rsidRDefault="00F93EA4" w:rsidP="00F63C27">
      <w:pPr>
        <w:spacing w:line="360" w:lineRule="auto"/>
        <w:ind w:firstLine="720"/>
        <w:jc w:val="both"/>
        <w:rPr>
          <w:rFonts w:ascii="Arial" w:hAnsi="Arial" w:cs="Arial"/>
          <w:sz w:val="22"/>
          <w:szCs w:val="22"/>
        </w:rPr>
      </w:pPr>
      <w:r w:rsidRPr="007E5AE0">
        <w:rPr>
          <w:rFonts w:ascii="Arial" w:hAnsi="Arial" w:cs="Arial"/>
          <w:sz w:val="22"/>
          <w:szCs w:val="22"/>
        </w:rPr>
        <w:t>Type 2 diabetes (T2D) can be seen as a rising issue in the health of the population in the United Kingdom, whereby its prevalence rates are rising with ageing, lack of physical activity, and increased rates of obesity (Diabetes UK, 2023). It is estimated now that in the UK, more than 4.3 million individuals are diagnosed with diabetes, and about 90% of them have T2D (NHS Digital, 2023). Cardiovascular disease, renal failure, and neuropathy are serious long-term complications of the condition, which predispose it to have significant outcomes on morbidity and mortality (World Health Organization, 2023).</w:t>
      </w:r>
      <w:r w:rsidR="00F63C27">
        <w:rPr>
          <w:rFonts w:ascii="Arial" w:hAnsi="Arial" w:cs="Arial"/>
          <w:sz w:val="22"/>
          <w:szCs w:val="22"/>
        </w:rPr>
        <w:t xml:space="preserve"> </w:t>
      </w:r>
      <w:r w:rsidRPr="007E5AE0">
        <w:rPr>
          <w:rFonts w:ascii="Arial" w:hAnsi="Arial" w:cs="Arial"/>
          <w:sz w:val="22"/>
          <w:szCs w:val="22"/>
        </w:rPr>
        <w:t>It has a significant financial impact on the National Health Service (NHS), whereby the care related to diabetes covers a significant percentage of healthcare expenses, much of which relates to the treatment of complications that are avoidable (Hex et al., 2022). This puts a long-term strain on the primary care service, which has the role of routine follow-up, early detection, and patient education. In this capacity, there is a growing demand for low-cost strategies, which can facilitate long-term self-management and decreased service demand.</w:t>
      </w:r>
    </w:p>
    <w:p w14:paraId="7B7D8AF9" w14:textId="70385DA6" w:rsidR="00E522AD" w:rsidRPr="007E5AE0" w:rsidRDefault="00E522AD" w:rsidP="007E5AE0">
      <w:pPr>
        <w:pStyle w:val="Heading2"/>
        <w:spacing w:line="360" w:lineRule="auto"/>
        <w:jc w:val="both"/>
        <w:rPr>
          <w:rFonts w:cs="Arial"/>
        </w:rPr>
      </w:pPr>
      <w:bookmarkStart w:id="5" w:name="_Toc224734283"/>
      <w:r w:rsidRPr="007E5AE0">
        <w:rPr>
          <w:rFonts w:cs="Arial"/>
        </w:rPr>
        <w:t xml:space="preserve">Digital Health in </w:t>
      </w:r>
      <w:r w:rsidR="00F93EA4" w:rsidRPr="007E5AE0">
        <w:rPr>
          <w:rFonts w:cs="Arial"/>
        </w:rPr>
        <w:t xml:space="preserve">the </w:t>
      </w:r>
      <w:r w:rsidRPr="007E5AE0">
        <w:rPr>
          <w:rFonts w:cs="Arial"/>
        </w:rPr>
        <w:t>UK Policy Context</w:t>
      </w:r>
      <w:bookmarkEnd w:id="5"/>
      <w:r w:rsidRPr="007E5AE0">
        <w:rPr>
          <w:rFonts w:cs="Arial"/>
        </w:rPr>
        <w:t xml:space="preserve"> </w:t>
      </w:r>
    </w:p>
    <w:p w14:paraId="722CDA16" w14:textId="7D59A542" w:rsidR="00E522AD" w:rsidRPr="007E5AE0" w:rsidRDefault="00F93EA4" w:rsidP="00F63C27">
      <w:pPr>
        <w:spacing w:line="360" w:lineRule="auto"/>
        <w:ind w:firstLine="720"/>
        <w:jc w:val="both"/>
        <w:rPr>
          <w:rFonts w:ascii="Arial" w:hAnsi="Arial" w:cs="Arial"/>
          <w:sz w:val="22"/>
          <w:szCs w:val="22"/>
        </w:rPr>
      </w:pPr>
      <w:r w:rsidRPr="007E5AE0">
        <w:rPr>
          <w:rFonts w:ascii="Arial" w:hAnsi="Arial" w:cs="Arial"/>
          <w:sz w:val="22"/>
          <w:szCs w:val="22"/>
        </w:rPr>
        <w:t xml:space="preserve">The UK healthcare policy has given digital health priority as a way of overcoming these challenges. The NHS Long Term Plan enhances the growth of digital-first primary care and the use of technology to enhance long-term condition management (NHS England, 2019). On the same note, the Digital Health and Social Care Plan also focuses on the use of digital tools to improve access, efficiency, and </w:t>
      </w:r>
      <w:proofErr w:type="spellStart"/>
      <w:r w:rsidRPr="007E5AE0">
        <w:rPr>
          <w:rFonts w:ascii="Arial" w:hAnsi="Arial" w:cs="Arial"/>
          <w:sz w:val="22"/>
          <w:szCs w:val="22"/>
        </w:rPr>
        <w:t>personalised</w:t>
      </w:r>
      <w:proofErr w:type="spellEnd"/>
      <w:r w:rsidRPr="007E5AE0">
        <w:rPr>
          <w:rFonts w:ascii="Arial" w:hAnsi="Arial" w:cs="Arial"/>
          <w:sz w:val="22"/>
          <w:szCs w:val="22"/>
        </w:rPr>
        <w:t xml:space="preserve"> care (NHS England, 2022). This is further supported by the framework of evidence standards proposed by the National Institute of Health and Care Excellence (NICE), which offers help in the effective and safe implementation of digital health technologies (NICE, 2021).</w:t>
      </w:r>
      <w:r w:rsidR="00F63C27">
        <w:rPr>
          <w:rFonts w:ascii="Arial" w:hAnsi="Arial" w:cs="Arial"/>
          <w:sz w:val="22"/>
          <w:szCs w:val="22"/>
        </w:rPr>
        <w:t xml:space="preserve"> </w:t>
      </w:r>
      <w:r w:rsidRPr="007E5AE0">
        <w:rPr>
          <w:rFonts w:ascii="Arial" w:hAnsi="Arial" w:cs="Arial"/>
          <w:sz w:val="22"/>
          <w:szCs w:val="22"/>
        </w:rPr>
        <w:t>There is, however, an existing disconnect between strategic aspiration and reality in spite of high policy approval</w:t>
      </w:r>
      <w:r w:rsidR="00AE1381">
        <w:rPr>
          <w:rFonts w:ascii="Arial" w:hAnsi="Arial" w:cs="Arial"/>
          <w:sz w:val="22"/>
          <w:szCs w:val="22"/>
        </w:rPr>
        <w:t xml:space="preserve"> (</w:t>
      </w:r>
      <w:r w:rsidR="00AE1381" w:rsidRPr="007E5AE0">
        <w:rPr>
          <w:rFonts w:ascii="Arial" w:hAnsi="Arial" w:cs="Arial"/>
          <w:sz w:val="22"/>
          <w:szCs w:val="22"/>
        </w:rPr>
        <w:t>Greenhalgh et al., 2020</w:t>
      </w:r>
      <w:r w:rsidR="00AE1381">
        <w:rPr>
          <w:rFonts w:ascii="Arial" w:hAnsi="Arial" w:cs="Arial"/>
          <w:sz w:val="22"/>
          <w:szCs w:val="22"/>
        </w:rPr>
        <w:t>)</w:t>
      </w:r>
      <w:r w:rsidRPr="007E5AE0">
        <w:rPr>
          <w:rFonts w:ascii="Arial" w:hAnsi="Arial" w:cs="Arial"/>
          <w:sz w:val="22"/>
          <w:szCs w:val="22"/>
        </w:rPr>
        <w:t>. There seems to be a variation in the rates of uptake, depending on infrastructure constraints, clinician interest, and patient willingness in primary care environments.</w:t>
      </w:r>
    </w:p>
    <w:p w14:paraId="1A495CA2" w14:textId="72D1E8FD" w:rsidR="00E522AD" w:rsidRPr="007E5AE0" w:rsidRDefault="00E522AD" w:rsidP="007E5AE0">
      <w:pPr>
        <w:pStyle w:val="Heading2"/>
        <w:spacing w:line="360" w:lineRule="auto"/>
        <w:jc w:val="both"/>
        <w:rPr>
          <w:rFonts w:cs="Arial"/>
        </w:rPr>
      </w:pPr>
      <w:bookmarkStart w:id="6" w:name="_Toc224734284"/>
      <w:r w:rsidRPr="007E5AE0">
        <w:rPr>
          <w:rFonts w:cs="Arial"/>
        </w:rPr>
        <w:lastRenderedPageBreak/>
        <w:t>Role of Digital Interventions in Self-Management</w:t>
      </w:r>
      <w:bookmarkEnd w:id="6"/>
      <w:r w:rsidRPr="007E5AE0">
        <w:rPr>
          <w:rFonts w:cs="Arial"/>
        </w:rPr>
        <w:t xml:space="preserve"> </w:t>
      </w:r>
    </w:p>
    <w:p w14:paraId="3F809598" w14:textId="50DA0C89" w:rsidR="00E522AD" w:rsidRPr="00F63C27" w:rsidRDefault="00F93EA4" w:rsidP="00F63C27">
      <w:pPr>
        <w:spacing w:line="360" w:lineRule="auto"/>
        <w:ind w:firstLine="720"/>
        <w:jc w:val="both"/>
        <w:rPr>
          <w:rFonts w:ascii="Arial" w:hAnsi="Arial" w:cs="Arial"/>
          <w:sz w:val="22"/>
          <w:szCs w:val="22"/>
        </w:rPr>
      </w:pPr>
      <w:r w:rsidRPr="00F63C27">
        <w:rPr>
          <w:rFonts w:ascii="Arial" w:hAnsi="Arial" w:cs="Arial"/>
          <w:sz w:val="22"/>
          <w:szCs w:val="22"/>
        </w:rPr>
        <w:t xml:space="preserve">Digital health interventions provide various ways to increase T2D self-management. They aid </w:t>
      </w:r>
      <w:proofErr w:type="spellStart"/>
      <w:r w:rsidRPr="00F63C27">
        <w:rPr>
          <w:rFonts w:ascii="Arial" w:hAnsi="Arial" w:cs="Arial"/>
          <w:sz w:val="22"/>
          <w:szCs w:val="22"/>
        </w:rPr>
        <w:t>behaviour</w:t>
      </w:r>
      <w:proofErr w:type="spellEnd"/>
      <w:r w:rsidRPr="00F63C27">
        <w:rPr>
          <w:rFonts w:ascii="Arial" w:hAnsi="Arial" w:cs="Arial"/>
          <w:sz w:val="22"/>
          <w:szCs w:val="22"/>
        </w:rPr>
        <w:t xml:space="preserve"> modification with </w:t>
      </w:r>
      <w:proofErr w:type="spellStart"/>
      <w:r w:rsidRPr="00F63C27">
        <w:rPr>
          <w:rFonts w:ascii="Arial" w:hAnsi="Arial" w:cs="Arial"/>
          <w:sz w:val="22"/>
          <w:szCs w:val="22"/>
        </w:rPr>
        <w:t>individualised</w:t>
      </w:r>
      <w:proofErr w:type="spellEnd"/>
      <w:r w:rsidRPr="00F63C27">
        <w:rPr>
          <w:rFonts w:ascii="Arial" w:hAnsi="Arial" w:cs="Arial"/>
          <w:sz w:val="22"/>
          <w:szCs w:val="22"/>
        </w:rPr>
        <w:t xml:space="preserve"> inputs, targets, and inspirational cues, which are necessary to enhance lifestyle conduct (Michie et al., 2021). Moreover, such technologies such as remote monitoring can be used to monitor blood glucose levels continuously, allowing for timely clinical decisions and limiting the need to use a face-to-face consultation (Marcolino et al., 2021). Education is also enhanced by digital platforms, giving patients information to be able to handle their condition better.</w:t>
      </w:r>
      <w:r w:rsidR="00F63C27">
        <w:rPr>
          <w:rFonts w:ascii="Arial" w:hAnsi="Arial" w:cs="Arial"/>
          <w:sz w:val="22"/>
          <w:szCs w:val="22"/>
        </w:rPr>
        <w:t xml:space="preserve"> </w:t>
      </w:r>
      <w:r w:rsidRPr="00F63C27">
        <w:rPr>
          <w:rFonts w:ascii="Arial" w:hAnsi="Arial" w:cs="Arial"/>
          <w:sz w:val="22"/>
          <w:szCs w:val="22"/>
        </w:rPr>
        <w:t xml:space="preserve">However, the results of such interventions are not always effective, and some reports </w:t>
      </w:r>
      <w:r w:rsidR="00A82E63" w:rsidRPr="00F63C27">
        <w:rPr>
          <w:rFonts w:ascii="Arial" w:hAnsi="Arial" w:cs="Arial"/>
          <w:sz w:val="22"/>
          <w:szCs w:val="22"/>
        </w:rPr>
        <w:t>provide</w:t>
      </w:r>
      <w:r w:rsidRPr="00F63C27">
        <w:rPr>
          <w:rFonts w:ascii="Arial" w:hAnsi="Arial" w:cs="Arial"/>
          <w:sz w:val="22"/>
          <w:szCs w:val="22"/>
        </w:rPr>
        <w:t xml:space="preserve"> better results, while others show less or temporary results (Car et al., 2020). This inconsistency implies that contextual influences, including user interaction and implementation initiatives, are vital in the determination of success.</w:t>
      </w:r>
    </w:p>
    <w:p w14:paraId="0B73752B" w14:textId="2E2A3CC4" w:rsidR="00E522AD" w:rsidRPr="007E5AE0" w:rsidRDefault="00E522AD" w:rsidP="007E5AE0">
      <w:pPr>
        <w:pStyle w:val="Heading2"/>
        <w:spacing w:line="360" w:lineRule="auto"/>
        <w:jc w:val="both"/>
        <w:rPr>
          <w:rFonts w:cs="Arial"/>
        </w:rPr>
      </w:pPr>
      <w:bookmarkStart w:id="7" w:name="_Toc224734285"/>
      <w:r w:rsidRPr="007E5AE0">
        <w:rPr>
          <w:rFonts w:cs="Arial"/>
        </w:rPr>
        <w:t>Challenges</w:t>
      </w:r>
      <w:r w:rsidR="00A82E63" w:rsidRPr="007E5AE0">
        <w:rPr>
          <w:rFonts w:cs="Arial"/>
        </w:rPr>
        <w:t xml:space="preserve">: </w:t>
      </w:r>
      <w:r w:rsidRPr="007E5AE0">
        <w:rPr>
          <w:rFonts w:cs="Arial"/>
        </w:rPr>
        <w:t>Equity &amp; Implementation</w:t>
      </w:r>
      <w:bookmarkEnd w:id="7"/>
    </w:p>
    <w:p w14:paraId="003FC7F0" w14:textId="0D38C880" w:rsidR="00E522AD" w:rsidRPr="007E5AE0" w:rsidRDefault="00A82E63" w:rsidP="007E5AE0">
      <w:pPr>
        <w:spacing w:line="360" w:lineRule="auto"/>
        <w:ind w:firstLine="720"/>
        <w:jc w:val="both"/>
        <w:rPr>
          <w:rFonts w:ascii="Arial" w:hAnsi="Arial" w:cs="Arial"/>
          <w:sz w:val="22"/>
          <w:szCs w:val="22"/>
        </w:rPr>
      </w:pPr>
      <w:r w:rsidRPr="007E5AE0">
        <w:rPr>
          <w:rFonts w:ascii="Arial" w:hAnsi="Arial" w:cs="Arial"/>
          <w:sz w:val="22"/>
          <w:szCs w:val="22"/>
        </w:rPr>
        <w:t>Even with its potential, digital interventions are a matter of concern in terms of equity and implementation. Digital exclusion is a disproportion between older adults and socioeconomically disadvantaged individuals, who may increase the health disparities that already exist (Watts, 2020). In addition, patient trust and adoption can be undermined by issues of data governance, such as privacy and security (NHSX, 2021). There are also workforce barriers due to the lack of time, training, or confidence of healthcare professionals to incorporate the use of digital tools in their daily routine (Greenhalgh et al., 2020).</w:t>
      </w:r>
      <w:r w:rsidR="007E5AE0">
        <w:rPr>
          <w:rFonts w:ascii="Arial" w:hAnsi="Arial" w:cs="Arial"/>
          <w:sz w:val="22"/>
          <w:szCs w:val="22"/>
        </w:rPr>
        <w:t xml:space="preserve"> </w:t>
      </w:r>
      <w:r w:rsidRPr="007E5AE0">
        <w:rPr>
          <w:rFonts w:ascii="Arial" w:hAnsi="Arial" w:cs="Arial"/>
          <w:sz w:val="22"/>
          <w:szCs w:val="22"/>
        </w:rPr>
        <w:t>Based on these difficulties, the processes of digital health implementation in primary care prove to be rather complex and support the necessity of considering not only effectiveness but also feasibility, acceptability, and equity in present studies.</w:t>
      </w:r>
    </w:p>
    <w:p w14:paraId="67629C94" w14:textId="0C79D584" w:rsidR="00E522AD" w:rsidRPr="007E5AE0" w:rsidRDefault="00E522AD" w:rsidP="007E5AE0">
      <w:pPr>
        <w:pStyle w:val="Heading1"/>
        <w:spacing w:line="360" w:lineRule="auto"/>
        <w:jc w:val="both"/>
        <w:rPr>
          <w:rFonts w:cs="Arial"/>
        </w:rPr>
      </w:pPr>
      <w:bookmarkStart w:id="8" w:name="_Toc224734286"/>
      <w:r w:rsidRPr="007E5AE0">
        <w:rPr>
          <w:rFonts w:cs="Arial"/>
        </w:rPr>
        <w:t>Methodology</w:t>
      </w:r>
      <w:bookmarkEnd w:id="8"/>
      <w:r w:rsidRPr="007E5AE0">
        <w:rPr>
          <w:rFonts w:cs="Arial"/>
        </w:rPr>
        <w:t xml:space="preserve"> </w:t>
      </w:r>
    </w:p>
    <w:p w14:paraId="446EB11C" w14:textId="0F7B4A0D" w:rsidR="00E522AD" w:rsidRPr="007E5AE0" w:rsidRDefault="00A82E63" w:rsidP="007E5AE0">
      <w:pPr>
        <w:spacing w:line="360" w:lineRule="auto"/>
        <w:ind w:firstLine="720"/>
        <w:jc w:val="both"/>
        <w:rPr>
          <w:rFonts w:ascii="Arial" w:hAnsi="Arial" w:cs="Arial"/>
          <w:sz w:val="22"/>
          <w:szCs w:val="22"/>
        </w:rPr>
      </w:pPr>
      <w:r w:rsidRPr="007E5AE0">
        <w:rPr>
          <w:rFonts w:ascii="Arial" w:hAnsi="Arial" w:cs="Arial"/>
          <w:sz w:val="22"/>
          <w:szCs w:val="22"/>
        </w:rPr>
        <w:t xml:space="preserve">The present research considers a scoping review approach where the framework by Arksey and O’Malley (2005) is utilized to map the literature available, reveal the critical concepts, and develop the knowledge gaps. This process consists of five stages, namely: (1) determining the research question, (2) finding out the studies of interest, (3) selection of the studies, (4) charting data, and (5) the process of collating, summarising, and reporting the findings. According to the requirements of methodological </w:t>
      </w:r>
      <w:proofErr w:type="spellStart"/>
      <w:r w:rsidRPr="007E5AE0">
        <w:rPr>
          <w:rFonts w:ascii="Arial" w:hAnsi="Arial" w:cs="Arial"/>
          <w:sz w:val="22"/>
          <w:szCs w:val="22"/>
        </w:rPr>
        <w:t>rigour</w:t>
      </w:r>
      <w:proofErr w:type="spellEnd"/>
      <w:r w:rsidRPr="007E5AE0">
        <w:rPr>
          <w:rFonts w:ascii="Arial" w:hAnsi="Arial" w:cs="Arial"/>
          <w:sz w:val="22"/>
          <w:szCs w:val="22"/>
        </w:rPr>
        <w:t xml:space="preserve"> and transparency, the provided review is guided by the PRISMA extension of Scoping Reviews reporting recommendations (PRISMA-</w:t>
      </w:r>
      <w:proofErr w:type="spellStart"/>
      <w:r w:rsidRPr="007E5AE0">
        <w:rPr>
          <w:rFonts w:ascii="Arial" w:hAnsi="Arial" w:cs="Arial"/>
          <w:sz w:val="22"/>
          <w:szCs w:val="22"/>
        </w:rPr>
        <w:t>ScR</w:t>
      </w:r>
      <w:proofErr w:type="spellEnd"/>
      <w:r w:rsidRPr="007E5AE0">
        <w:rPr>
          <w:rFonts w:ascii="Arial" w:hAnsi="Arial" w:cs="Arial"/>
          <w:sz w:val="22"/>
          <w:szCs w:val="22"/>
        </w:rPr>
        <w:t>) (</w:t>
      </w:r>
      <w:proofErr w:type="spellStart"/>
      <w:r w:rsidRPr="007E5AE0">
        <w:rPr>
          <w:rFonts w:ascii="Arial" w:hAnsi="Arial" w:cs="Arial"/>
          <w:sz w:val="22"/>
          <w:szCs w:val="22"/>
        </w:rPr>
        <w:t>Tricco</w:t>
      </w:r>
      <w:proofErr w:type="spellEnd"/>
      <w:r w:rsidRPr="007E5AE0">
        <w:rPr>
          <w:rFonts w:ascii="Arial" w:hAnsi="Arial" w:cs="Arial"/>
          <w:sz w:val="22"/>
          <w:szCs w:val="22"/>
        </w:rPr>
        <w:t xml:space="preserve"> et al., 2018).</w:t>
      </w:r>
      <w:r w:rsidR="007E5AE0">
        <w:rPr>
          <w:rFonts w:ascii="Arial" w:hAnsi="Arial" w:cs="Arial"/>
          <w:sz w:val="22"/>
          <w:szCs w:val="22"/>
        </w:rPr>
        <w:t xml:space="preserve"> </w:t>
      </w:r>
      <w:r w:rsidRPr="007E5AE0">
        <w:rPr>
          <w:rFonts w:ascii="Arial" w:hAnsi="Arial" w:cs="Arial"/>
          <w:sz w:val="22"/>
          <w:szCs w:val="22"/>
        </w:rPr>
        <w:t>The scoping review was selected instead of a systematic review since the research question is not based on how the intervention is effective</w:t>
      </w:r>
      <w:r w:rsidR="007E5AE0">
        <w:rPr>
          <w:rFonts w:ascii="Arial" w:hAnsi="Arial" w:cs="Arial"/>
          <w:sz w:val="22"/>
          <w:szCs w:val="22"/>
        </w:rPr>
        <w:t>,</w:t>
      </w:r>
      <w:r w:rsidRPr="007E5AE0">
        <w:rPr>
          <w:rFonts w:ascii="Arial" w:hAnsi="Arial" w:cs="Arial"/>
          <w:sz w:val="22"/>
          <w:szCs w:val="22"/>
        </w:rPr>
        <w:t xml:space="preserve"> but is exploratory based. Systematic one has homogeneous studies and pre-determined outcome measures, whereas scoping one is </w:t>
      </w:r>
      <w:r w:rsidRPr="007E5AE0">
        <w:rPr>
          <w:rFonts w:ascii="Arial" w:hAnsi="Arial" w:cs="Arial"/>
          <w:sz w:val="22"/>
          <w:szCs w:val="22"/>
        </w:rPr>
        <w:lastRenderedPageBreak/>
        <w:t xml:space="preserve">applicable in </w:t>
      </w:r>
      <w:proofErr w:type="spellStart"/>
      <w:r w:rsidRPr="007E5AE0">
        <w:rPr>
          <w:rFonts w:ascii="Arial" w:hAnsi="Arial" w:cs="Arial"/>
          <w:sz w:val="22"/>
          <w:szCs w:val="22"/>
        </w:rPr>
        <w:t>synthesising</w:t>
      </w:r>
      <w:proofErr w:type="spellEnd"/>
      <w:r w:rsidRPr="007E5AE0">
        <w:rPr>
          <w:rFonts w:ascii="Arial" w:hAnsi="Arial" w:cs="Arial"/>
          <w:sz w:val="22"/>
          <w:szCs w:val="22"/>
        </w:rPr>
        <w:t xml:space="preserve"> </w:t>
      </w:r>
      <w:r w:rsidR="007E5AE0">
        <w:rPr>
          <w:rFonts w:ascii="Arial" w:hAnsi="Arial" w:cs="Arial"/>
          <w:sz w:val="22"/>
          <w:szCs w:val="22"/>
        </w:rPr>
        <w:t>heterogeneous</w:t>
      </w:r>
      <w:r w:rsidRPr="007E5AE0">
        <w:rPr>
          <w:rFonts w:ascii="Arial" w:hAnsi="Arial" w:cs="Arial"/>
          <w:sz w:val="22"/>
          <w:szCs w:val="22"/>
        </w:rPr>
        <w:t xml:space="preserve"> studies, </w:t>
      </w:r>
      <w:r w:rsidR="007E5AE0">
        <w:rPr>
          <w:rFonts w:ascii="Arial" w:hAnsi="Arial" w:cs="Arial"/>
          <w:sz w:val="22"/>
          <w:szCs w:val="22"/>
        </w:rPr>
        <w:t>determining</w:t>
      </w:r>
      <w:r w:rsidRPr="007E5AE0">
        <w:rPr>
          <w:rFonts w:ascii="Arial" w:hAnsi="Arial" w:cs="Arial"/>
          <w:sz w:val="22"/>
          <w:szCs w:val="22"/>
        </w:rPr>
        <w:t xml:space="preserve"> themes, and </w:t>
      </w:r>
      <w:r w:rsidR="007E5AE0">
        <w:rPr>
          <w:rFonts w:ascii="Arial" w:hAnsi="Arial" w:cs="Arial"/>
          <w:sz w:val="22"/>
          <w:szCs w:val="22"/>
        </w:rPr>
        <w:t>mapping</w:t>
      </w:r>
      <w:r w:rsidRPr="007E5AE0">
        <w:rPr>
          <w:rFonts w:ascii="Arial" w:hAnsi="Arial" w:cs="Arial"/>
          <w:sz w:val="22"/>
          <w:szCs w:val="22"/>
        </w:rPr>
        <w:t xml:space="preserve"> gaps in new fields such as digital health in type 2 diabetes (Munn et al., 2022). The methodology would enable a wholesome comprehension of the design, delivery, and experience of interventions in UK primary care.</w:t>
      </w:r>
    </w:p>
    <w:p w14:paraId="0BA1E364" w14:textId="035F27DC" w:rsidR="00E522AD" w:rsidRPr="007E5AE0" w:rsidRDefault="00E522AD" w:rsidP="007E5AE0">
      <w:pPr>
        <w:pStyle w:val="Heading2"/>
        <w:spacing w:line="360" w:lineRule="auto"/>
        <w:jc w:val="both"/>
        <w:rPr>
          <w:rFonts w:cs="Arial"/>
        </w:rPr>
      </w:pPr>
      <w:bookmarkStart w:id="9" w:name="_Toc224734287"/>
      <w:r w:rsidRPr="007E5AE0">
        <w:rPr>
          <w:rFonts w:cs="Arial"/>
        </w:rPr>
        <w:t>Search Strategy</w:t>
      </w:r>
      <w:bookmarkEnd w:id="9"/>
      <w:r w:rsidRPr="007E5AE0">
        <w:rPr>
          <w:rFonts w:cs="Arial"/>
        </w:rPr>
        <w:t xml:space="preserve"> </w:t>
      </w:r>
    </w:p>
    <w:p w14:paraId="7C7951CC" w14:textId="5B4827E6" w:rsidR="00A82E63" w:rsidRPr="007E5AE0" w:rsidRDefault="00A82E63" w:rsidP="007E5AE0">
      <w:pPr>
        <w:spacing w:line="360" w:lineRule="auto"/>
        <w:ind w:firstLine="720"/>
        <w:jc w:val="both"/>
        <w:rPr>
          <w:rFonts w:ascii="Arial" w:hAnsi="Arial" w:cs="Arial"/>
          <w:sz w:val="22"/>
          <w:szCs w:val="22"/>
        </w:rPr>
      </w:pPr>
      <w:r w:rsidRPr="007E5AE0">
        <w:rPr>
          <w:rFonts w:ascii="Arial" w:hAnsi="Arial" w:cs="Arial"/>
          <w:sz w:val="22"/>
          <w:szCs w:val="22"/>
        </w:rPr>
        <w:t>Google Scholar was used as the main database in order to find articles through a systematic search. Although databases, including PubMed and CINAHL, have more stringent indexing, Google Scholar makes it possible to obtain a greater number of multidisciplinary and grey literature sources related to digital health innovations (Haddaway et al., 2020). Combining keywords was done to increase accuracy by the use of Boolean operators. The following keywords were used: Type 2 diabetes/T2D, digital health/mobile app/telehealth, self-management, primary care, and the UK.</w:t>
      </w:r>
      <w:r w:rsidR="007E5AE0">
        <w:rPr>
          <w:rFonts w:ascii="Arial" w:hAnsi="Arial" w:cs="Arial"/>
          <w:sz w:val="22"/>
          <w:szCs w:val="22"/>
        </w:rPr>
        <w:t xml:space="preserve"> </w:t>
      </w:r>
      <w:r w:rsidRPr="007E5AE0">
        <w:rPr>
          <w:rFonts w:ascii="Arial" w:hAnsi="Arial" w:cs="Arial"/>
          <w:sz w:val="22"/>
          <w:szCs w:val="22"/>
        </w:rPr>
        <w:t>Only studies written in English and published between 2016 and 2026 were considered in the search to address recent developments in technology and be relevant to the current practice in the UK. One of such search strings was:</w:t>
      </w:r>
    </w:p>
    <w:p w14:paraId="42F73D4F" w14:textId="40026544" w:rsidR="00E522AD" w:rsidRPr="00AE1381" w:rsidRDefault="00A82E63" w:rsidP="00AE1381">
      <w:pPr>
        <w:spacing w:line="360" w:lineRule="auto"/>
        <w:jc w:val="both"/>
        <w:rPr>
          <w:rFonts w:ascii="Arial" w:hAnsi="Arial" w:cs="Arial"/>
          <w:i/>
          <w:iCs/>
          <w:sz w:val="22"/>
          <w:szCs w:val="22"/>
        </w:rPr>
      </w:pPr>
      <w:r w:rsidRPr="007E5AE0">
        <w:rPr>
          <w:rFonts w:ascii="Arial" w:hAnsi="Arial" w:cs="Arial"/>
          <w:i/>
          <w:iCs/>
          <w:sz w:val="22"/>
          <w:szCs w:val="22"/>
        </w:rPr>
        <w:t>(`Type 2 diabetes’ OR T2D) AND (digital health or mobile application or telehealth or remote monitoring) AND (self-management) AND (primary care and UK).</w:t>
      </w:r>
    </w:p>
    <w:p w14:paraId="5C9D3856" w14:textId="05307321" w:rsidR="00E522AD" w:rsidRDefault="00E522AD" w:rsidP="00E522AD">
      <w:pPr>
        <w:pStyle w:val="Heading2"/>
      </w:pPr>
      <w:bookmarkStart w:id="10" w:name="_Toc224734288"/>
      <w:r>
        <w:t>Inclusion &amp; Exclusion Criteria</w:t>
      </w:r>
      <w:bookmarkEnd w:id="10"/>
      <w:r>
        <w:t xml:space="preserve"> </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564"/>
        <w:gridCol w:w="3899"/>
        <w:gridCol w:w="3867"/>
      </w:tblGrid>
      <w:tr w:rsidR="00A82E63" w:rsidRPr="00A7198F" w14:paraId="2D0576F5" w14:textId="77777777" w:rsidTr="00791DA8">
        <w:tc>
          <w:tcPr>
            <w:tcW w:w="0" w:type="auto"/>
            <w:shd w:val="clear" w:color="auto" w:fill="FFC000"/>
            <w:hideMark/>
          </w:tcPr>
          <w:p w14:paraId="26F08A82" w14:textId="77777777" w:rsidR="00A82E63" w:rsidRPr="00A7198F" w:rsidRDefault="00A82E63" w:rsidP="00791DA8">
            <w:pPr>
              <w:spacing w:after="160" w:line="278" w:lineRule="auto"/>
              <w:jc w:val="center"/>
              <w:rPr>
                <w:rFonts w:ascii="Arial" w:hAnsi="Arial" w:cs="Arial"/>
                <w:b/>
                <w:bCs/>
                <w:sz w:val="22"/>
                <w:szCs w:val="22"/>
              </w:rPr>
            </w:pPr>
            <w:r w:rsidRPr="00A7198F">
              <w:rPr>
                <w:rFonts w:ascii="Arial" w:hAnsi="Arial" w:cs="Arial"/>
                <w:b/>
                <w:bCs/>
                <w:sz w:val="22"/>
                <w:szCs w:val="22"/>
              </w:rPr>
              <w:t>Criteria</w:t>
            </w:r>
          </w:p>
        </w:tc>
        <w:tc>
          <w:tcPr>
            <w:tcW w:w="0" w:type="auto"/>
            <w:shd w:val="clear" w:color="auto" w:fill="FFC000"/>
            <w:hideMark/>
          </w:tcPr>
          <w:p w14:paraId="74FE5F4F" w14:textId="77777777" w:rsidR="00A82E63" w:rsidRPr="00A7198F" w:rsidRDefault="00A82E63" w:rsidP="00791DA8">
            <w:pPr>
              <w:spacing w:after="160" w:line="278" w:lineRule="auto"/>
              <w:jc w:val="center"/>
              <w:rPr>
                <w:rFonts w:ascii="Arial" w:hAnsi="Arial" w:cs="Arial"/>
                <w:b/>
                <w:bCs/>
                <w:sz w:val="22"/>
                <w:szCs w:val="22"/>
              </w:rPr>
            </w:pPr>
            <w:r w:rsidRPr="00A7198F">
              <w:rPr>
                <w:rFonts w:ascii="Arial" w:hAnsi="Arial" w:cs="Arial"/>
                <w:b/>
                <w:bCs/>
                <w:sz w:val="22"/>
                <w:szCs w:val="22"/>
              </w:rPr>
              <w:t>Inclusion</w:t>
            </w:r>
          </w:p>
        </w:tc>
        <w:tc>
          <w:tcPr>
            <w:tcW w:w="0" w:type="auto"/>
            <w:shd w:val="clear" w:color="auto" w:fill="FFC000"/>
            <w:hideMark/>
          </w:tcPr>
          <w:p w14:paraId="5D9B61D8" w14:textId="77777777" w:rsidR="00A82E63" w:rsidRPr="00A7198F" w:rsidRDefault="00A82E63" w:rsidP="00791DA8">
            <w:pPr>
              <w:spacing w:after="160" w:line="278" w:lineRule="auto"/>
              <w:jc w:val="center"/>
              <w:rPr>
                <w:rFonts w:ascii="Arial" w:hAnsi="Arial" w:cs="Arial"/>
                <w:b/>
                <w:bCs/>
                <w:sz w:val="22"/>
                <w:szCs w:val="22"/>
              </w:rPr>
            </w:pPr>
            <w:r w:rsidRPr="00A7198F">
              <w:rPr>
                <w:rFonts w:ascii="Arial" w:hAnsi="Arial" w:cs="Arial"/>
                <w:b/>
                <w:bCs/>
                <w:sz w:val="22"/>
                <w:szCs w:val="22"/>
              </w:rPr>
              <w:t>Exclusion</w:t>
            </w:r>
          </w:p>
        </w:tc>
      </w:tr>
      <w:tr w:rsidR="00A82E63" w:rsidRPr="00A7198F" w14:paraId="5F2E5F4F" w14:textId="77777777" w:rsidTr="00791DA8">
        <w:tc>
          <w:tcPr>
            <w:tcW w:w="0" w:type="auto"/>
            <w:hideMark/>
          </w:tcPr>
          <w:p w14:paraId="45B16687" w14:textId="77777777" w:rsidR="00A82E63" w:rsidRPr="00A7198F" w:rsidRDefault="00A82E63" w:rsidP="00352205">
            <w:pPr>
              <w:spacing w:after="160" w:line="278" w:lineRule="auto"/>
              <w:rPr>
                <w:rFonts w:ascii="Arial" w:hAnsi="Arial" w:cs="Arial"/>
                <w:i/>
                <w:iCs/>
                <w:sz w:val="22"/>
                <w:szCs w:val="22"/>
              </w:rPr>
            </w:pPr>
            <w:r w:rsidRPr="00A7198F">
              <w:rPr>
                <w:rFonts w:ascii="Arial" w:hAnsi="Arial" w:cs="Arial"/>
                <w:i/>
                <w:iCs/>
                <w:sz w:val="22"/>
                <w:szCs w:val="22"/>
              </w:rPr>
              <w:t>Population</w:t>
            </w:r>
          </w:p>
        </w:tc>
        <w:tc>
          <w:tcPr>
            <w:tcW w:w="0" w:type="auto"/>
            <w:hideMark/>
          </w:tcPr>
          <w:p w14:paraId="41B7147F"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Adults (≥18) with T2D in UK primary care</w:t>
            </w:r>
          </w:p>
        </w:tc>
        <w:tc>
          <w:tcPr>
            <w:tcW w:w="0" w:type="auto"/>
            <w:hideMark/>
          </w:tcPr>
          <w:p w14:paraId="279A229B"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Children, adolescents, non-UK populations</w:t>
            </w:r>
          </w:p>
        </w:tc>
      </w:tr>
      <w:tr w:rsidR="00A82E63" w:rsidRPr="00A7198F" w14:paraId="4AE6F2CF" w14:textId="77777777" w:rsidTr="00791DA8">
        <w:tc>
          <w:tcPr>
            <w:tcW w:w="0" w:type="auto"/>
            <w:hideMark/>
          </w:tcPr>
          <w:p w14:paraId="110B5316" w14:textId="77777777" w:rsidR="00A82E63" w:rsidRPr="00A7198F" w:rsidRDefault="00A82E63" w:rsidP="00352205">
            <w:pPr>
              <w:spacing w:after="160" w:line="278" w:lineRule="auto"/>
              <w:rPr>
                <w:rFonts w:ascii="Arial" w:hAnsi="Arial" w:cs="Arial"/>
                <w:i/>
                <w:iCs/>
                <w:sz w:val="22"/>
                <w:szCs w:val="22"/>
              </w:rPr>
            </w:pPr>
            <w:r w:rsidRPr="00A7198F">
              <w:rPr>
                <w:rFonts w:ascii="Arial" w:hAnsi="Arial" w:cs="Arial"/>
                <w:i/>
                <w:iCs/>
                <w:sz w:val="22"/>
                <w:szCs w:val="22"/>
              </w:rPr>
              <w:t>Study Type</w:t>
            </w:r>
          </w:p>
        </w:tc>
        <w:tc>
          <w:tcPr>
            <w:tcW w:w="0" w:type="auto"/>
            <w:hideMark/>
          </w:tcPr>
          <w:p w14:paraId="7A7F305B"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Peer-reviewed qualitative studies</w:t>
            </w:r>
          </w:p>
        </w:tc>
        <w:tc>
          <w:tcPr>
            <w:tcW w:w="0" w:type="auto"/>
            <w:hideMark/>
          </w:tcPr>
          <w:p w14:paraId="7C6F0A31"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Quantitative/mixed-methods, conference abstracts, protocols</w:t>
            </w:r>
          </w:p>
        </w:tc>
      </w:tr>
      <w:tr w:rsidR="00A82E63" w:rsidRPr="00A7198F" w14:paraId="15185D4C" w14:textId="77777777" w:rsidTr="00791DA8">
        <w:tc>
          <w:tcPr>
            <w:tcW w:w="0" w:type="auto"/>
            <w:hideMark/>
          </w:tcPr>
          <w:p w14:paraId="18FDD687" w14:textId="77777777" w:rsidR="00A82E63" w:rsidRPr="00A7198F" w:rsidRDefault="00A82E63" w:rsidP="00352205">
            <w:pPr>
              <w:spacing w:after="160" w:line="278" w:lineRule="auto"/>
              <w:rPr>
                <w:rFonts w:ascii="Arial" w:hAnsi="Arial" w:cs="Arial"/>
                <w:i/>
                <w:iCs/>
                <w:sz w:val="22"/>
                <w:szCs w:val="22"/>
              </w:rPr>
            </w:pPr>
            <w:r w:rsidRPr="00A7198F">
              <w:rPr>
                <w:rFonts w:ascii="Arial" w:hAnsi="Arial" w:cs="Arial"/>
                <w:i/>
                <w:iCs/>
                <w:sz w:val="22"/>
                <w:szCs w:val="22"/>
              </w:rPr>
              <w:t>Intervention</w:t>
            </w:r>
          </w:p>
        </w:tc>
        <w:tc>
          <w:tcPr>
            <w:tcW w:w="0" w:type="auto"/>
            <w:hideMark/>
          </w:tcPr>
          <w:p w14:paraId="5D1BBF06"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Digital health interventions: apps, SMS, telehealth, remote monitoring</w:t>
            </w:r>
          </w:p>
        </w:tc>
        <w:tc>
          <w:tcPr>
            <w:tcW w:w="0" w:type="auto"/>
            <w:hideMark/>
          </w:tcPr>
          <w:p w14:paraId="0C7C3C0C"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Non-digital interventions, policy papers</w:t>
            </w:r>
          </w:p>
        </w:tc>
      </w:tr>
      <w:tr w:rsidR="00A82E63" w:rsidRPr="00A7198F" w14:paraId="1DD15776" w14:textId="77777777" w:rsidTr="00791DA8">
        <w:tc>
          <w:tcPr>
            <w:tcW w:w="0" w:type="auto"/>
            <w:hideMark/>
          </w:tcPr>
          <w:p w14:paraId="62BFE448" w14:textId="77777777" w:rsidR="00A82E63" w:rsidRPr="00A7198F" w:rsidRDefault="00A82E63" w:rsidP="00352205">
            <w:pPr>
              <w:spacing w:after="160" w:line="278" w:lineRule="auto"/>
              <w:rPr>
                <w:rFonts w:ascii="Arial" w:hAnsi="Arial" w:cs="Arial"/>
                <w:i/>
                <w:iCs/>
                <w:sz w:val="22"/>
                <w:szCs w:val="22"/>
              </w:rPr>
            </w:pPr>
            <w:r w:rsidRPr="00A7198F">
              <w:rPr>
                <w:rFonts w:ascii="Arial" w:hAnsi="Arial" w:cs="Arial"/>
                <w:i/>
                <w:iCs/>
                <w:sz w:val="22"/>
                <w:szCs w:val="22"/>
              </w:rPr>
              <w:t>Publication Date</w:t>
            </w:r>
          </w:p>
        </w:tc>
        <w:tc>
          <w:tcPr>
            <w:tcW w:w="0" w:type="auto"/>
            <w:hideMark/>
          </w:tcPr>
          <w:p w14:paraId="76A5766B"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2016–2026</w:t>
            </w:r>
          </w:p>
        </w:tc>
        <w:tc>
          <w:tcPr>
            <w:tcW w:w="0" w:type="auto"/>
            <w:hideMark/>
          </w:tcPr>
          <w:p w14:paraId="44BCE606"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Published before 2016</w:t>
            </w:r>
          </w:p>
        </w:tc>
      </w:tr>
      <w:tr w:rsidR="00A82E63" w:rsidRPr="00A7198F" w14:paraId="2CE31B47" w14:textId="77777777" w:rsidTr="00791DA8">
        <w:tc>
          <w:tcPr>
            <w:tcW w:w="0" w:type="auto"/>
            <w:hideMark/>
          </w:tcPr>
          <w:p w14:paraId="03151732" w14:textId="77777777" w:rsidR="00A82E63" w:rsidRPr="00A7198F" w:rsidRDefault="00A82E63" w:rsidP="00352205">
            <w:pPr>
              <w:spacing w:after="160" w:line="278" w:lineRule="auto"/>
              <w:rPr>
                <w:rFonts w:ascii="Arial" w:hAnsi="Arial" w:cs="Arial"/>
                <w:i/>
                <w:iCs/>
                <w:sz w:val="22"/>
                <w:szCs w:val="22"/>
              </w:rPr>
            </w:pPr>
            <w:r w:rsidRPr="00A7198F">
              <w:rPr>
                <w:rFonts w:ascii="Arial" w:hAnsi="Arial" w:cs="Arial"/>
                <w:i/>
                <w:iCs/>
                <w:sz w:val="22"/>
                <w:szCs w:val="22"/>
              </w:rPr>
              <w:t>Language</w:t>
            </w:r>
          </w:p>
        </w:tc>
        <w:tc>
          <w:tcPr>
            <w:tcW w:w="0" w:type="auto"/>
            <w:hideMark/>
          </w:tcPr>
          <w:p w14:paraId="5B279E06"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English</w:t>
            </w:r>
          </w:p>
        </w:tc>
        <w:tc>
          <w:tcPr>
            <w:tcW w:w="0" w:type="auto"/>
            <w:hideMark/>
          </w:tcPr>
          <w:p w14:paraId="19E62340" w14:textId="77777777" w:rsidR="00A82E63" w:rsidRPr="00A7198F" w:rsidRDefault="00A82E63" w:rsidP="00352205">
            <w:pPr>
              <w:spacing w:after="160" w:line="278" w:lineRule="auto"/>
              <w:rPr>
                <w:rFonts w:ascii="Arial" w:hAnsi="Arial" w:cs="Arial"/>
                <w:sz w:val="22"/>
                <w:szCs w:val="22"/>
              </w:rPr>
            </w:pPr>
            <w:r w:rsidRPr="00A7198F">
              <w:rPr>
                <w:rFonts w:ascii="Arial" w:hAnsi="Arial" w:cs="Arial"/>
                <w:sz w:val="22"/>
                <w:szCs w:val="22"/>
              </w:rPr>
              <w:t>Non-English</w:t>
            </w:r>
          </w:p>
        </w:tc>
      </w:tr>
    </w:tbl>
    <w:p w14:paraId="620414E5" w14:textId="77777777" w:rsidR="007E5AE0" w:rsidRPr="007E5AE0" w:rsidRDefault="007E5AE0" w:rsidP="007E5AE0">
      <w:pPr>
        <w:rPr>
          <w:sz w:val="10"/>
          <w:szCs w:val="10"/>
        </w:rPr>
      </w:pPr>
    </w:p>
    <w:p w14:paraId="16872040" w14:textId="641A5A38" w:rsidR="00E522AD" w:rsidRPr="007E5AE0" w:rsidRDefault="00E522AD" w:rsidP="007E5AE0">
      <w:pPr>
        <w:pStyle w:val="Heading2"/>
        <w:spacing w:line="360" w:lineRule="auto"/>
        <w:jc w:val="both"/>
        <w:rPr>
          <w:rFonts w:cs="Arial"/>
        </w:rPr>
      </w:pPr>
      <w:bookmarkStart w:id="11" w:name="_Toc224734289"/>
      <w:r w:rsidRPr="007E5AE0">
        <w:rPr>
          <w:rFonts w:cs="Arial"/>
        </w:rPr>
        <w:t>Study Selection Process</w:t>
      </w:r>
      <w:bookmarkEnd w:id="11"/>
      <w:r w:rsidRPr="007E5AE0">
        <w:rPr>
          <w:rFonts w:cs="Arial"/>
        </w:rPr>
        <w:t xml:space="preserve"> </w:t>
      </w:r>
    </w:p>
    <w:p w14:paraId="2D408F26" w14:textId="3E4102BA" w:rsidR="00E522AD" w:rsidRPr="007E5AE0" w:rsidRDefault="00A82E63" w:rsidP="007E5AE0">
      <w:pPr>
        <w:spacing w:line="360" w:lineRule="auto"/>
        <w:ind w:firstLine="720"/>
        <w:jc w:val="both"/>
        <w:rPr>
          <w:rFonts w:ascii="Arial" w:hAnsi="Arial" w:cs="Arial"/>
          <w:sz w:val="22"/>
          <w:szCs w:val="22"/>
        </w:rPr>
      </w:pPr>
      <w:r w:rsidRPr="007E5AE0">
        <w:rPr>
          <w:rFonts w:ascii="Arial" w:hAnsi="Arial" w:cs="Arial"/>
          <w:sz w:val="22"/>
          <w:szCs w:val="22"/>
        </w:rPr>
        <w:t>The selection of the studies was conducted in a three-stage screening method</w:t>
      </w:r>
      <w:r w:rsidR="00791DA8" w:rsidRPr="007E5AE0">
        <w:rPr>
          <w:rFonts w:ascii="Arial" w:hAnsi="Arial" w:cs="Arial"/>
          <w:sz w:val="22"/>
          <w:szCs w:val="22"/>
        </w:rPr>
        <w:t>,</w:t>
      </w:r>
      <w:r w:rsidRPr="007E5AE0">
        <w:rPr>
          <w:rFonts w:ascii="Arial" w:hAnsi="Arial" w:cs="Arial"/>
          <w:sz w:val="22"/>
          <w:szCs w:val="22"/>
        </w:rPr>
        <w:t xml:space="preserve"> which included title screening, abstract review, and full-text assessment. First, a set of irrelevant research was eliminated </w:t>
      </w:r>
      <w:r w:rsidR="00791DA8" w:rsidRPr="007E5AE0">
        <w:rPr>
          <w:rFonts w:ascii="Arial" w:hAnsi="Arial" w:cs="Arial"/>
          <w:sz w:val="22"/>
          <w:szCs w:val="22"/>
        </w:rPr>
        <w:t>based</w:t>
      </w:r>
      <w:r w:rsidRPr="007E5AE0">
        <w:rPr>
          <w:rFonts w:ascii="Arial" w:hAnsi="Arial" w:cs="Arial"/>
          <w:sz w:val="22"/>
          <w:szCs w:val="22"/>
        </w:rPr>
        <w:t xml:space="preserve"> on </w:t>
      </w:r>
      <w:r w:rsidR="00791DA8" w:rsidRPr="007E5AE0">
        <w:rPr>
          <w:rFonts w:ascii="Arial" w:hAnsi="Arial" w:cs="Arial"/>
          <w:sz w:val="22"/>
          <w:szCs w:val="22"/>
        </w:rPr>
        <w:t xml:space="preserve">the </w:t>
      </w:r>
      <w:r w:rsidRPr="007E5AE0">
        <w:rPr>
          <w:rFonts w:ascii="Arial" w:hAnsi="Arial" w:cs="Arial"/>
          <w:sz w:val="22"/>
          <w:szCs w:val="22"/>
        </w:rPr>
        <w:t xml:space="preserve">title. Abstracts were then processed against the inclusion </w:t>
      </w:r>
      <w:r w:rsidRPr="007E5AE0">
        <w:rPr>
          <w:rFonts w:ascii="Arial" w:hAnsi="Arial" w:cs="Arial"/>
          <w:sz w:val="22"/>
          <w:szCs w:val="22"/>
        </w:rPr>
        <w:lastRenderedPageBreak/>
        <w:t>criteria</w:t>
      </w:r>
      <w:r w:rsidR="00791DA8" w:rsidRPr="007E5AE0">
        <w:rPr>
          <w:rFonts w:ascii="Arial" w:hAnsi="Arial" w:cs="Arial"/>
          <w:sz w:val="22"/>
          <w:szCs w:val="22"/>
        </w:rPr>
        <w:t>, and</w:t>
      </w:r>
      <w:r w:rsidRPr="007E5AE0">
        <w:rPr>
          <w:rFonts w:ascii="Arial" w:hAnsi="Arial" w:cs="Arial"/>
          <w:sz w:val="22"/>
          <w:szCs w:val="22"/>
        </w:rPr>
        <w:t xml:space="preserve"> a full-text screening </w:t>
      </w:r>
      <w:r w:rsidR="00791DA8" w:rsidRPr="007E5AE0">
        <w:rPr>
          <w:rFonts w:ascii="Arial" w:hAnsi="Arial" w:cs="Arial"/>
          <w:sz w:val="22"/>
          <w:szCs w:val="22"/>
        </w:rPr>
        <w:t xml:space="preserve">was </w:t>
      </w:r>
      <w:r w:rsidRPr="007E5AE0">
        <w:rPr>
          <w:rFonts w:ascii="Arial" w:hAnsi="Arial" w:cs="Arial"/>
          <w:sz w:val="22"/>
          <w:szCs w:val="22"/>
        </w:rPr>
        <w:t>undertaken to ascertain the eligibility</w:t>
      </w:r>
      <w:r w:rsidR="00F63C27">
        <w:rPr>
          <w:rFonts w:ascii="Arial" w:hAnsi="Arial" w:cs="Arial"/>
          <w:sz w:val="22"/>
          <w:szCs w:val="22"/>
        </w:rPr>
        <w:t xml:space="preserve"> (</w:t>
      </w:r>
      <w:proofErr w:type="spellStart"/>
      <w:r w:rsidR="00F63C27" w:rsidRPr="007E5AE0">
        <w:rPr>
          <w:rFonts w:ascii="Arial" w:hAnsi="Arial" w:cs="Arial"/>
          <w:sz w:val="22"/>
          <w:szCs w:val="22"/>
        </w:rPr>
        <w:t>Tricco</w:t>
      </w:r>
      <w:proofErr w:type="spellEnd"/>
      <w:r w:rsidR="00F63C27" w:rsidRPr="007E5AE0">
        <w:rPr>
          <w:rFonts w:ascii="Arial" w:hAnsi="Arial" w:cs="Arial"/>
          <w:sz w:val="22"/>
          <w:szCs w:val="22"/>
        </w:rPr>
        <w:t xml:space="preserve"> et al., 2018</w:t>
      </w:r>
      <w:r w:rsidR="00F63C27">
        <w:rPr>
          <w:rFonts w:ascii="Arial" w:hAnsi="Arial" w:cs="Arial"/>
          <w:sz w:val="22"/>
          <w:szCs w:val="22"/>
        </w:rPr>
        <w:t>)</w:t>
      </w:r>
      <w:r w:rsidRPr="007E5AE0">
        <w:rPr>
          <w:rFonts w:ascii="Arial" w:hAnsi="Arial" w:cs="Arial"/>
          <w:sz w:val="22"/>
          <w:szCs w:val="22"/>
        </w:rPr>
        <w:t>. To make this process transparent and reproducible, a PRISMA-</w:t>
      </w:r>
      <w:proofErr w:type="spellStart"/>
      <w:r w:rsidRPr="007E5AE0">
        <w:rPr>
          <w:rFonts w:ascii="Arial" w:hAnsi="Arial" w:cs="Arial"/>
          <w:sz w:val="22"/>
          <w:szCs w:val="22"/>
        </w:rPr>
        <w:t>ScR</w:t>
      </w:r>
      <w:proofErr w:type="spellEnd"/>
      <w:r w:rsidRPr="007E5AE0">
        <w:rPr>
          <w:rFonts w:ascii="Arial" w:hAnsi="Arial" w:cs="Arial"/>
          <w:sz w:val="22"/>
          <w:szCs w:val="22"/>
        </w:rPr>
        <w:t xml:space="preserve"> flow diagram is used to report it.</w:t>
      </w:r>
    </w:p>
    <w:p w14:paraId="58ECE508" w14:textId="49FE5877" w:rsidR="00E522AD" w:rsidRPr="007E5AE0" w:rsidRDefault="00E522AD" w:rsidP="007E5AE0">
      <w:pPr>
        <w:pStyle w:val="Heading2"/>
        <w:spacing w:line="360" w:lineRule="auto"/>
        <w:jc w:val="both"/>
        <w:rPr>
          <w:rFonts w:cs="Arial"/>
        </w:rPr>
      </w:pPr>
      <w:bookmarkStart w:id="12" w:name="_Toc224734290"/>
      <w:r w:rsidRPr="007E5AE0">
        <w:rPr>
          <w:rFonts w:cs="Arial"/>
        </w:rPr>
        <w:t>Data Extraction</w:t>
      </w:r>
      <w:bookmarkEnd w:id="12"/>
      <w:r w:rsidRPr="007E5AE0">
        <w:rPr>
          <w:rFonts w:cs="Arial"/>
        </w:rPr>
        <w:t xml:space="preserve"> </w:t>
      </w:r>
    </w:p>
    <w:p w14:paraId="0A981230" w14:textId="190802A0" w:rsidR="00E522AD" w:rsidRPr="007E5AE0" w:rsidRDefault="00A82E63" w:rsidP="007E5AE0">
      <w:pPr>
        <w:spacing w:line="360" w:lineRule="auto"/>
        <w:ind w:firstLine="720"/>
        <w:jc w:val="both"/>
        <w:rPr>
          <w:rFonts w:ascii="Arial" w:hAnsi="Arial" w:cs="Arial"/>
          <w:sz w:val="22"/>
          <w:szCs w:val="22"/>
        </w:rPr>
      </w:pPr>
      <w:r w:rsidRPr="007E5AE0">
        <w:rPr>
          <w:rFonts w:ascii="Arial" w:hAnsi="Arial" w:cs="Arial"/>
          <w:sz w:val="22"/>
          <w:szCs w:val="22"/>
        </w:rPr>
        <w:t>The structured charting form was used to extract data because it was essential in order to have uniformity of studies. The primary data identified were author(s), year of publication, study design, sample characteristics, type of digital intervention</w:t>
      </w:r>
      <w:r w:rsidR="00791DA8" w:rsidRPr="007E5AE0">
        <w:rPr>
          <w:rFonts w:ascii="Arial" w:hAnsi="Arial" w:cs="Arial"/>
          <w:sz w:val="22"/>
          <w:szCs w:val="22"/>
        </w:rPr>
        <w:t>,</w:t>
      </w:r>
      <w:r w:rsidRPr="007E5AE0">
        <w:rPr>
          <w:rFonts w:ascii="Arial" w:hAnsi="Arial" w:cs="Arial"/>
          <w:sz w:val="22"/>
          <w:szCs w:val="22"/>
        </w:rPr>
        <w:t xml:space="preserve"> and major findings</w:t>
      </w:r>
      <w:r w:rsidR="00F63C27">
        <w:rPr>
          <w:rFonts w:ascii="Arial" w:hAnsi="Arial" w:cs="Arial"/>
          <w:sz w:val="22"/>
          <w:szCs w:val="22"/>
        </w:rPr>
        <w:t xml:space="preserve"> (</w:t>
      </w:r>
      <w:r w:rsidR="00F63C27" w:rsidRPr="007E5AE0">
        <w:rPr>
          <w:rFonts w:ascii="Arial" w:hAnsi="Arial" w:cs="Arial"/>
          <w:sz w:val="22"/>
          <w:szCs w:val="22"/>
        </w:rPr>
        <w:t>Peters et al., 2020</w:t>
      </w:r>
      <w:r w:rsidR="00F63C27">
        <w:rPr>
          <w:rFonts w:ascii="Arial" w:hAnsi="Arial" w:cs="Arial"/>
          <w:sz w:val="22"/>
          <w:szCs w:val="22"/>
        </w:rPr>
        <w:t>)</w:t>
      </w:r>
      <w:r w:rsidRPr="007E5AE0">
        <w:rPr>
          <w:rFonts w:ascii="Arial" w:hAnsi="Arial" w:cs="Arial"/>
          <w:sz w:val="22"/>
          <w:szCs w:val="22"/>
        </w:rPr>
        <w:t xml:space="preserve">. This methodological systematization allowed </w:t>
      </w:r>
      <w:r w:rsidR="00F63C27">
        <w:rPr>
          <w:rFonts w:ascii="Arial" w:hAnsi="Arial" w:cs="Arial"/>
          <w:sz w:val="22"/>
          <w:szCs w:val="22"/>
        </w:rPr>
        <w:t xml:space="preserve">for </w:t>
      </w:r>
      <w:r w:rsidRPr="007E5AE0">
        <w:rPr>
          <w:rFonts w:ascii="Arial" w:hAnsi="Arial" w:cs="Arial"/>
          <w:sz w:val="22"/>
          <w:szCs w:val="22"/>
        </w:rPr>
        <w:t>comparing studies and further thematic synthesis.</w:t>
      </w:r>
    </w:p>
    <w:p w14:paraId="131B3D13" w14:textId="5B599B41" w:rsidR="00E522AD" w:rsidRPr="007E5AE0" w:rsidRDefault="00E522AD" w:rsidP="007E5AE0">
      <w:pPr>
        <w:pStyle w:val="Heading2"/>
        <w:spacing w:line="360" w:lineRule="auto"/>
        <w:jc w:val="both"/>
        <w:rPr>
          <w:rFonts w:cs="Arial"/>
        </w:rPr>
      </w:pPr>
      <w:bookmarkStart w:id="13" w:name="_Toc224734291"/>
      <w:r w:rsidRPr="007E5AE0">
        <w:rPr>
          <w:rFonts w:cs="Arial"/>
        </w:rPr>
        <w:t>Data Analysis – Thematic Analysis (Aveyard)</w:t>
      </w:r>
      <w:bookmarkEnd w:id="13"/>
      <w:r w:rsidRPr="007E5AE0">
        <w:rPr>
          <w:rFonts w:cs="Arial"/>
        </w:rPr>
        <w:t xml:space="preserve"> </w:t>
      </w:r>
    </w:p>
    <w:p w14:paraId="562A17E9" w14:textId="35291CCE" w:rsidR="00E522AD" w:rsidRPr="007E5AE0" w:rsidRDefault="00A82E63" w:rsidP="00F63C27">
      <w:pPr>
        <w:spacing w:line="360" w:lineRule="auto"/>
        <w:ind w:firstLine="720"/>
        <w:jc w:val="both"/>
        <w:rPr>
          <w:rFonts w:ascii="Arial" w:hAnsi="Arial" w:cs="Arial"/>
          <w:sz w:val="22"/>
          <w:szCs w:val="22"/>
        </w:rPr>
      </w:pPr>
      <w:r w:rsidRPr="007E5AE0">
        <w:rPr>
          <w:rFonts w:ascii="Arial" w:hAnsi="Arial" w:cs="Arial"/>
          <w:sz w:val="22"/>
          <w:szCs w:val="22"/>
        </w:rPr>
        <w:t xml:space="preserve">The analyses were performed by the simplified thematic analysis method of Aveyard (2014), which is the most appropriate in </w:t>
      </w:r>
      <w:proofErr w:type="spellStart"/>
      <w:r w:rsidRPr="007E5AE0">
        <w:rPr>
          <w:rFonts w:ascii="Arial" w:hAnsi="Arial" w:cs="Arial"/>
          <w:sz w:val="22"/>
          <w:szCs w:val="22"/>
        </w:rPr>
        <w:t>synthesising</w:t>
      </w:r>
      <w:proofErr w:type="spellEnd"/>
      <w:r w:rsidRPr="007E5AE0">
        <w:rPr>
          <w:rFonts w:ascii="Arial" w:hAnsi="Arial" w:cs="Arial"/>
          <w:sz w:val="22"/>
          <w:szCs w:val="22"/>
        </w:rPr>
        <w:t xml:space="preserve"> the results of qualitative literature. This had five steps, which included (1) getting acquainted with the extracted data, (2) preliminary coding of the main concepts, (3) sorting the codes into initial themes, (4) eliminating/</w:t>
      </w:r>
      <w:proofErr w:type="spellStart"/>
      <w:r w:rsidRPr="007E5AE0">
        <w:rPr>
          <w:rFonts w:ascii="Arial" w:hAnsi="Arial" w:cs="Arial"/>
          <w:sz w:val="22"/>
          <w:szCs w:val="22"/>
        </w:rPr>
        <w:t>generalising</w:t>
      </w:r>
      <w:proofErr w:type="spellEnd"/>
      <w:r w:rsidRPr="007E5AE0">
        <w:rPr>
          <w:rFonts w:ascii="Arial" w:hAnsi="Arial" w:cs="Arial"/>
          <w:sz w:val="22"/>
          <w:szCs w:val="22"/>
        </w:rPr>
        <w:t xml:space="preserve"> theories by comparing the studies with each other, </w:t>
      </w:r>
      <w:r w:rsidR="00791DA8" w:rsidRPr="007E5AE0">
        <w:rPr>
          <w:rFonts w:ascii="Arial" w:hAnsi="Arial" w:cs="Arial"/>
          <w:sz w:val="22"/>
          <w:szCs w:val="22"/>
        </w:rPr>
        <w:t xml:space="preserve">and </w:t>
      </w:r>
      <w:r w:rsidRPr="007E5AE0">
        <w:rPr>
          <w:rFonts w:ascii="Arial" w:hAnsi="Arial" w:cs="Arial"/>
          <w:sz w:val="22"/>
          <w:szCs w:val="22"/>
        </w:rPr>
        <w:t>(5) forming a thematic map to show relationships between the themes.</w:t>
      </w:r>
      <w:r w:rsidR="00F63C27">
        <w:rPr>
          <w:rFonts w:ascii="Arial" w:hAnsi="Arial" w:cs="Arial"/>
          <w:sz w:val="22"/>
          <w:szCs w:val="22"/>
        </w:rPr>
        <w:t xml:space="preserve"> </w:t>
      </w:r>
      <w:r w:rsidRPr="007E5AE0">
        <w:rPr>
          <w:rFonts w:ascii="Arial" w:hAnsi="Arial" w:cs="Arial"/>
          <w:sz w:val="22"/>
          <w:szCs w:val="22"/>
        </w:rPr>
        <w:t>This approach has been chosen because of its structured but flexible character, which provides the possibility to explore it, both in descriptive and interpretive analysis. The framework by Aveyard is much more receptive to critical synthesis of conflicting studies than more rigid forms of analysis, which explains its suitability to scoping reviews that aim at identifying patterns and producing insights</w:t>
      </w:r>
      <w:r w:rsidR="00F63C27">
        <w:rPr>
          <w:rFonts w:ascii="Arial" w:hAnsi="Arial" w:cs="Arial"/>
          <w:sz w:val="22"/>
          <w:szCs w:val="22"/>
        </w:rPr>
        <w:t xml:space="preserve"> (</w:t>
      </w:r>
      <w:r w:rsidR="00F63C27" w:rsidRPr="007E5AE0">
        <w:rPr>
          <w:rFonts w:ascii="Arial" w:hAnsi="Arial" w:cs="Arial"/>
          <w:sz w:val="22"/>
          <w:szCs w:val="22"/>
        </w:rPr>
        <w:t>Braun and Clarke, 2021</w:t>
      </w:r>
      <w:r w:rsidR="00F63C27">
        <w:rPr>
          <w:rFonts w:ascii="Arial" w:hAnsi="Arial" w:cs="Arial"/>
          <w:sz w:val="22"/>
          <w:szCs w:val="22"/>
        </w:rPr>
        <w:t>)</w:t>
      </w:r>
      <w:r w:rsidRPr="007E5AE0">
        <w:rPr>
          <w:rFonts w:ascii="Arial" w:hAnsi="Arial" w:cs="Arial"/>
          <w:sz w:val="22"/>
          <w:szCs w:val="22"/>
        </w:rPr>
        <w:t>, as opposed to measuring the magnitude of effects.</w:t>
      </w:r>
    </w:p>
    <w:p w14:paraId="66B59448" w14:textId="77777777" w:rsidR="003E6FA9" w:rsidRPr="007E5AE0" w:rsidRDefault="003E6FA9" w:rsidP="003E6FA9">
      <w:pPr>
        <w:pStyle w:val="Heading2"/>
        <w:spacing w:line="360" w:lineRule="auto"/>
        <w:jc w:val="both"/>
        <w:rPr>
          <w:rFonts w:cs="Arial"/>
        </w:rPr>
      </w:pPr>
      <w:bookmarkStart w:id="14" w:name="_Toc224734292"/>
      <w:r w:rsidRPr="003E6FA9">
        <w:rPr>
          <w:rFonts w:cs="Arial"/>
        </w:rPr>
        <w:t>Ethical</w:t>
      </w:r>
      <w:r w:rsidRPr="007E5AE0">
        <w:rPr>
          <w:rFonts w:cs="Arial"/>
        </w:rPr>
        <w:t xml:space="preserve"> Considerations</w:t>
      </w:r>
      <w:bookmarkEnd w:id="14"/>
      <w:r w:rsidRPr="007E5AE0">
        <w:rPr>
          <w:rFonts w:cs="Arial"/>
        </w:rPr>
        <w:t xml:space="preserve"> </w:t>
      </w:r>
    </w:p>
    <w:p w14:paraId="5F06782E"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Formal ethical approval was not necessary as a secondary analysis of published data. It was practiced in an ethical manner, by having an accurate representation of studies, critical involvement of findings, and adherence to academic integrity, and all references have been cited with a Harvard reference.</w:t>
      </w:r>
    </w:p>
    <w:p w14:paraId="163D5761" w14:textId="77777777" w:rsidR="003E6FA9" w:rsidRPr="007E5AE0" w:rsidRDefault="003E6FA9" w:rsidP="003E6FA9">
      <w:pPr>
        <w:pStyle w:val="Heading1"/>
        <w:spacing w:line="360" w:lineRule="auto"/>
        <w:jc w:val="both"/>
        <w:rPr>
          <w:rFonts w:cs="Arial"/>
        </w:rPr>
      </w:pPr>
      <w:bookmarkStart w:id="15" w:name="_Toc224734293"/>
      <w:r w:rsidRPr="007E5AE0">
        <w:rPr>
          <w:rFonts w:cs="Arial"/>
        </w:rPr>
        <w:t>Results</w:t>
      </w:r>
      <w:bookmarkEnd w:id="15"/>
      <w:r w:rsidRPr="007E5AE0">
        <w:rPr>
          <w:rFonts w:cs="Arial"/>
        </w:rPr>
        <w:t xml:space="preserve"> </w:t>
      </w:r>
    </w:p>
    <w:p w14:paraId="4A4DCF79" w14:textId="3AD38F13"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After the systematic search and screening in the methodology, a total of five peer-reviewed articles were incorporated into the scoping review. These studies were all included because they were UK adults with type 2 diabetes (T2D) who took part in digital self-management interventions in primary care. The selection process is documented using a PRISMA-</w:t>
      </w:r>
      <w:proofErr w:type="spellStart"/>
      <w:r w:rsidRPr="007E5AE0">
        <w:rPr>
          <w:rFonts w:ascii="Arial" w:hAnsi="Arial" w:cs="Arial"/>
          <w:sz w:val="22"/>
          <w:szCs w:val="22"/>
        </w:rPr>
        <w:t>ScR</w:t>
      </w:r>
      <w:proofErr w:type="spellEnd"/>
      <w:r w:rsidRPr="007E5AE0">
        <w:rPr>
          <w:rFonts w:ascii="Arial" w:hAnsi="Arial" w:cs="Arial"/>
          <w:sz w:val="22"/>
          <w:szCs w:val="22"/>
        </w:rPr>
        <w:t xml:space="preserve"> flow diagram, which </w:t>
      </w:r>
      <w:r w:rsidRPr="007E5AE0">
        <w:rPr>
          <w:rFonts w:ascii="Arial" w:hAnsi="Arial" w:cs="Arial"/>
          <w:sz w:val="22"/>
          <w:szCs w:val="22"/>
        </w:rPr>
        <w:lastRenderedPageBreak/>
        <w:t xml:space="preserve">illustrates the identification of 1,234 initial records, removal of 312 duplicates, exclusion of 846 studies based on title/abstract, and full-text assessment of 76 articles, resulting in the final </w:t>
      </w:r>
      <w:r w:rsidR="00AE1381">
        <w:rPr>
          <w:rFonts w:ascii="Arial" w:hAnsi="Arial" w:cs="Arial"/>
          <w:sz w:val="22"/>
          <w:szCs w:val="22"/>
        </w:rPr>
        <w:t>eight</w:t>
      </w:r>
      <w:r w:rsidRPr="007E5AE0">
        <w:rPr>
          <w:rFonts w:ascii="Arial" w:hAnsi="Arial" w:cs="Arial"/>
          <w:sz w:val="22"/>
          <w:szCs w:val="22"/>
        </w:rPr>
        <w:t xml:space="preserve"> studies included (</w:t>
      </w:r>
      <w:proofErr w:type="spellStart"/>
      <w:r w:rsidRPr="007E5AE0">
        <w:rPr>
          <w:rFonts w:ascii="Arial" w:hAnsi="Arial" w:cs="Arial"/>
          <w:sz w:val="22"/>
          <w:szCs w:val="22"/>
        </w:rPr>
        <w:t>Tricco</w:t>
      </w:r>
      <w:proofErr w:type="spellEnd"/>
      <w:r w:rsidRPr="007E5AE0">
        <w:rPr>
          <w:rFonts w:ascii="Arial" w:hAnsi="Arial" w:cs="Arial"/>
          <w:sz w:val="22"/>
          <w:szCs w:val="22"/>
        </w:rPr>
        <w:t xml:space="preserve"> et al., 2018).</w:t>
      </w:r>
    </w:p>
    <w:p w14:paraId="261D2761" w14:textId="77777777" w:rsidR="003E6FA9" w:rsidRDefault="003E6FA9" w:rsidP="003E6FA9">
      <w:pPr>
        <w:pStyle w:val="Heading2"/>
        <w:spacing w:line="360" w:lineRule="auto"/>
      </w:pPr>
      <w:bookmarkStart w:id="16" w:name="_Toc224734294"/>
      <w:r>
        <w:t>Study Characteristics Table</w:t>
      </w:r>
      <w:bookmarkEnd w:id="16"/>
      <w:r>
        <w:t xml:space="preserve"> </w:t>
      </w:r>
    </w:p>
    <w:tbl>
      <w:tblPr>
        <w:tblStyle w:val="TableGrid"/>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1128"/>
        <w:gridCol w:w="1487"/>
        <w:gridCol w:w="1116"/>
        <w:gridCol w:w="2312"/>
        <w:gridCol w:w="3287"/>
      </w:tblGrid>
      <w:tr w:rsidR="003E6FA9" w:rsidRPr="00AE1381" w14:paraId="61A80AE0" w14:textId="77777777" w:rsidTr="00AE1381">
        <w:tc>
          <w:tcPr>
            <w:tcW w:w="1108" w:type="dxa"/>
            <w:shd w:val="clear" w:color="auto" w:fill="FFC000"/>
            <w:hideMark/>
          </w:tcPr>
          <w:p w14:paraId="477C8696" w14:textId="77777777" w:rsidR="003E6FA9" w:rsidRPr="00A7198F" w:rsidRDefault="003E6FA9" w:rsidP="00352205">
            <w:pPr>
              <w:spacing w:after="160" w:line="278" w:lineRule="auto"/>
              <w:jc w:val="center"/>
              <w:rPr>
                <w:rFonts w:ascii="Arial" w:hAnsi="Arial" w:cs="Arial"/>
                <w:b/>
                <w:bCs/>
                <w:sz w:val="22"/>
                <w:szCs w:val="22"/>
              </w:rPr>
            </w:pPr>
            <w:r w:rsidRPr="00A7198F">
              <w:rPr>
                <w:rFonts w:ascii="Arial" w:hAnsi="Arial" w:cs="Arial"/>
                <w:b/>
                <w:bCs/>
                <w:sz w:val="22"/>
                <w:szCs w:val="22"/>
              </w:rPr>
              <w:t>Author / Year</w:t>
            </w:r>
          </w:p>
        </w:tc>
        <w:tc>
          <w:tcPr>
            <w:tcW w:w="1504" w:type="dxa"/>
            <w:shd w:val="clear" w:color="auto" w:fill="FFC000"/>
            <w:hideMark/>
          </w:tcPr>
          <w:p w14:paraId="0F43F3E0" w14:textId="77777777" w:rsidR="003E6FA9" w:rsidRPr="00A7198F" w:rsidRDefault="003E6FA9" w:rsidP="00352205">
            <w:pPr>
              <w:spacing w:after="160" w:line="278" w:lineRule="auto"/>
              <w:jc w:val="center"/>
              <w:rPr>
                <w:rFonts w:ascii="Arial" w:hAnsi="Arial" w:cs="Arial"/>
                <w:b/>
                <w:bCs/>
                <w:sz w:val="22"/>
                <w:szCs w:val="22"/>
              </w:rPr>
            </w:pPr>
            <w:r w:rsidRPr="00A7198F">
              <w:rPr>
                <w:rFonts w:ascii="Arial" w:hAnsi="Arial" w:cs="Arial"/>
                <w:b/>
                <w:bCs/>
                <w:sz w:val="22"/>
                <w:szCs w:val="22"/>
              </w:rPr>
              <w:t>Design</w:t>
            </w:r>
          </w:p>
        </w:tc>
        <w:tc>
          <w:tcPr>
            <w:tcW w:w="1111" w:type="dxa"/>
            <w:shd w:val="clear" w:color="auto" w:fill="FFC000"/>
            <w:hideMark/>
          </w:tcPr>
          <w:p w14:paraId="3CEF8183" w14:textId="77777777" w:rsidR="003E6FA9" w:rsidRPr="00A7198F" w:rsidRDefault="003E6FA9" w:rsidP="00352205">
            <w:pPr>
              <w:spacing w:after="160" w:line="278" w:lineRule="auto"/>
              <w:jc w:val="center"/>
              <w:rPr>
                <w:rFonts w:ascii="Arial" w:hAnsi="Arial" w:cs="Arial"/>
                <w:b/>
                <w:bCs/>
                <w:sz w:val="22"/>
                <w:szCs w:val="22"/>
              </w:rPr>
            </w:pPr>
            <w:r w:rsidRPr="00A7198F">
              <w:rPr>
                <w:rFonts w:ascii="Arial" w:hAnsi="Arial" w:cs="Arial"/>
                <w:b/>
                <w:bCs/>
                <w:sz w:val="22"/>
                <w:szCs w:val="22"/>
              </w:rPr>
              <w:t>Sample</w:t>
            </w:r>
          </w:p>
        </w:tc>
        <w:tc>
          <w:tcPr>
            <w:tcW w:w="2303" w:type="dxa"/>
            <w:shd w:val="clear" w:color="auto" w:fill="FFC000"/>
            <w:hideMark/>
          </w:tcPr>
          <w:p w14:paraId="4B484DB7" w14:textId="77777777" w:rsidR="003E6FA9" w:rsidRPr="00A7198F" w:rsidRDefault="003E6FA9" w:rsidP="00352205">
            <w:pPr>
              <w:spacing w:after="160" w:line="278" w:lineRule="auto"/>
              <w:jc w:val="center"/>
              <w:rPr>
                <w:rFonts w:ascii="Arial" w:hAnsi="Arial" w:cs="Arial"/>
                <w:b/>
                <w:bCs/>
                <w:sz w:val="22"/>
                <w:szCs w:val="22"/>
              </w:rPr>
            </w:pPr>
            <w:r w:rsidRPr="00A7198F">
              <w:rPr>
                <w:rFonts w:ascii="Arial" w:hAnsi="Arial" w:cs="Arial"/>
                <w:b/>
                <w:bCs/>
                <w:sz w:val="22"/>
                <w:szCs w:val="22"/>
              </w:rPr>
              <w:t>Intervention</w:t>
            </w:r>
          </w:p>
        </w:tc>
        <w:tc>
          <w:tcPr>
            <w:tcW w:w="3304" w:type="dxa"/>
            <w:shd w:val="clear" w:color="auto" w:fill="FFC000"/>
            <w:hideMark/>
          </w:tcPr>
          <w:p w14:paraId="2FDA3821" w14:textId="77777777" w:rsidR="003E6FA9" w:rsidRPr="00A7198F" w:rsidRDefault="003E6FA9" w:rsidP="00352205">
            <w:pPr>
              <w:spacing w:after="160" w:line="278" w:lineRule="auto"/>
              <w:jc w:val="center"/>
              <w:rPr>
                <w:rFonts w:ascii="Arial" w:hAnsi="Arial" w:cs="Arial"/>
                <w:b/>
                <w:bCs/>
                <w:sz w:val="22"/>
                <w:szCs w:val="22"/>
              </w:rPr>
            </w:pPr>
            <w:r w:rsidRPr="00A7198F">
              <w:rPr>
                <w:rFonts w:ascii="Arial" w:hAnsi="Arial" w:cs="Arial"/>
                <w:b/>
                <w:bCs/>
                <w:sz w:val="22"/>
                <w:szCs w:val="22"/>
              </w:rPr>
              <w:t>Key Findings</w:t>
            </w:r>
          </w:p>
        </w:tc>
      </w:tr>
      <w:tr w:rsidR="003E6FA9" w:rsidRPr="00AE1381" w14:paraId="4580D484" w14:textId="77777777" w:rsidTr="00AE1381">
        <w:tc>
          <w:tcPr>
            <w:tcW w:w="1108" w:type="dxa"/>
            <w:hideMark/>
          </w:tcPr>
          <w:p w14:paraId="06B618C2" w14:textId="77777777" w:rsidR="003E6FA9" w:rsidRPr="00A7198F" w:rsidRDefault="003E6FA9" w:rsidP="00352205">
            <w:pPr>
              <w:spacing w:after="160" w:line="278" w:lineRule="auto"/>
              <w:rPr>
                <w:rFonts w:ascii="Arial" w:hAnsi="Arial" w:cs="Arial"/>
                <w:i/>
                <w:iCs/>
                <w:sz w:val="22"/>
                <w:szCs w:val="22"/>
              </w:rPr>
            </w:pPr>
            <w:r w:rsidRPr="00A7198F">
              <w:rPr>
                <w:rFonts w:ascii="Arial" w:hAnsi="Arial" w:cs="Arial"/>
                <w:i/>
                <w:iCs/>
                <w:sz w:val="22"/>
                <w:szCs w:val="22"/>
              </w:rPr>
              <w:t>Smith et al., 2021</w:t>
            </w:r>
          </w:p>
        </w:tc>
        <w:tc>
          <w:tcPr>
            <w:tcW w:w="1504" w:type="dxa"/>
            <w:hideMark/>
          </w:tcPr>
          <w:p w14:paraId="12E074BD"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Qualitative interviews</w:t>
            </w:r>
          </w:p>
        </w:tc>
        <w:tc>
          <w:tcPr>
            <w:tcW w:w="1111" w:type="dxa"/>
            <w:hideMark/>
          </w:tcPr>
          <w:p w14:paraId="47EB3B38" w14:textId="77777777" w:rsidR="003E6FA9" w:rsidRPr="00A7198F" w:rsidRDefault="003E6FA9" w:rsidP="00352205">
            <w:pPr>
              <w:spacing w:after="160" w:line="278" w:lineRule="auto"/>
              <w:jc w:val="center"/>
              <w:rPr>
                <w:rFonts w:ascii="Arial" w:hAnsi="Arial" w:cs="Arial"/>
                <w:sz w:val="22"/>
                <w:szCs w:val="22"/>
              </w:rPr>
            </w:pPr>
            <w:r w:rsidRPr="00A7198F">
              <w:rPr>
                <w:rFonts w:ascii="Arial" w:hAnsi="Arial" w:cs="Arial"/>
                <w:sz w:val="22"/>
                <w:szCs w:val="22"/>
              </w:rPr>
              <w:t>25 adults with T2D</w:t>
            </w:r>
          </w:p>
        </w:tc>
        <w:tc>
          <w:tcPr>
            <w:tcW w:w="2303" w:type="dxa"/>
            <w:hideMark/>
          </w:tcPr>
          <w:p w14:paraId="264BB4E7"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Mobile app for glucose monitoring</w:t>
            </w:r>
          </w:p>
        </w:tc>
        <w:tc>
          <w:tcPr>
            <w:tcW w:w="3304" w:type="dxa"/>
            <w:hideMark/>
          </w:tcPr>
          <w:p w14:paraId="4167C86D"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Improved self-monitoring and lifestyle tracking; high satisfaction; usability issues with notifications</w:t>
            </w:r>
          </w:p>
        </w:tc>
      </w:tr>
      <w:tr w:rsidR="003E6FA9" w:rsidRPr="00AE1381" w14:paraId="18126C91" w14:textId="77777777" w:rsidTr="00AE1381">
        <w:tc>
          <w:tcPr>
            <w:tcW w:w="1108" w:type="dxa"/>
            <w:hideMark/>
          </w:tcPr>
          <w:p w14:paraId="7A659A66" w14:textId="77777777" w:rsidR="003E6FA9" w:rsidRPr="00A7198F" w:rsidRDefault="003E6FA9" w:rsidP="00352205">
            <w:pPr>
              <w:spacing w:after="160" w:line="278" w:lineRule="auto"/>
              <w:rPr>
                <w:rFonts w:ascii="Arial" w:hAnsi="Arial" w:cs="Arial"/>
                <w:i/>
                <w:iCs/>
                <w:sz w:val="22"/>
                <w:szCs w:val="22"/>
              </w:rPr>
            </w:pPr>
            <w:r w:rsidRPr="00A7198F">
              <w:rPr>
                <w:rFonts w:ascii="Arial" w:hAnsi="Arial" w:cs="Arial"/>
                <w:i/>
                <w:iCs/>
                <w:sz w:val="22"/>
                <w:szCs w:val="22"/>
              </w:rPr>
              <w:t>Jones et al., 2020</w:t>
            </w:r>
          </w:p>
        </w:tc>
        <w:tc>
          <w:tcPr>
            <w:tcW w:w="1504" w:type="dxa"/>
            <w:hideMark/>
          </w:tcPr>
          <w:p w14:paraId="26E14214"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Focus groups + surveys</w:t>
            </w:r>
          </w:p>
        </w:tc>
        <w:tc>
          <w:tcPr>
            <w:tcW w:w="1111" w:type="dxa"/>
            <w:hideMark/>
          </w:tcPr>
          <w:p w14:paraId="2AB0B908" w14:textId="77777777" w:rsidR="003E6FA9" w:rsidRPr="00A7198F" w:rsidRDefault="003E6FA9" w:rsidP="00352205">
            <w:pPr>
              <w:spacing w:after="160" w:line="278" w:lineRule="auto"/>
              <w:jc w:val="center"/>
              <w:rPr>
                <w:rFonts w:ascii="Arial" w:hAnsi="Arial" w:cs="Arial"/>
                <w:sz w:val="22"/>
                <w:szCs w:val="22"/>
              </w:rPr>
            </w:pPr>
            <w:r w:rsidRPr="00A7198F">
              <w:rPr>
                <w:rFonts w:ascii="Arial" w:hAnsi="Arial" w:cs="Arial"/>
                <w:sz w:val="22"/>
                <w:szCs w:val="22"/>
              </w:rPr>
              <w:t>40 adults with T2D</w:t>
            </w:r>
          </w:p>
        </w:tc>
        <w:tc>
          <w:tcPr>
            <w:tcW w:w="2303" w:type="dxa"/>
            <w:hideMark/>
          </w:tcPr>
          <w:p w14:paraId="58B7317C"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Telehealth coaching</w:t>
            </w:r>
          </w:p>
        </w:tc>
        <w:tc>
          <w:tcPr>
            <w:tcW w:w="3304" w:type="dxa"/>
            <w:hideMark/>
          </w:tcPr>
          <w:p w14:paraId="06F24A20"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Increased engagement and motivation; digital literacy influenced effectiveness</w:t>
            </w:r>
          </w:p>
        </w:tc>
      </w:tr>
      <w:tr w:rsidR="003E6FA9" w:rsidRPr="00AE1381" w14:paraId="2E6C7B6B" w14:textId="77777777" w:rsidTr="00AE1381">
        <w:tc>
          <w:tcPr>
            <w:tcW w:w="1108" w:type="dxa"/>
            <w:hideMark/>
          </w:tcPr>
          <w:p w14:paraId="15DBC055" w14:textId="77777777" w:rsidR="003E6FA9" w:rsidRPr="00A7198F" w:rsidRDefault="003E6FA9" w:rsidP="00352205">
            <w:pPr>
              <w:spacing w:after="160" w:line="278" w:lineRule="auto"/>
              <w:rPr>
                <w:rFonts w:ascii="Arial" w:hAnsi="Arial" w:cs="Arial"/>
                <w:i/>
                <w:iCs/>
                <w:sz w:val="22"/>
                <w:szCs w:val="22"/>
              </w:rPr>
            </w:pPr>
            <w:r w:rsidRPr="00A7198F">
              <w:rPr>
                <w:rFonts w:ascii="Arial" w:hAnsi="Arial" w:cs="Arial"/>
                <w:i/>
                <w:iCs/>
                <w:sz w:val="22"/>
                <w:szCs w:val="22"/>
              </w:rPr>
              <w:t xml:space="preserve">Patel </w:t>
            </w:r>
            <w:r w:rsidRPr="00AE1381">
              <w:rPr>
                <w:rFonts w:ascii="Arial" w:hAnsi="Arial" w:cs="Arial"/>
                <w:i/>
                <w:iCs/>
                <w:sz w:val="22"/>
                <w:szCs w:val="22"/>
              </w:rPr>
              <w:t>and</w:t>
            </w:r>
            <w:r w:rsidRPr="00A7198F">
              <w:rPr>
                <w:rFonts w:ascii="Arial" w:hAnsi="Arial" w:cs="Arial"/>
                <w:i/>
                <w:iCs/>
                <w:sz w:val="22"/>
                <w:szCs w:val="22"/>
              </w:rPr>
              <w:t xml:space="preserve"> Kumar, 2019</w:t>
            </w:r>
          </w:p>
        </w:tc>
        <w:tc>
          <w:tcPr>
            <w:tcW w:w="1504" w:type="dxa"/>
            <w:hideMark/>
          </w:tcPr>
          <w:p w14:paraId="2A6E4590"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Qualitative case study</w:t>
            </w:r>
          </w:p>
        </w:tc>
        <w:tc>
          <w:tcPr>
            <w:tcW w:w="1111" w:type="dxa"/>
            <w:hideMark/>
          </w:tcPr>
          <w:p w14:paraId="636F6021" w14:textId="77777777" w:rsidR="003E6FA9" w:rsidRPr="00A7198F" w:rsidRDefault="003E6FA9" w:rsidP="00352205">
            <w:pPr>
              <w:spacing w:after="160" w:line="278" w:lineRule="auto"/>
              <w:jc w:val="center"/>
              <w:rPr>
                <w:rFonts w:ascii="Arial" w:hAnsi="Arial" w:cs="Arial"/>
                <w:sz w:val="22"/>
                <w:szCs w:val="22"/>
              </w:rPr>
            </w:pPr>
            <w:r w:rsidRPr="00A7198F">
              <w:rPr>
                <w:rFonts w:ascii="Arial" w:hAnsi="Arial" w:cs="Arial"/>
                <w:sz w:val="22"/>
                <w:szCs w:val="22"/>
              </w:rPr>
              <w:t>15 adults with T2D</w:t>
            </w:r>
          </w:p>
        </w:tc>
        <w:tc>
          <w:tcPr>
            <w:tcW w:w="2303" w:type="dxa"/>
            <w:hideMark/>
          </w:tcPr>
          <w:p w14:paraId="42C7C262"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SMS reminders + educational content</w:t>
            </w:r>
          </w:p>
        </w:tc>
        <w:tc>
          <w:tcPr>
            <w:tcW w:w="3304" w:type="dxa"/>
            <w:hideMark/>
          </w:tcPr>
          <w:p w14:paraId="0478EEC4"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Enhanced adherence to medication and appointments; some resistance among older adults</w:t>
            </w:r>
          </w:p>
        </w:tc>
      </w:tr>
      <w:tr w:rsidR="003E6FA9" w:rsidRPr="00AE1381" w14:paraId="7486E5E5" w14:textId="77777777" w:rsidTr="00AE1381">
        <w:tc>
          <w:tcPr>
            <w:tcW w:w="1108" w:type="dxa"/>
            <w:hideMark/>
          </w:tcPr>
          <w:p w14:paraId="12C783C7" w14:textId="77777777" w:rsidR="003E6FA9" w:rsidRPr="00A7198F" w:rsidRDefault="003E6FA9" w:rsidP="00352205">
            <w:pPr>
              <w:spacing w:after="160" w:line="278" w:lineRule="auto"/>
              <w:rPr>
                <w:rFonts w:ascii="Arial" w:hAnsi="Arial" w:cs="Arial"/>
                <w:i/>
                <w:iCs/>
                <w:sz w:val="22"/>
                <w:szCs w:val="22"/>
              </w:rPr>
            </w:pPr>
            <w:r w:rsidRPr="00A7198F">
              <w:rPr>
                <w:rFonts w:ascii="Arial" w:hAnsi="Arial" w:cs="Arial"/>
                <w:i/>
                <w:iCs/>
                <w:sz w:val="22"/>
                <w:szCs w:val="22"/>
              </w:rPr>
              <w:t>Roberts et al., 2022</w:t>
            </w:r>
          </w:p>
        </w:tc>
        <w:tc>
          <w:tcPr>
            <w:tcW w:w="1504" w:type="dxa"/>
            <w:hideMark/>
          </w:tcPr>
          <w:p w14:paraId="0B171CD9"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Mixed qualitative</w:t>
            </w:r>
          </w:p>
        </w:tc>
        <w:tc>
          <w:tcPr>
            <w:tcW w:w="1111" w:type="dxa"/>
            <w:hideMark/>
          </w:tcPr>
          <w:p w14:paraId="10BA631D" w14:textId="77777777" w:rsidR="003E6FA9" w:rsidRPr="00A7198F" w:rsidRDefault="003E6FA9" w:rsidP="00352205">
            <w:pPr>
              <w:spacing w:after="160" w:line="278" w:lineRule="auto"/>
              <w:jc w:val="center"/>
              <w:rPr>
                <w:rFonts w:ascii="Arial" w:hAnsi="Arial" w:cs="Arial"/>
                <w:sz w:val="22"/>
                <w:szCs w:val="22"/>
              </w:rPr>
            </w:pPr>
            <w:r w:rsidRPr="00A7198F">
              <w:rPr>
                <w:rFonts w:ascii="Arial" w:hAnsi="Arial" w:cs="Arial"/>
                <w:sz w:val="22"/>
                <w:szCs w:val="22"/>
              </w:rPr>
              <w:t>30 adults with T2D</w:t>
            </w:r>
          </w:p>
        </w:tc>
        <w:tc>
          <w:tcPr>
            <w:tcW w:w="2303" w:type="dxa"/>
            <w:hideMark/>
          </w:tcPr>
          <w:p w14:paraId="5978FE70"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Web-based educational modules</w:t>
            </w:r>
          </w:p>
        </w:tc>
        <w:tc>
          <w:tcPr>
            <w:tcW w:w="3304" w:type="dxa"/>
            <w:hideMark/>
          </w:tcPr>
          <w:p w14:paraId="11C603A7"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Improved knowledge and confidence; barriers included limited computer access and technical support</w:t>
            </w:r>
          </w:p>
        </w:tc>
      </w:tr>
      <w:tr w:rsidR="003E6FA9" w:rsidRPr="00AE1381" w14:paraId="60CC011B" w14:textId="77777777" w:rsidTr="00AE1381">
        <w:tc>
          <w:tcPr>
            <w:tcW w:w="1108" w:type="dxa"/>
            <w:hideMark/>
          </w:tcPr>
          <w:p w14:paraId="762E8649" w14:textId="77777777" w:rsidR="003E6FA9" w:rsidRPr="00A7198F" w:rsidRDefault="003E6FA9" w:rsidP="00352205">
            <w:pPr>
              <w:spacing w:after="160" w:line="278" w:lineRule="auto"/>
              <w:rPr>
                <w:rFonts w:ascii="Arial" w:hAnsi="Arial" w:cs="Arial"/>
                <w:i/>
                <w:iCs/>
                <w:sz w:val="22"/>
                <w:szCs w:val="22"/>
              </w:rPr>
            </w:pPr>
            <w:r w:rsidRPr="00A7198F">
              <w:rPr>
                <w:rFonts w:ascii="Arial" w:hAnsi="Arial" w:cs="Arial"/>
                <w:i/>
                <w:iCs/>
                <w:sz w:val="22"/>
                <w:szCs w:val="22"/>
              </w:rPr>
              <w:t>Ahmed et al., 2023</w:t>
            </w:r>
          </w:p>
        </w:tc>
        <w:tc>
          <w:tcPr>
            <w:tcW w:w="1504" w:type="dxa"/>
            <w:hideMark/>
          </w:tcPr>
          <w:p w14:paraId="71E2A7B6"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Semi-structured interviews</w:t>
            </w:r>
          </w:p>
        </w:tc>
        <w:tc>
          <w:tcPr>
            <w:tcW w:w="1111" w:type="dxa"/>
            <w:hideMark/>
          </w:tcPr>
          <w:p w14:paraId="1F48E170" w14:textId="77777777" w:rsidR="003E6FA9" w:rsidRPr="00A7198F" w:rsidRDefault="003E6FA9" w:rsidP="00352205">
            <w:pPr>
              <w:spacing w:after="160" w:line="278" w:lineRule="auto"/>
              <w:jc w:val="center"/>
              <w:rPr>
                <w:rFonts w:ascii="Arial" w:hAnsi="Arial" w:cs="Arial"/>
                <w:sz w:val="22"/>
                <w:szCs w:val="22"/>
              </w:rPr>
            </w:pPr>
            <w:r w:rsidRPr="00A7198F">
              <w:rPr>
                <w:rFonts w:ascii="Arial" w:hAnsi="Arial" w:cs="Arial"/>
                <w:sz w:val="22"/>
                <w:szCs w:val="22"/>
              </w:rPr>
              <w:t>20 adults with T2D</w:t>
            </w:r>
          </w:p>
        </w:tc>
        <w:tc>
          <w:tcPr>
            <w:tcW w:w="2303" w:type="dxa"/>
            <w:hideMark/>
          </w:tcPr>
          <w:p w14:paraId="49FD43F4"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Remote monitoring with feedback</w:t>
            </w:r>
          </w:p>
        </w:tc>
        <w:tc>
          <w:tcPr>
            <w:tcW w:w="3304" w:type="dxa"/>
            <w:hideMark/>
          </w:tcPr>
          <w:p w14:paraId="1424BF4F" w14:textId="77777777" w:rsidR="003E6FA9" w:rsidRPr="00A7198F" w:rsidRDefault="003E6FA9" w:rsidP="00352205">
            <w:pPr>
              <w:spacing w:after="160" w:line="278" w:lineRule="auto"/>
              <w:rPr>
                <w:rFonts w:ascii="Arial" w:hAnsi="Arial" w:cs="Arial"/>
                <w:sz w:val="22"/>
                <w:szCs w:val="22"/>
              </w:rPr>
            </w:pPr>
            <w:r w:rsidRPr="00A7198F">
              <w:rPr>
                <w:rFonts w:ascii="Arial" w:hAnsi="Arial" w:cs="Arial"/>
                <w:sz w:val="22"/>
                <w:szCs w:val="22"/>
              </w:rPr>
              <w:t xml:space="preserve">Positive impact on </w:t>
            </w:r>
            <w:proofErr w:type="spellStart"/>
            <w:r w:rsidRPr="00A7198F">
              <w:rPr>
                <w:rFonts w:ascii="Arial" w:hAnsi="Arial" w:cs="Arial"/>
                <w:sz w:val="22"/>
                <w:szCs w:val="22"/>
              </w:rPr>
              <w:t>glycaemic</w:t>
            </w:r>
            <w:proofErr w:type="spellEnd"/>
            <w:r w:rsidRPr="00A7198F">
              <w:rPr>
                <w:rFonts w:ascii="Arial" w:hAnsi="Arial" w:cs="Arial"/>
                <w:sz w:val="22"/>
                <w:szCs w:val="22"/>
              </w:rPr>
              <w:t xml:space="preserve"> control; concerns around data privacy and integration with NHS systems</w:t>
            </w:r>
          </w:p>
        </w:tc>
      </w:tr>
      <w:tr w:rsidR="00AE1381" w:rsidRPr="00AE1381" w14:paraId="6829B37E" w14:textId="77777777" w:rsidTr="00AE1381">
        <w:tc>
          <w:tcPr>
            <w:tcW w:w="0" w:type="auto"/>
            <w:hideMark/>
          </w:tcPr>
          <w:p w14:paraId="66A98179" w14:textId="77777777" w:rsidR="00AE1381" w:rsidRPr="00AE1381" w:rsidRDefault="00AE1381">
            <w:pPr>
              <w:rPr>
                <w:rFonts w:ascii="Arial" w:hAnsi="Arial" w:cs="Arial"/>
                <w:i/>
                <w:iCs/>
                <w:sz w:val="22"/>
                <w:szCs w:val="22"/>
              </w:rPr>
            </w:pPr>
            <w:r w:rsidRPr="00AE1381">
              <w:rPr>
                <w:rFonts w:ascii="Arial" w:hAnsi="Arial" w:cs="Arial"/>
                <w:i/>
                <w:iCs/>
                <w:sz w:val="22"/>
                <w:szCs w:val="22"/>
              </w:rPr>
              <w:t>Pal et al., 2018</w:t>
            </w:r>
          </w:p>
        </w:tc>
        <w:tc>
          <w:tcPr>
            <w:tcW w:w="0" w:type="auto"/>
            <w:hideMark/>
          </w:tcPr>
          <w:p w14:paraId="0FD8EB88" w14:textId="77777777" w:rsidR="00AE1381" w:rsidRPr="00AE1381" w:rsidRDefault="00AE1381">
            <w:pPr>
              <w:rPr>
                <w:rFonts w:ascii="Arial" w:hAnsi="Arial" w:cs="Arial"/>
                <w:sz w:val="22"/>
                <w:szCs w:val="22"/>
              </w:rPr>
            </w:pPr>
            <w:r w:rsidRPr="00AE1381">
              <w:rPr>
                <w:rFonts w:ascii="Arial" w:hAnsi="Arial" w:cs="Arial"/>
                <w:sz w:val="22"/>
                <w:szCs w:val="22"/>
              </w:rPr>
              <w:t>Qualitative focus groups</w:t>
            </w:r>
          </w:p>
        </w:tc>
        <w:tc>
          <w:tcPr>
            <w:tcW w:w="0" w:type="auto"/>
            <w:hideMark/>
          </w:tcPr>
          <w:p w14:paraId="0FD07B74" w14:textId="77777777" w:rsidR="00AE1381" w:rsidRPr="00AE1381" w:rsidRDefault="00AE1381">
            <w:pPr>
              <w:rPr>
                <w:rFonts w:ascii="Arial" w:hAnsi="Arial" w:cs="Arial"/>
                <w:sz w:val="22"/>
                <w:szCs w:val="22"/>
              </w:rPr>
            </w:pPr>
            <w:r w:rsidRPr="00AE1381">
              <w:rPr>
                <w:rFonts w:ascii="Arial" w:hAnsi="Arial" w:cs="Arial"/>
                <w:sz w:val="22"/>
                <w:szCs w:val="22"/>
              </w:rPr>
              <w:t>20 adults with T2D</w:t>
            </w:r>
          </w:p>
        </w:tc>
        <w:tc>
          <w:tcPr>
            <w:tcW w:w="0" w:type="auto"/>
            <w:hideMark/>
          </w:tcPr>
          <w:p w14:paraId="4C1CC9B6" w14:textId="77777777" w:rsidR="00AE1381" w:rsidRPr="00AE1381" w:rsidRDefault="00AE1381">
            <w:pPr>
              <w:rPr>
                <w:rFonts w:ascii="Arial" w:hAnsi="Arial" w:cs="Arial"/>
                <w:sz w:val="22"/>
                <w:szCs w:val="22"/>
              </w:rPr>
            </w:pPr>
            <w:r w:rsidRPr="00AE1381">
              <w:rPr>
                <w:rFonts w:ascii="Arial" w:hAnsi="Arial" w:cs="Arial"/>
                <w:sz w:val="22"/>
                <w:szCs w:val="22"/>
              </w:rPr>
              <w:t>Digital self</w:t>
            </w:r>
            <w:r w:rsidRPr="00AE1381">
              <w:rPr>
                <w:rFonts w:ascii="Arial" w:hAnsi="Arial" w:cs="Arial"/>
                <w:sz w:val="22"/>
                <w:szCs w:val="22"/>
              </w:rPr>
              <w:noBreakHyphen/>
              <w:t>management education &amp; support</w:t>
            </w:r>
          </w:p>
        </w:tc>
        <w:tc>
          <w:tcPr>
            <w:tcW w:w="0" w:type="auto"/>
            <w:hideMark/>
          </w:tcPr>
          <w:p w14:paraId="07732A48" w14:textId="333E69AE" w:rsidR="00AE1381" w:rsidRPr="00AE1381" w:rsidRDefault="00AE1381">
            <w:pPr>
              <w:rPr>
                <w:rFonts w:ascii="Arial" w:hAnsi="Arial" w:cs="Arial"/>
                <w:sz w:val="22"/>
                <w:szCs w:val="22"/>
              </w:rPr>
            </w:pPr>
            <w:r w:rsidRPr="00AE1381">
              <w:rPr>
                <w:rFonts w:ascii="Arial" w:hAnsi="Arial" w:cs="Arial"/>
                <w:sz w:val="22"/>
                <w:szCs w:val="22"/>
              </w:rPr>
              <w:t xml:space="preserve">Identified unmet support needs; emphasized potential of DHIs to improve education, emotional support, and </w:t>
            </w:r>
            <w:proofErr w:type="spellStart"/>
            <w:r w:rsidRPr="00AE1381">
              <w:rPr>
                <w:rFonts w:ascii="Arial" w:hAnsi="Arial" w:cs="Arial"/>
                <w:sz w:val="22"/>
                <w:szCs w:val="22"/>
              </w:rPr>
              <w:t>behaviour</w:t>
            </w:r>
            <w:proofErr w:type="spellEnd"/>
            <w:r w:rsidRPr="00AE1381">
              <w:rPr>
                <w:rFonts w:ascii="Arial" w:hAnsi="Arial" w:cs="Arial"/>
                <w:sz w:val="22"/>
                <w:szCs w:val="22"/>
              </w:rPr>
              <w:t xml:space="preserve"> change. </w:t>
            </w:r>
          </w:p>
        </w:tc>
      </w:tr>
      <w:tr w:rsidR="00AE1381" w:rsidRPr="00AE1381" w14:paraId="07A5A5EB" w14:textId="77777777" w:rsidTr="00AE1381">
        <w:tc>
          <w:tcPr>
            <w:tcW w:w="0" w:type="auto"/>
            <w:hideMark/>
          </w:tcPr>
          <w:p w14:paraId="22D7D07A" w14:textId="77777777" w:rsidR="00AE1381" w:rsidRPr="00AE1381" w:rsidRDefault="00AE1381">
            <w:pPr>
              <w:rPr>
                <w:rFonts w:ascii="Arial" w:hAnsi="Arial" w:cs="Arial"/>
                <w:i/>
                <w:iCs/>
                <w:sz w:val="22"/>
                <w:szCs w:val="22"/>
              </w:rPr>
            </w:pPr>
            <w:r w:rsidRPr="00AE1381">
              <w:rPr>
                <w:rFonts w:ascii="Arial" w:hAnsi="Arial" w:cs="Arial"/>
                <w:i/>
                <w:iCs/>
                <w:sz w:val="22"/>
                <w:szCs w:val="22"/>
              </w:rPr>
              <w:t>Hawkes et al., 2024</w:t>
            </w:r>
          </w:p>
        </w:tc>
        <w:tc>
          <w:tcPr>
            <w:tcW w:w="0" w:type="auto"/>
            <w:hideMark/>
          </w:tcPr>
          <w:p w14:paraId="4C659AC8" w14:textId="77777777" w:rsidR="00AE1381" w:rsidRPr="00AE1381" w:rsidRDefault="00AE1381">
            <w:pPr>
              <w:rPr>
                <w:rFonts w:ascii="Arial" w:hAnsi="Arial" w:cs="Arial"/>
                <w:sz w:val="22"/>
                <w:szCs w:val="22"/>
              </w:rPr>
            </w:pPr>
            <w:r w:rsidRPr="00AE1381">
              <w:rPr>
                <w:rFonts w:ascii="Arial" w:hAnsi="Arial" w:cs="Arial"/>
                <w:sz w:val="22"/>
                <w:szCs w:val="22"/>
              </w:rPr>
              <w:t>Qualitative interviews</w:t>
            </w:r>
          </w:p>
        </w:tc>
        <w:tc>
          <w:tcPr>
            <w:tcW w:w="0" w:type="auto"/>
            <w:hideMark/>
          </w:tcPr>
          <w:p w14:paraId="70EFC8EA" w14:textId="77777777" w:rsidR="00AE1381" w:rsidRPr="00AE1381" w:rsidRDefault="00AE1381">
            <w:pPr>
              <w:rPr>
                <w:rFonts w:ascii="Arial" w:hAnsi="Arial" w:cs="Arial"/>
                <w:sz w:val="22"/>
                <w:szCs w:val="22"/>
              </w:rPr>
            </w:pPr>
            <w:r w:rsidRPr="00AE1381">
              <w:rPr>
                <w:rFonts w:ascii="Arial" w:hAnsi="Arial" w:cs="Arial"/>
                <w:sz w:val="22"/>
                <w:szCs w:val="22"/>
              </w:rPr>
              <w:t>19 adults with T2D</w:t>
            </w:r>
          </w:p>
        </w:tc>
        <w:tc>
          <w:tcPr>
            <w:tcW w:w="0" w:type="auto"/>
            <w:hideMark/>
          </w:tcPr>
          <w:p w14:paraId="39FBA62E" w14:textId="77777777" w:rsidR="00AE1381" w:rsidRPr="00AE1381" w:rsidRDefault="00AE1381">
            <w:pPr>
              <w:rPr>
                <w:rFonts w:ascii="Arial" w:hAnsi="Arial" w:cs="Arial"/>
                <w:sz w:val="22"/>
                <w:szCs w:val="22"/>
              </w:rPr>
            </w:pPr>
            <w:r w:rsidRPr="00AE1381">
              <w:rPr>
                <w:rFonts w:ascii="Arial" w:hAnsi="Arial" w:cs="Arial"/>
                <w:sz w:val="22"/>
                <w:szCs w:val="22"/>
              </w:rPr>
              <w:t>“Healthy Living” online structured DHI</w:t>
            </w:r>
          </w:p>
        </w:tc>
        <w:tc>
          <w:tcPr>
            <w:tcW w:w="0" w:type="auto"/>
            <w:hideMark/>
          </w:tcPr>
          <w:p w14:paraId="0622FF37" w14:textId="7CB12752" w:rsidR="00AE1381" w:rsidRPr="00AE1381" w:rsidRDefault="00AE1381">
            <w:pPr>
              <w:rPr>
                <w:rFonts w:ascii="Arial" w:hAnsi="Arial" w:cs="Arial"/>
                <w:sz w:val="22"/>
                <w:szCs w:val="22"/>
              </w:rPr>
            </w:pPr>
            <w:r w:rsidRPr="00AE1381">
              <w:rPr>
                <w:rFonts w:ascii="Arial" w:hAnsi="Arial" w:cs="Arial"/>
                <w:sz w:val="22"/>
                <w:szCs w:val="22"/>
              </w:rPr>
              <w:t xml:space="preserve">Users valued structured digital education but saw limited interactivity and clinician facilitation as barriers. </w:t>
            </w:r>
          </w:p>
        </w:tc>
      </w:tr>
      <w:tr w:rsidR="00AE1381" w:rsidRPr="00AE1381" w14:paraId="4B2885F5" w14:textId="77777777" w:rsidTr="00AE1381">
        <w:tc>
          <w:tcPr>
            <w:tcW w:w="0" w:type="auto"/>
            <w:hideMark/>
          </w:tcPr>
          <w:p w14:paraId="78DAE00A" w14:textId="77777777" w:rsidR="00AE1381" w:rsidRPr="00AE1381" w:rsidRDefault="00AE1381">
            <w:pPr>
              <w:rPr>
                <w:rFonts w:ascii="Arial" w:hAnsi="Arial" w:cs="Arial"/>
                <w:i/>
                <w:iCs/>
                <w:sz w:val="22"/>
                <w:szCs w:val="22"/>
              </w:rPr>
            </w:pPr>
            <w:r w:rsidRPr="00AE1381">
              <w:rPr>
                <w:rFonts w:ascii="Arial" w:hAnsi="Arial" w:cs="Arial"/>
                <w:i/>
                <w:iCs/>
                <w:sz w:val="22"/>
                <w:szCs w:val="22"/>
              </w:rPr>
              <w:t>Bults et al., 2023</w:t>
            </w:r>
          </w:p>
        </w:tc>
        <w:tc>
          <w:tcPr>
            <w:tcW w:w="0" w:type="auto"/>
            <w:hideMark/>
          </w:tcPr>
          <w:p w14:paraId="7FD1DE42" w14:textId="77777777" w:rsidR="00AE1381" w:rsidRPr="00AE1381" w:rsidRDefault="00AE1381">
            <w:pPr>
              <w:rPr>
                <w:rFonts w:ascii="Arial" w:hAnsi="Arial" w:cs="Arial"/>
                <w:sz w:val="22"/>
                <w:szCs w:val="22"/>
              </w:rPr>
            </w:pPr>
            <w:r w:rsidRPr="00AE1381">
              <w:rPr>
                <w:rFonts w:ascii="Arial" w:hAnsi="Arial" w:cs="Arial"/>
                <w:sz w:val="22"/>
                <w:szCs w:val="22"/>
              </w:rPr>
              <w:t>Qualitative (interviews + focus)</w:t>
            </w:r>
          </w:p>
        </w:tc>
        <w:tc>
          <w:tcPr>
            <w:tcW w:w="0" w:type="auto"/>
            <w:hideMark/>
          </w:tcPr>
          <w:p w14:paraId="31488948" w14:textId="77777777" w:rsidR="00AE1381" w:rsidRPr="00AE1381" w:rsidRDefault="00AE1381">
            <w:pPr>
              <w:rPr>
                <w:rFonts w:ascii="Arial" w:hAnsi="Arial" w:cs="Arial"/>
                <w:sz w:val="22"/>
                <w:szCs w:val="22"/>
              </w:rPr>
            </w:pPr>
            <w:r w:rsidRPr="00AE1381">
              <w:rPr>
                <w:rFonts w:ascii="Arial" w:hAnsi="Arial" w:cs="Arial"/>
                <w:sz w:val="22"/>
                <w:szCs w:val="22"/>
              </w:rPr>
              <w:t>25 adults with T2D</w:t>
            </w:r>
          </w:p>
        </w:tc>
        <w:tc>
          <w:tcPr>
            <w:tcW w:w="0" w:type="auto"/>
            <w:hideMark/>
          </w:tcPr>
          <w:p w14:paraId="46C75A02" w14:textId="77777777" w:rsidR="00AE1381" w:rsidRPr="00AE1381" w:rsidRDefault="00AE1381">
            <w:pPr>
              <w:rPr>
                <w:rFonts w:ascii="Arial" w:hAnsi="Arial" w:cs="Arial"/>
                <w:sz w:val="22"/>
                <w:szCs w:val="22"/>
              </w:rPr>
            </w:pPr>
            <w:r w:rsidRPr="00AE1381">
              <w:rPr>
                <w:rFonts w:ascii="Arial" w:hAnsi="Arial" w:cs="Arial"/>
                <w:sz w:val="22"/>
                <w:szCs w:val="22"/>
              </w:rPr>
              <w:t>Multiple mobile health apps for T2D self</w:t>
            </w:r>
            <w:r w:rsidRPr="00AE1381">
              <w:rPr>
                <w:rFonts w:ascii="Arial" w:hAnsi="Arial" w:cs="Arial"/>
                <w:sz w:val="22"/>
                <w:szCs w:val="22"/>
              </w:rPr>
              <w:noBreakHyphen/>
              <w:t>management</w:t>
            </w:r>
          </w:p>
        </w:tc>
        <w:tc>
          <w:tcPr>
            <w:tcW w:w="0" w:type="auto"/>
            <w:hideMark/>
          </w:tcPr>
          <w:p w14:paraId="68D4EA2C" w14:textId="6694F8B8" w:rsidR="00AE1381" w:rsidRPr="00AE1381" w:rsidRDefault="00AE1381">
            <w:pPr>
              <w:rPr>
                <w:rFonts w:ascii="Arial" w:hAnsi="Arial" w:cs="Arial"/>
                <w:sz w:val="22"/>
                <w:szCs w:val="22"/>
              </w:rPr>
            </w:pPr>
            <w:r w:rsidRPr="00AE1381">
              <w:rPr>
                <w:rFonts w:ascii="Arial" w:hAnsi="Arial" w:cs="Arial"/>
                <w:sz w:val="22"/>
                <w:szCs w:val="22"/>
              </w:rPr>
              <w:t>Apps supported self</w:t>
            </w:r>
            <w:r w:rsidRPr="00AE1381">
              <w:rPr>
                <w:rFonts w:ascii="Arial" w:hAnsi="Arial" w:cs="Arial"/>
                <w:sz w:val="22"/>
                <w:szCs w:val="22"/>
              </w:rPr>
              <w:noBreakHyphen/>
              <w:t xml:space="preserve">management; acceptance </w:t>
            </w:r>
            <w:r>
              <w:rPr>
                <w:rFonts w:ascii="Arial" w:hAnsi="Arial" w:cs="Arial"/>
                <w:sz w:val="22"/>
                <w:szCs w:val="22"/>
              </w:rPr>
              <w:t xml:space="preserve">was </w:t>
            </w:r>
            <w:r w:rsidRPr="00AE1381">
              <w:rPr>
                <w:rFonts w:ascii="Arial" w:hAnsi="Arial" w:cs="Arial"/>
                <w:sz w:val="22"/>
                <w:szCs w:val="22"/>
              </w:rPr>
              <w:t xml:space="preserve">influenced by ease of use, motivation, effort required, and need for clinical integration. </w:t>
            </w:r>
          </w:p>
        </w:tc>
      </w:tr>
    </w:tbl>
    <w:p w14:paraId="0D53469F" w14:textId="77777777" w:rsidR="003E6FA9" w:rsidRPr="007E5AE0" w:rsidRDefault="003E6FA9" w:rsidP="003E6FA9">
      <w:pPr>
        <w:rPr>
          <w:sz w:val="10"/>
          <w:szCs w:val="10"/>
        </w:rPr>
      </w:pPr>
    </w:p>
    <w:p w14:paraId="4EC9051F" w14:textId="77777777" w:rsidR="003E6FA9" w:rsidRPr="007E5AE0" w:rsidRDefault="003E6FA9" w:rsidP="003E6FA9">
      <w:pPr>
        <w:pStyle w:val="Heading2"/>
        <w:spacing w:line="360" w:lineRule="auto"/>
        <w:jc w:val="both"/>
        <w:rPr>
          <w:rFonts w:cs="Arial"/>
        </w:rPr>
      </w:pPr>
      <w:bookmarkStart w:id="17" w:name="_Toc224734295"/>
      <w:r w:rsidRPr="007E5AE0">
        <w:rPr>
          <w:rFonts w:cs="Arial"/>
        </w:rPr>
        <w:lastRenderedPageBreak/>
        <w:t>Thematic Findings</w:t>
      </w:r>
      <w:bookmarkEnd w:id="17"/>
      <w:r w:rsidRPr="007E5AE0">
        <w:rPr>
          <w:rFonts w:cs="Arial"/>
        </w:rPr>
        <w:t xml:space="preserve"> </w:t>
      </w:r>
    </w:p>
    <w:p w14:paraId="10D65B6B" w14:textId="77777777" w:rsidR="003E6FA9" w:rsidRPr="007E5AE0" w:rsidRDefault="003E6FA9" w:rsidP="003E6FA9">
      <w:pPr>
        <w:pStyle w:val="Heading3"/>
        <w:spacing w:line="360" w:lineRule="auto"/>
        <w:jc w:val="both"/>
        <w:rPr>
          <w:rFonts w:cs="Arial"/>
        </w:rPr>
      </w:pPr>
      <w:bookmarkStart w:id="18" w:name="_Toc224734296"/>
      <w:r w:rsidRPr="007E5AE0">
        <w:rPr>
          <w:rFonts w:cs="Arial"/>
        </w:rPr>
        <w:t>Effectiveness of Digital Interventions</w:t>
      </w:r>
      <w:bookmarkEnd w:id="18"/>
    </w:p>
    <w:p w14:paraId="0A7DD398"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Digital interventions throughout the literature have continually shown beneficial effects in </w:t>
      </w:r>
      <w:proofErr w:type="spellStart"/>
      <w:r w:rsidRPr="007E5AE0">
        <w:rPr>
          <w:rFonts w:ascii="Arial" w:hAnsi="Arial" w:cs="Arial"/>
          <w:sz w:val="22"/>
          <w:szCs w:val="22"/>
        </w:rPr>
        <w:t>glycaemic</w:t>
      </w:r>
      <w:proofErr w:type="spellEnd"/>
      <w:r w:rsidRPr="007E5AE0">
        <w:rPr>
          <w:rFonts w:ascii="Arial" w:hAnsi="Arial" w:cs="Arial"/>
          <w:sz w:val="22"/>
          <w:szCs w:val="22"/>
        </w:rPr>
        <w:t xml:space="preserve"> control, self-monitoring, and self-management routine adherence (Smith et al., 2021). Specifically, Smith et al. (2021) found that the use of mobile apps by users resulted in better self-monitoring of blood glucose and lifestyle </w:t>
      </w:r>
      <w:proofErr w:type="spellStart"/>
      <w:r w:rsidRPr="007E5AE0">
        <w:rPr>
          <w:rFonts w:ascii="Arial" w:hAnsi="Arial" w:cs="Arial"/>
          <w:sz w:val="22"/>
          <w:szCs w:val="22"/>
        </w:rPr>
        <w:t>behaviour</w:t>
      </w:r>
      <w:proofErr w:type="spellEnd"/>
      <w:r w:rsidRPr="007E5AE0">
        <w:rPr>
          <w:rFonts w:ascii="Arial" w:hAnsi="Arial" w:cs="Arial"/>
          <w:sz w:val="22"/>
          <w:szCs w:val="22"/>
        </w:rPr>
        <w:t xml:space="preserve">, whereas Ahmed et al. (2023) did find that remote monitoring with automated feedback increased patient self-management beliefs. Conversely, Roberts et al. (2022) also found that the web-based educational modules enhanced knowledge, but the conversion into the long-term change of </w:t>
      </w:r>
      <w:proofErr w:type="spellStart"/>
      <w:r w:rsidRPr="007E5AE0">
        <w:rPr>
          <w:rFonts w:ascii="Arial" w:hAnsi="Arial" w:cs="Arial"/>
          <w:sz w:val="22"/>
          <w:szCs w:val="22"/>
        </w:rPr>
        <w:t>behaviour</w:t>
      </w:r>
      <w:proofErr w:type="spellEnd"/>
      <w:r w:rsidRPr="007E5AE0">
        <w:rPr>
          <w:rFonts w:ascii="Arial" w:hAnsi="Arial" w:cs="Arial"/>
          <w:sz w:val="22"/>
          <w:szCs w:val="22"/>
        </w:rPr>
        <w:t xml:space="preserve"> was not uniform, which may be related to the design and interactivity of the intervention</w:t>
      </w:r>
      <w:r>
        <w:rPr>
          <w:rFonts w:ascii="Arial" w:hAnsi="Arial" w:cs="Arial"/>
          <w:sz w:val="22"/>
          <w:szCs w:val="22"/>
        </w:rPr>
        <w:t xml:space="preserve"> (</w:t>
      </w:r>
      <w:r w:rsidRPr="007E5AE0">
        <w:rPr>
          <w:rFonts w:ascii="Arial" w:hAnsi="Arial" w:cs="Arial"/>
          <w:sz w:val="22"/>
          <w:szCs w:val="22"/>
        </w:rPr>
        <w:t>Ahmed et al., 2023</w:t>
      </w:r>
      <w:r>
        <w:rPr>
          <w:rFonts w:ascii="Arial" w:hAnsi="Arial" w:cs="Arial"/>
          <w:sz w:val="22"/>
          <w:szCs w:val="22"/>
        </w:rPr>
        <w:t>)</w:t>
      </w:r>
      <w:r w:rsidRPr="007E5AE0">
        <w:rPr>
          <w:rFonts w:ascii="Arial" w:hAnsi="Arial" w:cs="Arial"/>
          <w:sz w:val="22"/>
          <w:szCs w:val="22"/>
        </w:rPr>
        <w:t>. This implies that although digital interventions have a bright future, contextual variables like accessibility, usability, and personalization are essential to the provision of the best results.</w:t>
      </w:r>
    </w:p>
    <w:p w14:paraId="182B18C8" w14:textId="77777777" w:rsidR="003E6FA9" w:rsidRPr="007E5AE0" w:rsidRDefault="003E6FA9" w:rsidP="003E6FA9">
      <w:pPr>
        <w:pStyle w:val="Heading3"/>
        <w:spacing w:line="360" w:lineRule="auto"/>
        <w:jc w:val="both"/>
        <w:rPr>
          <w:rFonts w:cs="Arial"/>
        </w:rPr>
      </w:pPr>
      <w:bookmarkStart w:id="19" w:name="_Toc224734297"/>
      <w:r w:rsidRPr="007E5AE0">
        <w:rPr>
          <w:rFonts w:cs="Arial"/>
        </w:rPr>
        <w:t>Patient Engagement and Usability</w:t>
      </w:r>
      <w:bookmarkEnd w:id="19"/>
    </w:p>
    <w:p w14:paraId="48626ABA"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Engagement of patients became a major theme. Researchers emphasized that convenience, user interface design, and personalization were essential factors of long-lasting engagement (Jones et al., 2020). In Patel and </w:t>
      </w:r>
      <w:r>
        <w:rPr>
          <w:rFonts w:ascii="Arial" w:hAnsi="Arial" w:cs="Arial"/>
          <w:sz w:val="22"/>
          <w:szCs w:val="22"/>
        </w:rPr>
        <w:t>Kumar's</w:t>
      </w:r>
      <w:r w:rsidRPr="007E5AE0">
        <w:rPr>
          <w:rFonts w:ascii="Arial" w:hAnsi="Arial" w:cs="Arial"/>
          <w:sz w:val="22"/>
          <w:szCs w:val="22"/>
        </w:rPr>
        <w:t xml:space="preserve"> </w:t>
      </w:r>
      <w:r>
        <w:rPr>
          <w:rFonts w:ascii="Arial" w:hAnsi="Arial" w:cs="Arial"/>
          <w:sz w:val="22"/>
          <w:szCs w:val="22"/>
        </w:rPr>
        <w:t>(</w:t>
      </w:r>
      <w:r w:rsidRPr="007E5AE0">
        <w:rPr>
          <w:rFonts w:ascii="Arial" w:hAnsi="Arial" w:cs="Arial"/>
          <w:sz w:val="22"/>
          <w:szCs w:val="22"/>
        </w:rPr>
        <w:t>2019</w:t>
      </w:r>
      <w:r>
        <w:rPr>
          <w:rFonts w:ascii="Arial" w:hAnsi="Arial" w:cs="Arial"/>
          <w:sz w:val="22"/>
          <w:szCs w:val="22"/>
        </w:rPr>
        <w:t xml:space="preserve">) </w:t>
      </w:r>
      <w:r w:rsidRPr="007E5AE0">
        <w:rPr>
          <w:rFonts w:ascii="Arial" w:hAnsi="Arial" w:cs="Arial"/>
          <w:sz w:val="22"/>
          <w:szCs w:val="22"/>
        </w:rPr>
        <w:t>literature, individuals who were subjected to intuitive interfaces had more chances of adopting interventions on a regular basis. On the other hand, more digitally illiterate older adults indicated that they had difficulties and that adaptive design and support are a requirement. This implies that interventions should be based on different degrees of digital competence to get the best use among primary care populations.</w:t>
      </w:r>
    </w:p>
    <w:p w14:paraId="02A532A6" w14:textId="77777777" w:rsidR="003E6FA9" w:rsidRPr="007E5AE0" w:rsidRDefault="003E6FA9" w:rsidP="003E6FA9">
      <w:pPr>
        <w:pStyle w:val="Heading3"/>
        <w:spacing w:line="360" w:lineRule="auto"/>
        <w:jc w:val="both"/>
        <w:rPr>
          <w:rFonts w:cs="Arial"/>
        </w:rPr>
      </w:pPr>
      <w:bookmarkStart w:id="20" w:name="_Toc224734298"/>
      <w:r w:rsidRPr="007E5AE0">
        <w:rPr>
          <w:rFonts w:cs="Arial"/>
        </w:rPr>
        <w:t>Acceptability and Satisfaction</w:t>
      </w:r>
      <w:bookmarkEnd w:id="20"/>
    </w:p>
    <w:p w14:paraId="1694ABF3"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The interventions were typically acceptable, and respondents expressed satisfaction with the convenience and immediacy of digital support (Smith et al., 2021). Nevertheless, variations occurred in terms of preferences for the mode of delivery; some respondents gave importance to real-time telehealth coaching, whereas others appreciated asynchronous SMS or web-based modules</w:t>
      </w:r>
      <w:r>
        <w:rPr>
          <w:rFonts w:ascii="Arial" w:hAnsi="Arial" w:cs="Arial"/>
          <w:sz w:val="22"/>
          <w:szCs w:val="22"/>
        </w:rPr>
        <w:t xml:space="preserve"> (</w:t>
      </w:r>
      <w:r w:rsidRPr="007E5AE0">
        <w:rPr>
          <w:rFonts w:ascii="Arial" w:hAnsi="Arial" w:cs="Arial"/>
          <w:sz w:val="22"/>
          <w:szCs w:val="22"/>
        </w:rPr>
        <w:t>Patel and Kumar, 2019</w:t>
      </w:r>
      <w:r>
        <w:rPr>
          <w:rFonts w:ascii="Arial" w:hAnsi="Arial" w:cs="Arial"/>
          <w:sz w:val="22"/>
          <w:szCs w:val="22"/>
        </w:rPr>
        <w:t>)</w:t>
      </w:r>
      <w:r w:rsidRPr="007E5AE0">
        <w:rPr>
          <w:rFonts w:ascii="Arial" w:hAnsi="Arial" w:cs="Arial"/>
          <w:sz w:val="22"/>
          <w:szCs w:val="22"/>
        </w:rPr>
        <w:t>. This inconsistency suggests that the patient-</w:t>
      </w:r>
      <w:proofErr w:type="spellStart"/>
      <w:r w:rsidRPr="007E5AE0">
        <w:rPr>
          <w:rFonts w:ascii="Arial" w:hAnsi="Arial" w:cs="Arial"/>
          <w:sz w:val="22"/>
          <w:szCs w:val="22"/>
        </w:rPr>
        <w:t>centred</w:t>
      </w:r>
      <w:proofErr w:type="spellEnd"/>
      <w:r w:rsidRPr="007E5AE0">
        <w:rPr>
          <w:rFonts w:ascii="Arial" w:hAnsi="Arial" w:cs="Arial"/>
          <w:sz w:val="22"/>
          <w:szCs w:val="22"/>
        </w:rPr>
        <w:t xml:space="preserve"> customization of interventions can increase patient satisfaction and uptake.</w:t>
      </w:r>
    </w:p>
    <w:p w14:paraId="6095521C" w14:textId="77777777" w:rsidR="003E6FA9" w:rsidRPr="007E5AE0" w:rsidRDefault="003E6FA9" w:rsidP="003E6FA9">
      <w:pPr>
        <w:pStyle w:val="Heading3"/>
        <w:spacing w:line="360" w:lineRule="auto"/>
        <w:jc w:val="both"/>
        <w:rPr>
          <w:rFonts w:cs="Arial"/>
        </w:rPr>
      </w:pPr>
      <w:bookmarkStart w:id="21" w:name="_Toc224734299"/>
      <w:r w:rsidRPr="007E5AE0">
        <w:rPr>
          <w:rFonts w:cs="Arial"/>
        </w:rPr>
        <w:t>Barriers to Implementation</w:t>
      </w:r>
      <w:bookmarkEnd w:id="21"/>
    </w:p>
    <w:p w14:paraId="5B7BDBEE"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It was also noted that implementation barriers were a common occurrence, such as inaccessible devices, technical problems, and the ability of the workforce to assist interventions (Roberts et al., 2022). In literature, staff training and alignment with already established NHS </w:t>
      </w:r>
      <w:r w:rsidRPr="007E5AE0">
        <w:rPr>
          <w:rFonts w:ascii="Arial" w:hAnsi="Arial" w:cs="Arial"/>
          <w:sz w:val="22"/>
          <w:szCs w:val="22"/>
        </w:rPr>
        <w:lastRenderedPageBreak/>
        <w:t>workflows were identified as the keys to the implementation</w:t>
      </w:r>
      <w:r>
        <w:rPr>
          <w:rFonts w:ascii="Arial" w:hAnsi="Arial" w:cs="Arial"/>
          <w:sz w:val="22"/>
          <w:szCs w:val="22"/>
        </w:rPr>
        <w:t xml:space="preserve"> (</w:t>
      </w:r>
      <w:r w:rsidRPr="007E5AE0">
        <w:rPr>
          <w:rFonts w:ascii="Arial" w:hAnsi="Arial" w:cs="Arial"/>
          <w:sz w:val="22"/>
          <w:szCs w:val="22"/>
        </w:rPr>
        <w:t>Ahmed et al., 2023</w:t>
      </w:r>
      <w:r>
        <w:rPr>
          <w:rFonts w:ascii="Arial" w:hAnsi="Arial" w:cs="Arial"/>
          <w:sz w:val="22"/>
          <w:szCs w:val="22"/>
        </w:rPr>
        <w:t>)</w:t>
      </w:r>
      <w:r w:rsidRPr="007E5AE0">
        <w:rPr>
          <w:rFonts w:ascii="Arial" w:hAnsi="Arial" w:cs="Arial"/>
          <w:sz w:val="22"/>
          <w:szCs w:val="22"/>
        </w:rPr>
        <w:t xml:space="preserve">. This implies that the level of </w:t>
      </w:r>
      <w:proofErr w:type="spellStart"/>
      <w:r w:rsidRPr="007E5AE0">
        <w:rPr>
          <w:rFonts w:ascii="Arial" w:hAnsi="Arial" w:cs="Arial"/>
          <w:sz w:val="22"/>
          <w:szCs w:val="22"/>
        </w:rPr>
        <w:t>organisational</w:t>
      </w:r>
      <w:proofErr w:type="spellEnd"/>
      <w:r w:rsidRPr="007E5AE0">
        <w:rPr>
          <w:rFonts w:ascii="Arial" w:hAnsi="Arial" w:cs="Arial"/>
          <w:sz w:val="22"/>
          <w:szCs w:val="22"/>
        </w:rPr>
        <w:t xml:space="preserve"> preparedness and infrastructures are very important factor in scaling digital health in the primary care contexts.</w:t>
      </w:r>
    </w:p>
    <w:p w14:paraId="39B1188C" w14:textId="77777777" w:rsidR="003E6FA9" w:rsidRPr="007E5AE0" w:rsidRDefault="003E6FA9" w:rsidP="003E6FA9">
      <w:pPr>
        <w:pStyle w:val="Heading3"/>
        <w:spacing w:line="360" w:lineRule="auto"/>
        <w:jc w:val="both"/>
        <w:rPr>
          <w:rFonts w:cs="Arial"/>
        </w:rPr>
      </w:pPr>
      <w:bookmarkStart w:id="22" w:name="_Toc224734300"/>
      <w:r w:rsidRPr="007E5AE0">
        <w:rPr>
          <w:rFonts w:cs="Arial"/>
        </w:rPr>
        <w:t>Digital Inequality</w:t>
      </w:r>
      <w:bookmarkEnd w:id="22"/>
    </w:p>
    <w:p w14:paraId="5A077997"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Digital inequality, which includes socioeconomic and digital literacy, was discovered as one of the major challenges. According to Jones et al. (2020) and Patel et al. (2019), the ability to access the interventions was limited among the participants with lower income backgrounds or older age, which shows that there might be inequities in the benefits of using digital health. This shows the significance of considering inclusion in the design, training, and support plan so as to provide equitable self-management support.</w:t>
      </w:r>
    </w:p>
    <w:p w14:paraId="6BD081AD" w14:textId="77777777" w:rsidR="003E6FA9" w:rsidRPr="007E5AE0" w:rsidRDefault="003E6FA9" w:rsidP="003E6FA9">
      <w:pPr>
        <w:pStyle w:val="Heading1"/>
        <w:spacing w:line="360" w:lineRule="auto"/>
        <w:jc w:val="both"/>
        <w:rPr>
          <w:rFonts w:cs="Arial"/>
        </w:rPr>
      </w:pPr>
      <w:bookmarkStart w:id="23" w:name="_Toc224734301"/>
      <w:r w:rsidRPr="007E5AE0">
        <w:rPr>
          <w:rFonts w:cs="Arial"/>
        </w:rPr>
        <w:t>Discussion</w:t>
      </w:r>
      <w:bookmarkEnd w:id="23"/>
      <w:r w:rsidRPr="007E5AE0">
        <w:rPr>
          <w:rFonts w:cs="Arial"/>
        </w:rPr>
        <w:t xml:space="preserve"> </w:t>
      </w:r>
    </w:p>
    <w:p w14:paraId="390BB24C" w14:textId="77777777" w:rsidR="003E6FA9"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They scoping reviewed the UK literature on type 2 diabetes (T2D) self-management in primary care, where five interrelated themes were identified, one being the effectiveness of interventions, another the engagement and usability of patients, and the other the acceptability and satisfaction in the intervention, availability of digital barriers, and inequality in digital markets</w:t>
      </w:r>
      <w:r>
        <w:rPr>
          <w:rFonts w:ascii="Arial" w:hAnsi="Arial" w:cs="Arial"/>
          <w:sz w:val="22"/>
          <w:szCs w:val="22"/>
        </w:rPr>
        <w:t xml:space="preserve"> (</w:t>
      </w:r>
      <w:r w:rsidRPr="007E5AE0">
        <w:rPr>
          <w:rFonts w:ascii="Arial" w:hAnsi="Arial" w:cs="Arial"/>
          <w:sz w:val="22"/>
          <w:szCs w:val="22"/>
        </w:rPr>
        <w:t>Ahmed et al., 2023</w:t>
      </w:r>
      <w:r>
        <w:rPr>
          <w:rFonts w:ascii="Arial" w:hAnsi="Arial" w:cs="Arial"/>
          <w:sz w:val="22"/>
          <w:szCs w:val="22"/>
        </w:rPr>
        <w:t>)</w:t>
      </w:r>
      <w:r w:rsidRPr="007E5AE0">
        <w:rPr>
          <w:rFonts w:ascii="Arial" w:hAnsi="Arial" w:cs="Arial"/>
          <w:sz w:val="22"/>
          <w:szCs w:val="22"/>
        </w:rPr>
        <w:t xml:space="preserve">. The interventions that have been reported to have a positive impact across the studies include mobile apps, SMS messages, telehealth consultations, and remote monitoring, which positively influence self-management </w:t>
      </w:r>
      <w:proofErr w:type="spellStart"/>
      <w:r w:rsidRPr="007E5AE0">
        <w:rPr>
          <w:rFonts w:ascii="Arial" w:hAnsi="Arial" w:cs="Arial"/>
          <w:sz w:val="22"/>
          <w:szCs w:val="22"/>
        </w:rPr>
        <w:t>behaviours</w:t>
      </w:r>
      <w:proofErr w:type="spellEnd"/>
      <w:r w:rsidRPr="007E5AE0">
        <w:rPr>
          <w:rFonts w:ascii="Arial" w:hAnsi="Arial" w:cs="Arial"/>
          <w:sz w:val="22"/>
          <w:szCs w:val="22"/>
        </w:rPr>
        <w:t xml:space="preserve">, including medication adherence, glucose monitoring, and lifestyle changes (Smith et al., 2021). This implies that digital tools have the potential to enhance </w:t>
      </w:r>
      <w:proofErr w:type="spellStart"/>
      <w:r w:rsidRPr="007E5AE0">
        <w:rPr>
          <w:rFonts w:ascii="Arial" w:hAnsi="Arial" w:cs="Arial"/>
          <w:sz w:val="22"/>
          <w:szCs w:val="22"/>
        </w:rPr>
        <w:t>behaviour</w:t>
      </w:r>
      <w:proofErr w:type="spellEnd"/>
      <w:r w:rsidRPr="007E5AE0">
        <w:rPr>
          <w:rFonts w:ascii="Arial" w:hAnsi="Arial" w:cs="Arial"/>
          <w:sz w:val="22"/>
          <w:szCs w:val="22"/>
        </w:rPr>
        <w:t xml:space="preserve"> change through </w:t>
      </w:r>
      <w:proofErr w:type="spellStart"/>
      <w:r w:rsidRPr="007E5AE0">
        <w:rPr>
          <w:rFonts w:ascii="Arial" w:hAnsi="Arial" w:cs="Arial"/>
          <w:sz w:val="22"/>
          <w:szCs w:val="22"/>
        </w:rPr>
        <w:t>customised</w:t>
      </w:r>
      <w:proofErr w:type="spellEnd"/>
      <w:r w:rsidRPr="007E5AE0">
        <w:rPr>
          <w:rFonts w:ascii="Arial" w:hAnsi="Arial" w:cs="Arial"/>
          <w:sz w:val="22"/>
          <w:szCs w:val="22"/>
        </w:rPr>
        <w:t xml:space="preserve"> feedback, goal-oriented goal setting, and prompts that are timely, as shown by the </w:t>
      </w:r>
      <w:proofErr w:type="spellStart"/>
      <w:r w:rsidRPr="007E5AE0">
        <w:rPr>
          <w:rFonts w:ascii="Arial" w:hAnsi="Arial" w:cs="Arial"/>
          <w:sz w:val="22"/>
          <w:szCs w:val="22"/>
        </w:rPr>
        <w:t>behaviour</w:t>
      </w:r>
      <w:proofErr w:type="spellEnd"/>
      <w:r w:rsidRPr="007E5AE0">
        <w:rPr>
          <w:rFonts w:ascii="Arial" w:hAnsi="Arial" w:cs="Arial"/>
          <w:sz w:val="22"/>
          <w:szCs w:val="22"/>
        </w:rPr>
        <w:t xml:space="preserve"> change models, including the COM-B model (Michie et al., 2014).</w:t>
      </w:r>
      <w:r>
        <w:rPr>
          <w:rFonts w:ascii="Arial" w:hAnsi="Arial" w:cs="Arial"/>
          <w:sz w:val="22"/>
          <w:szCs w:val="22"/>
        </w:rPr>
        <w:t xml:space="preserve"> </w:t>
      </w:r>
      <w:r w:rsidRPr="007E5AE0">
        <w:rPr>
          <w:rFonts w:ascii="Arial" w:hAnsi="Arial" w:cs="Arial"/>
          <w:sz w:val="22"/>
          <w:szCs w:val="22"/>
        </w:rPr>
        <w:t xml:space="preserve">The engagement and usability were the most important factors in determining the success of the interventions used on patients. </w:t>
      </w:r>
    </w:p>
    <w:p w14:paraId="10C3EF8B"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There were higher adherence rates among interventions with intuitive interfaces, </w:t>
      </w:r>
      <w:proofErr w:type="spellStart"/>
      <w:r w:rsidRPr="007E5AE0">
        <w:rPr>
          <w:rFonts w:ascii="Arial" w:hAnsi="Arial" w:cs="Arial"/>
          <w:sz w:val="22"/>
          <w:szCs w:val="22"/>
        </w:rPr>
        <w:t>customised</w:t>
      </w:r>
      <w:proofErr w:type="spellEnd"/>
      <w:r w:rsidRPr="007E5AE0">
        <w:rPr>
          <w:rFonts w:ascii="Arial" w:hAnsi="Arial" w:cs="Arial"/>
          <w:sz w:val="22"/>
          <w:szCs w:val="22"/>
        </w:rPr>
        <w:t xml:space="preserve"> work, and the ability to work on their own schedules, and older adults or those with limited digital literacy struggled with interventions (Jones et al., 2020). It highlights the importance of user-focused designing methods that should take into account accessibility and inclusiveness, which is similar to the patient-</w:t>
      </w:r>
      <w:proofErr w:type="spellStart"/>
      <w:r w:rsidRPr="007E5AE0">
        <w:rPr>
          <w:rFonts w:ascii="Arial" w:hAnsi="Arial" w:cs="Arial"/>
          <w:sz w:val="22"/>
          <w:szCs w:val="22"/>
        </w:rPr>
        <w:t>centred</w:t>
      </w:r>
      <w:proofErr w:type="spellEnd"/>
      <w:r w:rsidRPr="007E5AE0">
        <w:rPr>
          <w:rFonts w:ascii="Arial" w:hAnsi="Arial" w:cs="Arial"/>
          <w:sz w:val="22"/>
          <w:szCs w:val="22"/>
        </w:rPr>
        <w:t xml:space="preserve"> digital solutions of NHS Digital (NHS England, 2021).</w:t>
      </w:r>
      <w:r>
        <w:rPr>
          <w:rFonts w:ascii="Arial" w:hAnsi="Arial" w:cs="Arial"/>
          <w:sz w:val="22"/>
          <w:szCs w:val="22"/>
        </w:rPr>
        <w:t xml:space="preserve"> </w:t>
      </w:r>
      <w:r w:rsidRPr="007E5AE0">
        <w:rPr>
          <w:rFonts w:ascii="Arial" w:hAnsi="Arial" w:cs="Arial"/>
          <w:sz w:val="22"/>
          <w:szCs w:val="22"/>
        </w:rPr>
        <w:t>There were high levels of acceptability and satisfaction with participants giving importance to convenience and immediacy. Nonetheless, the preference variations between the synchronous (telehealth) and asynchronous (apps/SMS) interventions indicate that the provision of a variety of modalities can increase booster and long-term results (Roberts et al., 2022).</w:t>
      </w:r>
      <w:r>
        <w:rPr>
          <w:rFonts w:ascii="Arial" w:hAnsi="Arial" w:cs="Arial"/>
          <w:sz w:val="22"/>
          <w:szCs w:val="22"/>
        </w:rPr>
        <w:t xml:space="preserve"> </w:t>
      </w:r>
      <w:r w:rsidRPr="007E5AE0">
        <w:rPr>
          <w:rFonts w:ascii="Arial" w:hAnsi="Arial" w:cs="Arial"/>
          <w:sz w:val="22"/>
          <w:szCs w:val="22"/>
        </w:rPr>
        <w:t xml:space="preserve">The challenges </w:t>
      </w:r>
      <w:r w:rsidRPr="007E5AE0">
        <w:rPr>
          <w:rFonts w:ascii="Arial" w:hAnsi="Arial" w:cs="Arial"/>
          <w:sz w:val="22"/>
          <w:szCs w:val="22"/>
        </w:rPr>
        <w:lastRenderedPageBreak/>
        <w:t xml:space="preserve">associated with implementation were the integration with the NHS IT systems, a shortage of workforce, and a lack of training or technical support. Such </w:t>
      </w:r>
      <w:proofErr w:type="spellStart"/>
      <w:r w:rsidRPr="007E5AE0">
        <w:rPr>
          <w:rFonts w:ascii="Arial" w:hAnsi="Arial" w:cs="Arial"/>
          <w:sz w:val="22"/>
          <w:szCs w:val="22"/>
        </w:rPr>
        <w:t>organisational</w:t>
      </w:r>
      <w:proofErr w:type="spellEnd"/>
      <w:r w:rsidRPr="007E5AE0">
        <w:rPr>
          <w:rFonts w:ascii="Arial" w:hAnsi="Arial" w:cs="Arial"/>
          <w:sz w:val="22"/>
          <w:szCs w:val="22"/>
        </w:rPr>
        <w:t xml:space="preserve"> issues are signs that technological efficacy is not a sufficient condition, and interventions are to be integrated into primary care processes in order to become sustainable (Bennett et al., 2021).</w:t>
      </w:r>
      <w:r>
        <w:rPr>
          <w:rFonts w:ascii="Arial" w:hAnsi="Arial" w:cs="Arial"/>
          <w:sz w:val="22"/>
          <w:szCs w:val="22"/>
        </w:rPr>
        <w:t xml:space="preserve"> </w:t>
      </w:r>
      <w:r w:rsidRPr="007E5AE0">
        <w:rPr>
          <w:rFonts w:ascii="Arial" w:hAnsi="Arial" w:cs="Arial"/>
          <w:sz w:val="22"/>
          <w:szCs w:val="22"/>
        </w:rPr>
        <w:t>Digital inequity was also evident. There was a disparity in access to devices, the internet, and digital literacy, which influenced participation and the outcomes. Lacking dedicated effort, digital health interventions will serve to increase health disparities (Jones et al., 2020).</w:t>
      </w:r>
    </w:p>
    <w:p w14:paraId="47C96A7B" w14:textId="77777777" w:rsidR="003E6FA9" w:rsidRPr="007E5AE0" w:rsidRDefault="003E6FA9" w:rsidP="003E6FA9">
      <w:pPr>
        <w:pStyle w:val="Heading2"/>
        <w:spacing w:line="360" w:lineRule="auto"/>
        <w:jc w:val="both"/>
        <w:rPr>
          <w:rFonts w:cs="Arial"/>
        </w:rPr>
      </w:pPr>
      <w:bookmarkStart w:id="24" w:name="_Toc224734302"/>
      <w:r w:rsidRPr="007E5AE0">
        <w:rPr>
          <w:rFonts w:cs="Arial"/>
        </w:rPr>
        <w:t>Comparison with Existing Literature</w:t>
      </w:r>
      <w:bookmarkEnd w:id="24"/>
      <w:r w:rsidRPr="007E5AE0">
        <w:rPr>
          <w:rFonts w:cs="Arial"/>
        </w:rPr>
        <w:t xml:space="preserve"> </w:t>
      </w:r>
    </w:p>
    <w:p w14:paraId="1506D95D"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The results are consistent with previous systematic reviews that note digital interventions are effective in enhancing self-management of chronic diseases, but show a context-dependent difference (Greenwood et al., 2017). Although most literature advocates effectiveness, there is no stability in long-term </w:t>
      </w:r>
      <w:proofErr w:type="spellStart"/>
      <w:r w:rsidRPr="007E5AE0">
        <w:rPr>
          <w:rFonts w:ascii="Arial" w:hAnsi="Arial" w:cs="Arial"/>
          <w:sz w:val="22"/>
          <w:szCs w:val="22"/>
        </w:rPr>
        <w:t>behavioural</w:t>
      </w:r>
      <w:proofErr w:type="spellEnd"/>
      <w:r w:rsidRPr="007E5AE0">
        <w:rPr>
          <w:rFonts w:ascii="Arial" w:hAnsi="Arial" w:cs="Arial"/>
          <w:sz w:val="22"/>
          <w:szCs w:val="22"/>
        </w:rPr>
        <w:t xml:space="preserve"> changes, which is also consistent with the greater evidence that digital tools do not work, except in the case of integration into a traditional care pathway (Hamine et al., 2015). The focus on usability, patient-</w:t>
      </w:r>
      <w:proofErr w:type="spellStart"/>
      <w:r w:rsidRPr="007E5AE0">
        <w:rPr>
          <w:rFonts w:ascii="Arial" w:hAnsi="Arial" w:cs="Arial"/>
          <w:sz w:val="22"/>
          <w:szCs w:val="22"/>
        </w:rPr>
        <w:t>centred</w:t>
      </w:r>
      <w:proofErr w:type="spellEnd"/>
      <w:r w:rsidRPr="007E5AE0">
        <w:rPr>
          <w:rFonts w:ascii="Arial" w:hAnsi="Arial" w:cs="Arial"/>
          <w:sz w:val="22"/>
          <w:szCs w:val="22"/>
        </w:rPr>
        <w:t xml:space="preserve"> design, and equity supports the suggestions of WHO to contextually specific digital health interventions (WHO, 2021).</w:t>
      </w:r>
    </w:p>
    <w:p w14:paraId="42CD6EBF" w14:textId="77777777" w:rsidR="003E6FA9" w:rsidRPr="007E5AE0" w:rsidRDefault="003E6FA9" w:rsidP="003E6FA9">
      <w:pPr>
        <w:pStyle w:val="Heading2"/>
        <w:spacing w:line="360" w:lineRule="auto"/>
        <w:jc w:val="both"/>
        <w:rPr>
          <w:rFonts w:cs="Arial"/>
        </w:rPr>
      </w:pPr>
      <w:bookmarkStart w:id="25" w:name="_Toc224734303"/>
      <w:r w:rsidRPr="007E5AE0">
        <w:rPr>
          <w:rFonts w:cs="Arial"/>
        </w:rPr>
        <w:t>Strengths and Limitations</w:t>
      </w:r>
      <w:bookmarkEnd w:id="25"/>
    </w:p>
    <w:p w14:paraId="5E1E646F"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The systematic review was conducted through the framework of Arksey and O Malley, as well as PRISMA-</w:t>
      </w:r>
      <w:proofErr w:type="spellStart"/>
      <w:r w:rsidRPr="007E5AE0">
        <w:rPr>
          <w:rFonts w:ascii="Arial" w:hAnsi="Arial" w:cs="Arial"/>
          <w:sz w:val="22"/>
          <w:szCs w:val="22"/>
        </w:rPr>
        <w:t>ScR</w:t>
      </w:r>
      <w:proofErr w:type="spellEnd"/>
      <w:r w:rsidRPr="007E5AE0">
        <w:rPr>
          <w:rFonts w:ascii="Arial" w:hAnsi="Arial" w:cs="Arial"/>
          <w:sz w:val="22"/>
          <w:szCs w:val="22"/>
        </w:rPr>
        <w:t>, which has increased transparency and reproducibility, which justifies the validity of the results (</w:t>
      </w:r>
      <w:proofErr w:type="spellStart"/>
      <w:r w:rsidRPr="007E5AE0">
        <w:rPr>
          <w:rFonts w:ascii="Arial" w:hAnsi="Arial" w:cs="Arial"/>
          <w:sz w:val="22"/>
          <w:szCs w:val="22"/>
        </w:rPr>
        <w:t>Tricco</w:t>
      </w:r>
      <w:proofErr w:type="spellEnd"/>
      <w:r w:rsidRPr="007E5AE0">
        <w:rPr>
          <w:rFonts w:ascii="Arial" w:hAnsi="Arial" w:cs="Arial"/>
          <w:sz w:val="22"/>
          <w:szCs w:val="22"/>
        </w:rPr>
        <w:t xml:space="preserve"> et al., 2018). Concentrating on the UK primary care makes the NHS policy and practice relevant, especially with respect to integration and adoption of digital tools. Adding some qualitative data will give insightful information on the experiences of the patients, which will be practical in implementation.</w:t>
      </w:r>
      <w:r>
        <w:rPr>
          <w:rFonts w:ascii="Arial" w:hAnsi="Arial" w:cs="Arial"/>
          <w:sz w:val="22"/>
          <w:szCs w:val="22"/>
        </w:rPr>
        <w:t xml:space="preserve"> </w:t>
      </w:r>
      <w:r w:rsidRPr="007E5AE0">
        <w:rPr>
          <w:rFonts w:ascii="Arial" w:hAnsi="Arial" w:cs="Arial"/>
          <w:sz w:val="22"/>
          <w:szCs w:val="22"/>
        </w:rPr>
        <w:t xml:space="preserve">Limitations consist of the fact that just a small number of included studies might have an impact on </w:t>
      </w:r>
      <w:proofErr w:type="spellStart"/>
      <w:r w:rsidRPr="007E5AE0">
        <w:rPr>
          <w:rFonts w:ascii="Arial" w:hAnsi="Arial" w:cs="Arial"/>
          <w:sz w:val="22"/>
          <w:szCs w:val="22"/>
        </w:rPr>
        <w:t>generalisability</w:t>
      </w:r>
      <w:proofErr w:type="spellEnd"/>
      <w:r w:rsidRPr="007E5AE0">
        <w:rPr>
          <w:rFonts w:ascii="Arial" w:hAnsi="Arial" w:cs="Arial"/>
          <w:sz w:val="22"/>
          <w:szCs w:val="22"/>
        </w:rPr>
        <w:t>. Dependence on Google Scholar could have omitted research studies cataloged in other databases, which creates selection bias. The lack of quantitative evaluation of intervention response is a disadvantage of the qualitative-only approach, and mixed-methods research proposes using a more solid-evidence tool.</w:t>
      </w:r>
    </w:p>
    <w:p w14:paraId="4EFFE85D" w14:textId="77777777" w:rsidR="003E6FA9" w:rsidRPr="007E5AE0" w:rsidRDefault="003E6FA9" w:rsidP="003E6FA9">
      <w:pPr>
        <w:pStyle w:val="Heading2"/>
        <w:spacing w:line="360" w:lineRule="auto"/>
        <w:jc w:val="both"/>
        <w:rPr>
          <w:rFonts w:cs="Arial"/>
        </w:rPr>
      </w:pPr>
      <w:bookmarkStart w:id="26" w:name="_Toc224734304"/>
      <w:r w:rsidRPr="007E5AE0">
        <w:rPr>
          <w:rFonts w:cs="Arial"/>
        </w:rPr>
        <w:t>Implications for Practice</w:t>
      </w:r>
      <w:bookmarkEnd w:id="26"/>
      <w:r w:rsidRPr="007E5AE0">
        <w:rPr>
          <w:rFonts w:cs="Arial"/>
        </w:rPr>
        <w:t xml:space="preserve"> </w:t>
      </w:r>
    </w:p>
    <w:p w14:paraId="4A822328"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In the case of NHS primary care, the results underline the idea that digital interventions are to change the usual care and not to substitute it. Implementing interventions into the care pathways, educating the staff, and providing technical assistance can improve adoption and sustainability. Patient preferences and abilities should guide the interventions, which must have different modalities to ensure maximum engagement and equity. Digital exclusion needs to be </w:t>
      </w:r>
      <w:r w:rsidRPr="007E5AE0">
        <w:rPr>
          <w:rFonts w:ascii="Arial" w:hAnsi="Arial" w:cs="Arial"/>
          <w:sz w:val="22"/>
          <w:szCs w:val="22"/>
        </w:rPr>
        <w:lastRenderedPageBreak/>
        <w:t>reversed by providing training, designing with ease, and offering equal opportunities to use technology.</w:t>
      </w:r>
      <w:r>
        <w:rPr>
          <w:rFonts w:ascii="Arial" w:hAnsi="Arial" w:cs="Arial"/>
          <w:sz w:val="22"/>
          <w:szCs w:val="22"/>
        </w:rPr>
        <w:t xml:space="preserve"> </w:t>
      </w:r>
      <w:r w:rsidRPr="007E5AE0">
        <w:rPr>
          <w:rFonts w:ascii="Arial" w:hAnsi="Arial" w:cs="Arial"/>
          <w:sz w:val="22"/>
          <w:szCs w:val="22"/>
        </w:rPr>
        <w:t>Clinicians ought to incorporate digital solutions in patient-</w:t>
      </w:r>
      <w:proofErr w:type="spellStart"/>
      <w:r w:rsidRPr="007E5AE0">
        <w:rPr>
          <w:rFonts w:ascii="Arial" w:hAnsi="Arial" w:cs="Arial"/>
          <w:sz w:val="22"/>
          <w:szCs w:val="22"/>
        </w:rPr>
        <w:t>centred</w:t>
      </w:r>
      <w:proofErr w:type="spellEnd"/>
      <w:r w:rsidRPr="007E5AE0">
        <w:rPr>
          <w:rFonts w:ascii="Arial" w:hAnsi="Arial" w:cs="Arial"/>
          <w:sz w:val="22"/>
          <w:szCs w:val="22"/>
        </w:rPr>
        <w:t xml:space="preserve"> care plans, monitoring outcomes, and shape the intervention to the individual's needs. Driven by the NHS</w:t>
      </w:r>
      <w:r>
        <w:rPr>
          <w:rFonts w:ascii="Arial" w:hAnsi="Arial" w:cs="Arial"/>
          <w:sz w:val="22"/>
          <w:szCs w:val="22"/>
        </w:rPr>
        <w:t xml:space="preserve"> (</w:t>
      </w:r>
      <w:r w:rsidRPr="007E5AE0">
        <w:rPr>
          <w:rFonts w:ascii="Arial" w:hAnsi="Arial" w:cs="Arial"/>
          <w:sz w:val="22"/>
          <w:szCs w:val="22"/>
        </w:rPr>
        <w:t>NHS England, 2019; 2021</w:t>
      </w:r>
      <w:r>
        <w:rPr>
          <w:rFonts w:ascii="Arial" w:hAnsi="Arial" w:cs="Arial"/>
          <w:sz w:val="22"/>
          <w:szCs w:val="22"/>
        </w:rPr>
        <w:t xml:space="preserve">) </w:t>
      </w:r>
      <w:r w:rsidRPr="007E5AE0">
        <w:rPr>
          <w:rFonts w:ascii="Arial" w:hAnsi="Arial" w:cs="Arial"/>
          <w:sz w:val="22"/>
          <w:szCs w:val="22"/>
        </w:rPr>
        <w:t>Digital Strategy and Long-Term Plan, an intervention will be aligned with system-level priorities, such as chronic disease management, patient empowerment, and equitable access.</w:t>
      </w:r>
      <w:r>
        <w:rPr>
          <w:rFonts w:ascii="Arial" w:hAnsi="Arial" w:cs="Arial"/>
          <w:sz w:val="22"/>
          <w:szCs w:val="22"/>
        </w:rPr>
        <w:t xml:space="preserve"> </w:t>
      </w:r>
      <w:r w:rsidRPr="007E5AE0">
        <w:rPr>
          <w:rFonts w:ascii="Arial" w:hAnsi="Arial" w:cs="Arial"/>
          <w:sz w:val="22"/>
          <w:szCs w:val="22"/>
        </w:rPr>
        <w:t xml:space="preserve">To sum up, digital interventions have great potential in the field of T2D self-management, and their efficacy depends on usability, integration, and equity. Benefits in the UK primary care can be </w:t>
      </w:r>
      <w:proofErr w:type="spellStart"/>
      <w:r w:rsidRPr="007E5AE0">
        <w:rPr>
          <w:rFonts w:ascii="Arial" w:hAnsi="Arial" w:cs="Arial"/>
          <w:sz w:val="22"/>
          <w:szCs w:val="22"/>
        </w:rPr>
        <w:t>realised</w:t>
      </w:r>
      <w:proofErr w:type="spellEnd"/>
      <w:r w:rsidRPr="007E5AE0">
        <w:rPr>
          <w:rFonts w:ascii="Arial" w:hAnsi="Arial" w:cs="Arial"/>
          <w:sz w:val="22"/>
          <w:szCs w:val="22"/>
        </w:rPr>
        <w:t xml:space="preserve"> through practical implementation strategies.</w:t>
      </w:r>
    </w:p>
    <w:p w14:paraId="7D8B9A88" w14:textId="77777777" w:rsidR="003E6FA9" w:rsidRPr="007E5AE0" w:rsidRDefault="003E6FA9" w:rsidP="003E6FA9">
      <w:pPr>
        <w:pStyle w:val="Heading1"/>
        <w:spacing w:line="360" w:lineRule="auto"/>
        <w:jc w:val="both"/>
        <w:rPr>
          <w:rFonts w:cs="Arial"/>
        </w:rPr>
      </w:pPr>
      <w:bookmarkStart w:id="27" w:name="_Toc224734305"/>
      <w:r w:rsidRPr="007E5AE0">
        <w:rPr>
          <w:rFonts w:cs="Arial"/>
        </w:rPr>
        <w:t>Conclusion</w:t>
      </w:r>
      <w:bookmarkEnd w:id="27"/>
      <w:r w:rsidRPr="007E5AE0">
        <w:rPr>
          <w:rFonts w:cs="Arial"/>
        </w:rPr>
        <w:t xml:space="preserve"> </w:t>
      </w:r>
    </w:p>
    <w:p w14:paraId="6FB44DE9" w14:textId="36F3A930"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The scoping review has </w:t>
      </w:r>
      <w:proofErr w:type="spellStart"/>
      <w:r w:rsidRPr="007E5AE0">
        <w:rPr>
          <w:rFonts w:ascii="Arial" w:hAnsi="Arial" w:cs="Arial"/>
          <w:sz w:val="22"/>
          <w:szCs w:val="22"/>
        </w:rPr>
        <w:t>summarised</w:t>
      </w:r>
      <w:proofErr w:type="spellEnd"/>
      <w:r w:rsidRPr="007E5AE0">
        <w:rPr>
          <w:rFonts w:ascii="Arial" w:hAnsi="Arial" w:cs="Arial"/>
          <w:sz w:val="22"/>
          <w:szCs w:val="22"/>
        </w:rPr>
        <w:t xml:space="preserve"> peer-reviewed research on the UK regarding digital health interventions in primary care as an intervention to support adult type 2 diabetes (T2D) self-management. In the sphere of included works, three basic themes were identified: the efficacy of digital interventions to facilitate </w:t>
      </w:r>
      <w:proofErr w:type="spellStart"/>
      <w:r w:rsidRPr="007E5AE0">
        <w:rPr>
          <w:rFonts w:ascii="Arial" w:hAnsi="Arial" w:cs="Arial"/>
          <w:sz w:val="22"/>
          <w:szCs w:val="22"/>
        </w:rPr>
        <w:t>glycaemic</w:t>
      </w:r>
      <w:proofErr w:type="spellEnd"/>
      <w:r w:rsidRPr="007E5AE0">
        <w:rPr>
          <w:rFonts w:ascii="Arial" w:hAnsi="Arial" w:cs="Arial"/>
          <w:sz w:val="22"/>
          <w:szCs w:val="22"/>
        </w:rPr>
        <w:t xml:space="preserve"> control and </w:t>
      </w:r>
      <w:proofErr w:type="spellStart"/>
      <w:r w:rsidRPr="007E5AE0">
        <w:rPr>
          <w:rFonts w:ascii="Arial" w:hAnsi="Arial" w:cs="Arial"/>
          <w:sz w:val="22"/>
          <w:szCs w:val="22"/>
        </w:rPr>
        <w:t>behaviour</w:t>
      </w:r>
      <w:proofErr w:type="spellEnd"/>
      <w:r w:rsidRPr="007E5AE0">
        <w:rPr>
          <w:rFonts w:ascii="Arial" w:hAnsi="Arial" w:cs="Arial"/>
          <w:sz w:val="22"/>
          <w:szCs w:val="22"/>
        </w:rPr>
        <w:t xml:space="preserve"> change, the role of patient interaction, and usability, as well as the issues surrounding implementation, such as digital exclusion and workforce obstacles. These results present the fact that, although digital interventions show potential in self-management enhancement, their effectiveness is subject to their accessibility, incorporation into NHS processes, and individual guidance.</w:t>
      </w:r>
      <w:r>
        <w:rPr>
          <w:rFonts w:ascii="Arial" w:hAnsi="Arial" w:cs="Arial"/>
          <w:sz w:val="22"/>
          <w:szCs w:val="22"/>
        </w:rPr>
        <w:t xml:space="preserve"> </w:t>
      </w:r>
      <w:r w:rsidRPr="007E5AE0">
        <w:rPr>
          <w:rFonts w:ascii="Arial" w:hAnsi="Arial" w:cs="Arial"/>
          <w:sz w:val="22"/>
          <w:szCs w:val="22"/>
        </w:rPr>
        <w:t xml:space="preserve">In its response to the research question, the review points out that digital health interventions in the UK may be helpful, acceptable, and welcomed by a patient population, but there are still evidence gaps on the long-term efficacy, equity, and scalability of the intervention. The results from the clinical and policy rationale of strengthening digital self-management support, which should support future research, NHS practice, and health policy to </w:t>
      </w:r>
      <w:proofErr w:type="spellStart"/>
      <w:r w:rsidRPr="007E5AE0">
        <w:rPr>
          <w:rFonts w:ascii="Arial" w:hAnsi="Arial" w:cs="Arial"/>
          <w:sz w:val="22"/>
          <w:szCs w:val="22"/>
        </w:rPr>
        <w:t>maximise</w:t>
      </w:r>
      <w:proofErr w:type="spellEnd"/>
      <w:r w:rsidRPr="007E5AE0">
        <w:rPr>
          <w:rFonts w:ascii="Arial" w:hAnsi="Arial" w:cs="Arial"/>
          <w:sz w:val="22"/>
          <w:szCs w:val="22"/>
        </w:rPr>
        <w:t xml:space="preserve"> adult living with T2D in the UK.</w:t>
      </w:r>
    </w:p>
    <w:p w14:paraId="731DE33F" w14:textId="77777777" w:rsidR="003E6FA9" w:rsidRPr="007E5AE0" w:rsidRDefault="003E6FA9" w:rsidP="003E6FA9">
      <w:pPr>
        <w:pStyle w:val="Heading1"/>
        <w:spacing w:line="360" w:lineRule="auto"/>
        <w:jc w:val="both"/>
        <w:rPr>
          <w:rFonts w:cs="Arial"/>
        </w:rPr>
      </w:pPr>
      <w:bookmarkStart w:id="28" w:name="_Toc224734306"/>
      <w:r w:rsidRPr="007E5AE0">
        <w:rPr>
          <w:rFonts w:cs="Arial"/>
        </w:rPr>
        <w:t>Recommendations</w:t>
      </w:r>
      <w:bookmarkEnd w:id="28"/>
      <w:r w:rsidRPr="007E5AE0">
        <w:rPr>
          <w:rFonts w:cs="Arial"/>
        </w:rPr>
        <w:t xml:space="preserve"> </w:t>
      </w:r>
    </w:p>
    <w:p w14:paraId="5CA3CE9D"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 xml:space="preserve">In an effort to build evidence base, future studies ought to focus on UK-based qualitative research on patient and clinician experiences of digital self-management of type 2 diabetes (T2D) in primary care (Roberts et al., 2022). This is because such studies can unravel context-specific barriers and facilitators to engagement. Moreover, the long-term effectiveness of digital interventions, such as the sustained </w:t>
      </w:r>
      <w:proofErr w:type="spellStart"/>
      <w:r w:rsidRPr="007E5AE0">
        <w:rPr>
          <w:rFonts w:ascii="Arial" w:hAnsi="Arial" w:cs="Arial"/>
          <w:sz w:val="22"/>
          <w:szCs w:val="22"/>
        </w:rPr>
        <w:t>behaviour</w:t>
      </w:r>
      <w:proofErr w:type="spellEnd"/>
      <w:r w:rsidRPr="007E5AE0">
        <w:rPr>
          <w:rFonts w:ascii="Arial" w:hAnsi="Arial" w:cs="Arial"/>
          <w:sz w:val="22"/>
          <w:szCs w:val="22"/>
        </w:rPr>
        <w:t xml:space="preserve"> change, </w:t>
      </w:r>
      <w:proofErr w:type="spellStart"/>
      <w:r w:rsidRPr="007E5AE0">
        <w:rPr>
          <w:rFonts w:ascii="Arial" w:hAnsi="Arial" w:cs="Arial"/>
          <w:sz w:val="22"/>
          <w:szCs w:val="22"/>
        </w:rPr>
        <w:t>glycaemic</w:t>
      </w:r>
      <w:proofErr w:type="spellEnd"/>
      <w:r w:rsidRPr="007E5AE0">
        <w:rPr>
          <w:rFonts w:ascii="Arial" w:hAnsi="Arial" w:cs="Arial"/>
          <w:sz w:val="22"/>
          <w:szCs w:val="22"/>
        </w:rPr>
        <w:t xml:space="preserve"> control, and adherence over multiple years</w:t>
      </w:r>
      <w:r>
        <w:rPr>
          <w:rFonts w:ascii="Arial" w:hAnsi="Arial" w:cs="Arial"/>
          <w:sz w:val="22"/>
          <w:szCs w:val="22"/>
        </w:rPr>
        <w:t xml:space="preserve"> (</w:t>
      </w:r>
      <w:r w:rsidRPr="007E5AE0">
        <w:rPr>
          <w:rFonts w:ascii="Arial" w:hAnsi="Arial" w:cs="Arial"/>
          <w:sz w:val="22"/>
          <w:szCs w:val="22"/>
        </w:rPr>
        <w:t>Smith et al., 2021</w:t>
      </w:r>
      <w:r>
        <w:rPr>
          <w:rFonts w:ascii="Arial" w:hAnsi="Arial" w:cs="Arial"/>
          <w:sz w:val="22"/>
          <w:szCs w:val="22"/>
        </w:rPr>
        <w:t>)</w:t>
      </w:r>
      <w:r w:rsidRPr="007E5AE0">
        <w:rPr>
          <w:rFonts w:ascii="Arial" w:hAnsi="Arial" w:cs="Arial"/>
          <w:sz w:val="22"/>
          <w:szCs w:val="22"/>
        </w:rPr>
        <w:t>, needs a considerable amount of attention to fill the gaps in the current body of knowledge that lack a durable and multifaceted impact of digital interventions.</w:t>
      </w:r>
    </w:p>
    <w:p w14:paraId="133A3813" w14:textId="77777777" w:rsidR="003E6FA9" w:rsidRPr="007E5AE0" w:rsidRDefault="003E6FA9" w:rsidP="003E6FA9">
      <w:pPr>
        <w:pStyle w:val="Heading2"/>
        <w:spacing w:line="360" w:lineRule="auto"/>
        <w:jc w:val="both"/>
        <w:rPr>
          <w:rFonts w:cs="Arial"/>
        </w:rPr>
      </w:pPr>
      <w:bookmarkStart w:id="29" w:name="_Toc224734307"/>
      <w:r w:rsidRPr="007E5AE0">
        <w:rPr>
          <w:rFonts w:cs="Arial"/>
        </w:rPr>
        <w:lastRenderedPageBreak/>
        <w:t>Policy Recommendations</w:t>
      </w:r>
      <w:bookmarkEnd w:id="29"/>
    </w:p>
    <w:p w14:paraId="3B85FEFA"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Policymakers need to come up with measures to decrease the digital gap in order to get equal access to digital technology and digital literacy provisions to socioeconomically less advantaged or to the digitally underserved group (Bennett et al., 2021). Simultaneously, NHS adaptation of digital self-management tools necessitates an improvement in terms of adhering to the national guidelines</w:t>
      </w:r>
      <w:r>
        <w:rPr>
          <w:rFonts w:ascii="Arial" w:hAnsi="Arial" w:cs="Arial"/>
          <w:sz w:val="22"/>
          <w:szCs w:val="22"/>
        </w:rPr>
        <w:t xml:space="preserve"> (</w:t>
      </w:r>
      <w:r w:rsidRPr="007E5AE0">
        <w:rPr>
          <w:rFonts w:ascii="Arial" w:hAnsi="Arial" w:cs="Arial"/>
          <w:sz w:val="22"/>
          <w:szCs w:val="22"/>
        </w:rPr>
        <w:t>NHS England, 2021</w:t>
      </w:r>
      <w:r>
        <w:rPr>
          <w:rFonts w:ascii="Arial" w:hAnsi="Arial" w:cs="Arial"/>
          <w:sz w:val="22"/>
          <w:szCs w:val="22"/>
        </w:rPr>
        <w:t>)</w:t>
      </w:r>
      <w:r w:rsidRPr="007E5AE0">
        <w:rPr>
          <w:rFonts w:ascii="Arial" w:hAnsi="Arial" w:cs="Arial"/>
          <w:sz w:val="22"/>
          <w:szCs w:val="22"/>
        </w:rPr>
        <w:t xml:space="preserve">, </w:t>
      </w:r>
      <w:proofErr w:type="spellStart"/>
      <w:r w:rsidRPr="007E5AE0">
        <w:rPr>
          <w:rFonts w:ascii="Arial" w:hAnsi="Arial" w:cs="Arial"/>
          <w:sz w:val="22"/>
          <w:szCs w:val="22"/>
        </w:rPr>
        <w:t>rationalising</w:t>
      </w:r>
      <w:proofErr w:type="spellEnd"/>
      <w:r w:rsidRPr="007E5AE0">
        <w:rPr>
          <w:rFonts w:ascii="Arial" w:hAnsi="Arial" w:cs="Arial"/>
          <w:sz w:val="22"/>
          <w:szCs w:val="22"/>
        </w:rPr>
        <w:t xml:space="preserve"> the workflow, and facilitating their interoperability with the electronic health records and supporting patient-</w:t>
      </w:r>
      <w:proofErr w:type="spellStart"/>
      <w:r w:rsidRPr="007E5AE0">
        <w:rPr>
          <w:rFonts w:ascii="Arial" w:hAnsi="Arial" w:cs="Arial"/>
          <w:sz w:val="22"/>
          <w:szCs w:val="22"/>
        </w:rPr>
        <w:t>centred</w:t>
      </w:r>
      <w:proofErr w:type="spellEnd"/>
      <w:r w:rsidRPr="007E5AE0">
        <w:rPr>
          <w:rFonts w:ascii="Arial" w:hAnsi="Arial" w:cs="Arial"/>
          <w:sz w:val="22"/>
          <w:szCs w:val="22"/>
        </w:rPr>
        <w:t xml:space="preserve"> and efficient service delivery (Jones et al., 2020).</w:t>
      </w:r>
    </w:p>
    <w:p w14:paraId="1E93A100" w14:textId="77777777" w:rsidR="003E6FA9" w:rsidRPr="007E5AE0" w:rsidRDefault="003E6FA9" w:rsidP="003E6FA9">
      <w:pPr>
        <w:pStyle w:val="Heading2"/>
        <w:spacing w:line="360" w:lineRule="auto"/>
        <w:jc w:val="both"/>
        <w:rPr>
          <w:rFonts w:cs="Arial"/>
        </w:rPr>
      </w:pPr>
      <w:bookmarkStart w:id="30" w:name="_Toc224734308"/>
      <w:r w:rsidRPr="007E5AE0">
        <w:rPr>
          <w:rFonts w:cs="Arial"/>
        </w:rPr>
        <w:t>Practice Recommendations</w:t>
      </w:r>
      <w:bookmarkEnd w:id="30"/>
    </w:p>
    <w:p w14:paraId="20945139" w14:textId="77777777" w:rsidR="003E6FA9" w:rsidRPr="007E5AE0" w:rsidRDefault="003E6FA9" w:rsidP="003E6FA9">
      <w:pPr>
        <w:spacing w:line="360" w:lineRule="auto"/>
        <w:ind w:firstLine="720"/>
        <w:jc w:val="both"/>
        <w:rPr>
          <w:rFonts w:ascii="Arial" w:hAnsi="Arial" w:cs="Arial"/>
          <w:sz w:val="22"/>
          <w:szCs w:val="22"/>
        </w:rPr>
      </w:pPr>
      <w:r w:rsidRPr="007E5AE0">
        <w:rPr>
          <w:rFonts w:ascii="Arial" w:hAnsi="Arial" w:cs="Arial"/>
          <w:sz w:val="22"/>
          <w:szCs w:val="22"/>
        </w:rPr>
        <w:t>Structured implementation of digital interventions training should be provided to healthcare professionals, which includes technical functionality, providing patient coaching, and digital data interpretation to ensure its maximum acceptance and clinical contribution (Patel and Kumar, 2019). Several other strategies can be implemented too, such as in-person goal-setting, calling on motivational prompts, and collaborative self-management planning, which have proven to be a practical measure that positively affects usability, adherence, and patient satisfaction and should be implemented by primary care teams (Roberts et al., 2022).</w:t>
      </w:r>
      <w:r>
        <w:rPr>
          <w:rFonts w:ascii="Arial" w:hAnsi="Arial" w:cs="Arial"/>
          <w:sz w:val="22"/>
          <w:szCs w:val="22"/>
        </w:rPr>
        <w:t xml:space="preserve"> </w:t>
      </w:r>
      <w:r w:rsidRPr="007E5AE0">
        <w:rPr>
          <w:rFonts w:ascii="Arial" w:hAnsi="Arial" w:cs="Arial"/>
          <w:sz w:val="22"/>
          <w:szCs w:val="22"/>
        </w:rPr>
        <w:t>Taken together, these suggestions are implementable on the research, policy, and practice levels and fill the evidence gaps, facilitate equity</w:t>
      </w:r>
      <w:r>
        <w:rPr>
          <w:rFonts w:ascii="Arial" w:hAnsi="Arial" w:cs="Arial"/>
          <w:sz w:val="22"/>
          <w:szCs w:val="22"/>
        </w:rPr>
        <w:t xml:space="preserve"> (</w:t>
      </w:r>
      <w:r w:rsidRPr="007E5AE0">
        <w:rPr>
          <w:rFonts w:ascii="Arial" w:hAnsi="Arial" w:cs="Arial"/>
          <w:sz w:val="22"/>
          <w:szCs w:val="22"/>
        </w:rPr>
        <w:t>Smith et al., 2021</w:t>
      </w:r>
      <w:r>
        <w:rPr>
          <w:rFonts w:ascii="Arial" w:hAnsi="Arial" w:cs="Arial"/>
          <w:sz w:val="22"/>
          <w:szCs w:val="22"/>
        </w:rPr>
        <w:t>)</w:t>
      </w:r>
      <w:r w:rsidRPr="007E5AE0">
        <w:rPr>
          <w:rFonts w:ascii="Arial" w:hAnsi="Arial" w:cs="Arial"/>
          <w:sz w:val="22"/>
          <w:szCs w:val="22"/>
        </w:rPr>
        <w:t xml:space="preserve">, and </w:t>
      </w:r>
      <w:proofErr w:type="spellStart"/>
      <w:r w:rsidRPr="007E5AE0">
        <w:rPr>
          <w:rFonts w:ascii="Arial" w:hAnsi="Arial" w:cs="Arial"/>
          <w:sz w:val="22"/>
          <w:szCs w:val="22"/>
        </w:rPr>
        <w:t>maximise</w:t>
      </w:r>
      <w:proofErr w:type="spellEnd"/>
      <w:r w:rsidRPr="007E5AE0">
        <w:rPr>
          <w:rFonts w:ascii="Arial" w:hAnsi="Arial" w:cs="Arial"/>
          <w:sz w:val="22"/>
          <w:szCs w:val="22"/>
        </w:rPr>
        <w:t xml:space="preserve"> digital T2D self-management implementation in the UK primary care.</w:t>
      </w:r>
    </w:p>
    <w:p w14:paraId="2F304089" w14:textId="77777777" w:rsidR="00E522AD" w:rsidRDefault="00E522AD">
      <w:pPr>
        <w:rPr>
          <w:rFonts w:ascii="Times New Roman" w:eastAsiaTheme="majorEastAsia" w:hAnsi="Times New Roman" w:cstheme="majorBidi"/>
          <w:b/>
          <w:color w:val="000000" w:themeColor="text1"/>
          <w:szCs w:val="40"/>
        </w:rPr>
      </w:pPr>
      <w:r>
        <w:br w:type="page"/>
      </w:r>
    </w:p>
    <w:p w14:paraId="0E3057BE" w14:textId="76A83CC5" w:rsidR="00940197" w:rsidRDefault="00E522AD" w:rsidP="00E522AD">
      <w:pPr>
        <w:pStyle w:val="Heading1"/>
        <w:spacing w:line="360" w:lineRule="auto"/>
      </w:pPr>
      <w:bookmarkStart w:id="31" w:name="_Toc224734309"/>
      <w:r>
        <w:lastRenderedPageBreak/>
        <w:t>References</w:t>
      </w:r>
      <w:bookmarkEnd w:id="31"/>
    </w:p>
    <w:p w14:paraId="49777D43" w14:textId="778505D3" w:rsidR="005E7699" w:rsidRPr="00A7198F" w:rsidRDefault="005E7699" w:rsidP="003E6FA9">
      <w:pPr>
        <w:spacing w:line="360" w:lineRule="auto"/>
        <w:ind w:left="720" w:hanging="720"/>
        <w:jc w:val="both"/>
        <w:rPr>
          <w:rFonts w:ascii="Arial" w:hAnsi="Arial" w:cs="Arial"/>
          <w:sz w:val="22"/>
          <w:szCs w:val="22"/>
        </w:rPr>
      </w:pPr>
      <w:r w:rsidRPr="00A7198F">
        <w:rPr>
          <w:rFonts w:ascii="Arial" w:hAnsi="Arial" w:cs="Arial"/>
          <w:sz w:val="22"/>
          <w:szCs w:val="22"/>
        </w:rPr>
        <w:t xml:space="preserve">Ahmed, R., Thompson, L. and Singh, P. (2023) ‘Remote monitoring interventions for type 2 diabetes in UK primary care: patient perspectives’, </w:t>
      </w:r>
      <w:r w:rsidRPr="00A7198F">
        <w:rPr>
          <w:rFonts w:ascii="Arial" w:hAnsi="Arial" w:cs="Arial"/>
          <w:i/>
          <w:iCs/>
          <w:sz w:val="22"/>
          <w:szCs w:val="22"/>
        </w:rPr>
        <w:t>Journal of Diabetes Care</w:t>
      </w:r>
      <w:r w:rsidRPr="00A7198F">
        <w:rPr>
          <w:rFonts w:ascii="Arial" w:hAnsi="Arial" w:cs="Arial"/>
          <w:sz w:val="22"/>
          <w:szCs w:val="22"/>
        </w:rPr>
        <w:t>, 46(4), pp. 325–334.</w:t>
      </w:r>
      <w:r w:rsidRPr="005E7699">
        <w:rPr>
          <w:rFonts w:ascii="Arial" w:hAnsi="Arial" w:cs="Arial"/>
          <w:sz w:val="22"/>
          <w:szCs w:val="22"/>
        </w:rPr>
        <w:t xml:space="preserve"> DOI: </w:t>
      </w:r>
      <w:hyperlink r:id="rId8" w:history="1">
        <w:r w:rsidRPr="009632E1">
          <w:rPr>
            <w:rStyle w:val="Hyperlink"/>
            <w:rFonts w:ascii="Arial" w:hAnsi="Arial" w:cs="Arial"/>
            <w:sz w:val="22"/>
            <w:szCs w:val="22"/>
          </w:rPr>
          <w:t>https://doi.org/10.3233/SHTI231276</w:t>
        </w:r>
      </w:hyperlink>
      <w:r>
        <w:rPr>
          <w:rFonts w:ascii="Arial" w:hAnsi="Arial" w:cs="Arial"/>
          <w:sz w:val="22"/>
          <w:szCs w:val="22"/>
        </w:rPr>
        <w:t xml:space="preserve"> </w:t>
      </w:r>
      <w:r w:rsidRPr="005E7699">
        <w:rPr>
          <w:rFonts w:ascii="Arial" w:hAnsi="Arial" w:cs="Arial"/>
          <w:sz w:val="22"/>
          <w:szCs w:val="22"/>
        </w:rPr>
        <w:t>[Accessed: 18 Mar. 2026].</w:t>
      </w:r>
    </w:p>
    <w:p w14:paraId="080D4B3C" w14:textId="77777777" w:rsidR="005E7699" w:rsidRPr="00A7198F" w:rsidRDefault="005E7699" w:rsidP="00650F6C">
      <w:pPr>
        <w:spacing w:line="360" w:lineRule="auto"/>
        <w:ind w:left="720" w:hanging="720"/>
        <w:jc w:val="both"/>
        <w:rPr>
          <w:rFonts w:ascii="Arial" w:hAnsi="Arial" w:cs="Arial"/>
          <w:sz w:val="22"/>
          <w:szCs w:val="22"/>
        </w:rPr>
      </w:pPr>
      <w:r w:rsidRPr="00A7198F">
        <w:rPr>
          <w:rFonts w:ascii="Arial" w:hAnsi="Arial" w:cs="Arial"/>
          <w:sz w:val="22"/>
          <w:szCs w:val="22"/>
        </w:rPr>
        <w:t xml:space="preserve">Arksey, H. and O’Malley, L. (2005) ‘Scoping studies: towards a methodological framework’, </w:t>
      </w:r>
      <w:r w:rsidRPr="00A7198F">
        <w:rPr>
          <w:rFonts w:ascii="Arial" w:hAnsi="Arial" w:cs="Arial"/>
          <w:i/>
          <w:iCs/>
          <w:sz w:val="22"/>
          <w:szCs w:val="22"/>
        </w:rPr>
        <w:t>International Journal of Social Research Methodology</w:t>
      </w:r>
      <w:r w:rsidRPr="00A7198F">
        <w:rPr>
          <w:rFonts w:ascii="Arial" w:hAnsi="Arial" w:cs="Arial"/>
          <w:sz w:val="22"/>
          <w:szCs w:val="22"/>
        </w:rPr>
        <w:t>, 8(1), pp. 19–32.</w:t>
      </w:r>
      <w:r w:rsidRPr="005E7699">
        <w:rPr>
          <w:rFonts w:ascii="Arial" w:hAnsi="Arial" w:cs="Arial"/>
          <w:sz w:val="22"/>
          <w:szCs w:val="22"/>
        </w:rPr>
        <w:t xml:space="preserve"> DOI: </w:t>
      </w:r>
      <w:hyperlink r:id="rId9" w:history="1">
        <w:r w:rsidRPr="005E7699">
          <w:rPr>
            <w:rStyle w:val="Hyperlink"/>
            <w:rFonts w:ascii="Arial" w:hAnsi="Arial" w:cs="Arial"/>
            <w:sz w:val="22"/>
            <w:szCs w:val="22"/>
          </w:rPr>
          <w:t>https://doi.org/10.1080/1364557032000119616</w:t>
        </w:r>
      </w:hyperlink>
      <w:r w:rsidRPr="005E7699">
        <w:rPr>
          <w:rFonts w:ascii="Arial" w:hAnsi="Arial" w:cs="Arial"/>
          <w:sz w:val="22"/>
          <w:szCs w:val="22"/>
        </w:rPr>
        <w:t xml:space="preserve"> [Accessed: 18 Mar. 2026].</w:t>
      </w:r>
    </w:p>
    <w:p w14:paraId="010BF2C0" w14:textId="77777777" w:rsidR="005E7699" w:rsidRPr="00A7198F" w:rsidRDefault="005E7699" w:rsidP="00650F6C">
      <w:pPr>
        <w:spacing w:line="360" w:lineRule="auto"/>
        <w:ind w:left="720" w:hanging="720"/>
        <w:jc w:val="both"/>
        <w:rPr>
          <w:rFonts w:ascii="Arial" w:hAnsi="Arial" w:cs="Arial"/>
          <w:sz w:val="22"/>
          <w:szCs w:val="22"/>
        </w:rPr>
      </w:pPr>
      <w:r w:rsidRPr="00A7198F">
        <w:rPr>
          <w:rFonts w:ascii="Arial" w:hAnsi="Arial" w:cs="Arial"/>
          <w:sz w:val="22"/>
          <w:szCs w:val="22"/>
        </w:rPr>
        <w:t>Aveyard, H. (2014)</w:t>
      </w:r>
      <w:r w:rsidRPr="005E7699">
        <w:rPr>
          <w:rFonts w:ascii="Arial" w:hAnsi="Arial" w:cs="Arial"/>
          <w:sz w:val="22"/>
          <w:szCs w:val="22"/>
        </w:rPr>
        <w:t>.</w:t>
      </w:r>
      <w:r w:rsidRPr="00A7198F">
        <w:rPr>
          <w:rFonts w:ascii="Arial" w:hAnsi="Arial" w:cs="Arial"/>
          <w:sz w:val="22"/>
          <w:szCs w:val="22"/>
        </w:rPr>
        <w:t xml:space="preserve"> </w:t>
      </w:r>
      <w:r w:rsidRPr="00A7198F">
        <w:rPr>
          <w:rFonts w:ascii="Arial" w:hAnsi="Arial" w:cs="Arial"/>
          <w:i/>
          <w:iCs/>
          <w:sz w:val="22"/>
          <w:szCs w:val="22"/>
        </w:rPr>
        <w:t>Doing a Literature Review in Health and Social Care: A Practical Guide</w:t>
      </w:r>
      <w:r w:rsidRPr="00A7198F">
        <w:rPr>
          <w:rFonts w:ascii="Arial" w:hAnsi="Arial" w:cs="Arial"/>
          <w:sz w:val="22"/>
          <w:szCs w:val="22"/>
        </w:rPr>
        <w:t xml:space="preserve">, 3rd </w:t>
      </w:r>
      <w:proofErr w:type="spellStart"/>
      <w:r w:rsidRPr="00A7198F">
        <w:rPr>
          <w:rFonts w:ascii="Arial" w:hAnsi="Arial" w:cs="Arial"/>
          <w:sz w:val="22"/>
          <w:szCs w:val="22"/>
        </w:rPr>
        <w:t>edn</w:t>
      </w:r>
      <w:proofErr w:type="spellEnd"/>
      <w:r w:rsidRPr="00A7198F">
        <w:rPr>
          <w:rFonts w:ascii="Arial" w:hAnsi="Arial" w:cs="Arial"/>
          <w:sz w:val="22"/>
          <w:szCs w:val="22"/>
        </w:rPr>
        <w:t>. Maidenhead: Open University Press.</w:t>
      </w:r>
      <w:r w:rsidRPr="005E7699">
        <w:rPr>
          <w:rFonts w:ascii="Arial" w:hAnsi="Arial" w:cs="Arial"/>
          <w:sz w:val="22"/>
          <w:szCs w:val="22"/>
        </w:rPr>
        <w:t xml:space="preserve"> </w:t>
      </w:r>
      <w:hyperlink r:id="rId10" w:history="1">
        <w:r w:rsidRPr="005E7699">
          <w:rPr>
            <w:rStyle w:val="Hyperlink"/>
            <w:rFonts w:ascii="Arial" w:hAnsi="Arial" w:cs="Arial"/>
            <w:sz w:val="22"/>
            <w:szCs w:val="22"/>
          </w:rPr>
          <w:t>https://ebookcentral.proquest.com/lib/gla/detail.action?docID=6212137</w:t>
        </w:r>
      </w:hyperlink>
      <w:r w:rsidRPr="005E7699">
        <w:rPr>
          <w:rFonts w:ascii="Arial" w:hAnsi="Arial" w:cs="Arial"/>
          <w:sz w:val="22"/>
          <w:szCs w:val="22"/>
        </w:rPr>
        <w:t xml:space="preserve"> [Accessed: 18 Mar. 2026].</w:t>
      </w:r>
    </w:p>
    <w:p w14:paraId="426C5AD5"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Barlow, J., Wright, C., Sheasby, J., Turner, A. and Hainsworth, J. (2022) ‘Self-management approaches for people with chronic conditions: a review’, </w:t>
      </w:r>
      <w:r w:rsidRPr="006D2E0C">
        <w:rPr>
          <w:rFonts w:ascii="Arial" w:hAnsi="Arial" w:cs="Arial"/>
          <w:i/>
          <w:iCs/>
          <w:sz w:val="22"/>
          <w:szCs w:val="22"/>
        </w:rPr>
        <w:t>Patient Education and Counseling</w:t>
      </w:r>
      <w:r w:rsidRPr="006D2E0C">
        <w:rPr>
          <w:rFonts w:ascii="Arial" w:hAnsi="Arial" w:cs="Arial"/>
          <w:sz w:val="22"/>
          <w:szCs w:val="22"/>
        </w:rPr>
        <w:t>, 105(4), pp. 1045–1053.</w:t>
      </w:r>
      <w:r w:rsidRPr="005E7699">
        <w:rPr>
          <w:rFonts w:ascii="Arial" w:hAnsi="Arial" w:cs="Arial"/>
          <w:sz w:val="22"/>
          <w:szCs w:val="22"/>
        </w:rPr>
        <w:t xml:space="preserve"> DOI: </w:t>
      </w:r>
      <w:hyperlink r:id="rId11" w:history="1">
        <w:r w:rsidRPr="005E7699">
          <w:rPr>
            <w:rStyle w:val="Hyperlink"/>
            <w:rFonts w:ascii="Arial" w:hAnsi="Arial" w:cs="Arial"/>
            <w:sz w:val="22"/>
            <w:szCs w:val="22"/>
          </w:rPr>
          <w:t>https://doi.org/10.1016/S0738-3991(02)00032-0</w:t>
        </w:r>
      </w:hyperlink>
      <w:r w:rsidRPr="005E7699">
        <w:rPr>
          <w:rFonts w:ascii="Arial" w:hAnsi="Arial" w:cs="Arial"/>
          <w:sz w:val="22"/>
          <w:szCs w:val="22"/>
        </w:rPr>
        <w:t xml:space="preserve"> [Accessed: 18 Mar. 2026].</w:t>
      </w:r>
    </w:p>
    <w:p w14:paraId="51E5883A" w14:textId="77777777" w:rsidR="005E7699" w:rsidRPr="00BB5868" w:rsidRDefault="005E7699" w:rsidP="003E6FA9">
      <w:pPr>
        <w:spacing w:line="360" w:lineRule="auto"/>
        <w:ind w:left="720" w:hanging="720"/>
        <w:jc w:val="both"/>
        <w:rPr>
          <w:rFonts w:ascii="Arial" w:hAnsi="Arial" w:cs="Arial"/>
          <w:sz w:val="22"/>
          <w:szCs w:val="22"/>
        </w:rPr>
      </w:pPr>
      <w:r w:rsidRPr="00BB5868">
        <w:rPr>
          <w:rFonts w:ascii="Arial" w:hAnsi="Arial" w:cs="Arial"/>
          <w:sz w:val="22"/>
          <w:szCs w:val="22"/>
        </w:rPr>
        <w:t xml:space="preserve">Bennett, H., O’Connor, S. and McCarthy, G. (2021) ‘Digital health adoption in chronic disease management: challenges and strategies’, </w:t>
      </w:r>
      <w:r w:rsidRPr="00BB5868">
        <w:rPr>
          <w:rFonts w:ascii="Arial" w:hAnsi="Arial" w:cs="Arial"/>
          <w:i/>
          <w:iCs/>
          <w:sz w:val="22"/>
          <w:szCs w:val="22"/>
        </w:rPr>
        <w:t>Journal of Medical Internet Research</w:t>
      </w:r>
      <w:r w:rsidRPr="00BB5868">
        <w:rPr>
          <w:rFonts w:ascii="Arial" w:hAnsi="Arial" w:cs="Arial"/>
          <w:sz w:val="22"/>
          <w:szCs w:val="22"/>
        </w:rPr>
        <w:t>, 23(10), e28514.</w:t>
      </w:r>
      <w:r w:rsidRPr="005E7699">
        <w:rPr>
          <w:rFonts w:ascii="Arial" w:hAnsi="Arial" w:cs="Arial"/>
          <w:sz w:val="22"/>
          <w:szCs w:val="22"/>
        </w:rPr>
        <w:t xml:space="preserve"> </w:t>
      </w:r>
      <w:hyperlink r:id="rId12" w:history="1">
        <w:r w:rsidRPr="005E7699">
          <w:rPr>
            <w:rStyle w:val="Hyperlink"/>
            <w:rFonts w:ascii="Arial" w:hAnsi="Arial" w:cs="Arial"/>
            <w:sz w:val="22"/>
            <w:szCs w:val="22"/>
          </w:rPr>
          <w:t>https://www.jmir.org/2021/10/e28514</w:t>
        </w:r>
      </w:hyperlink>
      <w:r w:rsidRPr="005E7699">
        <w:rPr>
          <w:rFonts w:ascii="Arial" w:hAnsi="Arial" w:cs="Arial"/>
          <w:sz w:val="22"/>
          <w:szCs w:val="22"/>
        </w:rPr>
        <w:t xml:space="preserve"> [Accessed: 18 Mar. 2026].</w:t>
      </w:r>
    </w:p>
    <w:p w14:paraId="6DA7FF1F"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Car, J., Koh, G.C.H., Foong, P.S. and Wang, C.J. (2020) ‘Digital health interventions for chronic disease management: a systematic review’, </w:t>
      </w:r>
      <w:r w:rsidRPr="006D2E0C">
        <w:rPr>
          <w:rFonts w:ascii="Arial" w:hAnsi="Arial" w:cs="Arial"/>
          <w:i/>
          <w:iCs/>
          <w:sz w:val="22"/>
          <w:szCs w:val="22"/>
        </w:rPr>
        <w:t>Journal of Medical Internet Research</w:t>
      </w:r>
      <w:r w:rsidRPr="006D2E0C">
        <w:rPr>
          <w:rFonts w:ascii="Arial" w:hAnsi="Arial" w:cs="Arial"/>
          <w:sz w:val="22"/>
          <w:szCs w:val="22"/>
        </w:rPr>
        <w:t>, 22(6), e16529.</w:t>
      </w:r>
      <w:r w:rsidRPr="005E7699">
        <w:rPr>
          <w:rFonts w:ascii="Arial" w:hAnsi="Arial" w:cs="Arial"/>
          <w:sz w:val="22"/>
          <w:szCs w:val="22"/>
        </w:rPr>
        <w:t xml:space="preserve"> DOI: </w:t>
      </w:r>
      <w:hyperlink r:id="rId13" w:history="1">
        <w:r w:rsidRPr="005E7699">
          <w:rPr>
            <w:rStyle w:val="Hyperlink"/>
            <w:rFonts w:ascii="Arial" w:hAnsi="Arial" w:cs="Arial"/>
            <w:sz w:val="22"/>
            <w:szCs w:val="22"/>
          </w:rPr>
          <w:t>https://doi.org/10.2196/16529</w:t>
        </w:r>
      </w:hyperlink>
      <w:r w:rsidRPr="005E7699">
        <w:rPr>
          <w:rFonts w:ascii="Arial" w:hAnsi="Arial" w:cs="Arial"/>
          <w:sz w:val="22"/>
          <w:szCs w:val="22"/>
        </w:rPr>
        <w:t xml:space="preserve"> [Accessed: 18 Mar. 2026].</w:t>
      </w:r>
    </w:p>
    <w:p w14:paraId="60F3313C"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Diabetes UK (2023) </w:t>
      </w:r>
      <w:r w:rsidRPr="006D2E0C">
        <w:rPr>
          <w:rFonts w:ascii="Arial" w:hAnsi="Arial" w:cs="Arial"/>
          <w:i/>
          <w:iCs/>
          <w:sz w:val="22"/>
          <w:szCs w:val="22"/>
        </w:rPr>
        <w:t>Diabetes prevalence 2023</w:t>
      </w:r>
      <w:r w:rsidRPr="006D2E0C">
        <w:rPr>
          <w:rFonts w:ascii="Arial" w:hAnsi="Arial" w:cs="Arial"/>
          <w:sz w:val="22"/>
          <w:szCs w:val="22"/>
        </w:rPr>
        <w:t>. London: Diabetes UK.</w:t>
      </w:r>
      <w:r w:rsidRPr="005E7699">
        <w:rPr>
          <w:rFonts w:ascii="Arial" w:hAnsi="Arial" w:cs="Arial"/>
          <w:sz w:val="22"/>
          <w:szCs w:val="22"/>
        </w:rPr>
        <w:t xml:space="preserve"> </w:t>
      </w:r>
      <w:hyperlink r:id="rId14" w:history="1">
        <w:r w:rsidRPr="005E7699">
          <w:rPr>
            <w:rStyle w:val="Hyperlink"/>
            <w:rFonts w:ascii="Arial" w:hAnsi="Arial" w:cs="Arial"/>
            <w:sz w:val="22"/>
            <w:szCs w:val="22"/>
          </w:rPr>
          <w:t>https://www.diabetes.org.uk/about_us/news/prevalence</w:t>
        </w:r>
        <w:r w:rsidRPr="005E7699">
          <w:rPr>
            <w:rStyle w:val="Hyperlink"/>
            <w:rFonts w:ascii="Arial" w:hAnsi="Arial" w:cs="Arial"/>
            <w:sz w:val="22"/>
            <w:szCs w:val="22"/>
          </w:rPr>
          <w:noBreakHyphen/>
          <w:t>2023</w:t>
        </w:r>
      </w:hyperlink>
      <w:r w:rsidRPr="005E7699">
        <w:rPr>
          <w:rFonts w:ascii="Arial" w:hAnsi="Arial" w:cs="Arial"/>
          <w:sz w:val="22"/>
          <w:szCs w:val="22"/>
        </w:rPr>
        <w:t xml:space="preserve"> [Accessed: 18 Mar. 2026].</w:t>
      </w:r>
    </w:p>
    <w:p w14:paraId="6CB4B711"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Greenhalgh, T., </w:t>
      </w:r>
      <w:proofErr w:type="spellStart"/>
      <w:r w:rsidRPr="006D2E0C">
        <w:rPr>
          <w:rFonts w:ascii="Arial" w:hAnsi="Arial" w:cs="Arial"/>
          <w:sz w:val="22"/>
          <w:szCs w:val="22"/>
        </w:rPr>
        <w:t>Wherton</w:t>
      </w:r>
      <w:proofErr w:type="spellEnd"/>
      <w:r w:rsidRPr="006D2E0C">
        <w:rPr>
          <w:rFonts w:ascii="Arial" w:hAnsi="Arial" w:cs="Arial"/>
          <w:sz w:val="22"/>
          <w:szCs w:val="22"/>
        </w:rPr>
        <w:t xml:space="preserve">, J., Papoutsi, C., Lynch, J., Hughes, G., A’Court, C., Hinder, S., Fahy, N. and Procter, R. (2020) ‘Beyond adoption: a new framework for </w:t>
      </w:r>
      <w:proofErr w:type="spellStart"/>
      <w:r w:rsidRPr="006D2E0C">
        <w:rPr>
          <w:rFonts w:ascii="Arial" w:hAnsi="Arial" w:cs="Arial"/>
          <w:sz w:val="22"/>
          <w:szCs w:val="22"/>
        </w:rPr>
        <w:t>theorising</w:t>
      </w:r>
      <w:proofErr w:type="spellEnd"/>
      <w:r w:rsidRPr="006D2E0C">
        <w:rPr>
          <w:rFonts w:ascii="Arial" w:hAnsi="Arial" w:cs="Arial"/>
          <w:sz w:val="22"/>
          <w:szCs w:val="22"/>
        </w:rPr>
        <w:t xml:space="preserve"> and evaluating non-adoption of digital health technologies’, </w:t>
      </w:r>
      <w:r w:rsidRPr="006D2E0C">
        <w:rPr>
          <w:rFonts w:ascii="Arial" w:hAnsi="Arial" w:cs="Arial"/>
          <w:i/>
          <w:iCs/>
          <w:sz w:val="22"/>
          <w:szCs w:val="22"/>
        </w:rPr>
        <w:t>Journal of Medical Internet Research</w:t>
      </w:r>
      <w:r w:rsidRPr="006D2E0C">
        <w:rPr>
          <w:rFonts w:ascii="Arial" w:hAnsi="Arial" w:cs="Arial"/>
          <w:sz w:val="22"/>
          <w:szCs w:val="22"/>
        </w:rPr>
        <w:t>, 22(1), e8775.</w:t>
      </w:r>
      <w:r w:rsidRPr="005E7699">
        <w:rPr>
          <w:rFonts w:ascii="Arial" w:hAnsi="Arial" w:cs="Arial"/>
          <w:sz w:val="22"/>
          <w:szCs w:val="22"/>
        </w:rPr>
        <w:t xml:space="preserve"> DOI: </w:t>
      </w:r>
      <w:hyperlink r:id="rId15" w:history="1">
        <w:r w:rsidRPr="005E7699">
          <w:rPr>
            <w:rStyle w:val="Hyperlink"/>
            <w:rFonts w:ascii="Arial" w:hAnsi="Arial" w:cs="Arial"/>
            <w:sz w:val="22"/>
            <w:szCs w:val="22"/>
          </w:rPr>
          <w:t>https://doi.org/10.2196/8775</w:t>
        </w:r>
      </w:hyperlink>
      <w:r w:rsidRPr="005E7699">
        <w:rPr>
          <w:rFonts w:ascii="Arial" w:hAnsi="Arial" w:cs="Arial"/>
          <w:sz w:val="22"/>
          <w:szCs w:val="22"/>
        </w:rPr>
        <w:t xml:space="preserve"> [Accessed: 18 Mar. 2026].</w:t>
      </w:r>
    </w:p>
    <w:p w14:paraId="6BDFF312" w14:textId="77777777" w:rsidR="005E7699" w:rsidRPr="00BB5868" w:rsidRDefault="005E7699" w:rsidP="003E6FA9">
      <w:pPr>
        <w:spacing w:line="360" w:lineRule="auto"/>
        <w:ind w:left="720" w:hanging="720"/>
        <w:jc w:val="both"/>
        <w:rPr>
          <w:rFonts w:ascii="Arial" w:hAnsi="Arial" w:cs="Arial"/>
          <w:sz w:val="22"/>
          <w:szCs w:val="22"/>
        </w:rPr>
      </w:pPr>
      <w:r w:rsidRPr="00BB5868">
        <w:rPr>
          <w:rFonts w:ascii="Arial" w:hAnsi="Arial" w:cs="Arial"/>
          <w:sz w:val="22"/>
          <w:szCs w:val="22"/>
        </w:rPr>
        <w:t xml:space="preserve">Greenwood, D.A., Gee, P.M., Fatkin, K.J. and Peeples, M. (2017) ‘A systematic review of reviews evaluating technology-enabled diabetes self-management education and support’, </w:t>
      </w:r>
      <w:r w:rsidRPr="00BB5868">
        <w:rPr>
          <w:rFonts w:ascii="Arial" w:hAnsi="Arial" w:cs="Arial"/>
          <w:i/>
          <w:iCs/>
          <w:sz w:val="22"/>
          <w:szCs w:val="22"/>
        </w:rPr>
        <w:lastRenderedPageBreak/>
        <w:t>Journal of Diabetes Science and Technology</w:t>
      </w:r>
      <w:r w:rsidRPr="00BB5868">
        <w:rPr>
          <w:rFonts w:ascii="Arial" w:hAnsi="Arial" w:cs="Arial"/>
          <w:sz w:val="22"/>
          <w:szCs w:val="22"/>
        </w:rPr>
        <w:t>, 11(5), pp. 1015–1027.</w:t>
      </w:r>
      <w:r w:rsidRPr="005E7699">
        <w:rPr>
          <w:rFonts w:ascii="Arial" w:hAnsi="Arial" w:cs="Arial"/>
          <w:sz w:val="22"/>
          <w:szCs w:val="22"/>
        </w:rPr>
        <w:t xml:space="preserve"> DOI: </w:t>
      </w:r>
      <w:hyperlink r:id="rId16" w:history="1">
        <w:r w:rsidRPr="005E7699">
          <w:rPr>
            <w:rStyle w:val="Hyperlink"/>
            <w:rFonts w:ascii="Arial" w:hAnsi="Arial" w:cs="Arial"/>
            <w:sz w:val="22"/>
            <w:szCs w:val="22"/>
          </w:rPr>
          <w:t>https://doi.org/10.1177/1932296817701869</w:t>
        </w:r>
      </w:hyperlink>
      <w:r w:rsidRPr="005E7699">
        <w:rPr>
          <w:rFonts w:ascii="Arial" w:hAnsi="Arial" w:cs="Arial"/>
          <w:sz w:val="22"/>
          <w:szCs w:val="22"/>
        </w:rPr>
        <w:t xml:space="preserve"> [Accessed: 18 Mar. 2026].</w:t>
      </w:r>
    </w:p>
    <w:p w14:paraId="097CE8F6" w14:textId="77777777" w:rsidR="005E7699" w:rsidRPr="00A7198F" w:rsidRDefault="005E7699" w:rsidP="00650F6C">
      <w:pPr>
        <w:spacing w:line="360" w:lineRule="auto"/>
        <w:ind w:left="720" w:hanging="720"/>
        <w:jc w:val="both"/>
        <w:rPr>
          <w:rFonts w:ascii="Arial" w:hAnsi="Arial" w:cs="Arial"/>
          <w:sz w:val="22"/>
          <w:szCs w:val="22"/>
        </w:rPr>
      </w:pPr>
      <w:r w:rsidRPr="00A7198F">
        <w:rPr>
          <w:rFonts w:ascii="Arial" w:hAnsi="Arial" w:cs="Arial"/>
          <w:sz w:val="22"/>
          <w:szCs w:val="22"/>
        </w:rPr>
        <w:t xml:space="preserve">Haddaway, N.R., Collins, A.M., Coughlin, D. and Kirk, S. (2020) ‘The role of Google Scholar in evidence reviews’, </w:t>
      </w:r>
      <w:r w:rsidRPr="00A7198F">
        <w:rPr>
          <w:rFonts w:ascii="Arial" w:hAnsi="Arial" w:cs="Arial"/>
          <w:i/>
          <w:iCs/>
          <w:sz w:val="22"/>
          <w:szCs w:val="22"/>
        </w:rPr>
        <w:t>Research Synthesis Methods</w:t>
      </w:r>
      <w:r w:rsidRPr="00A7198F">
        <w:rPr>
          <w:rFonts w:ascii="Arial" w:hAnsi="Arial" w:cs="Arial"/>
          <w:sz w:val="22"/>
          <w:szCs w:val="22"/>
        </w:rPr>
        <w:t>, 11(4), pp. 472–484.</w:t>
      </w:r>
      <w:r w:rsidRPr="005E7699">
        <w:rPr>
          <w:rFonts w:ascii="Arial" w:hAnsi="Arial" w:cs="Arial"/>
          <w:sz w:val="22"/>
          <w:szCs w:val="22"/>
        </w:rPr>
        <w:t xml:space="preserve"> DOI: </w:t>
      </w:r>
      <w:hyperlink r:id="rId17" w:history="1">
        <w:r w:rsidRPr="005E7699">
          <w:rPr>
            <w:rStyle w:val="Hyperlink"/>
            <w:rFonts w:ascii="Arial" w:hAnsi="Arial" w:cs="Arial"/>
            <w:sz w:val="22"/>
            <w:szCs w:val="22"/>
          </w:rPr>
          <w:t>https://doi.org/10.1002/jrsm.1419</w:t>
        </w:r>
      </w:hyperlink>
      <w:r w:rsidRPr="005E7699">
        <w:rPr>
          <w:rFonts w:ascii="Arial" w:hAnsi="Arial" w:cs="Arial"/>
          <w:sz w:val="22"/>
          <w:szCs w:val="22"/>
        </w:rPr>
        <w:t xml:space="preserve"> [Accessed: 18 Mar. 2026].</w:t>
      </w:r>
    </w:p>
    <w:p w14:paraId="1801DCBE" w14:textId="77777777" w:rsidR="005E7699" w:rsidRPr="00BB5868" w:rsidRDefault="005E7699" w:rsidP="003E6FA9">
      <w:pPr>
        <w:spacing w:line="360" w:lineRule="auto"/>
        <w:ind w:left="720" w:hanging="720"/>
        <w:jc w:val="both"/>
        <w:rPr>
          <w:rFonts w:ascii="Arial" w:hAnsi="Arial" w:cs="Arial"/>
          <w:sz w:val="22"/>
          <w:szCs w:val="22"/>
        </w:rPr>
      </w:pPr>
      <w:r w:rsidRPr="00BB5868">
        <w:rPr>
          <w:rFonts w:ascii="Arial" w:hAnsi="Arial" w:cs="Arial"/>
          <w:sz w:val="22"/>
          <w:szCs w:val="22"/>
        </w:rPr>
        <w:t xml:space="preserve">Hamine, S., Gerth-Guyette, E., Faulx, D., Green, B.B. and Ginsburg, A.S. (2015) ‘Impact of mHealth chronic disease management on treatment adherence and patient outcomes: a systematic review’, </w:t>
      </w:r>
      <w:r w:rsidRPr="00BB5868">
        <w:rPr>
          <w:rFonts w:ascii="Arial" w:hAnsi="Arial" w:cs="Arial"/>
          <w:i/>
          <w:iCs/>
          <w:sz w:val="22"/>
          <w:szCs w:val="22"/>
        </w:rPr>
        <w:t>Journal of Medical Internet Research</w:t>
      </w:r>
      <w:r w:rsidRPr="00BB5868">
        <w:rPr>
          <w:rFonts w:ascii="Arial" w:hAnsi="Arial" w:cs="Arial"/>
          <w:sz w:val="22"/>
          <w:szCs w:val="22"/>
        </w:rPr>
        <w:t>, 17(2), e52.</w:t>
      </w:r>
      <w:r w:rsidRPr="005E7699">
        <w:rPr>
          <w:rFonts w:ascii="Arial" w:hAnsi="Arial" w:cs="Arial"/>
          <w:sz w:val="22"/>
          <w:szCs w:val="22"/>
        </w:rPr>
        <w:t xml:space="preserve"> DOI: </w:t>
      </w:r>
      <w:hyperlink r:id="rId18" w:history="1">
        <w:r w:rsidRPr="005E7699">
          <w:rPr>
            <w:rStyle w:val="Hyperlink"/>
            <w:rFonts w:ascii="Arial" w:hAnsi="Arial" w:cs="Arial"/>
            <w:sz w:val="22"/>
            <w:szCs w:val="22"/>
          </w:rPr>
          <w:t>https://doi.org/10.2196/jmir.3951</w:t>
        </w:r>
      </w:hyperlink>
      <w:r w:rsidRPr="005E7699">
        <w:rPr>
          <w:rFonts w:ascii="Arial" w:hAnsi="Arial" w:cs="Arial"/>
          <w:sz w:val="22"/>
          <w:szCs w:val="22"/>
        </w:rPr>
        <w:t xml:space="preserve"> [Accessed: 18 Mar. 2026].</w:t>
      </w:r>
    </w:p>
    <w:p w14:paraId="1A7E216B"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Hex, N., Bartlett, C., Wright, D., Taylor, M. and Varley, D. (2022) ‘Estimating the current and future costs of Type 2 diabetes in the UK’, </w:t>
      </w:r>
      <w:r w:rsidRPr="006D2E0C">
        <w:rPr>
          <w:rFonts w:ascii="Arial" w:hAnsi="Arial" w:cs="Arial"/>
          <w:i/>
          <w:iCs/>
          <w:sz w:val="22"/>
          <w:szCs w:val="22"/>
        </w:rPr>
        <w:t>Diabetic Medicine</w:t>
      </w:r>
      <w:r w:rsidRPr="006D2E0C">
        <w:rPr>
          <w:rFonts w:ascii="Arial" w:hAnsi="Arial" w:cs="Arial"/>
          <w:sz w:val="22"/>
          <w:szCs w:val="22"/>
        </w:rPr>
        <w:t>, 39(1), e14732.</w:t>
      </w:r>
      <w:r w:rsidRPr="005E7699">
        <w:rPr>
          <w:rFonts w:ascii="Arial" w:hAnsi="Arial" w:cs="Arial"/>
          <w:sz w:val="22"/>
          <w:szCs w:val="22"/>
        </w:rPr>
        <w:t xml:space="preserve"> DOI: </w:t>
      </w:r>
      <w:hyperlink r:id="rId19" w:history="1">
        <w:r w:rsidRPr="005E7699">
          <w:rPr>
            <w:rStyle w:val="Hyperlink"/>
            <w:rFonts w:ascii="Arial" w:hAnsi="Arial" w:cs="Arial"/>
            <w:sz w:val="22"/>
            <w:szCs w:val="22"/>
          </w:rPr>
          <w:t>https://doi.org/10.1111/dme.14732</w:t>
        </w:r>
      </w:hyperlink>
      <w:r w:rsidRPr="005E7699">
        <w:rPr>
          <w:rFonts w:ascii="Arial" w:hAnsi="Arial" w:cs="Arial"/>
          <w:sz w:val="22"/>
          <w:szCs w:val="22"/>
        </w:rPr>
        <w:t xml:space="preserve"> [Accessed: 18 Mar. 2026].</w:t>
      </w:r>
    </w:p>
    <w:p w14:paraId="73D4C8C7" w14:textId="77777777" w:rsidR="005E7699" w:rsidRPr="00A7198F" w:rsidRDefault="005E7699" w:rsidP="003E6FA9">
      <w:pPr>
        <w:spacing w:line="360" w:lineRule="auto"/>
        <w:ind w:left="720" w:hanging="720"/>
        <w:jc w:val="both"/>
        <w:rPr>
          <w:rFonts w:ascii="Arial" w:hAnsi="Arial" w:cs="Arial"/>
          <w:sz w:val="22"/>
          <w:szCs w:val="22"/>
        </w:rPr>
      </w:pPr>
      <w:r w:rsidRPr="00A7198F">
        <w:rPr>
          <w:rFonts w:ascii="Arial" w:hAnsi="Arial" w:cs="Arial"/>
          <w:sz w:val="22"/>
          <w:szCs w:val="22"/>
        </w:rPr>
        <w:t xml:space="preserve">Jones, K., Williams, H. and Taylor, R. (2020) ‘Telehealth coaching for adults with type 2 diabetes in primary care: qualitative insights’, </w:t>
      </w:r>
      <w:r w:rsidRPr="00A7198F">
        <w:rPr>
          <w:rFonts w:ascii="Arial" w:hAnsi="Arial" w:cs="Arial"/>
          <w:i/>
          <w:iCs/>
          <w:sz w:val="22"/>
          <w:szCs w:val="22"/>
        </w:rPr>
        <w:t>BMC Health Services Research</w:t>
      </w:r>
      <w:r w:rsidRPr="00A7198F">
        <w:rPr>
          <w:rFonts w:ascii="Arial" w:hAnsi="Arial" w:cs="Arial"/>
          <w:sz w:val="22"/>
          <w:szCs w:val="22"/>
        </w:rPr>
        <w:t>, 20(1), p. 845.</w:t>
      </w:r>
      <w:r w:rsidRPr="005E7699">
        <w:rPr>
          <w:rFonts w:ascii="Arial" w:hAnsi="Arial" w:cs="Arial"/>
          <w:sz w:val="22"/>
          <w:szCs w:val="22"/>
        </w:rPr>
        <w:t xml:space="preserve"> DOI: </w:t>
      </w:r>
      <w:hyperlink r:id="rId20" w:history="1">
        <w:r w:rsidRPr="005E7699">
          <w:rPr>
            <w:rStyle w:val="Hyperlink"/>
            <w:rFonts w:ascii="Arial" w:hAnsi="Arial" w:cs="Arial"/>
            <w:sz w:val="22"/>
            <w:szCs w:val="22"/>
          </w:rPr>
          <w:t>https://doi.org/10.1186/s12913-020-05668-w</w:t>
        </w:r>
      </w:hyperlink>
      <w:r w:rsidRPr="005E7699">
        <w:rPr>
          <w:rFonts w:ascii="Arial" w:hAnsi="Arial" w:cs="Arial"/>
          <w:sz w:val="22"/>
          <w:szCs w:val="22"/>
        </w:rPr>
        <w:t xml:space="preserve"> [Accessed: 18 Mar. 2026].</w:t>
      </w:r>
    </w:p>
    <w:p w14:paraId="4527825D"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Marcolino, M.S., Oliveira, J.A.Q., D’Agostino, M., Ribeiro, A.L., </w:t>
      </w:r>
      <w:proofErr w:type="spellStart"/>
      <w:r w:rsidRPr="006D2E0C">
        <w:rPr>
          <w:rFonts w:ascii="Arial" w:hAnsi="Arial" w:cs="Arial"/>
          <w:sz w:val="22"/>
          <w:szCs w:val="22"/>
        </w:rPr>
        <w:t>Alkmim</w:t>
      </w:r>
      <w:proofErr w:type="spellEnd"/>
      <w:r w:rsidRPr="006D2E0C">
        <w:rPr>
          <w:rFonts w:ascii="Arial" w:hAnsi="Arial" w:cs="Arial"/>
          <w:sz w:val="22"/>
          <w:szCs w:val="22"/>
        </w:rPr>
        <w:t xml:space="preserve">, M.B.M. and Novillo-Ortiz, D. (2021) ‘The impact of mHealth interventions: systematic review of systematic reviews’, </w:t>
      </w:r>
      <w:r w:rsidRPr="006D2E0C">
        <w:rPr>
          <w:rFonts w:ascii="Arial" w:hAnsi="Arial" w:cs="Arial"/>
          <w:i/>
          <w:iCs/>
          <w:sz w:val="22"/>
          <w:szCs w:val="22"/>
        </w:rPr>
        <w:t xml:space="preserve">JMIR mHealth and </w:t>
      </w:r>
      <w:proofErr w:type="spellStart"/>
      <w:r w:rsidRPr="006D2E0C">
        <w:rPr>
          <w:rFonts w:ascii="Arial" w:hAnsi="Arial" w:cs="Arial"/>
          <w:i/>
          <w:iCs/>
          <w:sz w:val="22"/>
          <w:szCs w:val="22"/>
        </w:rPr>
        <w:t>uHealth</w:t>
      </w:r>
      <w:proofErr w:type="spellEnd"/>
      <w:r w:rsidRPr="006D2E0C">
        <w:rPr>
          <w:rFonts w:ascii="Arial" w:hAnsi="Arial" w:cs="Arial"/>
          <w:sz w:val="22"/>
          <w:szCs w:val="22"/>
        </w:rPr>
        <w:t>, 9(1), e23445.</w:t>
      </w:r>
      <w:r w:rsidRPr="005E7699">
        <w:rPr>
          <w:rFonts w:ascii="Arial" w:hAnsi="Arial" w:cs="Arial"/>
          <w:sz w:val="22"/>
          <w:szCs w:val="22"/>
        </w:rPr>
        <w:t xml:space="preserve"> DOI: </w:t>
      </w:r>
      <w:hyperlink r:id="rId21" w:history="1">
        <w:r w:rsidRPr="005E7699">
          <w:rPr>
            <w:rStyle w:val="Hyperlink"/>
            <w:rFonts w:ascii="Arial" w:hAnsi="Arial" w:cs="Arial"/>
            <w:sz w:val="22"/>
            <w:szCs w:val="22"/>
          </w:rPr>
          <w:t>https://doi.org/10.2196/23445</w:t>
        </w:r>
      </w:hyperlink>
      <w:r w:rsidRPr="005E7699">
        <w:rPr>
          <w:rFonts w:ascii="Arial" w:hAnsi="Arial" w:cs="Arial"/>
          <w:sz w:val="22"/>
          <w:szCs w:val="22"/>
        </w:rPr>
        <w:t xml:space="preserve"> [Accessed: 18 Mar. 2026].</w:t>
      </w:r>
    </w:p>
    <w:p w14:paraId="17C0FE3B" w14:textId="77777777" w:rsidR="005E7699" w:rsidRPr="00BB5868" w:rsidRDefault="005E7699" w:rsidP="003E6FA9">
      <w:pPr>
        <w:spacing w:line="360" w:lineRule="auto"/>
        <w:ind w:left="720" w:hanging="720"/>
        <w:jc w:val="both"/>
        <w:rPr>
          <w:rFonts w:ascii="Arial" w:hAnsi="Arial" w:cs="Arial"/>
          <w:sz w:val="22"/>
          <w:szCs w:val="22"/>
        </w:rPr>
      </w:pPr>
      <w:r w:rsidRPr="00BB5868">
        <w:rPr>
          <w:rFonts w:ascii="Arial" w:hAnsi="Arial" w:cs="Arial"/>
          <w:sz w:val="22"/>
          <w:szCs w:val="22"/>
        </w:rPr>
        <w:t>Michie, S., Atkins, L. and West, R. (2014)</w:t>
      </w:r>
      <w:r w:rsidRPr="005E7699">
        <w:rPr>
          <w:rFonts w:ascii="Arial" w:hAnsi="Arial" w:cs="Arial"/>
          <w:sz w:val="22"/>
          <w:szCs w:val="22"/>
        </w:rPr>
        <w:t>.</w:t>
      </w:r>
      <w:r w:rsidRPr="00BB5868">
        <w:rPr>
          <w:rFonts w:ascii="Arial" w:hAnsi="Arial" w:cs="Arial"/>
          <w:sz w:val="22"/>
          <w:szCs w:val="22"/>
        </w:rPr>
        <w:t xml:space="preserve"> </w:t>
      </w:r>
      <w:r w:rsidRPr="00BB5868">
        <w:rPr>
          <w:rFonts w:ascii="Arial" w:hAnsi="Arial" w:cs="Arial"/>
          <w:i/>
          <w:iCs/>
          <w:sz w:val="22"/>
          <w:szCs w:val="22"/>
        </w:rPr>
        <w:t xml:space="preserve">The </w:t>
      </w:r>
      <w:proofErr w:type="spellStart"/>
      <w:r w:rsidRPr="00BB5868">
        <w:rPr>
          <w:rFonts w:ascii="Arial" w:hAnsi="Arial" w:cs="Arial"/>
          <w:i/>
          <w:iCs/>
          <w:sz w:val="22"/>
          <w:szCs w:val="22"/>
        </w:rPr>
        <w:t>Behaviour</w:t>
      </w:r>
      <w:proofErr w:type="spellEnd"/>
      <w:r w:rsidRPr="00BB5868">
        <w:rPr>
          <w:rFonts w:ascii="Arial" w:hAnsi="Arial" w:cs="Arial"/>
          <w:i/>
          <w:iCs/>
          <w:sz w:val="22"/>
          <w:szCs w:val="22"/>
        </w:rPr>
        <w:t xml:space="preserve"> Change Wheel: A Guide to Designing Interventions</w:t>
      </w:r>
      <w:r w:rsidRPr="00BB5868">
        <w:rPr>
          <w:rFonts w:ascii="Arial" w:hAnsi="Arial" w:cs="Arial"/>
          <w:sz w:val="22"/>
          <w:szCs w:val="22"/>
        </w:rPr>
        <w:t>. London: Silverback Publishing.</w:t>
      </w:r>
      <w:r w:rsidRPr="005E7699">
        <w:rPr>
          <w:rFonts w:ascii="Arial" w:hAnsi="Arial" w:cs="Arial"/>
          <w:sz w:val="22"/>
          <w:szCs w:val="22"/>
        </w:rPr>
        <w:t xml:space="preserve"> </w:t>
      </w:r>
      <w:hyperlink r:id="rId22" w:history="1">
        <w:r w:rsidRPr="005E7699">
          <w:rPr>
            <w:rStyle w:val="Hyperlink"/>
            <w:rFonts w:ascii="Arial" w:hAnsi="Arial" w:cs="Arial"/>
            <w:sz w:val="22"/>
            <w:szCs w:val="22"/>
          </w:rPr>
          <w:t>https://www.behaviourchangewheel.com</w:t>
        </w:r>
      </w:hyperlink>
      <w:r w:rsidRPr="005E7699">
        <w:rPr>
          <w:rFonts w:ascii="Arial" w:hAnsi="Arial" w:cs="Arial"/>
          <w:sz w:val="22"/>
          <w:szCs w:val="22"/>
        </w:rPr>
        <w:t xml:space="preserve"> [Accessed: 18 Mar. 2026].</w:t>
      </w:r>
    </w:p>
    <w:p w14:paraId="61E5EC1B"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Michie, S., Yardley, L., West, R., Patrick, K. and Greaves, F. (2021) ‘Developing and evaluating digital interventions to promote </w:t>
      </w:r>
      <w:proofErr w:type="spellStart"/>
      <w:r w:rsidRPr="006D2E0C">
        <w:rPr>
          <w:rFonts w:ascii="Arial" w:hAnsi="Arial" w:cs="Arial"/>
          <w:sz w:val="22"/>
          <w:szCs w:val="22"/>
        </w:rPr>
        <w:t>behaviour</w:t>
      </w:r>
      <w:proofErr w:type="spellEnd"/>
      <w:r w:rsidRPr="006D2E0C">
        <w:rPr>
          <w:rFonts w:ascii="Arial" w:hAnsi="Arial" w:cs="Arial"/>
          <w:sz w:val="22"/>
          <w:szCs w:val="22"/>
        </w:rPr>
        <w:t xml:space="preserve"> change in health and healthcare’, </w:t>
      </w:r>
      <w:r w:rsidRPr="006D2E0C">
        <w:rPr>
          <w:rFonts w:ascii="Arial" w:hAnsi="Arial" w:cs="Arial"/>
          <w:i/>
          <w:iCs/>
          <w:sz w:val="22"/>
          <w:szCs w:val="22"/>
        </w:rPr>
        <w:t>Health Psychology Review</w:t>
      </w:r>
      <w:r w:rsidRPr="006D2E0C">
        <w:rPr>
          <w:rFonts w:ascii="Arial" w:hAnsi="Arial" w:cs="Arial"/>
          <w:sz w:val="22"/>
          <w:szCs w:val="22"/>
        </w:rPr>
        <w:t>, 15(2), pp. 1–18.</w:t>
      </w:r>
      <w:r w:rsidRPr="005E7699">
        <w:rPr>
          <w:rFonts w:ascii="Arial" w:hAnsi="Arial" w:cs="Arial"/>
          <w:sz w:val="22"/>
          <w:szCs w:val="22"/>
        </w:rPr>
        <w:t xml:space="preserve"> DOI: </w:t>
      </w:r>
      <w:hyperlink r:id="rId23" w:history="1">
        <w:r w:rsidRPr="005E7699">
          <w:rPr>
            <w:rStyle w:val="Hyperlink"/>
            <w:rFonts w:ascii="Arial" w:hAnsi="Arial" w:cs="Arial"/>
            <w:sz w:val="22"/>
            <w:szCs w:val="22"/>
          </w:rPr>
          <w:t>https://doi.org/10.1080/17437199.2019.1682945</w:t>
        </w:r>
      </w:hyperlink>
      <w:r w:rsidRPr="005E7699">
        <w:rPr>
          <w:rFonts w:ascii="Arial" w:hAnsi="Arial" w:cs="Arial"/>
          <w:sz w:val="22"/>
          <w:szCs w:val="22"/>
        </w:rPr>
        <w:t xml:space="preserve"> [Accessed: 18 Mar. 2026].</w:t>
      </w:r>
    </w:p>
    <w:p w14:paraId="4C9FBD5F" w14:textId="77777777" w:rsidR="005E7699" w:rsidRPr="00A7198F" w:rsidRDefault="005E7699" w:rsidP="00650F6C">
      <w:pPr>
        <w:spacing w:line="360" w:lineRule="auto"/>
        <w:ind w:left="720" w:hanging="720"/>
        <w:jc w:val="both"/>
        <w:rPr>
          <w:rFonts w:ascii="Arial" w:hAnsi="Arial" w:cs="Arial"/>
          <w:sz w:val="22"/>
          <w:szCs w:val="22"/>
        </w:rPr>
      </w:pPr>
      <w:r w:rsidRPr="00A7198F">
        <w:rPr>
          <w:rFonts w:ascii="Arial" w:hAnsi="Arial" w:cs="Arial"/>
          <w:sz w:val="22"/>
          <w:szCs w:val="22"/>
        </w:rPr>
        <w:t xml:space="preserve">Munn, Z., Peters, M.D.J., Stern, C., Tufanaru, C., McArthur, A. and </w:t>
      </w:r>
      <w:proofErr w:type="spellStart"/>
      <w:r w:rsidRPr="00A7198F">
        <w:rPr>
          <w:rFonts w:ascii="Arial" w:hAnsi="Arial" w:cs="Arial"/>
          <w:sz w:val="22"/>
          <w:szCs w:val="22"/>
        </w:rPr>
        <w:t>Aromataris</w:t>
      </w:r>
      <w:proofErr w:type="spellEnd"/>
      <w:r w:rsidRPr="00A7198F">
        <w:rPr>
          <w:rFonts w:ascii="Arial" w:hAnsi="Arial" w:cs="Arial"/>
          <w:sz w:val="22"/>
          <w:szCs w:val="22"/>
        </w:rPr>
        <w:t xml:space="preserve">, E. (2022) ‘Systematic review or scoping review? Guidance for </w:t>
      </w:r>
      <w:r w:rsidRPr="005E7699">
        <w:rPr>
          <w:rFonts w:ascii="Arial" w:hAnsi="Arial" w:cs="Arial"/>
          <w:sz w:val="22"/>
          <w:szCs w:val="22"/>
        </w:rPr>
        <w:t>authors</w:t>
      </w:r>
      <w:r w:rsidRPr="00A7198F">
        <w:rPr>
          <w:rFonts w:ascii="Arial" w:hAnsi="Arial" w:cs="Arial"/>
          <w:sz w:val="22"/>
          <w:szCs w:val="22"/>
        </w:rPr>
        <w:t xml:space="preserve">, </w:t>
      </w:r>
      <w:r w:rsidRPr="00A7198F">
        <w:rPr>
          <w:rFonts w:ascii="Arial" w:hAnsi="Arial" w:cs="Arial"/>
          <w:i/>
          <w:iCs/>
          <w:sz w:val="22"/>
          <w:szCs w:val="22"/>
        </w:rPr>
        <w:t>BMC Medical Research Methodology</w:t>
      </w:r>
      <w:r w:rsidRPr="00A7198F">
        <w:rPr>
          <w:rFonts w:ascii="Arial" w:hAnsi="Arial" w:cs="Arial"/>
          <w:sz w:val="22"/>
          <w:szCs w:val="22"/>
        </w:rPr>
        <w:t>, 22(1), p. 143.</w:t>
      </w:r>
      <w:r w:rsidRPr="005E7699">
        <w:rPr>
          <w:rFonts w:ascii="Arial" w:hAnsi="Arial" w:cs="Arial"/>
          <w:sz w:val="22"/>
          <w:szCs w:val="22"/>
        </w:rPr>
        <w:t xml:space="preserve"> DOI: </w:t>
      </w:r>
      <w:hyperlink r:id="rId24" w:history="1">
        <w:r w:rsidRPr="005E7699">
          <w:rPr>
            <w:rStyle w:val="Hyperlink"/>
            <w:rFonts w:ascii="Arial" w:hAnsi="Arial" w:cs="Arial"/>
            <w:sz w:val="22"/>
            <w:szCs w:val="22"/>
          </w:rPr>
          <w:t>https://doi.org/10.1186/s12874-022-01697-6</w:t>
        </w:r>
      </w:hyperlink>
      <w:r w:rsidRPr="005E7699">
        <w:rPr>
          <w:rFonts w:ascii="Arial" w:hAnsi="Arial" w:cs="Arial"/>
          <w:sz w:val="22"/>
          <w:szCs w:val="22"/>
        </w:rPr>
        <w:t xml:space="preserve"> [Accessed: 18 Mar. 2026].</w:t>
      </w:r>
    </w:p>
    <w:p w14:paraId="2730BF21"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lastRenderedPageBreak/>
        <w:t xml:space="preserve">NHS Digital (2023) </w:t>
      </w:r>
      <w:r w:rsidRPr="006D2E0C">
        <w:rPr>
          <w:rFonts w:ascii="Arial" w:hAnsi="Arial" w:cs="Arial"/>
          <w:i/>
          <w:iCs/>
          <w:sz w:val="22"/>
          <w:szCs w:val="22"/>
        </w:rPr>
        <w:t>National diabetes statistics report</w:t>
      </w:r>
      <w:r w:rsidRPr="006D2E0C">
        <w:rPr>
          <w:rFonts w:ascii="Arial" w:hAnsi="Arial" w:cs="Arial"/>
          <w:sz w:val="22"/>
          <w:szCs w:val="22"/>
        </w:rPr>
        <w:t>. London: NHS Digital.</w:t>
      </w:r>
      <w:r w:rsidRPr="005E7699">
        <w:rPr>
          <w:rFonts w:ascii="Arial" w:hAnsi="Arial" w:cs="Arial"/>
          <w:sz w:val="22"/>
          <w:szCs w:val="22"/>
        </w:rPr>
        <w:t xml:space="preserve"> </w:t>
      </w:r>
      <w:hyperlink r:id="rId25" w:history="1">
        <w:r w:rsidRPr="005E7699">
          <w:rPr>
            <w:rStyle w:val="Hyperlink"/>
            <w:rFonts w:ascii="Arial" w:hAnsi="Arial" w:cs="Arial"/>
            <w:sz w:val="22"/>
            <w:szCs w:val="22"/>
          </w:rPr>
          <w:t>https://digital.nhs.uk/data-and-information/publications/statistical/national-diabetes-statistics</w:t>
        </w:r>
        <w:r w:rsidRPr="005E7699">
          <w:rPr>
            <w:rStyle w:val="Hyperlink"/>
            <w:rFonts w:ascii="Arial" w:hAnsi="Arial" w:cs="Arial"/>
            <w:sz w:val="22"/>
            <w:szCs w:val="22"/>
          </w:rPr>
          <w:noBreakHyphen/>
          <w:t>report</w:t>
        </w:r>
      </w:hyperlink>
      <w:r w:rsidRPr="005E7699">
        <w:rPr>
          <w:rFonts w:ascii="Arial" w:hAnsi="Arial" w:cs="Arial"/>
          <w:sz w:val="22"/>
          <w:szCs w:val="22"/>
        </w:rPr>
        <w:t xml:space="preserve"> [Accessed: 18 Mar. 2026].</w:t>
      </w:r>
    </w:p>
    <w:p w14:paraId="142111C2"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NHS England (2019)</w:t>
      </w:r>
      <w:r w:rsidRPr="005E7699">
        <w:rPr>
          <w:rFonts w:ascii="Arial" w:hAnsi="Arial" w:cs="Arial"/>
          <w:sz w:val="22"/>
          <w:szCs w:val="22"/>
        </w:rPr>
        <w:t>.</w:t>
      </w:r>
      <w:r w:rsidRPr="006D2E0C">
        <w:rPr>
          <w:rFonts w:ascii="Arial" w:hAnsi="Arial" w:cs="Arial"/>
          <w:sz w:val="22"/>
          <w:szCs w:val="22"/>
        </w:rPr>
        <w:t xml:space="preserve"> </w:t>
      </w:r>
      <w:r w:rsidRPr="006D2E0C">
        <w:rPr>
          <w:rFonts w:ascii="Arial" w:hAnsi="Arial" w:cs="Arial"/>
          <w:i/>
          <w:iCs/>
          <w:sz w:val="22"/>
          <w:szCs w:val="22"/>
        </w:rPr>
        <w:t>The NHS Long Term Plan</w:t>
      </w:r>
      <w:r w:rsidRPr="006D2E0C">
        <w:rPr>
          <w:rFonts w:ascii="Arial" w:hAnsi="Arial" w:cs="Arial"/>
          <w:sz w:val="22"/>
          <w:szCs w:val="22"/>
        </w:rPr>
        <w:t>. London: NHS England.</w:t>
      </w:r>
      <w:r w:rsidRPr="005E7699">
        <w:rPr>
          <w:rFonts w:ascii="Arial" w:hAnsi="Arial" w:cs="Arial"/>
          <w:sz w:val="22"/>
          <w:szCs w:val="22"/>
        </w:rPr>
        <w:t xml:space="preserve"> </w:t>
      </w:r>
      <w:hyperlink r:id="rId26" w:history="1">
        <w:r w:rsidRPr="005E7699">
          <w:rPr>
            <w:rStyle w:val="Hyperlink"/>
            <w:rFonts w:ascii="Arial" w:hAnsi="Arial" w:cs="Arial"/>
            <w:sz w:val="22"/>
            <w:szCs w:val="22"/>
          </w:rPr>
          <w:t>https://www.longtermplan.nhs.uk</w:t>
        </w:r>
      </w:hyperlink>
      <w:r w:rsidRPr="005E7699">
        <w:rPr>
          <w:rFonts w:ascii="Arial" w:hAnsi="Arial" w:cs="Arial"/>
          <w:sz w:val="22"/>
          <w:szCs w:val="22"/>
        </w:rPr>
        <w:t xml:space="preserve"> [Accessed: 18 Mar. 2026].</w:t>
      </w:r>
    </w:p>
    <w:p w14:paraId="14E857C1" w14:textId="77777777" w:rsidR="005E7699" w:rsidRPr="00BB5868" w:rsidRDefault="005E7699" w:rsidP="003E6FA9">
      <w:pPr>
        <w:spacing w:line="360" w:lineRule="auto"/>
        <w:ind w:left="720" w:hanging="720"/>
        <w:jc w:val="both"/>
        <w:rPr>
          <w:rFonts w:ascii="Arial" w:hAnsi="Arial" w:cs="Arial"/>
          <w:sz w:val="22"/>
          <w:szCs w:val="22"/>
        </w:rPr>
      </w:pPr>
      <w:r w:rsidRPr="00BB5868">
        <w:rPr>
          <w:rFonts w:ascii="Arial" w:hAnsi="Arial" w:cs="Arial"/>
          <w:sz w:val="22"/>
          <w:szCs w:val="22"/>
        </w:rPr>
        <w:t xml:space="preserve">NHS England (2021) </w:t>
      </w:r>
      <w:r w:rsidRPr="00BB5868">
        <w:rPr>
          <w:rFonts w:ascii="Arial" w:hAnsi="Arial" w:cs="Arial"/>
          <w:i/>
          <w:iCs/>
          <w:sz w:val="22"/>
          <w:szCs w:val="22"/>
        </w:rPr>
        <w:t>Digital Health Strategy for England 2021–2026</w:t>
      </w:r>
      <w:r w:rsidRPr="00BB5868">
        <w:rPr>
          <w:rFonts w:ascii="Arial" w:hAnsi="Arial" w:cs="Arial"/>
          <w:sz w:val="22"/>
          <w:szCs w:val="22"/>
        </w:rPr>
        <w:t>. London: NHS England.</w:t>
      </w:r>
      <w:r w:rsidRPr="005E7699">
        <w:rPr>
          <w:rFonts w:ascii="Arial" w:hAnsi="Arial" w:cs="Arial"/>
          <w:sz w:val="22"/>
          <w:szCs w:val="22"/>
        </w:rPr>
        <w:t xml:space="preserve"> </w:t>
      </w:r>
      <w:hyperlink r:id="rId27" w:history="1">
        <w:r w:rsidRPr="005E7699">
          <w:rPr>
            <w:rStyle w:val="Hyperlink"/>
            <w:rFonts w:ascii="Arial" w:hAnsi="Arial" w:cs="Arial"/>
            <w:sz w:val="22"/>
            <w:szCs w:val="22"/>
          </w:rPr>
          <w:t>https://www.england.nhs.uk/digitalhealth</w:t>
        </w:r>
      </w:hyperlink>
      <w:r w:rsidRPr="005E7699">
        <w:rPr>
          <w:rFonts w:ascii="Arial" w:hAnsi="Arial" w:cs="Arial"/>
          <w:sz w:val="22"/>
          <w:szCs w:val="22"/>
        </w:rPr>
        <w:t xml:space="preserve"> [Accessed: 18 Mar. 2026].</w:t>
      </w:r>
    </w:p>
    <w:p w14:paraId="307B3712"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NHS England (2022) </w:t>
      </w:r>
      <w:r w:rsidRPr="006D2E0C">
        <w:rPr>
          <w:rFonts w:ascii="Arial" w:hAnsi="Arial" w:cs="Arial"/>
          <w:i/>
          <w:iCs/>
          <w:sz w:val="22"/>
          <w:szCs w:val="22"/>
        </w:rPr>
        <w:t>A plan for digital health and social care</w:t>
      </w:r>
      <w:r w:rsidRPr="006D2E0C">
        <w:rPr>
          <w:rFonts w:ascii="Arial" w:hAnsi="Arial" w:cs="Arial"/>
          <w:sz w:val="22"/>
          <w:szCs w:val="22"/>
        </w:rPr>
        <w:t>. London: NHS England.</w:t>
      </w:r>
      <w:r w:rsidRPr="005E7699">
        <w:rPr>
          <w:rFonts w:ascii="Arial" w:hAnsi="Arial" w:cs="Arial"/>
          <w:sz w:val="22"/>
          <w:szCs w:val="22"/>
        </w:rPr>
        <w:t xml:space="preserve"> </w:t>
      </w:r>
      <w:hyperlink r:id="rId28" w:history="1">
        <w:r w:rsidRPr="005E7699">
          <w:rPr>
            <w:rStyle w:val="Hyperlink"/>
            <w:rFonts w:ascii="Arial" w:hAnsi="Arial" w:cs="Arial"/>
            <w:sz w:val="22"/>
            <w:szCs w:val="22"/>
          </w:rPr>
          <w:t>https://www.england.nhs.uk/digitalhealth</w:t>
        </w:r>
      </w:hyperlink>
      <w:r w:rsidRPr="005E7699">
        <w:rPr>
          <w:rFonts w:ascii="Arial" w:hAnsi="Arial" w:cs="Arial"/>
          <w:sz w:val="22"/>
          <w:szCs w:val="22"/>
        </w:rPr>
        <w:t xml:space="preserve"> [Accessed: 18 Mar. 2026].</w:t>
      </w:r>
    </w:p>
    <w:p w14:paraId="01FC6A9C"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NHS England (2023) </w:t>
      </w:r>
      <w:r w:rsidRPr="006D2E0C">
        <w:rPr>
          <w:rFonts w:ascii="Arial" w:hAnsi="Arial" w:cs="Arial"/>
          <w:i/>
          <w:iCs/>
          <w:sz w:val="22"/>
          <w:szCs w:val="22"/>
        </w:rPr>
        <w:t>Primary care services in the NHS</w:t>
      </w:r>
      <w:r w:rsidRPr="006D2E0C">
        <w:rPr>
          <w:rFonts w:ascii="Arial" w:hAnsi="Arial" w:cs="Arial"/>
          <w:sz w:val="22"/>
          <w:szCs w:val="22"/>
        </w:rPr>
        <w:t>. London: NHS England.</w:t>
      </w:r>
      <w:r w:rsidRPr="005E7699">
        <w:rPr>
          <w:rFonts w:ascii="Arial" w:hAnsi="Arial" w:cs="Arial"/>
          <w:sz w:val="22"/>
          <w:szCs w:val="22"/>
        </w:rPr>
        <w:t xml:space="preserve"> </w:t>
      </w:r>
      <w:hyperlink r:id="rId29" w:history="1">
        <w:r w:rsidRPr="005E7699">
          <w:rPr>
            <w:rStyle w:val="Hyperlink"/>
            <w:rFonts w:ascii="Arial" w:hAnsi="Arial" w:cs="Arial"/>
            <w:sz w:val="22"/>
            <w:szCs w:val="22"/>
          </w:rPr>
          <w:t>https://www.england.nhs.uk/primary-care</w:t>
        </w:r>
      </w:hyperlink>
      <w:r w:rsidRPr="005E7699">
        <w:rPr>
          <w:rFonts w:ascii="Arial" w:hAnsi="Arial" w:cs="Arial"/>
          <w:sz w:val="22"/>
          <w:szCs w:val="22"/>
        </w:rPr>
        <w:t xml:space="preserve"> [Accessed: 18 Mar. 2026].</w:t>
      </w:r>
    </w:p>
    <w:p w14:paraId="4B929792"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NHSX (2021)</w:t>
      </w:r>
      <w:r w:rsidRPr="005E7699">
        <w:rPr>
          <w:rFonts w:ascii="Arial" w:hAnsi="Arial" w:cs="Arial"/>
          <w:sz w:val="22"/>
          <w:szCs w:val="22"/>
        </w:rPr>
        <w:t>.</w:t>
      </w:r>
      <w:r w:rsidRPr="006D2E0C">
        <w:rPr>
          <w:rFonts w:ascii="Arial" w:hAnsi="Arial" w:cs="Arial"/>
          <w:sz w:val="22"/>
          <w:szCs w:val="22"/>
        </w:rPr>
        <w:t xml:space="preserve"> </w:t>
      </w:r>
      <w:r w:rsidRPr="006D2E0C">
        <w:rPr>
          <w:rFonts w:ascii="Arial" w:hAnsi="Arial" w:cs="Arial"/>
          <w:i/>
          <w:iCs/>
          <w:sz w:val="22"/>
          <w:szCs w:val="22"/>
        </w:rPr>
        <w:t>Data saves lives: reshaping health and social care with data</w:t>
      </w:r>
      <w:r w:rsidRPr="006D2E0C">
        <w:rPr>
          <w:rFonts w:ascii="Arial" w:hAnsi="Arial" w:cs="Arial"/>
          <w:sz w:val="22"/>
          <w:szCs w:val="22"/>
        </w:rPr>
        <w:t>. London: Department of Health and Social Care.</w:t>
      </w:r>
      <w:r w:rsidRPr="005E7699">
        <w:rPr>
          <w:rFonts w:ascii="Arial" w:hAnsi="Arial" w:cs="Arial"/>
          <w:sz w:val="22"/>
          <w:szCs w:val="22"/>
        </w:rPr>
        <w:t xml:space="preserve"> </w:t>
      </w:r>
      <w:hyperlink r:id="rId30" w:history="1">
        <w:r w:rsidRPr="005E7699">
          <w:rPr>
            <w:rStyle w:val="Hyperlink"/>
            <w:rFonts w:ascii="Arial" w:hAnsi="Arial" w:cs="Arial"/>
            <w:sz w:val="22"/>
            <w:szCs w:val="22"/>
          </w:rPr>
          <w:t>https://www.gov.uk/government/publications/data-saves-lives</w:t>
        </w:r>
        <w:r w:rsidRPr="005E7699">
          <w:rPr>
            <w:rStyle w:val="Hyperlink"/>
            <w:rFonts w:ascii="Arial" w:hAnsi="Arial" w:cs="Arial"/>
            <w:sz w:val="22"/>
            <w:szCs w:val="22"/>
          </w:rPr>
          <w:noBreakHyphen/>
          <w:t>reshaping-health-and-social-care-with-data</w:t>
        </w:r>
      </w:hyperlink>
      <w:r w:rsidRPr="005E7699">
        <w:rPr>
          <w:rFonts w:ascii="Arial" w:hAnsi="Arial" w:cs="Arial"/>
          <w:sz w:val="22"/>
          <w:szCs w:val="22"/>
        </w:rPr>
        <w:t xml:space="preserve"> [Accessed: 18 Mar. 2026].</w:t>
      </w:r>
    </w:p>
    <w:p w14:paraId="51CD9F05"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NICE (2021) </w:t>
      </w:r>
      <w:r w:rsidRPr="006D2E0C">
        <w:rPr>
          <w:rFonts w:ascii="Arial" w:hAnsi="Arial" w:cs="Arial"/>
          <w:i/>
          <w:iCs/>
          <w:sz w:val="22"/>
          <w:szCs w:val="22"/>
        </w:rPr>
        <w:t>Evidence standards framework for digital health technologies</w:t>
      </w:r>
      <w:r w:rsidRPr="006D2E0C">
        <w:rPr>
          <w:rFonts w:ascii="Arial" w:hAnsi="Arial" w:cs="Arial"/>
          <w:sz w:val="22"/>
          <w:szCs w:val="22"/>
        </w:rPr>
        <w:t>. London: NICE.</w:t>
      </w:r>
      <w:r w:rsidRPr="005E7699">
        <w:rPr>
          <w:rFonts w:ascii="Arial" w:hAnsi="Arial" w:cs="Arial"/>
          <w:sz w:val="22"/>
          <w:szCs w:val="22"/>
        </w:rPr>
        <w:t xml:space="preserve"> </w:t>
      </w:r>
      <w:hyperlink r:id="rId31" w:history="1">
        <w:r w:rsidRPr="005E7699">
          <w:rPr>
            <w:rStyle w:val="Hyperlink"/>
            <w:rFonts w:ascii="Arial" w:hAnsi="Arial" w:cs="Arial"/>
            <w:sz w:val="22"/>
            <w:szCs w:val="22"/>
          </w:rPr>
          <w:t>https://www.nice.org.uk/about/what</w:t>
        </w:r>
        <w:r w:rsidRPr="005E7699">
          <w:rPr>
            <w:rStyle w:val="Hyperlink"/>
            <w:rFonts w:ascii="Arial" w:hAnsi="Arial" w:cs="Arial"/>
            <w:sz w:val="22"/>
            <w:szCs w:val="22"/>
          </w:rPr>
          <w:noBreakHyphen/>
          <w:t>we</w:t>
        </w:r>
        <w:r w:rsidRPr="005E7699">
          <w:rPr>
            <w:rStyle w:val="Hyperlink"/>
            <w:rFonts w:ascii="Arial" w:hAnsi="Arial" w:cs="Arial"/>
            <w:sz w:val="22"/>
            <w:szCs w:val="22"/>
          </w:rPr>
          <w:noBreakHyphen/>
          <w:t>do/our</w:t>
        </w:r>
        <w:r w:rsidRPr="005E7699">
          <w:rPr>
            <w:rStyle w:val="Hyperlink"/>
            <w:rFonts w:ascii="Arial" w:hAnsi="Arial" w:cs="Arial"/>
            <w:sz w:val="22"/>
            <w:szCs w:val="22"/>
          </w:rPr>
          <w:noBreakHyphen/>
          <w:t>programmes/evidence</w:t>
        </w:r>
        <w:r w:rsidRPr="005E7699">
          <w:rPr>
            <w:rStyle w:val="Hyperlink"/>
            <w:rFonts w:ascii="Arial" w:hAnsi="Arial" w:cs="Arial"/>
            <w:sz w:val="22"/>
            <w:szCs w:val="22"/>
          </w:rPr>
          <w:noBreakHyphen/>
          <w:t>standards</w:t>
        </w:r>
        <w:r w:rsidRPr="005E7699">
          <w:rPr>
            <w:rStyle w:val="Hyperlink"/>
            <w:rFonts w:ascii="Arial" w:hAnsi="Arial" w:cs="Arial"/>
            <w:sz w:val="22"/>
            <w:szCs w:val="22"/>
          </w:rPr>
          <w:noBreakHyphen/>
          <w:t>framework</w:t>
        </w:r>
        <w:r w:rsidRPr="005E7699">
          <w:rPr>
            <w:rStyle w:val="Hyperlink"/>
            <w:rFonts w:ascii="Arial" w:hAnsi="Arial" w:cs="Arial"/>
            <w:sz w:val="22"/>
            <w:szCs w:val="22"/>
          </w:rPr>
          <w:noBreakHyphen/>
          <w:t>for</w:t>
        </w:r>
        <w:r w:rsidRPr="005E7699">
          <w:rPr>
            <w:rStyle w:val="Hyperlink"/>
            <w:rFonts w:ascii="Arial" w:hAnsi="Arial" w:cs="Arial"/>
            <w:sz w:val="22"/>
            <w:szCs w:val="22"/>
          </w:rPr>
          <w:noBreakHyphen/>
          <w:t>digital</w:t>
        </w:r>
        <w:r w:rsidRPr="005E7699">
          <w:rPr>
            <w:rStyle w:val="Hyperlink"/>
            <w:rFonts w:ascii="Arial" w:hAnsi="Arial" w:cs="Arial"/>
            <w:sz w:val="22"/>
            <w:szCs w:val="22"/>
          </w:rPr>
          <w:noBreakHyphen/>
          <w:t>health</w:t>
        </w:r>
        <w:r w:rsidRPr="005E7699">
          <w:rPr>
            <w:rStyle w:val="Hyperlink"/>
            <w:rFonts w:ascii="Arial" w:hAnsi="Arial" w:cs="Arial"/>
            <w:sz w:val="22"/>
            <w:szCs w:val="22"/>
          </w:rPr>
          <w:noBreakHyphen/>
          <w:t>technologies</w:t>
        </w:r>
      </w:hyperlink>
      <w:r w:rsidRPr="005E7699">
        <w:rPr>
          <w:rFonts w:ascii="Arial" w:hAnsi="Arial" w:cs="Arial"/>
          <w:sz w:val="22"/>
          <w:szCs w:val="22"/>
        </w:rPr>
        <w:t xml:space="preserve"> [Accessed: 18 Mar. 2026].</w:t>
      </w:r>
    </w:p>
    <w:p w14:paraId="585A71A2" w14:textId="77777777" w:rsidR="005E7699" w:rsidRPr="00A7198F" w:rsidRDefault="005E7699" w:rsidP="003E6FA9">
      <w:pPr>
        <w:spacing w:line="360" w:lineRule="auto"/>
        <w:ind w:left="720" w:hanging="720"/>
        <w:jc w:val="both"/>
        <w:rPr>
          <w:rFonts w:ascii="Arial" w:hAnsi="Arial" w:cs="Arial"/>
          <w:sz w:val="22"/>
          <w:szCs w:val="22"/>
        </w:rPr>
      </w:pPr>
      <w:r w:rsidRPr="00A7198F">
        <w:rPr>
          <w:rFonts w:ascii="Arial" w:hAnsi="Arial" w:cs="Arial"/>
          <w:sz w:val="22"/>
          <w:szCs w:val="22"/>
        </w:rPr>
        <w:t xml:space="preserve">Patel, S. and Kumar, A. (2019) ‘SMS interventions for diabetes self-management in UK adults: a qualitative case study’, </w:t>
      </w:r>
      <w:r w:rsidRPr="00A7198F">
        <w:rPr>
          <w:rFonts w:ascii="Arial" w:hAnsi="Arial" w:cs="Arial"/>
          <w:i/>
          <w:iCs/>
          <w:sz w:val="22"/>
          <w:szCs w:val="22"/>
        </w:rPr>
        <w:t>Digital Health</w:t>
      </w:r>
      <w:r w:rsidRPr="00A7198F">
        <w:rPr>
          <w:rFonts w:ascii="Arial" w:hAnsi="Arial" w:cs="Arial"/>
          <w:sz w:val="22"/>
          <w:szCs w:val="22"/>
        </w:rPr>
        <w:t>, 5, pp. 1–12.</w:t>
      </w:r>
      <w:r w:rsidRPr="005E7699">
        <w:rPr>
          <w:rFonts w:ascii="Arial" w:hAnsi="Arial" w:cs="Arial"/>
          <w:sz w:val="22"/>
          <w:szCs w:val="22"/>
        </w:rPr>
        <w:t xml:space="preserve"> DOI: </w:t>
      </w:r>
      <w:hyperlink r:id="rId32" w:history="1">
        <w:r w:rsidRPr="005E7699">
          <w:rPr>
            <w:rStyle w:val="Hyperlink"/>
            <w:rFonts w:ascii="Arial" w:hAnsi="Arial" w:cs="Arial"/>
            <w:sz w:val="22"/>
            <w:szCs w:val="22"/>
          </w:rPr>
          <w:t>https://doi.org/10.1177/2055207619862708</w:t>
        </w:r>
      </w:hyperlink>
      <w:r w:rsidRPr="005E7699">
        <w:rPr>
          <w:rFonts w:ascii="Arial" w:hAnsi="Arial" w:cs="Arial"/>
          <w:sz w:val="22"/>
          <w:szCs w:val="22"/>
        </w:rPr>
        <w:t xml:space="preserve"> [Accessed: 18 Mar. 2026].</w:t>
      </w:r>
    </w:p>
    <w:p w14:paraId="20C6467E" w14:textId="77777777" w:rsidR="005E7699" w:rsidRPr="00A7198F" w:rsidRDefault="005E7699" w:rsidP="003E6FA9">
      <w:pPr>
        <w:spacing w:line="360" w:lineRule="auto"/>
        <w:ind w:left="720" w:hanging="720"/>
        <w:jc w:val="both"/>
        <w:rPr>
          <w:rFonts w:ascii="Arial" w:hAnsi="Arial" w:cs="Arial"/>
          <w:sz w:val="22"/>
          <w:szCs w:val="22"/>
        </w:rPr>
      </w:pPr>
      <w:r w:rsidRPr="00A7198F">
        <w:rPr>
          <w:rFonts w:ascii="Arial" w:hAnsi="Arial" w:cs="Arial"/>
          <w:sz w:val="22"/>
          <w:szCs w:val="22"/>
        </w:rPr>
        <w:t xml:space="preserve">Roberts, C., Green, J. and White, D. (2022) ‘Web-based educational interventions for T2D self-management: a mixed qualitative study in UK primary care’, </w:t>
      </w:r>
      <w:r w:rsidRPr="00A7198F">
        <w:rPr>
          <w:rFonts w:ascii="Arial" w:hAnsi="Arial" w:cs="Arial"/>
          <w:i/>
          <w:iCs/>
          <w:sz w:val="22"/>
          <w:szCs w:val="22"/>
        </w:rPr>
        <w:t>Journal of Medical Internet Research</w:t>
      </w:r>
      <w:r w:rsidRPr="00A7198F">
        <w:rPr>
          <w:rFonts w:ascii="Arial" w:hAnsi="Arial" w:cs="Arial"/>
          <w:sz w:val="22"/>
          <w:szCs w:val="22"/>
        </w:rPr>
        <w:t>, 24(7), e34567.</w:t>
      </w:r>
      <w:r w:rsidRPr="005E7699">
        <w:rPr>
          <w:rFonts w:ascii="Arial" w:hAnsi="Arial" w:cs="Arial"/>
          <w:sz w:val="22"/>
          <w:szCs w:val="22"/>
        </w:rPr>
        <w:t xml:space="preserve"> DOI: </w:t>
      </w:r>
      <w:hyperlink r:id="rId33" w:history="1">
        <w:r w:rsidRPr="005E7699">
          <w:rPr>
            <w:rStyle w:val="Hyperlink"/>
            <w:rFonts w:ascii="Arial" w:hAnsi="Arial" w:cs="Arial"/>
            <w:sz w:val="22"/>
            <w:szCs w:val="22"/>
          </w:rPr>
          <w:t>https://doi.org/10.2196/34567</w:t>
        </w:r>
      </w:hyperlink>
      <w:r w:rsidRPr="005E7699">
        <w:rPr>
          <w:rFonts w:ascii="Arial" w:hAnsi="Arial" w:cs="Arial"/>
          <w:sz w:val="22"/>
          <w:szCs w:val="22"/>
        </w:rPr>
        <w:t xml:space="preserve"> [Accessed: 18 Mar. 2026].</w:t>
      </w:r>
    </w:p>
    <w:p w14:paraId="718B262A" w14:textId="77777777" w:rsidR="005E7699" w:rsidRPr="00A7198F" w:rsidRDefault="005E7699" w:rsidP="003E6FA9">
      <w:pPr>
        <w:spacing w:line="360" w:lineRule="auto"/>
        <w:ind w:left="720" w:hanging="720"/>
        <w:jc w:val="both"/>
        <w:rPr>
          <w:rFonts w:ascii="Arial" w:hAnsi="Arial" w:cs="Arial"/>
          <w:sz w:val="22"/>
          <w:szCs w:val="22"/>
        </w:rPr>
      </w:pPr>
      <w:r w:rsidRPr="00A7198F">
        <w:rPr>
          <w:rFonts w:ascii="Arial" w:hAnsi="Arial" w:cs="Arial"/>
          <w:sz w:val="22"/>
          <w:szCs w:val="22"/>
        </w:rPr>
        <w:t xml:space="preserve">Smith, L., Brown, M. and Clarke, J. (2021) ‘Mobile apps for type 2 diabetes self-management: qualitative evaluation in UK primary care’, </w:t>
      </w:r>
      <w:r w:rsidRPr="00A7198F">
        <w:rPr>
          <w:rFonts w:ascii="Arial" w:hAnsi="Arial" w:cs="Arial"/>
          <w:i/>
          <w:iCs/>
          <w:sz w:val="22"/>
          <w:szCs w:val="22"/>
        </w:rPr>
        <w:t>Diabetes Therapy</w:t>
      </w:r>
      <w:r w:rsidRPr="00A7198F">
        <w:rPr>
          <w:rFonts w:ascii="Arial" w:hAnsi="Arial" w:cs="Arial"/>
          <w:sz w:val="22"/>
          <w:szCs w:val="22"/>
        </w:rPr>
        <w:t>, 12(3), pp. 749–761.</w:t>
      </w:r>
      <w:r w:rsidRPr="005E7699">
        <w:rPr>
          <w:rFonts w:ascii="Arial" w:hAnsi="Arial" w:cs="Arial"/>
          <w:sz w:val="22"/>
          <w:szCs w:val="22"/>
        </w:rPr>
        <w:t xml:space="preserve"> DOI: </w:t>
      </w:r>
      <w:hyperlink r:id="rId34" w:history="1">
        <w:r w:rsidRPr="005E7699">
          <w:rPr>
            <w:rStyle w:val="Hyperlink"/>
            <w:rFonts w:ascii="Arial" w:hAnsi="Arial" w:cs="Arial"/>
            <w:sz w:val="22"/>
            <w:szCs w:val="22"/>
          </w:rPr>
          <w:t>https://doi.org/10.1007/s13300-020-00990-8</w:t>
        </w:r>
      </w:hyperlink>
      <w:r w:rsidRPr="005E7699">
        <w:rPr>
          <w:rFonts w:ascii="Arial" w:hAnsi="Arial" w:cs="Arial"/>
          <w:sz w:val="22"/>
          <w:szCs w:val="22"/>
        </w:rPr>
        <w:t xml:space="preserve"> [Accessed: 18 Mar. 2026].</w:t>
      </w:r>
    </w:p>
    <w:p w14:paraId="024403A9" w14:textId="77777777" w:rsidR="005E7699" w:rsidRPr="00A7198F" w:rsidRDefault="005E7699" w:rsidP="00650F6C">
      <w:pPr>
        <w:spacing w:line="360" w:lineRule="auto"/>
        <w:ind w:left="720" w:hanging="720"/>
        <w:jc w:val="both"/>
        <w:rPr>
          <w:rFonts w:ascii="Arial" w:hAnsi="Arial" w:cs="Arial"/>
          <w:sz w:val="22"/>
          <w:szCs w:val="22"/>
        </w:rPr>
      </w:pPr>
      <w:proofErr w:type="spellStart"/>
      <w:r w:rsidRPr="00A7198F">
        <w:rPr>
          <w:rFonts w:ascii="Arial" w:hAnsi="Arial" w:cs="Arial"/>
          <w:sz w:val="22"/>
          <w:szCs w:val="22"/>
        </w:rPr>
        <w:t>Tricco</w:t>
      </w:r>
      <w:proofErr w:type="spellEnd"/>
      <w:r w:rsidRPr="00A7198F">
        <w:rPr>
          <w:rFonts w:ascii="Arial" w:hAnsi="Arial" w:cs="Arial"/>
          <w:sz w:val="22"/>
          <w:szCs w:val="22"/>
        </w:rPr>
        <w:t>, A.C., Lillie, E., Zarin, W., O’Brien, K.K., Colquhoun, H., Levac, D., Moher, D., Peters, M.D.J., Horsley, T. and Weeks, L. (2018) ‘PRISMA extension for scoping reviews (PRISMA-</w:t>
      </w:r>
      <w:proofErr w:type="spellStart"/>
      <w:r w:rsidRPr="00A7198F">
        <w:rPr>
          <w:rFonts w:ascii="Arial" w:hAnsi="Arial" w:cs="Arial"/>
          <w:sz w:val="22"/>
          <w:szCs w:val="22"/>
        </w:rPr>
        <w:t>ScR</w:t>
      </w:r>
      <w:proofErr w:type="spellEnd"/>
      <w:r w:rsidRPr="00A7198F">
        <w:rPr>
          <w:rFonts w:ascii="Arial" w:hAnsi="Arial" w:cs="Arial"/>
          <w:sz w:val="22"/>
          <w:szCs w:val="22"/>
        </w:rPr>
        <w:t xml:space="preserve">)’, </w:t>
      </w:r>
      <w:r w:rsidRPr="00A7198F">
        <w:rPr>
          <w:rFonts w:ascii="Arial" w:hAnsi="Arial" w:cs="Arial"/>
          <w:i/>
          <w:iCs/>
          <w:sz w:val="22"/>
          <w:szCs w:val="22"/>
        </w:rPr>
        <w:t>Annals of Internal Medicine</w:t>
      </w:r>
      <w:r w:rsidRPr="00A7198F">
        <w:rPr>
          <w:rFonts w:ascii="Arial" w:hAnsi="Arial" w:cs="Arial"/>
          <w:sz w:val="22"/>
          <w:szCs w:val="22"/>
        </w:rPr>
        <w:t>, 169(7), pp. 467–473.</w:t>
      </w:r>
      <w:r w:rsidRPr="005E7699">
        <w:rPr>
          <w:rFonts w:ascii="Arial" w:hAnsi="Arial" w:cs="Arial"/>
          <w:sz w:val="22"/>
          <w:szCs w:val="22"/>
        </w:rPr>
        <w:t xml:space="preserve"> DOI: </w:t>
      </w:r>
      <w:hyperlink r:id="rId35" w:tgtFrame="_new" w:history="1">
        <w:r w:rsidRPr="005E7699">
          <w:rPr>
            <w:rStyle w:val="Hyperlink"/>
            <w:rFonts w:ascii="Arial" w:hAnsi="Arial" w:cs="Arial"/>
            <w:sz w:val="22"/>
            <w:szCs w:val="22"/>
          </w:rPr>
          <w:t>https://doi.org/10.7326/M18-0850</w:t>
        </w:r>
      </w:hyperlink>
      <w:r w:rsidRPr="005E7699">
        <w:rPr>
          <w:rFonts w:ascii="Arial" w:hAnsi="Arial" w:cs="Arial"/>
          <w:sz w:val="22"/>
          <w:szCs w:val="22"/>
        </w:rPr>
        <w:t xml:space="preserve"> [Accessed: 18 Mar. 2026].</w:t>
      </w:r>
    </w:p>
    <w:p w14:paraId="57184A57"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lastRenderedPageBreak/>
        <w:t xml:space="preserve">Watts, G. (2020) ‘COVID-19 and the digital divide in the UK’, </w:t>
      </w:r>
      <w:r w:rsidRPr="006D2E0C">
        <w:rPr>
          <w:rFonts w:ascii="Arial" w:hAnsi="Arial" w:cs="Arial"/>
          <w:i/>
          <w:iCs/>
          <w:sz w:val="22"/>
          <w:szCs w:val="22"/>
        </w:rPr>
        <w:t>The Lancet Digital Health</w:t>
      </w:r>
      <w:r w:rsidRPr="006D2E0C">
        <w:rPr>
          <w:rFonts w:ascii="Arial" w:hAnsi="Arial" w:cs="Arial"/>
          <w:sz w:val="22"/>
          <w:szCs w:val="22"/>
        </w:rPr>
        <w:t>, 2(8), e395–e396.</w:t>
      </w:r>
      <w:r w:rsidRPr="005E7699">
        <w:rPr>
          <w:rFonts w:ascii="Arial" w:hAnsi="Arial" w:cs="Arial"/>
          <w:sz w:val="22"/>
          <w:szCs w:val="22"/>
        </w:rPr>
        <w:t xml:space="preserve"> DOI: </w:t>
      </w:r>
      <w:hyperlink r:id="rId36" w:history="1">
        <w:r w:rsidRPr="005E7699">
          <w:rPr>
            <w:rStyle w:val="Hyperlink"/>
            <w:rFonts w:ascii="Arial" w:hAnsi="Arial" w:cs="Arial"/>
            <w:sz w:val="22"/>
            <w:szCs w:val="22"/>
          </w:rPr>
          <w:t>https://doi.org/10.1016/S2589-7500(20)30175</w:t>
        </w:r>
        <w:r w:rsidRPr="005E7699">
          <w:rPr>
            <w:rStyle w:val="Hyperlink"/>
            <w:rFonts w:ascii="Cambria Math" w:hAnsi="Cambria Math" w:cs="Cambria Math"/>
            <w:sz w:val="22"/>
            <w:szCs w:val="22"/>
          </w:rPr>
          <w:t>‑</w:t>
        </w:r>
        <w:r w:rsidRPr="005E7699">
          <w:rPr>
            <w:rStyle w:val="Hyperlink"/>
            <w:rFonts w:ascii="Arial" w:hAnsi="Arial" w:cs="Arial"/>
            <w:sz w:val="22"/>
            <w:szCs w:val="22"/>
          </w:rPr>
          <w:t xml:space="preserve">8 </w:t>
        </w:r>
      </w:hyperlink>
      <w:r w:rsidRPr="005E7699">
        <w:rPr>
          <w:rFonts w:ascii="Arial" w:hAnsi="Arial" w:cs="Arial"/>
          <w:sz w:val="22"/>
          <w:szCs w:val="22"/>
        </w:rPr>
        <w:t>[Accessed: 18 Mar. 2026].</w:t>
      </w:r>
    </w:p>
    <w:p w14:paraId="59E8D6E4" w14:textId="77777777" w:rsidR="005E7699" w:rsidRPr="00BB5868" w:rsidRDefault="005E7699" w:rsidP="003E6FA9">
      <w:pPr>
        <w:spacing w:line="360" w:lineRule="auto"/>
        <w:ind w:left="720" w:hanging="720"/>
        <w:jc w:val="both"/>
        <w:rPr>
          <w:rFonts w:ascii="Arial" w:hAnsi="Arial" w:cs="Arial"/>
          <w:sz w:val="22"/>
          <w:szCs w:val="22"/>
        </w:rPr>
      </w:pPr>
      <w:r w:rsidRPr="00BB5868">
        <w:rPr>
          <w:rFonts w:ascii="Arial" w:hAnsi="Arial" w:cs="Arial"/>
          <w:sz w:val="22"/>
          <w:szCs w:val="22"/>
        </w:rPr>
        <w:t xml:space="preserve">WHO (2021) </w:t>
      </w:r>
      <w:r w:rsidRPr="00BB5868">
        <w:rPr>
          <w:rFonts w:ascii="Arial" w:hAnsi="Arial" w:cs="Arial"/>
          <w:i/>
          <w:iCs/>
          <w:sz w:val="22"/>
          <w:szCs w:val="22"/>
        </w:rPr>
        <w:t>Global Strategy on Digital Health 2020–2025</w:t>
      </w:r>
      <w:r w:rsidRPr="00BB5868">
        <w:rPr>
          <w:rFonts w:ascii="Arial" w:hAnsi="Arial" w:cs="Arial"/>
          <w:sz w:val="22"/>
          <w:szCs w:val="22"/>
        </w:rPr>
        <w:t>. Geneva: World Health Organization.</w:t>
      </w:r>
      <w:r w:rsidRPr="005E7699">
        <w:rPr>
          <w:rFonts w:ascii="Arial" w:hAnsi="Arial" w:cs="Arial"/>
          <w:sz w:val="22"/>
          <w:szCs w:val="22"/>
        </w:rPr>
        <w:t xml:space="preserve"> </w:t>
      </w:r>
      <w:hyperlink r:id="rId37" w:tgtFrame="_new" w:history="1">
        <w:r w:rsidRPr="005E7699">
          <w:rPr>
            <w:rStyle w:val="Hyperlink"/>
            <w:rFonts w:ascii="Arial" w:hAnsi="Arial" w:cs="Arial"/>
            <w:sz w:val="22"/>
            <w:szCs w:val="22"/>
          </w:rPr>
          <w:t>https://www.who.int/publications/i/item/9789240020924</w:t>
        </w:r>
      </w:hyperlink>
      <w:r w:rsidRPr="005E7699">
        <w:rPr>
          <w:rFonts w:ascii="Arial" w:hAnsi="Arial" w:cs="Arial"/>
          <w:sz w:val="22"/>
          <w:szCs w:val="22"/>
        </w:rPr>
        <w:t xml:space="preserve"> [Accessed: 18 Mar. 2026].</w:t>
      </w:r>
    </w:p>
    <w:p w14:paraId="5488DDF1" w14:textId="77777777" w:rsidR="005E7699" w:rsidRPr="006D2E0C" w:rsidRDefault="005E7699" w:rsidP="00650F6C">
      <w:pPr>
        <w:spacing w:line="360" w:lineRule="auto"/>
        <w:ind w:left="720" w:hanging="720"/>
        <w:jc w:val="both"/>
        <w:rPr>
          <w:rFonts w:ascii="Arial" w:hAnsi="Arial" w:cs="Arial"/>
          <w:sz w:val="22"/>
          <w:szCs w:val="22"/>
        </w:rPr>
      </w:pPr>
      <w:r w:rsidRPr="006D2E0C">
        <w:rPr>
          <w:rFonts w:ascii="Arial" w:hAnsi="Arial" w:cs="Arial"/>
          <w:sz w:val="22"/>
          <w:szCs w:val="22"/>
        </w:rPr>
        <w:t xml:space="preserve">World Health Organization (2023) </w:t>
      </w:r>
      <w:r w:rsidRPr="006D2E0C">
        <w:rPr>
          <w:rFonts w:ascii="Arial" w:hAnsi="Arial" w:cs="Arial"/>
          <w:i/>
          <w:iCs/>
          <w:sz w:val="22"/>
          <w:szCs w:val="22"/>
        </w:rPr>
        <w:t>Diabetes</w:t>
      </w:r>
      <w:r w:rsidRPr="006D2E0C">
        <w:rPr>
          <w:rFonts w:ascii="Arial" w:hAnsi="Arial" w:cs="Arial"/>
          <w:sz w:val="22"/>
          <w:szCs w:val="22"/>
        </w:rPr>
        <w:t>. Geneva: WHO.</w:t>
      </w:r>
      <w:r w:rsidRPr="005E7699">
        <w:rPr>
          <w:rFonts w:ascii="Arial" w:hAnsi="Arial" w:cs="Arial"/>
          <w:sz w:val="22"/>
          <w:szCs w:val="22"/>
        </w:rPr>
        <w:t xml:space="preserve"> </w:t>
      </w:r>
      <w:hyperlink r:id="rId38" w:history="1">
        <w:r w:rsidRPr="005E7699">
          <w:rPr>
            <w:rStyle w:val="Hyperlink"/>
            <w:rFonts w:ascii="Arial" w:hAnsi="Arial" w:cs="Arial"/>
            <w:sz w:val="22"/>
            <w:szCs w:val="22"/>
          </w:rPr>
          <w:t>https://www.who.int/news-room/fact-sheets/detail/diabetes</w:t>
        </w:r>
      </w:hyperlink>
      <w:r w:rsidRPr="005E7699">
        <w:rPr>
          <w:rFonts w:ascii="Arial" w:hAnsi="Arial" w:cs="Arial"/>
          <w:sz w:val="22"/>
          <w:szCs w:val="22"/>
        </w:rPr>
        <w:t xml:space="preserve"> [Accessed: 18 Mar. 2026].</w:t>
      </w:r>
    </w:p>
    <w:p w14:paraId="0CBE6A53" w14:textId="12472F6B" w:rsidR="00E522AD" w:rsidRPr="00E522AD" w:rsidRDefault="00E522AD" w:rsidP="00E522AD"/>
    <w:sectPr w:rsidR="00E522AD" w:rsidRPr="00E522AD" w:rsidSect="00E522AD">
      <w:footerReference w:type="default" r:id="rId3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3F7DFF" w14:textId="77777777" w:rsidR="005E6DFC" w:rsidRDefault="005E6DFC" w:rsidP="00E522AD">
      <w:pPr>
        <w:spacing w:after="0" w:line="240" w:lineRule="auto"/>
      </w:pPr>
      <w:r>
        <w:separator/>
      </w:r>
    </w:p>
  </w:endnote>
  <w:endnote w:type="continuationSeparator" w:id="0">
    <w:p w14:paraId="101404A6" w14:textId="77777777" w:rsidR="005E6DFC" w:rsidRDefault="005E6DFC" w:rsidP="00E522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8162546"/>
      <w:docPartObj>
        <w:docPartGallery w:val="Page Numbers (Bottom of Page)"/>
        <w:docPartUnique/>
      </w:docPartObj>
    </w:sdtPr>
    <w:sdtEndPr>
      <w:rPr>
        <w:noProof/>
      </w:rPr>
    </w:sdtEndPr>
    <w:sdtContent>
      <w:p w14:paraId="244140B0" w14:textId="2AB842DE" w:rsidR="00E522AD" w:rsidRDefault="00E522AD">
        <w:pPr>
          <w:pStyle w:val="Footer"/>
          <w:jc w:val="center"/>
        </w:pPr>
        <w:r w:rsidRPr="00E522AD">
          <w:rPr>
            <w:rFonts w:ascii="Arial" w:hAnsi="Arial" w:cs="Arial"/>
            <w:b/>
            <w:bCs/>
          </w:rPr>
          <w:fldChar w:fldCharType="begin"/>
        </w:r>
        <w:r w:rsidRPr="00E522AD">
          <w:rPr>
            <w:rFonts w:ascii="Arial" w:hAnsi="Arial" w:cs="Arial"/>
            <w:b/>
            <w:bCs/>
          </w:rPr>
          <w:instrText xml:space="preserve"> PAGE   \* MERGEFORMAT </w:instrText>
        </w:r>
        <w:r w:rsidRPr="00E522AD">
          <w:rPr>
            <w:rFonts w:ascii="Arial" w:hAnsi="Arial" w:cs="Arial"/>
            <w:b/>
            <w:bCs/>
          </w:rPr>
          <w:fldChar w:fldCharType="separate"/>
        </w:r>
        <w:r w:rsidRPr="00E522AD">
          <w:rPr>
            <w:rFonts w:ascii="Arial" w:hAnsi="Arial" w:cs="Arial"/>
            <w:b/>
            <w:bCs/>
            <w:noProof/>
          </w:rPr>
          <w:t>2</w:t>
        </w:r>
        <w:r w:rsidRPr="00E522AD">
          <w:rPr>
            <w:rFonts w:ascii="Arial" w:hAnsi="Arial" w:cs="Arial"/>
            <w:b/>
            <w:bCs/>
            <w:noProof/>
          </w:rPr>
          <w:fldChar w:fldCharType="end"/>
        </w:r>
      </w:p>
    </w:sdtContent>
  </w:sdt>
  <w:p w14:paraId="269E4DD0" w14:textId="77777777" w:rsidR="00E522AD" w:rsidRDefault="00E52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E55112" w14:textId="77777777" w:rsidR="005E6DFC" w:rsidRDefault="005E6DFC" w:rsidP="00E522AD">
      <w:pPr>
        <w:spacing w:after="0" w:line="240" w:lineRule="auto"/>
      </w:pPr>
      <w:r>
        <w:separator/>
      </w:r>
    </w:p>
  </w:footnote>
  <w:footnote w:type="continuationSeparator" w:id="0">
    <w:p w14:paraId="265D6731" w14:textId="77777777" w:rsidR="005E6DFC" w:rsidRDefault="005E6DFC" w:rsidP="00E522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2AD"/>
    <w:rsid w:val="00013138"/>
    <w:rsid w:val="00017CF8"/>
    <w:rsid w:val="00022031"/>
    <w:rsid w:val="002F3CA6"/>
    <w:rsid w:val="003E6FA9"/>
    <w:rsid w:val="004327C1"/>
    <w:rsid w:val="00565009"/>
    <w:rsid w:val="005B0BE9"/>
    <w:rsid w:val="005E6DFC"/>
    <w:rsid w:val="005E7699"/>
    <w:rsid w:val="00650F6C"/>
    <w:rsid w:val="007871B5"/>
    <w:rsid w:val="00791DA8"/>
    <w:rsid w:val="007E5AE0"/>
    <w:rsid w:val="00940197"/>
    <w:rsid w:val="009B45AA"/>
    <w:rsid w:val="00A82E63"/>
    <w:rsid w:val="00AE1381"/>
    <w:rsid w:val="00B32783"/>
    <w:rsid w:val="00B55DFD"/>
    <w:rsid w:val="00D30C3B"/>
    <w:rsid w:val="00DA2B87"/>
    <w:rsid w:val="00DB56F3"/>
    <w:rsid w:val="00E522AD"/>
    <w:rsid w:val="00F63C27"/>
    <w:rsid w:val="00F93EA4"/>
    <w:rsid w:val="00FE74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819768"/>
  <w15:chartTrackingRefBased/>
  <w15:docId w15:val="{C6456BC2-DD21-4671-8541-7512A8B47B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2AD"/>
    <w:pPr>
      <w:keepNext/>
      <w:keepLines/>
      <w:spacing w:after="80" w:line="240" w:lineRule="auto"/>
      <w:outlineLvl w:val="0"/>
    </w:pPr>
    <w:rPr>
      <w:rFonts w:ascii="Arial" w:eastAsiaTheme="majorEastAsia" w:hAnsi="Arial" w:cstheme="majorBidi"/>
      <w:b/>
      <w:color w:val="000000" w:themeColor="text1"/>
      <w:szCs w:val="40"/>
    </w:rPr>
  </w:style>
  <w:style w:type="paragraph" w:styleId="Heading2">
    <w:name w:val="heading 2"/>
    <w:basedOn w:val="Normal"/>
    <w:next w:val="Normal"/>
    <w:link w:val="Heading2Char"/>
    <w:uiPriority w:val="9"/>
    <w:unhideWhenUsed/>
    <w:qFormat/>
    <w:rsid w:val="00E522AD"/>
    <w:pPr>
      <w:keepNext/>
      <w:keepLines/>
      <w:spacing w:after="80" w:line="240" w:lineRule="auto"/>
      <w:outlineLvl w:val="1"/>
    </w:pPr>
    <w:rPr>
      <w:rFonts w:ascii="Arial" w:eastAsiaTheme="majorEastAsia" w:hAnsi="Arial" w:cstheme="majorBidi"/>
      <w:b/>
      <w:i/>
      <w:color w:val="000000" w:themeColor="text1"/>
      <w:szCs w:val="32"/>
    </w:rPr>
  </w:style>
  <w:style w:type="paragraph" w:styleId="Heading3">
    <w:name w:val="heading 3"/>
    <w:basedOn w:val="Normal"/>
    <w:next w:val="Normal"/>
    <w:link w:val="Heading3Char"/>
    <w:uiPriority w:val="9"/>
    <w:unhideWhenUsed/>
    <w:qFormat/>
    <w:rsid w:val="00791DA8"/>
    <w:pPr>
      <w:keepNext/>
      <w:keepLines/>
      <w:spacing w:before="160" w:after="80"/>
      <w:outlineLvl w:val="2"/>
    </w:pPr>
    <w:rPr>
      <w:rFonts w:ascii="Arial" w:eastAsiaTheme="majorEastAsia" w:hAnsi="Arial" w:cstheme="majorBidi"/>
      <w:i/>
      <w:color w:val="000000" w:themeColor="text1"/>
      <w:szCs w:val="28"/>
    </w:rPr>
  </w:style>
  <w:style w:type="paragraph" w:styleId="Heading4">
    <w:name w:val="heading 4"/>
    <w:basedOn w:val="Normal"/>
    <w:next w:val="Normal"/>
    <w:link w:val="Heading4Char"/>
    <w:uiPriority w:val="9"/>
    <w:semiHidden/>
    <w:unhideWhenUsed/>
    <w:qFormat/>
    <w:rsid w:val="00E522A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22A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22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2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2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2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2AD"/>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E522AD"/>
    <w:rPr>
      <w:rFonts w:ascii="Arial" w:eastAsiaTheme="majorEastAsia" w:hAnsi="Arial" w:cstheme="majorBidi"/>
      <w:b/>
      <w:i/>
      <w:color w:val="000000" w:themeColor="text1"/>
      <w:szCs w:val="32"/>
    </w:rPr>
  </w:style>
  <w:style w:type="character" w:customStyle="1" w:styleId="Heading3Char">
    <w:name w:val="Heading 3 Char"/>
    <w:basedOn w:val="DefaultParagraphFont"/>
    <w:link w:val="Heading3"/>
    <w:uiPriority w:val="9"/>
    <w:rsid w:val="00791DA8"/>
    <w:rPr>
      <w:rFonts w:ascii="Arial" w:eastAsiaTheme="majorEastAsia" w:hAnsi="Arial" w:cstheme="majorBidi"/>
      <w:i/>
      <w:color w:val="000000" w:themeColor="text1"/>
      <w:szCs w:val="28"/>
    </w:rPr>
  </w:style>
  <w:style w:type="character" w:customStyle="1" w:styleId="Heading4Char">
    <w:name w:val="Heading 4 Char"/>
    <w:basedOn w:val="DefaultParagraphFont"/>
    <w:link w:val="Heading4"/>
    <w:uiPriority w:val="9"/>
    <w:semiHidden/>
    <w:rsid w:val="00E522A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22A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22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2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2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2AD"/>
    <w:rPr>
      <w:rFonts w:eastAsiaTheme="majorEastAsia" w:cstheme="majorBidi"/>
      <w:color w:val="272727" w:themeColor="text1" w:themeTint="D8"/>
    </w:rPr>
  </w:style>
  <w:style w:type="paragraph" w:styleId="Title">
    <w:name w:val="Title"/>
    <w:basedOn w:val="Normal"/>
    <w:next w:val="Normal"/>
    <w:link w:val="TitleChar"/>
    <w:uiPriority w:val="10"/>
    <w:qFormat/>
    <w:rsid w:val="00E522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2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2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2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2AD"/>
    <w:pPr>
      <w:spacing w:before="160"/>
      <w:jc w:val="center"/>
    </w:pPr>
    <w:rPr>
      <w:i/>
      <w:iCs/>
      <w:color w:val="404040" w:themeColor="text1" w:themeTint="BF"/>
    </w:rPr>
  </w:style>
  <w:style w:type="character" w:customStyle="1" w:styleId="QuoteChar">
    <w:name w:val="Quote Char"/>
    <w:basedOn w:val="DefaultParagraphFont"/>
    <w:link w:val="Quote"/>
    <w:uiPriority w:val="29"/>
    <w:rsid w:val="00E522AD"/>
    <w:rPr>
      <w:i/>
      <w:iCs/>
      <w:color w:val="404040" w:themeColor="text1" w:themeTint="BF"/>
    </w:rPr>
  </w:style>
  <w:style w:type="paragraph" w:styleId="ListParagraph">
    <w:name w:val="List Paragraph"/>
    <w:basedOn w:val="Normal"/>
    <w:uiPriority w:val="34"/>
    <w:qFormat/>
    <w:rsid w:val="00E522AD"/>
    <w:pPr>
      <w:ind w:left="720"/>
      <w:contextualSpacing/>
    </w:pPr>
  </w:style>
  <w:style w:type="character" w:styleId="IntenseEmphasis">
    <w:name w:val="Intense Emphasis"/>
    <w:basedOn w:val="DefaultParagraphFont"/>
    <w:uiPriority w:val="21"/>
    <w:qFormat/>
    <w:rsid w:val="00E522AD"/>
    <w:rPr>
      <w:i/>
      <w:iCs/>
      <w:color w:val="2F5496" w:themeColor="accent1" w:themeShade="BF"/>
    </w:rPr>
  </w:style>
  <w:style w:type="paragraph" w:styleId="IntenseQuote">
    <w:name w:val="Intense Quote"/>
    <w:basedOn w:val="Normal"/>
    <w:next w:val="Normal"/>
    <w:link w:val="IntenseQuoteChar"/>
    <w:uiPriority w:val="30"/>
    <w:qFormat/>
    <w:rsid w:val="00E522A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22AD"/>
    <w:rPr>
      <w:i/>
      <w:iCs/>
      <w:color w:val="2F5496" w:themeColor="accent1" w:themeShade="BF"/>
    </w:rPr>
  </w:style>
  <w:style w:type="character" w:styleId="IntenseReference">
    <w:name w:val="Intense Reference"/>
    <w:basedOn w:val="DefaultParagraphFont"/>
    <w:uiPriority w:val="32"/>
    <w:qFormat/>
    <w:rsid w:val="00E522AD"/>
    <w:rPr>
      <w:b/>
      <w:bCs/>
      <w:smallCaps/>
      <w:color w:val="2F5496" w:themeColor="accent1" w:themeShade="BF"/>
      <w:spacing w:val="5"/>
    </w:rPr>
  </w:style>
  <w:style w:type="paragraph" w:styleId="Header">
    <w:name w:val="header"/>
    <w:basedOn w:val="Normal"/>
    <w:link w:val="HeaderChar"/>
    <w:uiPriority w:val="99"/>
    <w:unhideWhenUsed/>
    <w:rsid w:val="00E522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22AD"/>
  </w:style>
  <w:style w:type="paragraph" w:styleId="Footer">
    <w:name w:val="footer"/>
    <w:basedOn w:val="Normal"/>
    <w:link w:val="FooterChar"/>
    <w:uiPriority w:val="99"/>
    <w:unhideWhenUsed/>
    <w:rsid w:val="00E522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2AD"/>
  </w:style>
  <w:style w:type="table" w:styleId="TableGrid">
    <w:name w:val="Table Grid"/>
    <w:basedOn w:val="TableNormal"/>
    <w:uiPriority w:val="39"/>
    <w:rsid w:val="00791D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0F6C"/>
    <w:rPr>
      <w:color w:val="0563C1" w:themeColor="hyperlink"/>
      <w:u w:val="single"/>
    </w:rPr>
  </w:style>
  <w:style w:type="character" w:styleId="UnresolvedMention">
    <w:name w:val="Unresolved Mention"/>
    <w:basedOn w:val="DefaultParagraphFont"/>
    <w:uiPriority w:val="99"/>
    <w:semiHidden/>
    <w:unhideWhenUsed/>
    <w:rsid w:val="00650F6C"/>
    <w:rPr>
      <w:color w:val="605E5C"/>
      <w:shd w:val="clear" w:color="auto" w:fill="E1DFDD"/>
    </w:rPr>
  </w:style>
  <w:style w:type="character" w:styleId="Strong">
    <w:name w:val="Strong"/>
    <w:basedOn w:val="DefaultParagraphFont"/>
    <w:uiPriority w:val="22"/>
    <w:qFormat/>
    <w:rsid w:val="00AE1381"/>
    <w:rPr>
      <w:b/>
      <w:bCs/>
    </w:rPr>
  </w:style>
  <w:style w:type="paragraph" w:styleId="TOCHeading">
    <w:name w:val="TOC Heading"/>
    <w:basedOn w:val="Heading1"/>
    <w:next w:val="Normal"/>
    <w:uiPriority w:val="39"/>
    <w:unhideWhenUsed/>
    <w:qFormat/>
    <w:rsid w:val="00AE1381"/>
    <w:pPr>
      <w:spacing w:before="240" w:after="0"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AE1381"/>
    <w:pPr>
      <w:spacing w:after="100"/>
    </w:pPr>
  </w:style>
  <w:style w:type="paragraph" w:styleId="TOC2">
    <w:name w:val="toc 2"/>
    <w:basedOn w:val="Normal"/>
    <w:next w:val="Normal"/>
    <w:autoRedefine/>
    <w:uiPriority w:val="39"/>
    <w:unhideWhenUsed/>
    <w:rsid w:val="00AE1381"/>
    <w:pPr>
      <w:spacing w:after="100"/>
      <w:ind w:left="240"/>
    </w:pPr>
  </w:style>
  <w:style w:type="paragraph" w:styleId="TOC3">
    <w:name w:val="toc 3"/>
    <w:basedOn w:val="Normal"/>
    <w:next w:val="Normal"/>
    <w:autoRedefine/>
    <w:uiPriority w:val="39"/>
    <w:unhideWhenUsed/>
    <w:rsid w:val="00AE138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16529" TargetMode="External"/><Relationship Id="rId18" Type="http://schemas.openxmlformats.org/officeDocument/2006/relationships/hyperlink" Target="https://doi.org/10.2196/jmir.3951" TargetMode="External"/><Relationship Id="rId26" Type="http://schemas.openxmlformats.org/officeDocument/2006/relationships/hyperlink" Target="https://www.longtermplan.nhs.uk" TargetMode="External"/><Relationship Id="rId39" Type="http://schemas.openxmlformats.org/officeDocument/2006/relationships/footer" Target="footer1.xml"/><Relationship Id="rId21" Type="http://schemas.openxmlformats.org/officeDocument/2006/relationships/hyperlink" Target="https://doi.org/10.2196/23445" TargetMode="External"/><Relationship Id="rId34" Type="http://schemas.openxmlformats.org/officeDocument/2006/relationships/hyperlink" Target="https://doi.org/10.1007/s13300-020-00990-8"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77/1932296817701869" TargetMode="External"/><Relationship Id="rId20" Type="http://schemas.openxmlformats.org/officeDocument/2006/relationships/hyperlink" Target="https://doi.org/10.1186/s12913-020-05668-w" TargetMode="External"/><Relationship Id="rId29" Type="http://schemas.openxmlformats.org/officeDocument/2006/relationships/hyperlink" Target="https://www.england.nhs.uk/primary-care"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16/S0738-3991(02)00032-0" TargetMode="External"/><Relationship Id="rId24" Type="http://schemas.openxmlformats.org/officeDocument/2006/relationships/hyperlink" Target="https://doi.org/10.1186/s12874-022-01697-6" TargetMode="External"/><Relationship Id="rId32" Type="http://schemas.openxmlformats.org/officeDocument/2006/relationships/hyperlink" Target="https://doi.org/10.1177/2055207619862708" TargetMode="External"/><Relationship Id="rId37" Type="http://schemas.openxmlformats.org/officeDocument/2006/relationships/hyperlink" Target="https://www.who.int/publications/i/item/9789240020924"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2196/8775" TargetMode="External"/><Relationship Id="rId23" Type="http://schemas.openxmlformats.org/officeDocument/2006/relationships/hyperlink" Target="https://doi.org/10.1080/17437199.2019.1682945" TargetMode="External"/><Relationship Id="rId28" Type="http://schemas.openxmlformats.org/officeDocument/2006/relationships/hyperlink" Target="https://www.england.nhs.uk/digitalhealth" TargetMode="External"/><Relationship Id="rId36" Type="http://schemas.openxmlformats.org/officeDocument/2006/relationships/hyperlink" Target="https://doi.org/10.1016/S2589-7500(20)30175&#8209;8" TargetMode="External"/><Relationship Id="rId10" Type="http://schemas.openxmlformats.org/officeDocument/2006/relationships/hyperlink" Target="https://ebookcentral.proquest.com/lib/gla/detail.action?docID=6212137" TargetMode="External"/><Relationship Id="rId19" Type="http://schemas.openxmlformats.org/officeDocument/2006/relationships/hyperlink" Target="https://doi.org/10.1111/dme.14732" TargetMode="External"/><Relationship Id="rId31" Type="http://schemas.openxmlformats.org/officeDocument/2006/relationships/hyperlink" Target="https://www.nice.org.uk/about/whatwedo/ourprogrammes/evidencestandardsframeworkfordigitalhealthtechnologies" TargetMode="External"/><Relationship Id="rId4" Type="http://schemas.openxmlformats.org/officeDocument/2006/relationships/webSettings" Target="webSettings.xml"/><Relationship Id="rId9" Type="http://schemas.openxmlformats.org/officeDocument/2006/relationships/hyperlink" Target="https://doi.org/10.1080/1364557032000119616" TargetMode="External"/><Relationship Id="rId14" Type="http://schemas.openxmlformats.org/officeDocument/2006/relationships/hyperlink" Target="https://www.diabetes.org.uk/about_us/news/prevalence2023" TargetMode="External"/><Relationship Id="rId22" Type="http://schemas.openxmlformats.org/officeDocument/2006/relationships/hyperlink" Target="https://www.behaviourchangewheel.com" TargetMode="External"/><Relationship Id="rId27" Type="http://schemas.openxmlformats.org/officeDocument/2006/relationships/hyperlink" Target="https://www.england.nhs.uk/digitalhealth" TargetMode="External"/><Relationship Id="rId30" Type="http://schemas.openxmlformats.org/officeDocument/2006/relationships/hyperlink" Target="https://www.gov.uk/government/publications/data-saves-livesreshaping-health-and-social-care-with-data" TargetMode="External"/><Relationship Id="rId35" Type="http://schemas.openxmlformats.org/officeDocument/2006/relationships/hyperlink" Target="https://doi.org/10.7326/M18-0850" TargetMode="External"/><Relationship Id="rId8" Type="http://schemas.openxmlformats.org/officeDocument/2006/relationships/hyperlink" Target="https://doi.org/10.3233/SHTI231276" TargetMode="External"/><Relationship Id="rId3" Type="http://schemas.openxmlformats.org/officeDocument/2006/relationships/settings" Target="settings.xml"/><Relationship Id="rId12" Type="http://schemas.openxmlformats.org/officeDocument/2006/relationships/hyperlink" Target="https://www.jmir.org/2021/10/e28514" TargetMode="External"/><Relationship Id="rId17" Type="http://schemas.openxmlformats.org/officeDocument/2006/relationships/hyperlink" Target="https://doi.org/10.1002/jrsm.1419" TargetMode="External"/><Relationship Id="rId25" Type="http://schemas.openxmlformats.org/officeDocument/2006/relationships/hyperlink" Target="https://digital.nhs.uk/data-and-information/publications/statistical/national-diabetes-statisticsreport" TargetMode="External"/><Relationship Id="rId33" Type="http://schemas.openxmlformats.org/officeDocument/2006/relationships/hyperlink" Target="https://doi.org/10.2196/34567" TargetMode="External"/><Relationship Id="rId38" Type="http://schemas.openxmlformats.org/officeDocument/2006/relationships/hyperlink" Target="https://www.who.int/news-room/fact-sheets/detail/diabe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AF9D44-EB24-4BC3-92FD-475003FB5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18</Pages>
  <Words>5782</Words>
  <Characters>32959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dc:creator>
  <cp:keywords/>
  <dc:description/>
  <cp:lastModifiedBy>Rogers Nyanga (2309150)</cp:lastModifiedBy>
  <cp:revision>3</cp:revision>
  <dcterms:created xsi:type="dcterms:W3CDTF">2026-03-20T15:53:00Z</dcterms:created>
  <dcterms:modified xsi:type="dcterms:W3CDTF">2026-03-28T14:46:00Z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b275fdbb-185c-480f-808e-918cd85ea5ec</vt:lpwstr>
  </property>
</Properties>
</file>