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0C62EE" w14:textId="6FA2521D" w:rsidR="004A70B0" w:rsidRPr="001636CE" w:rsidRDefault="00BF459A">
      <w:pPr>
        <w:rPr>
          <w:b/>
          <w:bCs/>
        </w:rPr>
      </w:pPr>
      <w:r w:rsidRPr="001636CE">
        <w:rPr>
          <w:b/>
          <w:bCs/>
        </w:rPr>
        <w:t>What happens next?</w:t>
      </w:r>
    </w:p>
    <w:p w14:paraId="62318E62" w14:textId="5E02D82A" w:rsidR="002835E5" w:rsidRDefault="002835E5">
      <w:r>
        <w:t>Jurgen Moltmann</w:t>
      </w:r>
      <w:r w:rsidR="00815035">
        <w:t xml:space="preserve">s book has been described as </w:t>
      </w:r>
      <w:r w:rsidR="00DC0667">
        <w:t>being a theological sensation.</w:t>
      </w:r>
      <w:r w:rsidR="00DC0667">
        <w:rPr>
          <w:rStyle w:val="FootnoteReference"/>
        </w:rPr>
        <w:footnoteReference w:id="1"/>
      </w:r>
      <w:r w:rsidR="00490D86">
        <w:t xml:space="preserve"> The work </w:t>
      </w:r>
      <w:r w:rsidR="0071559A">
        <w:t xml:space="preserve">can be summarised in that </w:t>
      </w:r>
      <w:r w:rsidR="000A2A0E">
        <w:t xml:space="preserve">Moltmann </w:t>
      </w:r>
      <w:r w:rsidR="007309CD">
        <w:t>believes</w:t>
      </w:r>
      <w:r w:rsidR="000A2A0E">
        <w:t xml:space="preserve"> </w:t>
      </w:r>
      <w:r w:rsidR="009F5A46">
        <w:t>es</w:t>
      </w:r>
      <w:r w:rsidR="0071559A">
        <w:t xml:space="preserve">chatology has been robbed of its relevance for the </w:t>
      </w:r>
      <w:r w:rsidR="00893C39">
        <w:t>present.</w:t>
      </w:r>
      <w:r w:rsidR="00893C39">
        <w:rPr>
          <w:rStyle w:val="FootnoteReference"/>
        </w:rPr>
        <w:footnoteReference w:id="2"/>
      </w:r>
      <w:r w:rsidR="00893C39">
        <w:t xml:space="preserve"> Moltmann </w:t>
      </w:r>
      <w:r>
        <w:t>leaves his readers with the thought that the first step to understanding eschatology as a doctrine of the Christian faith is to have a hope seeking knowledge.</w:t>
      </w:r>
      <w:r>
        <w:rPr>
          <w:rStyle w:val="FootnoteReference"/>
        </w:rPr>
        <w:footnoteReference w:id="3"/>
      </w:r>
      <w:r>
        <w:t xml:space="preserve"> </w:t>
      </w:r>
      <w:r w:rsidR="00A74CD9">
        <w:t>Hope</w:t>
      </w:r>
      <w:r>
        <w:t xml:space="preserve"> may seem in stark contrast to what is often th</w:t>
      </w:r>
      <w:r w:rsidR="005532DA">
        <w:t>ought</w:t>
      </w:r>
      <w:r>
        <w:t xml:space="preserve"> of when understanding eschatology</w:t>
      </w:r>
      <w:r w:rsidR="00A74CD9">
        <w:t xml:space="preserve"> as it</w:t>
      </w:r>
      <w:r>
        <w:t xml:space="preserve"> is initially described as the doctrine of the last things o</w:t>
      </w:r>
      <w:r w:rsidR="00A02F81">
        <w:t>r</w:t>
      </w:r>
      <w:r>
        <w:t xml:space="preserve"> the end.</w:t>
      </w:r>
      <w:r>
        <w:rPr>
          <w:rStyle w:val="FootnoteReference"/>
        </w:rPr>
        <w:footnoteReference w:id="4"/>
      </w:r>
      <w:r>
        <w:t xml:space="preserve"> </w:t>
      </w:r>
      <w:r w:rsidR="00A02F81">
        <w:t>Eschatology</w:t>
      </w:r>
      <w:r>
        <w:t xml:space="preserve"> is eas</w:t>
      </w:r>
      <w:r w:rsidR="00756834">
        <w:t>ily</w:t>
      </w:r>
      <w:r>
        <w:t xml:space="preserve"> underst</w:t>
      </w:r>
      <w:r w:rsidR="00756834">
        <w:t>ood as to mean end times</w:t>
      </w:r>
      <w:r>
        <w:t xml:space="preserve"> when compared with biblical passages such as those that speak of, ‘A pale horse! And its riders name was Death and Hades followed him’</w:t>
      </w:r>
      <w:r w:rsidR="00F7335E">
        <w:t xml:space="preserve"> </w:t>
      </w:r>
      <w:r>
        <w:t xml:space="preserve">(Rev6:8). The focus </w:t>
      </w:r>
      <w:r w:rsidR="00756834">
        <w:t xml:space="preserve">previously </w:t>
      </w:r>
      <w:r>
        <w:t xml:space="preserve">therefore has been in regards to the end of the living earth. </w:t>
      </w:r>
      <w:r w:rsidR="00FC4BFD">
        <w:t>However,</w:t>
      </w:r>
      <w:r>
        <w:t xml:space="preserve"> Moltmann argues that eschatology should instead be a doctrine of Christian hope looking forward at the things to come.</w:t>
      </w:r>
      <w:r>
        <w:rPr>
          <w:rStyle w:val="FootnoteReference"/>
        </w:rPr>
        <w:footnoteReference w:id="5"/>
      </w:r>
      <w:r>
        <w:t xml:space="preserve"> Moltmann writes that eschatology should not be its end, but the beginning. That however he identifies as raising the problem of future</w:t>
      </w:r>
      <w:r w:rsidR="006A30BD">
        <w:t xml:space="preserve"> and </w:t>
      </w:r>
      <w:r>
        <w:t>how can one speak of things that have not happened yet?</w:t>
      </w:r>
      <w:r>
        <w:rPr>
          <w:rStyle w:val="FootnoteReference"/>
        </w:rPr>
        <w:footnoteReference w:id="6"/>
      </w:r>
      <w:r>
        <w:t xml:space="preserve"> To address this question hope is introduced</w:t>
      </w:r>
      <w:r w:rsidR="00337BDD">
        <w:t xml:space="preserve"> w</w:t>
      </w:r>
      <w:r>
        <w:t>hen considering the figure of Christ and the hope people have in him. Eschatology</w:t>
      </w:r>
      <w:r w:rsidR="00577D50">
        <w:t xml:space="preserve"> in Moltmann’s opinion</w:t>
      </w:r>
      <w:r>
        <w:t xml:space="preserve"> therefore speaks of Christ and his future.</w:t>
      </w:r>
      <w:r>
        <w:rPr>
          <w:rStyle w:val="FootnoteReference"/>
        </w:rPr>
        <w:footnoteReference w:id="7"/>
      </w:r>
      <w:r>
        <w:t xml:space="preserve"> The focus being on the </w:t>
      </w:r>
      <w:r w:rsidR="00FC4BFD">
        <w:t xml:space="preserve">beginning rather than an end. </w:t>
      </w:r>
    </w:p>
    <w:p w14:paraId="2D7AE139" w14:textId="2E2B9F32" w:rsidR="002835E5" w:rsidRDefault="002835E5">
      <w:r>
        <w:t>The hope that is spoken of is the very thing that allows Christians to speak of future events. What characteristics make up hope is</w:t>
      </w:r>
      <w:r w:rsidR="00577D50">
        <w:t xml:space="preserve"> examined within his book. </w:t>
      </w:r>
      <w:r>
        <w:t xml:space="preserve">Hope is to be understood not </w:t>
      </w:r>
      <w:r w:rsidR="00E4765B">
        <w:t>within</w:t>
      </w:r>
      <w:r>
        <w:t xml:space="preserve"> in the present experiences but in the future experiences to come.</w:t>
      </w:r>
      <w:r>
        <w:rPr>
          <w:rStyle w:val="FootnoteReference"/>
        </w:rPr>
        <w:footnoteReference w:id="8"/>
      </w:r>
      <w:r>
        <w:t xml:space="preserve"> Hope does not take life as it stands currently, but life </w:t>
      </w:r>
      <w:r w:rsidR="002A4B15">
        <w:t>as</w:t>
      </w:r>
      <w:r>
        <w:t xml:space="preserve"> progressing and moving with possibilities.</w:t>
      </w:r>
      <w:r>
        <w:rPr>
          <w:rStyle w:val="FootnoteReference"/>
        </w:rPr>
        <w:footnoteReference w:id="9"/>
      </w:r>
      <w:r>
        <w:t xml:space="preserve"> </w:t>
      </w:r>
      <w:r w:rsidR="00507B3B">
        <w:t>This is echoed in the scriptures, ‘if we hold fast our confidence and our boasting in our hope’</w:t>
      </w:r>
      <w:r w:rsidR="00F7335E">
        <w:t xml:space="preserve"> </w:t>
      </w:r>
      <w:r w:rsidR="00507B3B">
        <w:t xml:space="preserve">(Heb3:6). The author of Hebrews acknowledging that the hope is not a response for the current situation, as the instruction is to hold fast, but boast in the hope, in the future to come. The hope therefore is the expectation of those </w:t>
      </w:r>
      <w:r w:rsidR="00EB32D0">
        <w:t>promises</w:t>
      </w:r>
      <w:r w:rsidR="00507B3B">
        <w:t xml:space="preserve"> that have been promised by God.</w:t>
      </w:r>
      <w:r w:rsidR="00507B3B">
        <w:rPr>
          <w:rStyle w:val="FootnoteReference"/>
        </w:rPr>
        <w:footnoteReference w:id="10"/>
      </w:r>
      <w:r w:rsidR="00507B3B">
        <w:t xml:space="preserve"> </w:t>
      </w:r>
      <w:r w:rsidR="00EB32D0">
        <w:t xml:space="preserve">It is the promises </w:t>
      </w:r>
      <w:r w:rsidR="00507B3B">
        <w:t xml:space="preserve">that Christians have faith in. The reason for </w:t>
      </w:r>
      <w:r w:rsidR="000C1E1E">
        <w:t xml:space="preserve">Christians can have </w:t>
      </w:r>
      <w:r w:rsidR="00507B3B">
        <w:t xml:space="preserve">hope is </w:t>
      </w:r>
      <w:r w:rsidR="000C1E1E">
        <w:t>because of their</w:t>
      </w:r>
      <w:r w:rsidR="00507B3B">
        <w:t xml:space="preserve"> faith. Faith in believing that what God said is true. </w:t>
      </w:r>
    </w:p>
    <w:p w14:paraId="6AF3FE5B" w14:textId="171DE280" w:rsidR="00507B3B" w:rsidRDefault="00206645">
      <w:r>
        <w:t>If belief or faith is the beginning of hope, u</w:t>
      </w:r>
      <w:r w:rsidR="00507B3B">
        <w:t>nbelief</w:t>
      </w:r>
      <w:r>
        <w:t xml:space="preserve"> </w:t>
      </w:r>
      <w:r w:rsidR="00507B3B">
        <w:t>or sin, can therefore be considered to be grounded in hopelessness.</w:t>
      </w:r>
      <w:r w:rsidR="00507B3B">
        <w:rPr>
          <w:rStyle w:val="FootnoteReference"/>
        </w:rPr>
        <w:footnoteReference w:id="11"/>
      </w:r>
      <w:r w:rsidR="00507B3B">
        <w:t xml:space="preserve"> </w:t>
      </w:r>
    </w:p>
    <w:p w14:paraId="1C318849" w14:textId="79E1B41E" w:rsidR="007B55B7" w:rsidRDefault="00507B3B">
      <w:r>
        <w:t>In addressing hope</w:t>
      </w:r>
      <w:r w:rsidR="00FC4BFD">
        <w:t xml:space="preserve"> </w:t>
      </w:r>
      <w:r>
        <w:t>in respect of how it is formed</w:t>
      </w:r>
      <w:r w:rsidR="00003733">
        <w:t xml:space="preserve"> and intertwined between the present and future </w:t>
      </w:r>
      <w:r>
        <w:t xml:space="preserve">Moltmann provides a reasonable understanding of eschatology and how the subject should be approached. </w:t>
      </w:r>
      <w:r w:rsidR="00003733">
        <w:t>Moltmann</w:t>
      </w:r>
      <w:r w:rsidR="00CB078C">
        <w:t>’</w:t>
      </w:r>
      <w:r w:rsidR="00003733">
        <w:t>s thinking is similar to Karl Baths</w:t>
      </w:r>
      <w:r w:rsidR="008040BC">
        <w:t xml:space="preserve"> in that eschatology is not completely </w:t>
      </w:r>
      <w:r w:rsidR="00844269">
        <w:t xml:space="preserve">realised in the imminent, although it </w:t>
      </w:r>
      <w:r w:rsidR="00D45B7E">
        <w:t xml:space="preserve">can be </w:t>
      </w:r>
      <w:r w:rsidR="00844269">
        <w:t xml:space="preserve">an </w:t>
      </w:r>
      <w:r w:rsidR="00DE5D03">
        <w:t>immanent</w:t>
      </w:r>
      <w:r w:rsidR="00844269">
        <w:t xml:space="preserve"> force.</w:t>
      </w:r>
      <w:r w:rsidR="00DE5D03">
        <w:rPr>
          <w:rStyle w:val="FootnoteReference"/>
        </w:rPr>
        <w:footnoteReference w:id="12"/>
      </w:r>
      <w:r w:rsidR="00844269">
        <w:t xml:space="preserve"> </w:t>
      </w:r>
      <w:r>
        <w:t>Th</w:t>
      </w:r>
      <w:r w:rsidR="00FC4BFD">
        <w:t xml:space="preserve">e way in which eschatology is </w:t>
      </w:r>
      <w:r w:rsidR="00FC4BFD">
        <w:lastRenderedPageBreak/>
        <w:t>approached i</w:t>
      </w:r>
      <w:r>
        <w:t>s significant</w:t>
      </w:r>
      <w:r w:rsidR="00FC4BFD">
        <w:t xml:space="preserve">. With hopelessness one would examine eschatology through the lens of the end of the world. However, </w:t>
      </w:r>
      <w:r>
        <w:t xml:space="preserve">in understanding </w:t>
      </w:r>
      <w:r w:rsidR="00FC4BFD">
        <w:t>the theology of hope it a</w:t>
      </w:r>
      <w:r>
        <w:t>llows one to encompass eschatology within all characteristics of Christian doctrine.</w:t>
      </w:r>
      <w:r w:rsidR="00FC4BFD">
        <w:rPr>
          <w:rStyle w:val="FootnoteReference"/>
        </w:rPr>
        <w:footnoteReference w:id="13"/>
      </w:r>
      <w:r>
        <w:t xml:space="preserve"> </w:t>
      </w:r>
    </w:p>
    <w:p w14:paraId="37687F55" w14:textId="7ABD42AC" w:rsidR="00BF459A" w:rsidRPr="001636CE" w:rsidRDefault="00BF459A">
      <w:pPr>
        <w:rPr>
          <w:b/>
          <w:bCs/>
        </w:rPr>
      </w:pPr>
      <w:r w:rsidRPr="001636CE">
        <w:rPr>
          <w:b/>
          <w:bCs/>
        </w:rPr>
        <w:t>Who is Jesus?</w:t>
      </w:r>
    </w:p>
    <w:p w14:paraId="575ADE68" w14:textId="387C7E3D" w:rsidR="009929D9" w:rsidRDefault="009929D9">
      <w:r>
        <w:t>Thomas Weinandy attempts to understand who Jesus is through examining th</w:t>
      </w:r>
      <w:r w:rsidR="006E07A2">
        <w:t>e</w:t>
      </w:r>
      <w:r>
        <w:t xml:space="preserve"> significance of three major councils</w:t>
      </w:r>
      <w:r w:rsidR="006E07A2">
        <w:t xml:space="preserve"> namely, </w:t>
      </w:r>
      <w:r>
        <w:t>Nicaea, Ephesus and Chalcedon. Weinandy introduces the three truths which must be simultaneously affirmed and preserved in order to identify Jesus.</w:t>
      </w:r>
      <w:r>
        <w:rPr>
          <w:rStyle w:val="FootnoteReference"/>
        </w:rPr>
        <w:footnoteReference w:id="14"/>
      </w:r>
      <w:r>
        <w:t xml:space="preserve"> </w:t>
      </w:r>
      <w:r w:rsidR="00242C43">
        <w:t>That being that Jesus be truly the son of</w:t>
      </w:r>
      <w:r w:rsidR="009203AE">
        <w:t xml:space="preserve"> God who is man, truly man that the son of God is, and </w:t>
      </w:r>
      <w:r w:rsidR="00C4280A">
        <w:t xml:space="preserve">the son of God is truly man. </w:t>
      </w:r>
      <w:r>
        <w:t xml:space="preserve">The three statements however throughout </w:t>
      </w:r>
      <w:r w:rsidR="00503779">
        <w:t>Christian</w:t>
      </w:r>
      <w:r>
        <w:t xml:space="preserve"> theology have caused problems when determining Jesus</w:t>
      </w:r>
      <w:r w:rsidR="00550349">
        <w:t>,</w:t>
      </w:r>
      <w:r>
        <w:t xml:space="preserve"> </w:t>
      </w:r>
      <w:r w:rsidR="00C4280A">
        <w:t>his nature and who he is.</w:t>
      </w:r>
      <w:r w:rsidR="00C4280A">
        <w:rPr>
          <w:rStyle w:val="FootnoteReference"/>
        </w:rPr>
        <w:footnoteReference w:id="15"/>
      </w:r>
      <w:r w:rsidR="00C4280A">
        <w:t xml:space="preserve"> </w:t>
      </w:r>
      <w:r>
        <w:t xml:space="preserve"> </w:t>
      </w:r>
    </w:p>
    <w:p w14:paraId="4417FE12" w14:textId="56BBC86F" w:rsidR="009929D9" w:rsidRDefault="009929D9">
      <w:r>
        <w:t xml:space="preserve">Pre </w:t>
      </w:r>
      <w:r w:rsidR="00503779">
        <w:t>Nicene</w:t>
      </w:r>
      <w:r>
        <w:t xml:space="preserve"> thoughts were held that Jesus is divine</w:t>
      </w:r>
      <w:r w:rsidR="00321BA5">
        <w:t>, if this is true then</w:t>
      </w:r>
      <w:r>
        <w:t xml:space="preserve"> this </w:t>
      </w:r>
      <w:r w:rsidR="00321BA5">
        <w:t>thought r</w:t>
      </w:r>
      <w:r>
        <w:t xml:space="preserve">aised questions </w:t>
      </w:r>
      <w:r w:rsidR="00321BA5">
        <w:t>as to what extent is Jesus divine.</w:t>
      </w:r>
      <w:r>
        <w:rPr>
          <w:rStyle w:val="FootnoteReference"/>
        </w:rPr>
        <w:footnoteReference w:id="16"/>
      </w:r>
      <w:r>
        <w:t xml:space="preserve"> Early thoughts are explored such as Jesus being adopted through the indwelling of </w:t>
      </w:r>
      <w:r w:rsidR="006C4A6B">
        <w:t>God’s</w:t>
      </w:r>
      <w:r>
        <w:t xml:space="preserve"> wor</w:t>
      </w:r>
      <w:r w:rsidR="008A49F7">
        <w:t>d. Th</w:t>
      </w:r>
      <w:r w:rsidR="006C4A6B">
        <w:t>e</w:t>
      </w:r>
      <w:r w:rsidR="008A49F7">
        <w:t xml:space="preserve"> </w:t>
      </w:r>
      <w:r w:rsidR="00163560">
        <w:t>idea</w:t>
      </w:r>
      <w:r w:rsidR="006C4A6B">
        <w:t xml:space="preserve"> of Jesus adoption</w:t>
      </w:r>
      <w:r w:rsidR="00163560">
        <w:t xml:space="preserve"> </w:t>
      </w:r>
      <w:r w:rsidR="008A49F7">
        <w:t xml:space="preserve">can easily be understood through </w:t>
      </w:r>
      <w:r w:rsidR="00163560">
        <w:t xml:space="preserve">scriptural references such as </w:t>
      </w:r>
      <w:r w:rsidR="008A49F7">
        <w:t>the word becoming flesh</w:t>
      </w:r>
      <w:r w:rsidR="00D30A17">
        <w:t xml:space="preserve"> </w:t>
      </w:r>
      <w:r w:rsidR="008A49F7">
        <w:t>(Jhn1:14)</w:t>
      </w:r>
      <w:r w:rsidR="00D60541">
        <w:t>. Another theory proposed w</w:t>
      </w:r>
      <w:r>
        <w:t xml:space="preserve">as modalism with God </w:t>
      </w:r>
      <w:r w:rsidR="00194531">
        <w:t xml:space="preserve">being one but </w:t>
      </w:r>
      <w:r>
        <w:t xml:space="preserve">taking </w:t>
      </w:r>
      <w:r w:rsidR="00194531">
        <w:t xml:space="preserve">on </w:t>
      </w:r>
      <w:r>
        <w:t>different forms, both</w:t>
      </w:r>
      <w:r w:rsidR="001244FB">
        <w:t xml:space="preserve"> theories</w:t>
      </w:r>
      <w:r>
        <w:t xml:space="preserve"> however </w:t>
      </w:r>
      <w:r w:rsidR="00194531">
        <w:t>were</w:t>
      </w:r>
      <w:r>
        <w:t xml:space="preserve"> rejected for their flaws.</w:t>
      </w:r>
      <w:r>
        <w:rPr>
          <w:rStyle w:val="FootnoteReference"/>
        </w:rPr>
        <w:footnoteReference w:id="17"/>
      </w:r>
    </w:p>
    <w:p w14:paraId="052C6311" w14:textId="4D4937D3" w:rsidR="00503779" w:rsidRDefault="00503779">
      <w:r>
        <w:t xml:space="preserve">With the Nicene creed introduced </w:t>
      </w:r>
      <w:r w:rsidR="00D75506">
        <w:t>a</w:t>
      </w:r>
      <w:r>
        <w:t xml:space="preserve"> new wor</w:t>
      </w:r>
      <w:r w:rsidR="00D75506">
        <w:t>d not found within scripture</w:t>
      </w:r>
      <w:r>
        <w:t xml:space="preserve"> was used to describe </w:t>
      </w:r>
      <w:r w:rsidR="00F92172">
        <w:t>Jesus’</w:t>
      </w:r>
      <w:r>
        <w:t xml:space="preserve"> nature, this word being homoousion</w:t>
      </w:r>
      <w:r w:rsidR="001244FB">
        <w:t xml:space="preserve">, </w:t>
      </w:r>
      <w:r>
        <w:t>meaning to be or the same substance or of the same being.</w:t>
      </w:r>
      <w:r>
        <w:rPr>
          <w:rStyle w:val="FootnoteReference"/>
        </w:rPr>
        <w:footnoteReference w:id="18"/>
      </w:r>
      <w:r>
        <w:t xml:space="preserve"> This allowed the church to acknowledge that the son of God is truly God</w:t>
      </w:r>
      <w:r w:rsidR="00D87283">
        <w:t xml:space="preserve"> whilst also being of the same substance of man</w:t>
      </w:r>
      <w:r>
        <w:t>.</w:t>
      </w:r>
      <w:r>
        <w:rPr>
          <w:rStyle w:val="FootnoteReference"/>
        </w:rPr>
        <w:footnoteReference w:id="19"/>
      </w:r>
      <w:r>
        <w:t xml:space="preserve"> The introduction of homoousion by the Nicene creed is described by Weinandy as one of the most significant works in the doctrine of Jesus.</w:t>
      </w:r>
      <w:r>
        <w:rPr>
          <w:rStyle w:val="FootnoteReference"/>
        </w:rPr>
        <w:footnoteReference w:id="20"/>
      </w:r>
      <w:r w:rsidR="006676AA">
        <w:t xml:space="preserve"> </w:t>
      </w:r>
      <w:r w:rsidR="00C438DB">
        <w:t xml:space="preserve">The </w:t>
      </w:r>
      <w:r w:rsidR="00630C1F">
        <w:t>significance</w:t>
      </w:r>
      <w:r w:rsidR="00C438DB">
        <w:t xml:space="preserve"> of the word homoousion continued when </w:t>
      </w:r>
      <w:r>
        <w:t>Jesus humanity is explored</w:t>
      </w:r>
      <w:r w:rsidR="00C438DB">
        <w:t xml:space="preserve">. Claiming that Jesus </w:t>
      </w:r>
      <w:r>
        <w:t>Christ is fully human</w:t>
      </w:r>
      <w:r w:rsidR="00C21D4D">
        <w:t>, q</w:t>
      </w:r>
      <w:r w:rsidR="00C21D4D">
        <w:t>uestions are raised as to whether Jesus can be man as well as God.</w:t>
      </w:r>
      <w:r>
        <w:rPr>
          <w:rStyle w:val="FootnoteReference"/>
        </w:rPr>
        <w:footnoteReference w:id="21"/>
      </w:r>
      <w:r>
        <w:t xml:space="preserve"> </w:t>
      </w:r>
      <w:r w:rsidR="009B6BC3">
        <w:t>The importance of Jesus being fully man is that i</w:t>
      </w:r>
      <w:r>
        <w:t xml:space="preserve">f </w:t>
      </w:r>
      <w:r w:rsidR="00C21D4D">
        <w:t>Jesus</w:t>
      </w:r>
      <w:r>
        <w:t xml:space="preserve"> was simply appearing to be</w:t>
      </w:r>
      <w:r w:rsidR="009B6BC3">
        <w:t xml:space="preserve"> a</w:t>
      </w:r>
      <w:r>
        <w:t xml:space="preserve"> </w:t>
      </w:r>
      <w:r w:rsidR="009B6BC3">
        <w:t>man,</w:t>
      </w:r>
      <w:r>
        <w:t xml:space="preserve"> then his life </w:t>
      </w:r>
      <w:r w:rsidR="007C38A2">
        <w:t xml:space="preserve">can be considered </w:t>
      </w:r>
      <w:r>
        <w:t>a charade and his suffering as man contains no actuality.</w:t>
      </w:r>
      <w:r>
        <w:rPr>
          <w:rStyle w:val="FootnoteReference"/>
        </w:rPr>
        <w:footnoteReference w:id="22"/>
      </w:r>
      <w:r>
        <w:t xml:space="preserve"> In determining his humanity the terms one and the same is used multiple times</w:t>
      </w:r>
      <w:r w:rsidR="000258D6">
        <w:t xml:space="preserve"> to </w:t>
      </w:r>
      <w:r w:rsidR="00BF4944">
        <w:t>solve the problem of being truly man. This argument is significant in being able to address to two aspects as earlier dictated</w:t>
      </w:r>
      <w:r>
        <w:t>.</w:t>
      </w:r>
      <w:r>
        <w:rPr>
          <w:rStyle w:val="FootnoteReference"/>
        </w:rPr>
        <w:footnoteReference w:id="23"/>
      </w:r>
      <w:r>
        <w:t xml:space="preserve"> </w:t>
      </w:r>
    </w:p>
    <w:p w14:paraId="2EA7BC40" w14:textId="7845A0B5" w:rsidR="00503779" w:rsidRDefault="0064466A">
      <w:r>
        <w:t>Understanding w</w:t>
      </w:r>
      <w:r w:rsidR="00503779">
        <w:t xml:space="preserve">ho Jesus </w:t>
      </w:r>
      <w:r w:rsidR="006B0F4A">
        <w:t xml:space="preserve">is, poses </w:t>
      </w:r>
      <w:r>
        <w:t xml:space="preserve">a </w:t>
      </w:r>
      <w:r w:rsidR="006B0F4A">
        <w:t>great significance</w:t>
      </w:r>
      <w:r>
        <w:t xml:space="preserve"> however </w:t>
      </w:r>
      <w:r w:rsidR="006B0F4A">
        <w:t>people may not be able to truly provide an adequate answer.</w:t>
      </w:r>
      <w:r w:rsidR="006B0F4A">
        <w:rPr>
          <w:rStyle w:val="FootnoteReference"/>
        </w:rPr>
        <w:footnoteReference w:id="24"/>
      </w:r>
      <w:r w:rsidR="006B0F4A">
        <w:t xml:space="preserve"> This</w:t>
      </w:r>
      <w:r w:rsidR="00536719">
        <w:t xml:space="preserve"> ina</w:t>
      </w:r>
      <w:r w:rsidR="00705044">
        <w:t>dequacy forms part of the</w:t>
      </w:r>
      <w:r w:rsidR="006B0F4A">
        <w:t xml:space="preserve"> mysteries of the Christian faith that </w:t>
      </w:r>
      <w:r w:rsidR="00705044">
        <w:t xml:space="preserve">some </w:t>
      </w:r>
      <w:r w:rsidR="006B0F4A">
        <w:t xml:space="preserve">Christians </w:t>
      </w:r>
      <w:r w:rsidR="00705044">
        <w:t xml:space="preserve">are willing to </w:t>
      </w:r>
      <w:r w:rsidR="006B0F4A">
        <w:t>accept. Christians doctrinally believe that God is able to exist simultaneously as God and as man.</w:t>
      </w:r>
      <w:r w:rsidR="006B0F4A">
        <w:rPr>
          <w:rStyle w:val="FootnoteReference"/>
        </w:rPr>
        <w:footnoteReference w:id="25"/>
      </w:r>
      <w:r w:rsidR="006B0F4A">
        <w:t xml:space="preserve"> </w:t>
      </w:r>
      <w:r w:rsidR="00406B15">
        <w:t xml:space="preserve">Christians </w:t>
      </w:r>
      <w:r w:rsidR="006B0F4A">
        <w:t>need to believe</w:t>
      </w:r>
      <w:r w:rsidR="00406B15">
        <w:t xml:space="preserve"> that Jesus can simultaneously be both entities as if he could not then this</w:t>
      </w:r>
      <w:r w:rsidR="006B0F4A">
        <w:t xml:space="preserve"> would contradict the council of Chalcedon</w:t>
      </w:r>
      <w:r w:rsidR="006C0F0F">
        <w:t xml:space="preserve"> which</w:t>
      </w:r>
      <w:r w:rsidR="006B0F4A">
        <w:t xml:space="preserve"> demands </w:t>
      </w:r>
      <w:r w:rsidR="006B0F4A">
        <w:lastRenderedPageBreak/>
        <w:t>Jesus be with humankind.</w:t>
      </w:r>
      <w:r w:rsidR="006B0F4A">
        <w:rPr>
          <w:rStyle w:val="FootnoteReference"/>
        </w:rPr>
        <w:footnoteReference w:id="26"/>
      </w:r>
      <w:r w:rsidR="006B0F4A">
        <w:t xml:space="preserve"> Therefore it is accepted that Jesus be authentically fully human, and to profess that he is divine is not to deny anything regarding his humanity.</w:t>
      </w:r>
      <w:r w:rsidR="006B0F4A">
        <w:rPr>
          <w:rStyle w:val="FootnoteReference"/>
        </w:rPr>
        <w:footnoteReference w:id="27"/>
      </w:r>
      <w:r w:rsidR="006B0F4A">
        <w:t xml:space="preserve"> </w:t>
      </w:r>
      <w:r w:rsidR="00C438DB">
        <w:t>This idea can be found within the works Sung Uk Lim who argues that Jesus identity is to be understood as being from two different but simultaneous perspectives.</w:t>
      </w:r>
      <w:r w:rsidR="00C438DB">
        <w:rPr>
          <w:rStyle w:val="FootnoteReference"/>
        </w:rPr>
        <w:footnoteReference w:id="28"/>
      </w:r>
      <w:r w:rsidR="00C438DB">
        <w:t xml:space="preserve"> Perspectives from above, but also from bellow, his divine and his human nature.</w:t>
      </w:r>
    </w:p>
    <w:p w14:paraId="448C0B80" w14:textId="11D4F06B" w:rsidR="006B0F4A" w:rsidRDefault="006B0F4A">
      <w:r>
        <w:t xml:space="preserve">The answers to which can be found within the gospel of John whereby </w:t>
      </w:r>
      <w:r w:rsidR="00FB272A">
        <w:t>the word is said to have been in the beginning with God</w:t>
      </w:r>
      <w:r w:rsidR="00D30A17">
        <w:t xml:space="preserve"> </w:t>
      </w:r>
      <w:r w:rsidR="00FB272A">
        <w:t>(</w:t>
      </w:r>
      <w:r w:rsidR="00515F9F">
        <w:t>J</w:t>
      </w:r>
      <w:r w:rsidR="00FB272A">
        <w:t>hn1</w:t>
      </w:r>
      <w:r w:rsidR="00515F9F">
        <w:t>:</w:t>
      </w:r>
      <w:r w:rsidR="003F1F78">
        <w:t>1). The word became flesh and dwelt among mankind</w:t>
      </w:r>
      <w:r w:rsidR="00160C6E">
        <w:t>, seeing his glory who is the only son</w:t>
      </w:r>
      <w:r w:rsidR="00D30A17">
        <w:t xml:space="preserve"> </w:t>
      </w:r>
      <w:r w:rsidR="00160C6E">
        <w:t>(</w:t>
      </w:r>
      <w:r w:rsidR="00515F9F">
        <w:t>J</w:t>
      </w:r>
      <w:r w:rsidR="00160C6E">
        <w:t>hn1:14)</w:t>
      </w:r>
      <w:r w:rsidR="002E29D9">
        <w:t>. Jesus is also described as the light, who has overcome the darkness and call himself the light</w:t>
      </w:r>
      <w:r w:rsidR="00EB1D7D">
        <w:t xml:space="preserve"> promising light in the life</w:t>
      </w:r>
      <w:r w:rsidR="00D30A17">
        <w:t xml:space="preserve"> </w:t>
      </w:r>
      <w:r w:rsidR="00C62275">
        <w:t>(</w:t>
      </w:r>
      <w:r w:rsidR="00515F9F">
        <w:t>J</w:t>
      </w:r>
      <w:r w:rsidR="00C62275">
        <w:t xml:space="preserve">hn8:12). Who Jesus is in nature is significant </w:t>
      </w:r>
      <w:r w:rsidR="008E020E">
        <w:t xml:space="preserve">to theology </w:t>
      </w:r>
      <w:r w:rsidR="00C62275">
        <w:t xml:space="preserve">as it determines </w:t>
      </w:r>
      <w:r w:rsidR="008E020E">
        <w:t xml:space="preserve">whether </w:t>
      </w:r>
      <w:r w:rsidR="00C62275">
        <w:t xml:space="preserve">what he said </w:t>
      </w:r>
      <w:r w:rsidR="008E020E">
        <w:t>and taught can be tru</w:t>
      </w:r>
      <w:r w:rsidR="007D32AD">
        <w:t xml:space="preserve">e as well as understanding his role within humanity and the divine. </w:t>
      </w:r>
      <w:r w:rsidR="008E020E">
        <w:t xml:space="preserve"> </w:t>
      </w:r>
    </w:p>
    <w:p w14:paraId="5D9FF770" w14:textId="0BA85AAA" w:rsidR="009478B4" w:rsidRDefault="009478B4">
      <w:r w:rsidRPr="001636CE">
        <w:rPr>
          <w:b/>
          <w:bCs/>
        </w:rPr>
        <w:t xml:space="preserve">What went wrong? </w:t>
      </w:r>
    </w:p>
    <w:p w14:paraId="6AB6F0BF" w14:textId="429F710A" w:rsidR="009478B4" w:rsidRDefault="009478B4">
      <w:r>
        <w:t xml:space="preserve">Freewill </w:t>
      </w:r>
      <w:r w:rsidR="00FF3784">
        <w:t>appears to be the</w:t>
      </w:r>
      <w:r w:rsidR="003E02DE">
        <w:t xml:space="preserve"> common</w:t>
      </w:r>
      <w:r w:rsidR="00FF3784">
        <w:t xml:space="preserve"> argument for the problem of evil. </w:t>
      </w:r>
      <w:r w:rsidR="00A53E6A">
        <w:t xml:space="preserve">Pelagius thought that we all had free will in that what we will or actually do is our </w:t>
      </w:r>
      <w:r w:rsidR="00AB65FD">
        <w:t>responsibility</w:t>
      </w:r>
      <w:r w:rsidR="00A53E6A">
        <w:t xml:space="preserve">. The </w:t>
      </w:r>
      <w:r w:rsidR="00AB65FD">
        <w:t>ability</w:t>
      </w:r>
      <w:r w:rsidR="00A53E6A">
        <w:t xml:space="preserve"> and creativity to do it </w:t>
      </w:r>
      <w:r w:rsidR="00AB65FD">
        <w:t>however comes from God.</w:t>
      </w:r>
      <w:r w:rsidR="00AB65FD">
        <w:rPr>
          <w:rStyle w:val="FootnoteReference"/>
        </w:rPr>
        <w:footnoteReference w:id="29"/>
      </w:r>
      <w:r w:rsidR="00F50F0B">
        <w:t xml:space="preserve"> For this reason Pelagius aspired for adults to imitate Christ and viewed Christian sanctity as a task and duty </w:t>
      </w:r>
      <w:r w:rsidR="00447B29">
        <w:t>for the faithful.</w:t>
      </w:r>
      <w:r w:rsidR="00447B29">
        <w:rPr>
          <w:rStyle w:val="FootnoteReference"/>
        </w:rPr>
        <w:footnoteReference w:id="30"/>
      </w:r>
      <w:r w:rsidR="00447B29">
        <w:t xml:space="preserve"> </w:t>
      </w:r>
    </w:p>
    <w:p w14:paraId="3BE47300" w14:textId="0D280716" w:rsidR="007622AD" w:rsidRDefault="007622AD">
      <w:r>
        <w:t>Augustine also recognised the importance and significance of freewill</w:t>
      </w:r>
      <w:r w:rsidR="00F34F09">
        <w:t>. Augustine writes that he knew he had a will, and when choosing to do something, it was him that choose to do it.</w:t>
      </w:r>
      <w:r w:rsidR="00F34F09">
        <w:rPr>
          <w:rStyle w:val="FootnoteReference"/>
        </w:rPr>
        <w:footnoteReference w:id="31"/>
      </w:r>
      <w:r w:rsidR="00F34F09">
        <w:t xml:space="preserve"> </w:t>
      </w:r>
      <w:r w:rsidR="00AF0161">
        <w:t>The problem surrounding evil however left more questions unanswered from one who viewed God as incorruptible</w:t>
      </w:r>
      <w:r w:rsidR="00622909">
        <w:t>.</w:t>
      </w:r>
      <w:r w:rsidR="00622909">
        <w:rPr>
          <w:rStyle w:val="FootnoteReference"/>
        </w:rPr>
        <w:footnoteReference w:id="32"/>
      </w:r>
      <w:r w:rsidR="00622909">
        <w:t xml:space="preserve"> Augustine</w:t>
      </w:r>
      <w:r w:rsidR="00523956">
        <w:t xml:space="preserve"> </w:t>
      </w:r>
      <w:r w:rsidR="00F05122">
        <w:t>acknowledged</w:t>
      </w:r>
      <w:r w:rsidR="00523956">
        <w:t xml:space="preserve"> the evil which he saw in the world</w:t>
      </w:r>
      <w:r w:rsidR="00F05122">
        <w:t xml:space="preserve"> and suffering which he </w:t>
      </w:r>
      <w:r w:rsidR="003E02DE">
        <w:t xml:space="preserve">had </w:t>
      </w:r>
      <w:r w:rsidR="00F05122">
        <w:t xml:space="preserve">experienced. Augustine put </w:t>
      </w:r>
      <w:r w:rsidR="002F11D1">
        <w:t>sin down to his freewill choice to sin, and when on the receiving end of the evil he viewed this as judgement</w:t>
      </w:r>
      <w:r w:rsidR="00DB6A5C">
        <w:t>.</w:t>
      </w:r>
      <w:r w:rsidR="002F11D1">
        <w:rPr>
          <w:rStyle w:val="FootnoteReference"/>
        </w:rPr>
        <w:footnoteReference w:id="33"/>
      </w:r>
      <w:r w:rsidR="00DB6A5C">
        <w:t xml:space="preserve"> </w:t>
      </w:r>
      <w:r w:rsidR="00893849">
        <w:t xml:space="preserve">Whilst </w:t>
      </w:r>
      <w:r w:rsidR="002F11D1">
        <w:t>working through Augustine’s</w:t>
      </w:r>
      <w:r w:rsidR="00523956">
        <w:t xml:space="preserve"> </w:t>
      </w:r>
      <w:r w:rsidR="00622909">
        <w:t>logical thought process</w:t>
      </w:r>
      <w:r w:rsidR="00893849">
        <w:t xml:space="preserve">, his process is as follows, </w:t>
      </w:r>
      <w:r w:rsidR="00DB6A5C">
        <w:t xml:space="preserve">if God made mankind and mankind is capable of evil thoughts, then who put the evil thoughts there? If it should be explained as the Devil and God created the devil </w:t>
      </w:r>
      <w:r w:rsidR="00D57702">
        <w:t>who by his own freewill choice choose evil then who put the evil will in him?</w:t>
      </w:r>
      <w:r w:rsidR="000A40C6">
        <w:rPr>
          <w:rStyle w:val="FootnoteReference"/>
        </w:rPr>
        <w:footnoteReference w:id="34"/>
      </w:r>
      <w:r w:rsidR="000A40C6">
        <w:t xml:space="preserve"> Especially if he is considered to be inherently good made by a good creator. </w:t>
      </w:r>
    </w:p>
    <w:p w14:paraId="358C9603" w14:textId="6543B1B5" w:rsidR="00680A75" w:rsidRDefault="00680A75">
      <w:r>
        <w:t>The problem of Evil therefore causes a number of problems</w:t>
      </w:r>
      <w:r w:rsidR="00FB7F58">
        <w:t xml:space="preserve"> namely </w:t>
      </w:r>
      <w:r w:rsidR="006B3024">
        <w:t xml:space="preserve">where does evil originate from? </w:t>
      </w:r>
      <w:r>
        <w:t>if it simply does not exist then the questions asked is why do we fear it?</w:t>
      </w:r>
      <w:r w:rsidR="006B3024">
        <w:t xml:space="preserve"> </w:t>
      </w:r>
      <w:r w:rsidR="00446085">
        <w:t xml:space="preserve">Aristotle settles on that if there is nothing to fear itself, then the fear </w:t>
      </w:r>
      <w:r w:rsidR="000878E0">
        <w:t>is evil in its own right.</w:t>
      </w:r>
      <w:r w:rsidR="000878E0">
        <w:rPr>
          <w:rStyle w:val="FootnoteReference"/>
        </w:rPr>
        <w:footnoteReference w:id="35"/>
      </w:r>
      <w:r w:rsidR="000878E0">
        <w:t xml:space="preserve"> </w:t>
      </w:r>
    </w:p>
    <w:p w14:paraId="09EA55CE" w14:textId="54DADA49" w:rsidR="00DB6A5C" w:rsidRDefault="00687C8D">
      <w:r>
        <w:t>Augustine in chapter 11 finds</w:t>
      </w:r>
      <w:r w:rsidR="002321CF">
        <w:t xml:space="preserve"> no </w:t>
      </w:r>
      <w:r>
        <w:t>answer for evil</w:t>
      </w:r>
      <w:r w:rsidR="00E44DB4">
        <w:t xml:space="preserve"> h</w:t>
      </w:r>
      <w:r>
        <w:t xml:space="preserve">owever the concept of evil existing does not </w:t>
      </w:r>
      <w:r w:rsidR="004F5FA7">
        <w:t>deter Augustine in his faith.</w:t>
      </w:r>
      <w:r w:rsidR="004F5FA7">
        <w:rPr>
          <w:rStyle w:val="FootnoteReference"/>
        </w:rPr>
        <w:footnoteReference w:id="36"/>
      </w:r>
      <w:r w:rsidR="002B3BA0">
        <w:t xml:space="preserve"> </w:t>
      </w:r>
      <w:r w:rsidR="00796981">
        <w:t xml:space="preserve">Despite this Augustine persists </w:t>
      </w:r>
      <w:r w:rsidR="00E44DB4">
        <w:t xml:space="preserve">in his work </w:t>
      </w:r>
      <w:r w:rsidR="00796981">
        <w:t xml:space="preserve">identifying that evil itself is not a </w:t>
      </w:r>
      <w:r w:rsidR="00A659BD">
        <w:t xml:space="preserve">substance. The corruptible in the world must have come from something good. As to be corrupted </w:t>
      </w:r>
      <w:r w:rsidR="00A659BD">
        <w:lastRenderedPageBreak/>
        <w:t xml:space="preserve">itself implies that at some stage the thing that has now been corrupted was good. Augustine therefore distinguishes a difference between what God created as good, which could be corrupted, against what is made of a higher good, which </w:t>
      </w:r>
      <w:r w:rsidR="00D2326F">
        <w:t>cannot</w:t>
      </w:r>
      <w:r w:rsidR="00A659BD">
        <w:t xml:space="preserve"> be corrupted.</w:t>
      </w:r>
      <w:r w:rsidR="00A659BD">
        <w:rPr>
          <w:rStyle w:val="FootnoteReference"/>
        </w:rPr>
        <w:footnoteReference w:id="37"/>
      </w:r>
    </w:p>
    <w:p w14:paraId="32672A95" w14:textId="160E126A" w:rsidR="00BF459A" w:rsidRDefault="00572C0A">
      <w:r>
        <w:t xml:space="preserve">The problem of evil is one that is still discussed even today, with many scholars utilising the argument to make cases for or against Gods existence. </w:t>
      </w:r>
      <w:r w:rsidR="00DF5FAE">
        <w:t xml:space="preserve">J L Mackie produces an argument based on the </w:t>
      </w:r>
      <w:r w:rsidR="00E06F34">
        <w:t>logical problem of evil, that being if God is omnipotent, wholly good and evil still exists then how can all three exist at the same time?</w:t>
      </w:r>
      <w:r w:rsidR="00E06F34">
        <w:rPr>
          <w:rStyle w:val="FootnoteReference"/>
        </w:rPr>
        <w:footnoteReference w:id="38"/>
      </w:r>
      <w:r w:rsidR="00E06F34">
        <w:t xml:space="preserve"> </w:t>
      </w:r>
      <w:r w:rsidR="00AC7186">
        <w:t>The significance of this topic however is important because it results in shaping the very God in which Christians believe. If he is wholly good</w:t>
      </w:r>
      <w:r w:rsidR="006E0172">
        <w:t>,</w:t>
      </w:r>
      <w:r w:rsidR="00AC7186">
        <w:t xml:space="preserve"> then where did evil come from? For some the problem </w:t>
      </w:r>
      <w:r w:rsidR="00D92FB0">
        <w:t xml:space="preserve">may be too troublesome </w:t>
      </w:r>
      <w:r w:rsidR="009E68B6">
        <w:t xml:space="preserve">to come to a conclusion and detract from the </w:t>
      </w:r>
      <w:r w:rsidR="002224EB">
        <w:t>existence</w:t>
      </w:r>
      <w:r w:rsidR="009E68B6">
        <w:t xml:space="preserve"> of God, as is evident from </w:t>
      </w:r>
      <w:r w:rsidR="002224EB">
        <w:t>Augustine’s</w:t>
      </w:r>
      <w:r w:rsidR="009E68B6">
        <w:t xml:space="preserve"> writing this was </w:t>
      </w:r>
      <w:r w:rsidR="002224EB">
        <w:t xml:space="preserve">a </w:t>
      </w:r>
      <w:r w:rsidR="00D2326F">
        <w:t>thought-out</w:t>
      </w:r>
      <w:r w:rsidR="002224EB">
        <w:t xml:space="preserve"> struggle but ultimately did not deter him with his view.</w:t>
      </w:r>
      <w:r w:rsidR="00AC7186">
        <w:t xml:space="preserve"> </w:t>
      </w:r>
    </w:p>
    <w:p w14:paraId="530B5A90" w14:textId="54AAF616" w:rsidR="00BF459A" w:rsidRPr="001636CE" w:rsidRDefault="00BF459A">
      <w:pPr>
        <w:rPr>
          <w:b/>
          <w:bCs/>
        </w:rPr>
      </w:pPr>
      <w:r w:rsidRPr="001636CE">
        <w:rPr>
          <w:b/>
          <w:bCs/>
        </w:rPr>
        <w:t xml:space="preserve">What </w:t>
      </w:r>
      <w:r w:rsidR="00483568" w:rsidRPr="001636CE">
        <w:rPr>
          <w:b/>
          <w:bCs/>
        </w:rPr>
        <w:t>has God made</w:t>
      </w:r>
      <w:r w:rsidRPr="001636CE">
        <w:rPr>
          <w:b/>
          <w:bCs/>
        </w:rPr>
        <w:t xml:space="preserve">? </w:t>
      </w:r>
    </w:p>
    <w:p w14:paraId="422FDEB3" w14:textId="23EEFBE6" w:rsidR="00C22E3F" w:rsidRDefault="000E18F1">
      <w:r>
        <w:t xml:space="preserve">Within the first two chapters of Genesis readers find the creation accounts. </w:t>
      </w:r>
      <w:r w:rsidR="00F05476">
        <w:t xml:space="preserve">The </w:t>
      </w:r>
      <w:r w:rsidR="00660E07">
        <w:t xml:space="preserve">first account found within Genesis </w:t>
      </w:r>
      <w:r w:rsidR="00BC308E">
        <w:t>1</w:t>
      </w:r>
      <w:r w:rsidR="00660E07">
        <w:t xml:space="preserve"> fits the narrative of God</w:t>
      </w:r>
      <w:r w:rsidR="00BC308E">
        <w:t>s</w:t>
      </w:r>
      <w:r w:rsidR="00660E07">
        <w:t xml:space="preserve"> mastery over chaos and ordering the world</w:t>
      </w:r>
      <w:r w:rsidR="00C4619D">
        <w:t>.</w:t>
      </w:r>
      <w:r w:rsidR="00C4619D">
        <w:rPr>
          <w:rStyle w:val="FootnoteReference"/>
        </w:rPr>
        <w:footnoteReference w:id="39"/>
      </w:r>
      <w:r w:rsidR="00C4619D">
        <w:t xml:space="preserve"> The first verse establishes the foundation </w:t>
      </w:r>
      <w:r w:rsidR="002D6EA3">
        <w:t xml:space="preserve">upon which the narrative then follows, that is in the beginning God created </w:t>
      </w:r>
      <w:r w:rsidR="001A45FC">
        <w:t>the heavens and the earth</w:t>
      </w:r>
      <w:r w:rsidR="008B0C7C">
        <w:t xml:space="preserve"> </w:t>
      </w:r>
      <w:r w:rsidR="001A45FC">
        <w:t xml:space="preserve">(Gen1:1). The notion of God creating is </w:t>
      </w:r>
      <w:r w:rsidR="00C22E3F">
        <w:t xml:space="preserve">continued throughout the first chapter with different elements being commanded into being by God. </w:t>
      </w:r>
    </w:p>
    <w:p w14:paraId="1465D1B6" w14:textId="23D0C6B0" w:rsidR="00C22E3F" w:rsidRDefault="00C22E3F">
      <w:r>
        <w:t xml:space="preserve">Beyond the literal creation of </w:t>
      </w:r>
      <w:r w:rsidR="00650B77">
        <w:t xml:space="preserve">matter and animals there is a message to other religions </w:t>
      </w:r>
      <w:r w:rsidR="00530750">
        <w:t xml:space="preserve">which can be overlooked. The creation of the sun, moon and stars </w:t>
      </w:r>
      <w:r w:rsidR="00960829">
        <w:t>in Genesis 1</w:t>
      </w:r>
      <w:r w:rsidR="00530750">
        <w:t xml:space="preserve"> </w:t>
      </w:r>
      <w:r w:rsidR="00960829">
        <w:t>can be understood to represent</w:t>
      </w:r>
      <w:r w:rsidR="00530750">
        <w:t xml:space="preserve"> more than the creation</w:t>
      </w:r>
      <w:r w:rsidR="00960829">
        <w:t xml:space="preserve"> of </w:t>
      </w:r>
      <w:r w:rsidR="00164C47">
        <w:t xml:space="preserve">a </w:t>
      </w:r>
      <w:r w:rsidR="00960829">
        <w:t>physical sun, moon and stars</w:t>
      </w:r>
      <w:r w:rsidR="00530750">
        <w:t>. Th</w:t>
      </w:r>
      <w:r w:rsidR="009B11D8">
        <w:t>e mention of these elements is to add</w:t>
      </w:r>
      <w:r w:rsidR="007C0579">
        <w:t xml:space="preserve">ress other gods that other religions had been worshiping at the time. The message conveyed here is that their gods </w:t>
      </w:r>
      <w:r w:rsidR="00171406">
        <w:t>have no divine nature</w:t>
      </w:r>
      <w:r w:rsidR="007C0579">
        <w:t xml:space="preserve"> and were created beings just like the rest of creation.</w:t>
      </w:r>
      <w:r w:rsidR="007C0579">
        <w:rPr>
          <w:rStyle w:val="FootnoteReference"/>
        </w:rPr>
        <w:footnoteReference w:id="40"/>
      </w:r>
      <w:r w:rsidR="007C0579">
        <w:t xml:space="preserve"> The true divine nature belonging to the God the creator. </w:t>
      </w:r>
    </w:p>
    <w:p w14:paraId="11D0D99E" w14:textId="0F6FEDE6" w:rsidR="00216238" w:rsidRDefault="0055200E">
      <w:r>
        <w:t>S</w:t>
      </w:r>
      <w:r w:rsidR="00A461B1">
        <w:t>ymbolism</w:t>
      </w:r>
      <w:r>
        <w:t xml:space="preserve"> continues</w:t>
      </w:r>
      <w:r w:rsidR="00A461B1">
        <w:t xml:space="preserve"> through the ordering of the seas</w:t>
      </w:r>
      <w:r w:rsidR="00E97781">
        <w:t xml:space="preserve">. Seas in ancient </w:t>
      </w:r>
      <w:r w:rsidR="00060770">
        <w:t>near east</w:t>
      </w:r>
      <w:r w:rsidR="00E97781">
        <w:t xml:space="preserve"> thinking were </w:t>
      </w:r>
      <w:r w:rsidR="008F28C3">
        <w:t>believed to have spirits, a th</w:t>
      </w:r>
      <w:r w:rsidR="00216238">
        <w:t>ought</w:t>
      </w:r>
      <w:r w:rsidR="008F28C3">
        <w:t xml:space="preserve"> that continued into Greko roman with Gods of the seas being Neptune and </w:t>
      </w:r>
      <w:r w:rsidR="00216238">
        <w:t>Poseidon</w:t>
      </w:r>
      <w:r w:rsidR="008F28C3">
        <w:t>.</w:t>
      </w:r>
      <w:r w:rsidR="008F28C3">
        <w:rPr>
          <w:rStyle w:val="FootnoteReference"/>
        </w:rPr>
        <w:footnoteReference w:id="41"/>
      </w:r>
      <w:r w:rsidR="008F28C3">
        <w:t xml:space="preserve"> </w:t>
      </w:r>
      <w:r w:rsidR="00216238">
        <w:t>Ordering the seas could therefore be having dominion over the other Gods.</w:t>
      </w:r>
    </w:p>
    <w:p w14:paraId="26C8B9B9" w14:textId="76FF9E65" w:rsidR="00585BBC" w:rsidRDefault="00CB0C9A">
      <w:r>
        <w:t>More might be said then of what was not created</w:t>
      </w:r>
      <w:r w:rsidR="00C92868">
        <w:t xml:space="preserve"> and appears to have always existed. Darkness appears within the text but it is not addressed as to where it derive</w:t>
      </w:r>
      <w:r w:rsidR="00B261E4">
        <w:t>s</w:t>
      </w:r>
      <w:r w:rsidR="00C92868">
        <w:t xml:space="preserve"> from. </w:t>
      </w:r>
      <w:r w:rsidR="00044896">
        <w:t>Understanding th</w:t>
      </w:r>
      <w:r w:rsidR="007A023C">
        <w:t>e</w:t>
      </w:r>
      <w:r w:rsidR="00044896">
        <w:t xml:space="preserve"> darkness metaphorically </w:t>
      </w:r>
      <w:r w:rsidR="002E1DD8">
        <w:t xml:space="preserve">means </w:t>
      </w:r>
      <w:r w:rsidR="00261A9A">
        <w:t xml:space="preserve">blight or despair </w:t>
      </w:r>
      <w:r w:rsidR="002E1DD8">
        <w:t xml:space="preserve">then one can read this to support the idea that narrative is not simply about creation, but God asserting his divine nature of every aspect </w:t>
      </w:r>
      <w:r w:rsidR="006A13DE">
        <w:t>of what people can</w:t>
      </w:r>
      <w:r w:rsidR="00370818">
        <w:t xml:space="preserve"> </w:t>
      </w:r>
      <w:r w:rsidR="006A13DE">
        <w:t>perceive.</w:t>
      </w:r>
      <w:r w:rsidR="007A023C">
        <w:rPr>
          <w:rStyle w:val="FootnoteReference"/>
        </w:rPr>
        <w:footnoteReference w:id="42"/>
      </w:r>
      <w:r w:rsidR="006A13DE">
        <w:t xml:space="preserve"> </w:t>
      </w:r>
      <w:r w:rsidR="00E97781">
        <w:t xml:space="preserve"> </w:t>
      </w:r>
    </w:p>
    <w:p w14:paraId="0199CC44" w14:textId="5D293EFF" w:rsidR="00571C10" w:rsidRDefault="006A13DE">
      <w:r>
        <w:t>In respect to how this is important to our understanding of theology, Christians see the importance of in</w:t>
      </w:r>
      <w:r w:rsidR="00716D9B">
        <w:t xml:space="preserve"> marrying the God of the old and the </w:t>
      </w:r>
      <w:r w:rsidR="001B60F5">
        <w:t>New Testament</w:t>
      </w:r>
      <w:r w:rsidR="00716D9B">
        <w:t xml:space="preserve"> together. The </w:t>
      </w:r>
      <w:r w:rsidR="00585BBC">
        <w:t xml:space="preserve">God of the </w:t>
      </w:r>
      <w:r w:rsidR="001B60F5">
        <w:t>Old Testament</w:t>
      </w:r>
      <w:r w:rsidR="00716D9B">
        <w:t xml:space="preserve"> being the</w:t>
      </w:r>
      <w:r w:rsidR="00585BBC">
        <w:t xml:space="preserve"> </w:t>
      </w:r>
      <w:r w:rsidR="00716D9B">
        <w:t>God</w:t>
      </w:r>
      <w:r w:rsidR="00585BBC">
        <w:t xml:space="preserve"> speaks creation into being is the same God of the </w:t>
      </w:r>
      <w:r w:rsidR="001B60F5">
        <w:t>New Testament</w:t>
      </w:r>
      <w:r w:rsidR="00585BBC">
        <w:t xml:space="preserve"> </w:t>
      </w:r>
      <w:r w:rsidR="00716D9B">
        <w:t xml:space="preserve">who is the </w:t>
      </w:r>
      <w:r w:rsidR="00716D9B">
        <w:lastRenderedPageBreak/>
        <w:t>redeemer of mankind and creation.</w:t>
      </w:r>
      <w:r w:rsidR="00716D9B">
        <w:rPr>
          <w:rStyle w:val="FootnoteReference"/>
        </w:rPr>
        <w:footnoteReference w:id="43"/>
      </w:r>
      <w:r w:rsidR="00716D9B">
        <w:t xml:space="preserve"> </w:t>
      </w:r>
      <w:r w:rsidR="00B90988">
        <w:t xml:space="preserve">There is symbolism found within </w:t>
      </w:r>
      <w:r w:rsidR="00F46E5E">
        <w:t>Jesus’</w:t>
      </w:r>
      <w:r w:rsidR="00B90988">
        <w:t xml:space="preserve"> walking on water</w:t>
      </w:r>
      <w:r w:rsidR="00906528">
        <w:t>. By walking on water Jesus</w:t>
      </w:r>
      <w:r w:rsidR="00EC5678">
        <w:t xml:space="preserve"> in asserting this divine nature above those other deity’s ascribed to the sea.</w:t>
      </w:r>
      <w:r w:rsidR="00EC5678">
        <w:rPr>
          <w:rStyle w:val="FootnoteReference"/>
        </w:rPr>
        <w:footnoteReference w:id="44"/>
      </w:r>
      <w:r w:rsidR="00571C10">
        <w:t xml:space="preserve"> </w:t>
      </w:r>
      <w:r w:rsidR="005D2457">
        <w:t xml:space="preserve">Marrying the Jesus of the </w:t>
      </w:r>
      <w:r w:rsidR="00F46E5E">
        <w:t>New Testament</w:t>
      </w:r>
      <w:r w:rsidR="005D2457">
        <w:t xml:space="preserve"> and God the creator in the </w:t>
      </w:r>
      <w:r w:rsidR="00F46E5E">
        <w:t>Old Testament</w:t>
      </w:r>
      <w:r w:rsidR="005D2457">
        <w:t xml:space="preserve"> can be found within scripture where </w:t>
      </w:r>
      <w:r w:rsidR="00571C10">
        <w:t xml:space="preserve">Jesus </w:t>
      </w:r>
      <w:r w:rsidR="005D2457">
        <w:t>proclaims</w:t>
      </w:r>
      <w:r w:rsidR="00571C10">
        <w:t xml:space="preserve"> to be the light himself, and the promise for those who follow him to have ever lasting life in the light(jhn</w:t>
      </w:r>
      <w:r w:rsidR="00A745C9">
        <w:t>8:12</w:t>
      </w:r>
      <w:r w:rsidR="00571C10">
        <w:t xml:space="preserve">). </w:t>
      </w:r>
    </w:p>
    <w:p w14:paraId="2BD1EE8F" w14:textId="6D114C3A" w:rsidR="005A36A3" w:rsidRDefault="005A36A3">
      <w:r>
        <w:t xml:space="preserve">This divine nature comes with divine authority. By understanding what God has made one can understand his authority over </w:t>
      </w:r>
      <w:r w:rsidR="005724A7">
        <w:t>world which God has created</w:t>
      </w:r>
      <w:r w:rsidR="001636CE">
        <w:t>.</w:t>
      </w:r>
      <w:r w:rsidR="001636CE">
        <w:rPr>
          <w:rStyle w:val="FootnoteReference"/>
        </w:rPr>
        <w:footnoteReference w:id="45"/>
      </w:r>
      <w:r w:rsidR="005724A7">
        <w:t xml:space="preserve">This authority is evidence within Genesis 2 with the instructions to not </w:t>
      </w:r>
      <w:r w:rsidR="00DF667A">
        <w:t xml:space="preserve">eat of the tree of life. Despite being made in Gods image, mankind is still given rules to follow to draw distinction between that which is divine, and that which is divinely created. </w:t>
      </w:r>
    </w:p>
    <w:p w14:paraId="16B2E40B" w14:textId="561E5449" w:rsidR="00F25D2F" w:rsidRPr="001636CE" w:rsidRDefault="00F25D2F" w:rsidP="00F25D2F">
      <w:pPr>
        <w:rPr>
          <w:b/>
          <w:bCs/>
        </w:rPr>
      </w:pPr>
      <w:r w:rsidRPr="001636CE">
        <w:rPr>
          <w:b/>
          <w:bCs/>
        </w:rPr>
        <w:t xml:space="preserve">What </w:t>
      </w:r>
      <w:r>
        <w:rPr>
          <w:b/>
          <w:bCs/>
        </w:rPr>
        <w:t>is the holy spirit</w:t>
      </w:r>
      <w:r w:rsidRPr="001636CE">
        <w:rPr>
          <w:b/>
          <w:bCs/>
        </w:rPr>
        <w:t>? The key factors and its importance for understanding theology</w:t>
      </w:r>
    </w:p>
    <w:p w14:paraId="16676839" w14:textId="03541B75" w:rsidR="00585BBC" w:rsidRDefault="0046480F">
      <w:r>
        <w:t xml:space="preserve">Amos Yong </w:t>
      </w:r>
      <w:r w:rsidR="00E6673C">
        <w:t>be</w:t>
      </w:r>
      <w:r w:rsidR="002137DD">
        <w:t>g</w:t>
      </w:r>
      <w:r w:rsidR="00E6673C">
        <w:t xml:space="preserve">ins to examine what the holy spirit is. </w:t>
      </w:r>
      <w:r w:rsidR="000B0CC5">
        <w:t xml:space="preserve">Yong acknowledges that he himself is a Pentecostal theologian, and </w:t>
      </w:r>
      <w:r w:rsidR="00785C29">
        <w:t xml:space="preserve">advises that the chapter itself is one that </w:t>
      </w:r>
      <w:r w:rsidR="00BD5112">
        <w:t xml:space="preserve">is </w:t>
      </w:r>
      <w:r w:rsidR="00F96E39">
        <w:t xml:space="preserve">designed to </w:t>
      </w:r>
      <w:r w:rsidR="00017C92">
        <w:t>construct a theology of the spirit, which itself is inspired by the spirit.</w:t>
      </w:r>
      <w:r w:rsidR="00017C92">
        <w:rPr>
          <w:rStyle w:val="FootnoteReference"/>
        </w:rPr>
        <w:footnoteReference w:id="46"/>
      </w:r>
      <w:r w:rsidR="00017C92">
        <w:t xml:space="preserve"> </w:t>
      </w:r>
      <w:r w:rsidR="00DD4162">
        <w:t xml:space="preserve">As the holy spirit is </w:t>
      </w:r>
      <w:r w:rsidR="000462B4">
        <w:t>introduced and discovered</w:t>
      </w:r>
      <w:r w:rsidR="006C3302">
        <w:t xml:space="preserve"> now through the Bible</w:t>
      </w:r>
      <w:r w:rsidR="00CF68B0">
        <w:t xml:space="preserve"> questions must be asked whether the holy spirit </w:t>
      </w:r>
      <w:r w:rsidR="00647C63">
        <w:t xml:space="preserve">was historically for the ancient prophets </w:t>
      </w:r>
      <w:r w:rsidR="000462B4">
        <w:t xml:space="preserve">of the Bible? for the </w:t>
      </w:r>
      <w:r w:rsidR="00231322">
        <w:t>ancient</w:t>
      </w:r>
      <w:r w:rsidR="000462B4">
        <w:t xml:space="preserve"> </w:t>
      </w:r>
      <w:r w:rsidR="00647C63">
        <w:t>Hebrew</w:t>
      </w:r>
      <w:r w:rsidR="00231322">
        <w:t xml:space="preserve">s? </w:t>
      </w:r>
      <w:r w:rsidR="00BC75DC">
        <w:t>or whether the spirit still speaks through the church today?</w:t>
      </w:r>
      <w:r w:rsidR="00BC75DC">
        <w:rPr>
          <w:rStyle w:val="FootnoteReference"/>
        </w:rPr>
        <w:footnoteReference w:id="47"/>
      </w:r>
    </w:p>
    <w:p w14:paraId="18932A77" w14:textId="650C7F4D" w:rsidR="006413B6" w:rsidRDefault="00021098">
      <w:r>
        <w:t xml:space="preserve">The early orthodox understanding of pneumatology </w:t>
      </w:r>
      <w:r w:rsidR="008A15A7">
        <w:t>was th</w:t>
      </w:r>
      <w:r w:rsidR="00231322">
        <w:t>at the</w:t>
      </w:r>
      <w:r w:rsidR="008A15A7">
        <w:t xml:space="preserve"> spirit is there to generate </w:t>
      </w:r>
      <w:r w:rsidR="007F5483">
        <w:t>one’s</w:t>
      </w:r>
      <w:r w:rsidR="008A15A7">
        <w:t xml:space="preserve"> faith, it enables </w:t>
      </w:r>
      <w:r w:rsidR="00292A66">
        <w:t xml:space="preserve">humanity to receive the </w:t>
      </w:r>
      <w:r w:rsidR="007F5483">
        <w:t>Messiah</w:t>
      </w:r>
      <w:r w:rsidR="00292A66">
        <w:t xml:space="preserve"> and is seen as a regenerative work to bring about sonship and union with God.</w:t>
      </w:r>
      <w:r w:rsidR="00292A66">
        <w:rPr>
          <w:rStyle w:val="FootnoteReference"/>
        </w:rPr>
        <w:footnoteReference w:id="48"/>
      </w:r>
      <w:r w:rsidR="00E21B90">
        <w:t xml:space="preserve"> To summarise orthodox thinking Yong explains that this largely remains embedded in scripture, </w:t>
      </w:r>
      <w:r w:rsidR="003205AA">
        <w:t>which is liturgical in orientation and poetic in th</w:t>
      </w:r>
      <w:r w:rsidR="005F29C2">
        <w:t xml:space="preserve">e </w:t>
      </w:r>
      <w:r w:rsidR="003205AA">
        <w:t>expression of the spirit</w:t>
      </w:r>
      <w:r w:rsidR="00770E22">
        <w:t>.</w:t>
      </w:r>
      <w:r w:rsidR="003205AA">
        <w:rPr>
          <w:rStyle w:val="FootnoteReference"/>
        </w:rPr>
        <w:footnoteReference w:id="49"/>
      </w:r>
    </w:p>
    <w:p w14:paraId="3FC27E12" w14:textId="6DEB0BEC" w:rsidR="0045402D" w:rsidRDefault="00D4713C">
      <w:r>
        <w:t xml:space="preserve">Understanding the Orthodox view, attention is given to a larger global understanding by examining the thoughts of those </w:t>
      </w:r>
      <w:r w:rsidR="00DD7696">
        <w:t>from</w:t>
      </w:r>
      <w:r w:rsidR="00991CAA">
        <w:t xml:space="preserve"> other cultures. In </w:t>
      </w:r>
      <w:r w:rsidR="00DD7696">
        <w:t xml:space="preserve">an </w:t>
      </w:r>
      <w:r w:rsidR="00991CAA">
        <w:t xml:space="preserve">Asian </w:t>
      </w:r>
      <w:r w:rsidR="00C47D49">
        <w:t>context, there is much divers</w:t>
      </w:r>
      <w:r w:rsidR="00DD7696">
        <w:t>e</w:t>
      </w:r>
      <w:r w:rsidR="00C47D49">
        <w:t xml:space="preserve"> thinkin</w:t>
      </w:r>
      <w:r w:rsidR="001E69F2">
        <w:t>g across the continent. Some focus is given to reconsider</w:t>
      </w:r>
      <w:r w:rsidR="00ED2690">
        <w:t>ing</w:t>
      </w:r>
      <w:r w:rsidR="001E69F2">
        <w:t xml:space="preserve"> how best the spirit mediates and communicates with people. Expressive forms such as dance, music and drama </w:t>
      </w:r>
      <w:r w:rsidR="00C046D9">
        <w:t xml:space="preserve">are </w:t>
      </w:r>
      <w:r w:rsidR="001E69F2">
        <w:t>being introduced as means in which the spirit communicates with people</w:t>
      </w:r>
      <w:r w:rsidR="0045402D">
        <w:t>.</w:t>
      </w:r>
      <w:r w:rsidR="001E69F2">
        <w:rPr>
          <w:rStyle w:val="FootnoteReference"/>
        </w:rPr>
        <w:footnoteReference w:id="50"/>
      </w:r>
    </w:p>
    <w:p w14:paraId="2F84FCD7" w14:textId="3467A692" w:rsidR="0045402D" w:rsidRDefault="0045402D">
      <w:r>
        <w:t xml:space="preserve">In countries such as India </w:t>
      </w:r>
      <w:r w:rsidR="00E30911">
        <w:t xml:space="preserve">Christian theology can be considered to be underpinned by </w:t>
      </w:r>
      <w:r w:rsidR="00EF64CD">
        <w:t>Hindu</w:t>
      </w:r>
      <w:r w:rsidR="00E30911">
        <w:t xml:space="preserve"> philosophical and contemplative traditions.</w:t>
      </w:r>
      <w:r w:rsidR="00EC6AD4">
        <w:rPr>
          <w:rStyle w:val="FootnoteReference"/>
        </w:rPr>
        <w:footnoteReference w:id="51"/>
      </w:r>
      <w:r w:rsidR="00E30911">
        <w:t xml:space="preserve"> </w:t>
      </w:r>
      <w:r w:rsidR="00E54A9F">
        <w:t>Thus,</w:t>
      </w:r>
      <w:r w:rsidR="00E30911">
        <w:t xml:space="preserve"> having an impact on </w:t>
      </w:r>
      <w:r w:rsidR="00AD60F8">
        <w:t xml:space="preserve">the understanding of </w:t>
      </w:r>
      <w:r w:rsidR="00EF64CD">
        <w:t xml:space="preserve">pneumatology. </w:t>
      </w:r>
      <w:r w:rsidR="00E82CF1">
        <w:t xml:space="preserve"> The impact of culture can </w:t>
      </w:r>
      <w:r w:rsidR="00C046D9">
        <w:t xml:space="preserve">also </w:t>
      </w:r>
      <w:r w:rsidR="00E82CF1">
        <w:t>be found within Africa</w:t>
      </w:r>
      <w:r w:rsidR="00C046D9">
        <w:t xml:space="preserve">n </w:t>
      </w:r>
      <w:r w:rsidR="00AD60F8">
        <w:t>pneumatology</w:t>
      </w:r>
      <w:r w:rsidR="00071D3C">
        <w:t>. African Christianity is one that involves healings, miracles, exorcism, deliverance, signs and wonders.</w:t>
      </w:r>
      <w:r w:rsidR="002C1206">
        <w:rPr>
          <w:rStyle w:val="FootnoteReference"/>
        </w:rPr>
        <w:footnoteReference w:id="52"/>
      </w:r>
      <w:r w:rsidR="00071D3C">
        <w:t xml:space="preserve"> There </w:t>
      </w:r>
      <w:r w:rsidR="00071D3C">
        <w:lastRenderedPageBreak/>
        <w:t xml:space="preserve">is a culture </w:t>
      </w:r>
      <w:r w:rsidR="002C1206">
        <w:t>of witchcraft in Africa which when considering the holy spirit is prominent throughout their pneumatology.</w:t>
      </w:r>
      <w:r w:rsidR="003C5E49">
        <w:rPr>
          <w:rStyle w:val="FootnoteReference"/>
        </w:rPr>
        <w:footnoteReference w:id="53"/>
      </w:r>
    </w:p>
    <w:p w14:paraId="3EB6C7A7" w14:textId="1D8F12FE" w:rsidR="0079586E" w:rsidRDefault="00941884">
      <w:r>
        <w:t xml:space="preserve">After considering the cultural and historical impact </w:t>
      </w:r>
      <w:r w:rsidR="00721EC4">
        <w:t xml:space="preserve">Yong revisits </w:t>
      </w:r>
      <w:r w:rsidR="00105D76">
        <w:t>scripture</w:t>
      </w:r>
      <w:r w:rsidR="001137C6">
        <w:t>.</w:t>
      </w:r>
      <w:r w:rsidR="00721EC4">
        <w:t xml:space="preserve"> </w:t>
      </w:r>
      <w:r w:rsidR="001137C6">
        <w:t>R</w:t>
      </w:r>
      <w:r w:rsidR="00721EC4">
        <w:t xml:space="preserve">eferencing the Genesis account </w:t>
      </w:r>
      <w:r w:rsidR="005B54AF">
        <w:t>Yong examines</w:t>
      </w:r>
      <w:r w:rsidR="00721EC4">
        <w:t xml:space="preserve"> </w:t>
      </w:r>
      <w:r w:rsidR="00105D76">
        <w:t xml:space="preserve">the Lord </w:t>
      </w:r>
      <w:r w:rsidR="005B54AF">
        <w:t xml:space="preserve">as </w:t>
      </w:r>
      <w:r w:rsidR="00105D76">
        <w:t>being the giver of life and the divine wind giving life to creatures including people</w:t>
      </w:r>
      <w:r w:rsidR="005B54AF">
        <w:t>.</w:t>
      </w:r>
      <w:r w:rsidR="00B3561E">
        <w:rPr>
          <w:rStyle w:val="FootnoteReference"/>
        </w:rPr>
        <w:footnoteReference w:id="54"/>
      </w:r>
      <w:r w:rsidR="00105D76">
        <w:t xml:space="preserve"> </w:t>
      </w:r>
      <w:r w:rsidR="005B54AF">
        <w:t>A</w:t>
      </w:r>
      <w:r w:rsidR="00105D76">
        <w:t xml:space="preserve"> problem arises with the spirit giving life in this context </w:t>
      </w:r>
      <w:r w:rsidR="000D2B07">
        <w:t>as</w:t>
      </w:r>
      <w:r w:rsidR="00105D76">
        <w:t xml:space="preserve"> </w:t>
      </w:r>
      <w:r w:rsidR="000D2B07">
        <w:t>it</w:t>
      </w:r>
      <w:r w:rsidR="00105D76">
        <w:t xml:space="preserve"> is not a spirit of salvation </w:t>
      </w:r>
      <w:r w:rsidR="000D2B07">
        <w:t xml:space="preserve">that is </w:t>
      </w:r>
      <w:r w:rsidR="00105D76">
        <w:t xml:space="preserve">often agreed upon within the church. </w:t>
      </w:r>
      <w:r w:rsidR="000D2B07">
        <w:t>R</w:t>
      </w:r>
      <w:r w:rsidR="00FC6433">
        <w:t xml:space="preserve">econsideration must </w:t>
      </w:r>
      <w:r w:rsidR="000D2B07">
        <w:t xml:space="preserve">then </w:t>
      </w:r>
      <w:r w:rsidR="00FC6433">
        <w:t>be given to the relationship between the spirit of creation and the spirit of Pentecost.</w:t>
      </w:r>
      <w:r w:rsidR="00FC6433">
        <w:rPr>
          <w:rStyle w:val="FootnoteReference"/>
        </w:rPr>
        <w:footnoteReference w:id="55"/>
      </w:r>
      <w:r w:rsidR="00FC6433">
        <w:t xml:space="preserve"> </w:t>
      </w:r>
    </w:p>
    <w:p w14:paraId="63B66A20" w14:textId="3400C68A" w:rsidR="00F7460A" w:rsidRDefault="00F7460A">
      <w:r>
        <w:t xml:space="preserve">All of the traditions and understanding of what the holy spirit is, impacts and </w:t>
      </w:r>
      <w:r w:rsidR="0099055A">
        <w:t xml:space="preserve">influences our understanding of the role in which the spirit </w:t>
      </w:r>
      <w:r w:rsidR="00B3795A">
        <w:t>plays</w:t>
      </w:r>
      <w:r w:rsidR="0099055A">
        <w:t xml:space="preserve">, </w:t>
      </w:r>
      <w:r w:rsidR="00B3795A">
        <w:t xml:space="preserve">the trinity </w:t>
      </w:r>
      <w:r w:rsidR="0099055A">
        <w:t>and ultimately of God</w:t>
      </w:r>
      <w:r w:rsidR="00B3795A">
        <w:t xml:space="preserve">. </w:t>
      </w:r>
      <w:r w:rsidR="00151A11">
        <w:t xml:space="preserve">It can be said that the spirit </w:t>
      </w:r>
      <w:r w:rsidR="00502EC5">
        <w:t xml:space="preserve">is present </w:t>
      </w:r>
      <w:r w:rsidR="00D65304">
        <w:t xml:space="preserve">and </w:t>
      </w:r>
      <w:r w:rsidR="00502EC5">
        <w:t xml:space="preserve">continuing to speak today </w:t>
      </w:r>
      <w:r w:rsidR="00494BEB">
        <w:t>not confined to a</w:t>
      </w:r>
      <w:r w:rsidR="00502EC5">
        <w:t xml:space="preserve"> purely historic event. Th</w:t>
      </w:r>
      <w:r w:rsidR="00494BEB">
        <w:t>e evidence for the spirit at work beyond prophets and ancient Hebrews is found within</w:t>
      </w:r>
      <w:r w:rsidR="00502EC5">
        <w:t xml:space="preserve"> </w:t>
      </w:r>
      <w:r w:rsidR="00C02788">
        <w:t>the scripture</w:t>
      </w:r>
      <w:r w:rsidR="00494BEB">
        <w:t>.</w:t>
      </w:r>
      <w:r w:rsidR="0066398A">
        <w:t xml:space="preserve"> A</w:t>
      </w:r>
      <w:r w:rsidR="00C02788">
        <w:t xml:space="preserve">postolic witnesses </w:t>
      </w:r>
      <w:r w:rsidR="0066398A">
        <w:t xml:space="preserve">are said to have received </w:t>
      </w:r>
      <w:r w:rsidR="00C02788">
        <w:t xml:space="preserve">the spirit </w:t>
      </w:r>
      <w:r w:rsidR="0066398A">
        <w:t xml:space="preserve">and </w:t>
      </w:r>
      <w:r w:rsidR="00C02788">
        <w:t>continued to speak through the followers of Jesus.</w:t>
      </w:r>
      <w:r w:rsidR="00B11EF4">
        <w:rPr>
          <w:rStyle w:val="FootnoteReference"/>
        </w:rPr>
        <w:footnoteReference w:id="56"/>
      </w:r>
      <w:r w:rsidR="00C02788">
        <w:t xml:space="preserve"> Furthermore </w:t>
      </w:r>
      <w:r w:rsidR="003F746D">
        <w:t>in Luke Jesus tells his disc</w:t>
      </w:r>
      <w:r w:rsidR="006B00B4">
        <w:t xml:space="preserve">iples that they would be </w:t>
      </w:r>
      <w:r w:rsidR="00D5334D">
        <w:t>empowered</w:t>
      </w:r>
      <w:r w:rsidR="006B00B4">
        <w:t xml:space="preserve"> through the spirit to the ends of the earth. </w:t>
      </w:r>
      <w:r w:rsidR="007607DA">
        <w:t>The</w:t>
      </w:r>
      <w:r w:rsidR="006B00B4">
        <w:t xml:space="preserve"> Greek word</w:t>
      </w:r>
      <w:r w:rsidR="002D749F">
        <w:t xml:space="preserve"> ‘breadth’</w:t>
      </w:r>
      <w:r w:rsidR="006B00B4">
        <w:t xml:space="preserve"> </w:t>
      </w:r>
      <w:r w:rsidR="00D5334D">
        <w:t>referring</w:t>
      </w:r>
      <w:r w:rsidR="007607DA">
        <w:t xml:space="preserve"> </w:t>
      </w:r>
      <w:r w:rsidR="006B00B4">
        <w:t>not only to a physi</w:t>
      </w:r>
      <w:r w:rsidR="00D5334D">
        <w:t>cal space, but to the ends of the times of the earth.</w:t>
      </w:r>
      <w:r w:rsidR="00D5334D">
        <w:rPr>
          <w:rStyle w:val="FootnoteReference"/>
        </w:rPr>
        <w:footnoteReference w:id="57"/>
      </w:r>
      <w:r w:rsidR="00D5334D">
        <w:t xml:space="preserve"> </w:t>
      </w:r>
      <w:r w:rsidR="000F28AE">
        <w:t xml:space="preserve"> How and who </w:t>
      </w:r>
      <w:r w:rsidR="00D714DE">
        <w:t xml:space="preserve">therefore </w:t>
      </w:r>
      <w:r w:rsidR="000F28AE">
        <w:t xml:space="preserve">is empowered is fundamental to developing pneumatology, a task that Yong acknowledges may not be </w:t>
      </w:r>
      <w:r w:rsidR="00143A43">
        <w:t>completed overnight</w:t>
      </w:r>
      <w:r w:rsidR="005E2D18">
        <w:t>.</w:t>
      </w:r>
      <w:r w:rsidR="005E2D18">
        <w:rPr>
          <w:rStyle w:val="FootnoteReference"/>
        </w:rPr>
        <w:footnoteReference w:id="58"/>
      </w:r>
      <w:r w:rsidR="00143A43">
        <w:t xml:space="preserve"> </w:t>
      </w:r>
      <w:r w:rsidR="00D714DE">
        <w:t>Yong</w:t>
      </w:r>
      <w:r w:rsidR="00C92793">
        <w:t>’</w:t>
      </w:r>
      <w:r w:rsidR="00D714DE">
        <w:t xml:space="preserve">s chapter is an introduction therefore </w:t>
      </w:r>
      <w:r w:rsidR="00FC72E9">
        <w:t xml:space="preserve">to understanding a small historical and </w:t>
      </w:r>
      <w:r w:rsidR="002B1C6B">
        <w:t xml:space="preserve">partial </w:t>
      </w:r>
      <w:r w:rsidR="00FC72E9">
        <w:t>cultural response to this question. It is not the only answer</w:t>
      </w:r>
      <w:r w:rsidR="00401297">
        <w:t xml:space="preserve"> but an answer </w:t>
      </w:r>
      <w:r w:rsidR="00933F33">
        <w:t xml:space="preserve">that </w:t>
      </w:r>
      <w:r w:rsidR="0019411D">
        <w:t>will continue to be debated</w:t>
      </w:r>
      <w:r w:rsidR="00C64DCD">
        <w:t>.</w:t>
      </w:r>
      <w:r w:rsidR="00401297">
        <w:rPr>
          <w:rStyle w:val="FootnoteReference"/>
        </w:rPr>
        <w:footnoteReference w:id="59"/>
      </w:r>
    </w:p>
    <w:p w14:paraId="1D7D7C87" w14:textId="5E417EC2" w:rsidR="008B0C7C" w:rsidRDefault="008B0C7C">
      <w:r>
        <w:t xml:space="preserve">During the writing of these reviews of material, I have not utilised any artificial intelligence, all references are recorded within the footnotes and sources within the bibliography. </w:t>
      </w:r>
    </w:p>
    <w:p w14:paraId="05FB2D8F" w14:textId="6FC177BE" w:rsidR="008B0C7C" w:rsidRPr="008B0C7C" w:rsidRDefault="008B0C7C">
      <w:pPr>
        <w:rPr>
          <w:i/>
          <w:iCs/>
        </w:rPr>
      </w:pPr>
      <w:r>
        <w:tab/>
      </w:r>
      <w:r>
        <w:tab/>
      </w:r>
      <w:r>
        <w:tab/>
      </w:r>
      <w:r>
        <w:tab/>
      </w:r>
      <w:r>
        <w:tab/>
      </w:r>
      <w:r>
        <w:tab/>
      </w:r>
      <w:r>
        <w:tab/>
      </w:r>
      <w:r>
        <w:tab/>
      </w:r>
      <w:r>
        <w:tab/>
      </w:r>
      <w:r>
        <w:tab/>
      </w:r>
      <w:r>
        <w:rPr>
          <w:i/>
          <w:iCs/>
        </w:rPr>
        <w:t>Word count 2646</w:t>
      </w:r>
    </w:p>
    <w:p w14:paraId="5F917BE1" w14:textId="77777777" w:rsidR="00150BE3" w:rsidRDefault="00150BE3"/>
    <w:p w14:paraId="1C068626" w14:textId="77777777" w:rsidR="00150BE3" w:rsidRDefault="00150BE3"/>
    <w:p w14:paraId="79137457" w14:textId="77777777" w:rsidR="00150BE3" w:rsidRDefault="00150BE3"/>
    <w:p w14:paraId="49A1F2CA" w14:textId="77777777" w:rsidR="00150BE3" w:rsidRDefault="00150BE3"/>
    <w:p w14:paraId="513E3DF1" w14:textId="77777777" w:rsidR="00150BE3" w:rsidRDefault="00150BE3"/>
    <w:p w14:paraId="03A6C947" w14:textId="77777777" w:rsidR="00150BE3" w:rsidRDefault="00150BE3"/>
    <w:p w14:paraId="5DD7F723" w14:textId="77777777" w:rsidR="00150BE3" w:rsidRDefault="00150BE3"/>
    <w:p w14:paraId="0C6C9B04" w14:textId="77777777" w:rsidR="00150BE3" w:rsidRDefault="00150BE3"/>
    <w:p w14:paraId="7D4C87C4" w14:textId="77777777" w:rsidR="00150BE3" w:rsidRDefault="00150BE3"/>
    <w:p w14:paraId="7FC33B75" w14:textId="77777777" w:rsidR="00150BE3" w:rsidRDefault="00150BE3"/>
    <w:p w14:paraId="7478B5CF" w14:textId="682BDB69" w:rsidR="00150BE3" w:rsidRPr="008B0C7C" w:rsidRDefault="00621C30">
      <w:pPr>
        <w:rPr>
          <w:b/>
          <w:bCs/>
        </w:rPr>
      </w:pPr>
      <w:r w:rsidRPr="008B0C7C">
        <w:rPr>
          <w:b/>
          <w:bCs/>
        </w:rPr>
        <w:lastRenderedPageBreak/>
        <w:t>Bibliography:</w:t>
      </w:r>
    </w:p>
    <w:p w14:paraId="1DB53560" w14:textId="77777777" w:rsidR="00150BE3" w:rsidRDefault="00150BE3"/>
    <w:p w14:paraId="0ABA9CFD" w14:textId="77777777" w:rsidR="00DF03D9" w:rsidRDefault="00DF03D9" w:rsidP="00DF03D9">
      <w:r>
        <w:t xml:space="preserve">Augustine, </w:t>
      </w:r>
      <w:r>
        <w:rPr>
          <w:i/>
          <w:iCs/>
        </w:rPr>
        <w:t xml:space="preserve">The confessions, </w:t>
      </w:r>
      <w:r>
        <w:t>book VII</w:t>
      </w:r>
    </w:p>
    <w:p w14:paraId="217CF3C6" w14:textId="77777777" w:rsidR="00150BE3" w:rsidRDefault="00150BE3"/>
    <w:p w14:paraId="6087CD31" w14:textId="77777777" w:rsidR="00FE47D7" w:rsidRDefault="00FE47D7" w:rsidP="00FE47D7">
      <w:r w:rsidRPr="00274FEE">
        <w:t xml:space="preserve">Craffert, </w:t>
      </w:r>
      <w:r>
        <w:t xml:space="preserve">F. Pieter </w:t>
      </w:r>
      <w:r w:rsidRPr="00274FEE">
        <w:t>and</w:t>
      </w:r>
      <w:r>
        <w:t xml:space="preserve"> J. J.</w:t>
      </w:r>
      <w:r w:rsidRPr="00274FEE">
        <w:t xml:space="preserve"> Pieter</w:t>
      </w:r>
      <w:r>
        <w:t>,</w:t>
      </w:r>
      <w:r w:rsidRPr="00274FEE">
        <w:t xml:space="preserve"> Botha. 2005. ‘WHY JESUS COULD WALK ON THE SEA BUT HE COULD NOT READ AND WRITE: Reflections on Historicity and Interpretation in Historical Jesus Research’, </w:t>
      </w:r>
      <w:r w:rsidRPr="00274FEE">
        <w:rPr>
          <w:i/>
          <w:iCs/>
        </w:rPr>
        <w:t>Neotestamentica</w:t>
      </w:r>
      <w:r w:rsidRPr="00274FEE">
        <w:t xml:space="preserve"> (Pretoria), 39.1, pp. 5–38</w:t>
      </w:r>
      <w:r>
        <w:t>.</w:t>
      </w:r>
    </w:p>
    <w:p w14:paraId="32AAE108" w14:textId="77777777" w:rsidR="00FE47D7" w:rsidRDefault="00FE47D7"/>
    <w:p w14:paraId="213D7CDC" w14:textId="77777777" w:rsidR="00FE47D7" w:rsidRDefault="00FE47D7" w:rsidP="00FE47D7">
      <w:r w:rsidRPr="00EE0CB8">
        <w:t xml:space="preserve">Estes, </w:t>
      </w:r>
      <w:r>
        <w:t xml:space="preserve">Douglas, </w:t>
      </w:r>
      <w:r w:rsidRPr="00EE0CB8">
        <w:t xml:space="preserve">2020. ‘DUALISM OR PARADOX? A NEW “LIGHT” ON THE GOSPEL OF JOHN’, </w:t>
      </w:r>
      <w:r w:rsidRPr="00EE0CB8">
        <w:rPr>
          <w:i/>
          <w:iCs/>
        </w:rPr>
        <w:t>Journal of Theological Studies</w:t>
      </w:r>
      <w:r w:rsidRPr="00EE0CB8">
        <w:t>, 71.1, pp. 90–118, doi:10.1093/jts/flz168</w:t>
      </w:r>
    </w:p>
    <w:p w14:paraId="7BBA11B8" w14:textId="77777777" w:rsidR="00FE47D7" w:rsidRDefault="00FE47D7" w:rsidP="00FE47D7"/>
    <w:p w14:paraId="2E907D25" w14:textId="243A1126" w:rsidR="00FE47D7" w:rsidRDefault="00FE47D7" w:rsidP="00FE47D7">
      <w:pPr>
        <w:rPr>
          <w:lang w:val="en-US"/>
        </w:rPr>
      </w:pPr>
      <w:r>
        <w:t>Green, Gene L, Et al, 2016, ‘</w:t>
      </w:r>
      <w:r>
        <w:rPr>
          <w:lang w:val="en-US"/>
        </w:rPr>
        <w:t xml:space="preserve">The Spirit Over The Earth’, </w:t>
      </w:r>
      <w:r>
        <w:rPr>
          <w:i/>
          <w:iCs/>
          <w:lang w:val="en-US"/>
        </w:rPr>
        <w:t xml:space="preserve">Majority World Theology Series, </w:t>
      </w:r>
      <w:r>
        <w:rPr>
          <w:lang w:val="en-US"/>
        </w:rPr>
        <w:t>(William B Eerdmans)</w:t>
      </w:r>
    </w:p>
    <w:p w14:paraId="6CD782DE" w14:textId="77777777" w:rsidR="00FE47D7" w:rsidRDefault="00FE47D7" w:rsidP="00FE47D7">
      <w:pPr>
        <w:rPr>
          <w:lang w:val="en-US"/>
        </w:rPr>
      </w:pPr>
    </w:p>
    <w:p w14:paraId="657D1760" w14:textId="28EE360A" w:rsidR="00FE47D7" w:rsidRDefault="00FE47D7" w:rsidP="00FE47D7">
      <w:r w:rsidRPr="003C7D60">
        <w:t xml:space="preserve">Harvey, Susan Ashbrook, and David G. Hunter. 2008. </w:t>
      </w:r>
      <w:r w:rsidRPr="003C7D60">
        <w:rPr>
          <w:i/>
          <w:iCs/>
        </w:rPr>
        <w:t>The Oxford Handbook of Early Christian Studies</w:t>
      </w:r>
      <w:r w:rsidRPr="003C7D60">
        <w:t xml:space="preserve"> (Oxford: Oxford University Press)</w:t>
      </w:r>
    </w:p>
    <w:p w14:paraId="5B9C6A30" w14:textId="77777777" w:rsidR="00FE47D7" w:rsidRDefault="00FE47D7" w:rsidP="00FE47D7"/>
    <w:p w14:paraId="4CF35D3F" w14:textId="300F7230" w:rsidR="00FE47D7" w:rsidRDefault="00FE47D7" w:rsidP="00FE47D7">
      <w:r w:rsidRPr="005A3F3E">
        <w:t xml:space="preserve">Lim, </w:t>
      </w:r>
      <w:r>
        <w:t xml:space="preserve">Sung Uk, </w:t>
      </w:r>
      <w:r w:rsidRPr="005A3F3E">
        <w:t xml:space="preserve">2021. </w:t>
      </w:r>
      <w:r w:rsidRPr="005A3F3E">
        <w:rPr>
          <w:i/>
          <w:iCs/>
        </w:rPr>
        <w:t>Otherness and Identity in the Gospel of John</w:t>
      </w:r>
      <w:r w:rsidRPr="005A3F3E">
        <w:t xml:space="preserve"> (Basingstoke: Palgrave Macmillan)</w:t>
      </w:r>
    </w:p>
    <w:p w14:paraId="613B9ADB" w14:textId="4F2D9658" w:rsidR="00150BE3" w:rsidRDefault="00150BE3"/>
    <w:p w14:paraId="6B8346C8" w14:textId="3135AF79" w:rsidR="00FE47D7" w:rsidRDefault="00FE47D7">
      <w:r w:rsidRPr="00966519">
        <w:t>McGrath, Alister. </w:t>
      </w:r>
      <w:r>
        <w:t xml:space="preserve">2016, </w:t>
      </w:r>
      <w:r w:rsidRPr="00966519">
        <w:rPr>
          <w:i/>
          <w:iCs/>
        </w:rPr>
        <w:t>The Christian Theology Reader</w:t>
      </w:r>
      <w:r w:rsidRPr="00966519">
        <w:t xml:space="preserve">. 5th ed. </w:t>
      </w:r>
      <w:r>
        <w:t>(</w:t>
      </w:r>
      <w:r w:rsidRPr="00966519">
        <w:t>Wiley</w:t>
      </w:r>
      <w:r>
        <w:t xml:space="preserve"> Blackwell)</w:t>
      </w:r>
      <w:r w:rsidRPr="00966519">
        <w:t xml:space="preserve"> </w:t>
      </w:r>
    </w:p>
    <w:p w14:paraId="0231111C" w14:textId="77777777" w:rsidR="00150BE3" w:rsidRDefault="00150BE3"/>
    <w:p w14:paraId="65518492" w14:textId="61A69A18" w:rsidR="00E9195A" w:rsidRDefault="00E9195A">
      <w:r>
        <w:t>Moltmann,</w:t>
      </w:r>
      <w:r>
        <w:t xml:space="preserve"> Jurgen,</w:t>
      </w:r>
      <w:r>
        <w:t xml:space="preserve"> </w:t>
      </w:r>
      <w:r>
        <w:rPr>
          <w:i/>
          <w:iCs/>
        </w:rPr>
        <w:t>Theology Of Hope</w:t>
      </w:r>
      <w:r>
        <w:t>, (SCM Press, London 1967),</w:t>
      </w:r>
    </w:p>
    <w:p w14:paraId="10971BCC" w14:textId="77777777" w:rsidR="00150BE3" w:rsidRDefault="00150BE3"/>
    <w:p w14:paraId="2F932FEA" w14:textId="77777777" w:rsidR="00150BE3" w:rsidRDefault="00150BE3" w:rsidP="00150BE3">
      <w:r w:rsidRPr="00150BE3">
        <w:t xml:space="preserve">Murphy, Francesca Aran (ed.). 2015. </w:t>
      </w:r>
      <w:r w:rsidRPr="00150BE3">
        <w:rPr>
          <w:i/>
          <w:iCs/>
        </w:rPr>
        <w:t>The Oxford Handbook of Christology</w:t>
      </w:r>
      <w:r w:rsidRPr="00150BE3">
        <w:t>, First edition. (Oxford: Oxford University Press)</w:t>
      </w:r>
    </w:p>
    <w:p w14:paraId="7EABE8FD" w14:textId="77777777" w:rsidR="009217B9" w:rsidRPr="00150BE3" w:rsidRDefault="009217B9" w:rsidP="00150BE3"/>
    <w:p w14:paraId="20C0AF43" w14:textId="26CF2CF2" w:rsidR="00150BE3" w:rsidRDefault="009217B9">
      <w:pPr>
        <w:rPr>
          <w:lang w:val="en-US"/>
        </w:rPr>
      </w:pPr>
      <w:r w:rsidRPr="009B125B">
        <w:rPr>
          <w:lang w:val="en-US"/>
        </w:rPr>
        <w:t xml:space="preserve">Nagasawa, </w:t>
      </w:r>
      <w:r>
        <w:rPr>
          <w:lang w:val="en-US"/>
        </w:rPr>
        <w:t xml:space="preserve">Yugin, 2024, </w:t>
      </w:r>
      <w:r w:rsidRPr="009B125B">
        <w:rPr>
          <w:i/>
          <w:iCs/>
          <w:lang w:val="en-US"/>
        </w:rPr>
        <w:t>The Problem of Evil for Atheists</w:t>
      </w:r>
      <w:r w:rsidRPr="009B125B">
        <w:rPr>
          <w:lang w:val="en-US"/>
        </w:rPr>
        <w:t xml:space="preserve"> (Oxford: Oxford University Press</w:t>
      </w:r>
      <w:r>
        <w:rPr>
          <w:lang w:val="en-US"/>
        </w:rPr>
        <w:t>)</w:t>
      </w:r>
    </w:p>
    <w:p w14:paraId="7F1DBBDA" w14:textId="77777777" w:rsidR="009217B9" w:rsidRDefault="009217B9"/>
    <w:p w14:paraId="00B893CA" w14:textId="77777777" w:rsidR="00FE47D7" w:rsidRDefault="00FE47D7" w:rsidP="00FE47D7">
      <w:r>
        <w:t xml:space="preserve">The Holy Bible, NRSVUE, </w:t>
      </w:r>
      <w:hyperlink r:id="rId6" w:history="1">
        <w:r w:rsidRPr="00067B34">
          <w:rPr>
            <w:rStyle w:val="Hyperlink"/>
          </w:rPr>
          <w:t>https://www.biblegateway.com/versions/New-Revised-Standard-Version-Updated-Edition-NRSVue-Bible/</w:t>
        </w:r>
      </w:hyperlink>
      <w:r>
        <w:t>, [Accessed 22</w:t>
      </w:r>
      <w:r w:rsidRPr="0041572B">
        <w:rPr>
          <w:vertAlign w:val="superscript"/>
        </w:rPr>
        <w:t>nd</w:t>
      </w:r>
      <w:r>
        <w:t xml:space="preserve"> July 2026]</w:t>
      </w:r>
    </w:p>
    <w:p w14:paraId="440A6E05" w14:textId="77777777" w:rsidR="00FE47D7" w:rsidRPr="00FE47D7" w:rsidRDefault="00FE47D7" w:rsidP="00FE47D7"/>
    <w:p w14:paraId="5F2B9427" w14:textId="77777777" w:rsidR="00FE47D7" w:rsidRPr="00FE47D7" w:rsidRDefault="00FE47D7" w:rsidP="00FE47D7">
      <w:r w:rsidRPr="00FE47D7">
        <w:t xml:space="preserve">Vorster, Jacobus M. 2023. ‘Six Decades of Moltmann’s Theology of Hope and Tangible Hope in South Africa Today’, </w:t>
      </w:r>
      <w:r w:rsidRPr="00FE47D7">
        <w:rPr>
          <w:i/>
          <w:iCs/>
        </w:rPr>
        <w:t>Hervormde Teologiese Studies</w:t>
      </w:r>
      <w:r w:rsidRPr="00FE47D7">
        <w:t xml:space="preserve"> (Pretoria), 79.1</w:t>
      </w:r>
    </w:p>
    <w:p w14:paraId="7B857191" w14:textId="536E65E2" w:rsidR="00966519" w:rsidRDefault="00966519"/>
    <w:sectPr w:rsidR="009665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34E02" w14:textId="77777777" w:rsidR="003A6AC3" w:rsidRDefault="003A6AC3" w:rsidP="002835E5">
      <w:pPr>
        <w:spacing w:after="0" w:line="240" w:lineRule="auto"/>
      </w:pPr>
      <w:r>
        <w:separator/>
      </w:r>
    </w:p>
  </w:endnote>
  <w:endnote w:type="continuationSeparator" w:id="0">
    <w:p w14:paraId="3CB51183" w14:textId="77777777" w:rsidR="003A6AC3" w:rsidRDefault="003A6AC3" w:rsidP="002835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1B2DE" w14:textId="77777777" w:rsidR="003A6AC3" w:rsidRDefault="003A6AC3" w:rsidP="002835E5">
      <w:pPr>
        <w:spacing w:after="0" w:line="240" w:lineRule="auto"/>
      </w:pPr>
      <w:r>
        <w:separator/>
      </w:r>
    </w:p>
  </w:footnote>
  <w:footnote w:type="continuationSeparator" w:id="0">
    <w:p w14:paraId="44ED0984" w14:textId="77777777" w:rsidR="003A6AC3" w:rsidRDefault="003A6AC3" w:rsidP="002835E5">
      <w:pPr>
        <w:spacing w:after="0" w:line="240" w:lineRule="auto"/>
      </w:pPr>
      <w:r>
        <w:continuationSeparator/>
      </w:r>
    </w:p>
  </w:footnote>
  <w:footnote w:id="1">
    <w:p w14:paraId="0F311047" w14:textId="0CA2B75F" w:rsidR="00DC0667" w:rsidRDefault="00DC0667">
      <w:pPr>
        <w:pStyle w:val="FootnoteText"/>
      </w:pPr>
      <w:r>
        <w:rPr>
          <w:rStyle w:val="FootnoteReference"/>
        </w:rPr>
        <w:footnoteRef/>
      </w:r>
      <w:r>
        <w:t xml:space="preserve"> </w:t>
      </w:r>
      <w:r w:rsidR="00147736">
        <w:t xml:space="preserve">Jacobus M. </w:t>
      </w:r>
      <w:r w:rsidRPr="00DC0667">
        <w:t xml:space="preserve">Vorster, 2023. ‘Six Decades of Moltmann’s Theology of Hope and Tangible Hope in South Africa Today’, </w:t>
      </w:r>
      <w:r w:rsidRPr="00DC0667">
        <w:rPr>
          <w:i/>
          <w:iCs/>
        </w:rPr>
        <w:t>Hervormde Teologiese Studies</w:t>
      </w:r>
      <w:r w:rsidRPr="00DC0667">
        <w:t xml:space="preserve"> (Pretoria), 79.1, </w:t>
      </w:r>
      <w:r>
        <w:t xml:space="preserve">p. 1. </w:t>
      </w:r>
    </w:p>
  </w:footnote>
  <w:footnote w:id="2">
    <w:p w14:paraId="68349881" w14:textId="68BCF33D" w:rsidR="00893C39" w:rsidRDefault="00893C39">
      <w:pPr>
        <w:pStyle w:val="FootnoteText"/>
      </w:pPr>
      <w:r>
        <w:rPr>
          <w:rStyle w:val="FootnoteReference"/>
        </w:rPr>
        <w:footnoteRef/>
      </w:r>
      <w:r>
        <w:t xml:space="preserve"> </w:t>
      </w:r>
      <w:r w:rsidR="00147736">
        <w:t xml:space="preserve">Jacobus M. </w:t>
      </w:r>
      <w:r w:rsidRPr="00893C39">
        <w:t xml:space="preserve">Vorster, ‘Six Decades of Moltmann’s Theology of Hope and Tangible Hope in South Africa Today’, </w:t>
      </w:r>
      <w:r w:rsidRPr="00893C39">
        <w:rPr>
          <w:i/>
          <w:iCs/>
        </w:rPr>
        <w:t>Hervormde Teologiese Studies</w:t>
      </w:r>
      <w:r w:rsidRPr="00893C39">
        <w:t xml:space="preserve"> </w:t>
      </w:r>
      <w:r>
        <w:t xml:space="preserve">p. 3. </w:t>
      </w:r>
    </w:p>
  </w:footnote>
  <w:footnote w:id="3">
    <w:p w14:paraId="5EAD4E14" w14:textId="60B9D510" w:rsidR="002835E5" w:rsidRDefault="002835E5">
      <w:pPr>
        <w:pStyle w:val="FootnoteText"/>
      </w:pPr>
      <w:r>
        <w:rPr>
          <w:rStyle w:val="FootnoteReference"/>
        </w:rPr>
        <w:footnoteRef/>
      </w:r>
      <w:r w:rsidR="00FC4BFD">
        <w:t xml:space="preserve"> Jurgen Moltmann, </w:t>
      </w:r>
      <w:r w:rsidR="00FC4BFD">
        <w:rPr>
          <w:i/>
          <w:iCs/>
        </w:rPr>
        <w:t>Theology Of Hope</w:t>
      </w:r>
      <w:r w:rsidR="00FC4BFD">
        <w:t>, (SCM Press</w:t>
      </w:r>
      <w:r w:rsidR="00952159">
        <w:t xml:space="preserve">, </w:t>
      </w:r>
      <w:r w:rsidR="00E35F7B">
        <w:t xml:space="preserve">London </w:t>
      </w:r>
      <w:r w:rsidR="00952159">
        <w:t>196</w:t>
      </w:r>
      <w:r w:rsidR="00E35F7B">
        <w:t>7</w:t>
      </w:r>
      <w:r w:rsidR="00FC4BFD">
        <w:t>), p. 25.</w:t>
      </w:r>
    </w:p>
  </w:footnote>
  <w:footnote w:id="4">
    <w:p w14:paraId="213632FA" w14:textId="51F318FC" w:rsidR="002835E5" w:rsidRDefault="002835E5">
      <w:pPr>
        <w:pStyle w:val="FootnoteText"/>
      </w:pPr>
      <w:r>
        <w:rPr>
          <w:rStyle w:val="FootnoteReference"/>
        </w:rPr>
        <w:footnoteRef/>
      </w:r>
      <w:r w:rsidR="00FC4BFD">
        <w:t xml:space="preserve"> Jurgen Moltmann,</w:t>
      </w:r>
      <w:r w:rsidR="00952159">
        <w:t xml:space="preserve"> </w:t>
      </w:r>
      <w:r w:rsidR="00FC4BFD">
        <w:rPr>
          <w:i/>
          <w:iCs/>
        </w:rPr>
        <w:t>Theology Of Hope</w:t>
      </w:r>
      <w:r w:rsidR="00FC4BFD">
        <w:t xml:space="preserve">, p. </w:t>
      </w:r>
      <w:r>
        <w:t>8</w:t>
      </w:r>
      <w:r w:rsidR="00503779">
        <w:t>.</w:t>
      </w:r>
    </w:p>
  </w:footnote>
  <w:footnote w:id="5">
    <w:p w14:paraId="48F8205A" w14:textId="44CFED0F" w:rsidR="002835E5" w:rsidRDefault="002835E5">
      <w:pPr>
        <w:pStyle w:val="FootnoteText"/>
      </w:pPr>
      <w:r>
        <w:rPr>
          <w:rStyle w:val="FootnoteReference"/>
        </w:rPr>
        <w:footnoteRef/>
      </w:r>
      <w:r>
        <w:t xml:space="preserve"> </w:t>
      </w:r>
      <w:r w:rsidR="00DE5D03">
        <w:t>Ibid</w:t>
      </w:r>
      <w:r w:rsidR="00002C24">
        <w:t>.</w:t>
      </w:r>
      <w:r w:rsidR="00FC4BFD">
        <w:t xml:space="preserve"> p. </w:t>
      </w:r>
      <w:r>
        <w:t>8</w:t>
      </w:r>
      <w:r w:rsidR="00503779">
        <w:t>.</w:t>
      </w:r>
    </w:p>
  </w:footnote>
  <w:footnote w:id="6">
    <w:p w14:paraId="0B1419CB" w14:textId="0B9A1044" w:rsidR="002835E5" w:rsidRDefault="002835E5">
      <w:pPr>
        <w:pStyle w:val="FootnoteText"/>
      </w:pPr>
      <w:r>
        <w:rPr>
          <w:rStyle w:val="FootnoteReference"/>
        </w:rPr>
        <w:footnoteRef/>
      </w:r>
      <w:r>
        <w:t xml:space="preserve"> </w:t>
      </w:r>
      <w:r w:rsidR="00DE5D03">
        <w:t>Ibid</w:t>
      </w:r>
      <w:r w:rsidR="00002C24">
        <w:t xml:space="preserve">. </w:t>
      </w:r>
      <w:r w:rsidR="00FC4BFD">
        <w:t xml:space="preserve">p. </w:t>
      </w:r>
      <w:r>
        <w:t>9</w:t>
      </w:r>
      <w:r w:rsidR="00503779">
        <w:t>.</w:t>
      </w:r>
    </w:p>
  </w:footnote>
  <w:footnote w:id="7">
    <w:p w14:paraId="248F5101" w14:textId="224DEE04" w:rsidR="002835E5" w:rsidRDefault="002835E5">
      <w:pPr>
        <w:pStyle w:val="FootnoteText"/>
      </w:pPr>
      <w:r>
        <w:rPr>
          <w:rStyle w:val="FootnoteReference"/>
        </w:rPr>
        <w:footnoteRef/>
      </w:r>
      <w:r w:rsidR="00FC4BFD">
        <w:t xml:space="preserve"> </w:t>
      </w:r>
      <w:r w:rsidR="00DE5D03">
        <w:t>Ibid</w:t>
      </w:r>
      <w:r w:rsidR="00002C24">
        <w:t>.</w:t>
      </w:r>
      <w:r w:rsidR="00FC4BFD">
        <w:t xml:space="preserve"> p. </w:t>
      </w:r>
      <w:r>
        <w:t>10</w:t>
      </w:r>
      <w:r w:rsidR="00503779">
        <w:t>.</w:t>
      </w:r>
    </w:p>
  </w:footnote>
  <w:footnote w:id="8">
    <w:p w14:paraId="2018A576" w14:textId="756D60F3" w:rsidR="002835E5" w:rsidRDefault="002835E5">
      <w:pPr>
        <w:pStyle w:val="FootnoteText"/>
      </w:pPr>
      <w:r>
        <w:rPr>
          <w:rStyle w:val="FootnoteReference"/>
        </w:rPr>
        <w:footnoteRef/>
      </w:r>
      <w:r>
        <w:t xml:space="preserve"> </w:t>
      </w:r>
      <w:r w:rsidR="000932AA">
        <w:t>Ibid</w:t>
      </w:r>
      <w:r w:rsidR="00002C24">
        <w:t>.</w:t>
      </w:r>
      <w:r w:rsidR="000932AA">
        <w:t xml:space="preserve"> </w:t>
      </w:r>
      <w:r w:rsidR="00FC4BFD">
        <w:t xml:space="preserve">p. </w:t>
      </w:r>
      <w:r>
        <w:t>10</w:t>
      </w:r>
      <w:r w:rsidR="00503779">
        <w:t>.</w:t>
      </w:r>
    </w:p>
  </w:footnote>
  <w:footnote w:id="9">
    <w:p w14:paraId="68BF2B41" w14:textId="62490CA8" w:rsidR="002835E5" w:rsidRDefault="002835E5">
      <w:pPr>
        <w:pStyle w:val="FootnoteText"/>
      </w:pPr>
      <w:r>
        <w:rPr>
          <w:rStyle w:val="FootnoteReference"/>
        </w:rPr>
        <w:footnoteRef/>
      </w:r>
      <w:r>
        <w:t xml:space="preserve"> </w:t>
      </w:r>
      <w:r w:rsidR="000932AA">
        <w:t>Ibid</w:t>
      </w:r>
      <w:r w:rsidR="00002C24">
        <w:t>.</w:t>
      </w:r>
      <w:r w:rsidR="000932AA">
        <w:t xml:space="preserve"> </w:t>
      </w:r>
      <w:r w:rsidR="00FC4BFD">
        <w:t xml:space="preserve">p. </w:t>
      </w:r>
      <w:r>
        <w:t>16</w:t>
      </w:r>
      <w:r w:rsidR="00503779">
        <w:t>.</w:t>
      </w:r>
    </w:p>
  </w:footnote>
  <w:footnote w:id="10">
    <w:p w14:paraId="6E23BA97" w14:textId="2A2D042B" w:rsidR="00507B3B" w:rsidRDefault="00507B3B">
      <w:pPr>
        <w:pStyle w:val="FootnoteText"/>
      </w:pPr>
      <w:r>
        <w:rPr>
          <w:rStyle w:val="FootnoteReference"/>
        </w:rPr>
        <w:footnoteRef/>
      </w:r>
      <w:r>
        <w:t xml:space="preserve"> </w:t>
      </w:r>
      <w:r w:rsidR="000932AA">
        <w:t>Ibid</w:t>
      </w:r>
      <w:r w:rsidR="00002C24">
        <w:t>.</w:t>
      </w:r>
      <w:r w:rsidR="000932AA">
        <w:t xml:space="preserve"> </w:t>
      </w:r>
      <w:r w:rsidR="00FC4BFD">
        <w:t xml:space="preserve">p. </w:t>
      </w:r>
      <w:r>
        <w:t>12</w:t>
      </w:r>
      <w:r w:rsidR="00503779">
        <w:t>.</w:t>
      </w:r>
    </w:p>
  </w:footnote>
  <w:footnote w:id="11">
    <w:p w14:paraId="71523CD9" w14:textId="1E72FE62" w:rsidR="00507B3B" w:rsidRDefault="00507B3B">
      <w:pPr>
        <w:pStyle w:val="FootnoteText"/>
      </w:pPr>
      <w:r>
        <w:rPr>
          <w:rStyle w:val="FootnoteReference"/>
        </w:rPr>
        <w:footnoteRef/>
      </w:r>
      <w:r>
        <w:t xml:space="preserve"> </w:t>
      </w:r>
      <w:r w:rsidR="000932AA">
        <w:t>Ibid</w:t>
      </w:r>
      <w:r w:rsidR="00002C24">
        <w:t>.</w:t>
      </w:r>
      <w:r w:rsidR="00FC4BFD">
        <w:t xml:space="preserve"> p. </w:t>
      </w:r>
      <w:r>
        <w:t>14</w:t>
      </w:r>
      <w:r w:rsidR="00503779">
        <w:t>.</w:t>
      </w:r>
    </w:p>
  </w:footnote>
  <w:footnote w:id="12">
    <w:p w14:paraId="36F79B6E" w14:textId="37A5767B" w:rsidR="00DE5D03" w:rsidRDefault="00DE5D03">
      <w:pPr>
        <w:pStyle w:val="FootnoteText"/>
      </w:pPr>
      <w:r>
        <w:rPr>
          <w:rStyle w:val="FootnoteReference"/>
        </w:rPr>
        <w:footnoteRef/>
      </w:r>
      <w:r>
        <w:t xml:space="preserve"> </w:t>
      </w:r>
      <w:r w:rsidR="00CB078C">
        <w:t xml:space="preserve">Jacobus M. </w:t>
      </w:r>
      <w:r w:rsidR="00CB078C" w:rsidRPr="00893C39">
        <w:t xml:space="preserve">Vorster, ‘Six Decades of Moltmann’s Theology of Hope and Tangible Hope in South Africa Today’, </w:t>
      </w:r>
      <w:r w:rsidR="00CB078C" w:rsidRPr="00893C39">
        <w:rPr>
          <w:i/>
          <w:iCs/>
        </w:rPr>
        <w:t>Hervormde Teologiese Studies</w:t>
      </w:r>
      <w:r w:rsidR="00CB078C" w:rsidRPr="00893C39">
        <w:t xml:space="preserve"> </w:t>
      </w:r>
      <w:r w:rsidR="00CB078C">
        <w:t>p. 3.</w:t>
      </w:r>
    </w:p>
  </w:footnote>
  <w:footnote w:id="13">
    <w:p w14:paraId="200D17AA" w14:textId="7FD53457" w:rsidR="00FC4BFD" w:rsidRDefault="00FC4BFD">
      <w:pPr>
        <w:pStyle w:val="FootnoteText"/>
      </w:pPr>
      <w:r>
        <w:rPr>
          <w:rStyle w:val="FootnoteReference"/>
        </w:rPr>
        <w:footnoteRef/>
      </w:r>
      <w:r>
        <w:t xml:space="preserve"> Jurgen Moltmann, 1969, </w:t>
      </w:r>
      <w:r>
        <w:rPr>
          <w:i/>
          <w:iCs/>
        </w:rPr>
        <w:t>Theology Of Hope</w:t>
      </w:r>
      <w:r>
        <w:t>, (SCM Press), p. 8</w:t>
      </w:r>
      <w:r w:rsidR="00503779">
        <w:t>.</w:t>
      </w:r>
    </w:p>
  </w:footnote>
  <w:footnote w:id="14">
    <w:p w14:paraId="32DBA6F5" w14:textId="554CBAE0" w:rsidR="009929D9" w:rsidRDefault="009929D9">
      <w:pPr>
        <w:pStyle w:val="FootnoteText"/>
      </w:pPr>
      <w:r>
        <w:rPr>
          <w:rStyle w:val="FootnoteReference"/>
        </w:rPr>
        <w:footnoteRef/>
      </w:r>
      <w:r>
        <w:t xml:space="preserve"> </w:t>
      </w:r>
      <w:r w:rsidR="00150BE3">
        <w:t xml:space="preserve">Francesca Aran </w:t>
      </w:r>
      <w:r w:rsidR="00150BE3" w:rsidRPr="00150BE3">
        <w:t>Murphy,</w:t>
      </w:r>
      <w:r w:rsidR="00150BE3">
        <w:t xml:space="preserve"> </w:t>
      </w:r>
      <w:r w:rsidR="00150BE3" w:rsidRPr="00150BE3">
        <w:t xml:space="preserve">(ed.). 2015. </w:t>
      </w:r>
      <w:r w:rsidR="00150BE3" w:rsidRPr="00150BE3">
        <w:rPr>
          <w:i/>
          <w:iCs/>
        </w:rPr>
        <w:t>The Oxford Handbook of Christology</w:t>
      </w:r>
      <w:r w:rsidR="00150BE3" w:rsidRPr="00150BE3">
        <w:t>, First edition. (Oxford: Oxford University Press)</w:t>
      </w:r>
      <w:r w:rsidR="00150BE3">
        <w:t xml:space="preserve"> p.</w:t>
      </w:r>
      <w:r>
        <w:t xml:space="preserve"> 550</w:t>
      </w:r>
      <w:r w:rsidR="00150BE3">
        <w:t>.</w:t>
      </w:r>
    </w:p>
  </w:footnote>
  <w:footnote w:id="15">
    <w:p w14:paraId="78BC83F9" w14:textId="3E175C42" w:rsidR="00C4280A" w:rsidRDefault="00C4280A">
      <w:pPr>
        <w:pStyle w:val="FootnoteText"/>
      </w:pPr>
      <w:r>
        <w:rPr>
          <w:rStyle w:val="FootnoteReference"/>
        </w:rPr>
        <w:footnoteRef/>
      </w:r>
      <w:r>
        <w:t xml:space="preserve"> </w:t>
      </w:r>
      <w:r>
        <w:t xml:space="preserve">Francesca Aran </w:t>
      </w:r>
      <w:r w:rsidRPr="00150BE3">
        <w:t>Murphy,</w:t>
      </w:r>
      <w:r>
        <w:t xml:space="preserve"> </w:t>
      </w:r>
      <w:r w:rsidRPr="00150BE3">
        <w:t xml:space="preserve">(ed.). 2015. </w:t>
      </w:r>
      <w:r w:rsidRPr="00150BE3">
        <w:rPr>
          <w:i/>
          <w:iCs/>
        </w:rPr>
        <w:t>The Oxford Handbook of Christology</w:t>
      </w:r>
      <w:r w:rsidRPr="00150BE3">
        <w:t>, First edition</w:t>
      </w:r>
      <w:r w:rsidR="00627F41">
        <w:t>,</w:t>
      </w:r>
      <w:r w:rsidRPr="00150BE3">
        <w:t xml:space="preserve"> </w:t>
      </w:r>
      <w:r w:rsidR="00627F41">
        <w:t xml:space="preserve">p. </w:t>
      </w:r>
      <w:r>
        <w:t xml:space="preserve">550. </w:t>
      </w:r>
    </w:p>
  </w:footnote>
  <w:footnote w:id="16">
    <w:p w14:paraId="4EC049C2" w14:textId="1C2B153E" w:rsidR="009929D9" w:rsidRDefault="009929D9">
      <w:pPr>
        <w:pStyle w:val="FootnoteText"/>
      </w:pPr>
      <w:r>
        <w:rPr>
          <w:rStyle w:val="FootnoteReference"/>
        </w:rPr>
        <w:footnoteRef/>
      </w:r>
      <w:r>
        <w:t xml:space="preserve"> </w:t>
      </w:r>
      <w:r w:rsidR="00627F41">
        <w:t>Ibid.</w:t>
      </w:r>
      <w:r w:rsidR="00150BE3">
        <w:t xml:space="preserve"> p</w:t>
      </w:r>
      <w:r w:rsidR="00150BE3">
        <w:t xml:space="preserve">. </w:t>
      </w:r>
      <w:r>
        <w:t>551</w:t>
      </w:r>
      <w:r w:rsidR="00150BE3">
        <w:t>.</w:t>
      </w:r>
    </w:p>
  </w:footnote>
  <w:footnote w:id="17">
    <w:p w14:paraId="6572D59D" w14:textId="3692D626" w:rsidR="009929D9" w:rsidRDefault="009929D9">
      <w:pPr>
        <w:pStyle w:val="FootnoteText"/>
      </w:pPr>
      <w:r>
        <w:rPr>
          <w:rStyle w:val="FootnoteReference"/>
        </w:rPr>
        <w:footnoteRef/>
      </w:r>
      <w:r>
        <w:t xml:space="preserve"> </w:t>
      </w:r>
      <w:r w:rsidR="00627F41">
        <w:t>Ibid.</w:t>
      </w:r>
      <w:r w:rsidR="00150BE3">
        <w:t xml:space="preserve"> p</w:t>
      </w:r>
      <w:r w:rsidR="00150BE3">
        <w:t xml:space="preserve">. </w:t>
      </w:r>
      <w:r>
        <w:t>551</w:t>
      </w:r>
      <w:r w:rsidR="00150BE3">
        <w:t>.</w:t>
      </w:r>
    </w:p>
  </w:footnote>
  <w:footnote w:id="18">
    <w:p w14:paraId="6DBCD6CA" w14:textId="1A547ED8" w:rsidR="00503779" w:rsidRDefault="00503779">
      <w:pPr>
        <w:pStyle w:val="FootnoteText"/>
      </w:pPr>
      <w:r>
        <w:rPr>
          <w:rStyle w:val="FootnoteReference"/>
        </w:rPr>
        <w:footnoteRef/>
      </w:r>
      <w:r>
        <w:t xml:space="preserve"> </w:t>
      </w:r>
      <w:r w:rsidR="00627F41">
        <w:t>Ibid.</w:t>
      </w:r>
      <w:r w:rsidR="00150BE3">
        <w:t xml:space="preserve"> p</w:t>
      </w:r>
      <w:r w:rsidR="00150BE3">
        <w:t xml:space="preserve">. </w:t>
      </w:r>
      <w:r>
        <w:t>553.</w:t>
      </w:r>
    </w:p>
  </w:footnote>
  <w:footnote w:id="19">
    <w:p w14:paraId="4B42A417" w14:textId="5AEEE859" w:rsidR="00503779" w:rsidRDefault="00503779">
      <w:pPr>
        <w:pStyle w:val="FootnoteText"/>
      </w:pPr>
      <w:r>
        <w:rPr>
          <w:rStyle w:val="FootnoteReference"/>
        </w:rPr>
        <w:footnoteRef/>
      </w:r>
      <w:r w:rsidR="00627F41">
        <w:t xml:space="preserve"> Ibid.</w:t>
      </w:r>
      <w:r w:rsidR="00150BE3">
        <w:t xml:space="preserve"> p</w:t>
      </w:r>
      <w:r w:rsidR="00150BE3">
        <w:t>.</w:t>
      </w:r>
      <w:r>
        <w:t xml:space="preserve"> 554</w:t>
      </w:r>
      <w:r w:rsidR="00150BE3">
        <w:t>.</w:t>
      </w:r>
    </w:p>
  </w:footnote>
  <w:footnote w:id="20">
    <w:p w14:paraId="16194840" w14:textId="6290753F" w:rsidR="00503779" w:rsidRDefault="00503779">
      <w:pPr>
        <w:pStyle w:val="FootnoteText"/>
      </w:pPr>
      <w:r>
        <w:rPr>
          <w:rStyle w:val="FootnoteReference"/>
        </w:rPr>
        <w:footnoteRef/>
      </w:r>
      <w:r>
        <w:t xml:space="preserve"> </w:t>
      </w:r>
      <w:r w:rsidR="00627F41">
        <w:t>Ibid.</w:t>
      </w:r>
      <w:r w:rsidR="00150BE3">
        <w:t xml:space="preserve"> p</w:t>
      </w:r>
      <w:r w:rsidR="00150BE3">
        <w:t>.</w:t>
      </w:r>
      <w:r>
        <w:t xml:space="preserve"> 555</w:t>
      </w:r>
      <w:r w:rsidR="00150BE3">
        <w:t>.</w:t>
      </w:r>
    </w:p>
  </w:footnote>
  <w:footnote w:id="21">
    <w:p w14:paraId="183219D2" w14:textId="2CE697E6" w:rsidR="00503779" w:rsidRDefault="00503779">
      <w:pPr>
        <w:pStyle w:val="FootnoteText"/>
      </w:pPr>
      <w:r>
        <w:rPr>
          <w:rStyle w:val="FootnoteReference"/>
        </w:rPr>
        <w:footnoteRef/>
      </w:r>
      <w:r>
        <w:t xml:space="preserve"> </w:t>
      </w:r>
      <w:r w:rsidR="00627F41">
        <w:t xml:space="preserve">Ibid. </w:t>
      </w:r>
      <w:r w:rsidR="00150BE3">
        <w:t>p</w:t>
      </w:r>
      <w:r w:rsidR="00150BE3">
        <w:t xml:space="preserve">. </w:t>
      </w:r>
      <w:r>
        <w:t>555</w:t>
      </w:r>
      <w:r w:rsidR="00150BE3">
        <w:t>.</w:t>
      </w:r>
    </w:p>
  </w:footnote>
  <w:footnote w:id="22">
    <w:p w14:paraId="7C6ED01C" w14:textId="7A78DAD5" w:rsidR="00503779" w:rsidRDefault="00503779">
      <w:pPr>
        <w:pStyle w:val="FootnoteText"/>
      </w:pPr>
      <w:r>
        <w:rPr>
          <w:rStyle w:val="FootnoteReference"/>
        </w:rPr>
        <w:footnoteRef/>
      </w:r>
      <w:r>
        <w:t xml:space="preserve"> </w:t>
      </w:r>
      <w:r w:rsidR="00627F41">
        <w:t>Ibid.</w:t>
      </w:r>
      <w:r w:rsidR="00150BE3">
        <w:t xml:space="preserve"> p</w:t>
      </w:r>
      <w:r w:rsidR="00150BE3">
        <w:t xml:space="preserve">. </w:t>
      </w:r>
      <w:r>
        <w:t>555</w:t>
      </w:r>
      <w:r w:rsidR="00150BE3">
        <w:t>.</w:t>
      </w:r>
    </w:p>
  </w:footnote>
  <w:footnote w:id="23">
    <w:p w14:paraId="27EB86BE" w14:textId="65874D8A" w:rsidR="00503779" w:rsidRDefault="00503779">
      <w:pPr>
        <w:pStyle w:val="FootnoteText"/>
      </w:pPr>
      <w:r>
        <w:rPr>
          <w:rStyle w:val="FootnoteReference"/>
        </w:rPr>
        <w:footnoteRef/>
      </w:r>
      <w:r>
        <w:t xml:space="preserve"> </w:t>
      </w:r>
      <w:r w:rsidR="00627F41">
        <w:t>Ibid.</w:t>
      </w:r>
      <w:r w:rsidR="00150BE3">
        <w:t xml:space="preserve"> p</w:t>
      </w:r>
      <w:r w:rsidR="00150BE3">
        <w:t xml:space="preserve">. </w:t>
      </w:r>
      <w:r>
        <w:t>560</w:t>
      </w:r>
      <w:r w:rsidR="00150BE3">
        <w:t>.</w:t>
      </w:r>
    </w:p>
  </w:footnote>
  <w:footnote w:id="24">
    <w:p w14:paraId="63B78EFB" w14:textId="3449E6F0" w:rsidR="006B0F4A" w:rsidRDefault="006B0F4A">
      <w:pPr>
        <w:pStyle w:val="FootnoteText"/>
      </w:pPr>
      <w:r>
        <w:rPr>
          <w:rStyle w:val="FootnoteReference"/>
        </w:rPr>
        <w:footnoteRef/>
      </w:r>
      <w:r>
        <w:t xml:space="preserve"> </w:t>
      </w:r>
      <w:r w:rsidR="00627F41">
        <w:t>Ibid.</w:t>
      </w:r>
      <w:r w:rsidR="00150BE3">
        <w:t xml:space="preserve"> p</w:t>
      </w:r>
      <w:r w:rsidR="00150BE3">
        <w:t xml:space="preserve">. </w:t>
      </w:r>
      <w:r>
        <w:t>563</w:t>
      </w:r>
      <w:r w:rsidR="00150BE3">
        <w:t>.</w:t>
      </w:r>
    </w:p>
  </w:footnote>
  <w:footnote w:id="25">
    <w:p w14:paraId="3E26739E" w14:textId="0042F2F9" w:rsidR="006B0F4A" w:rsidRDefault="006B0F4A">
      <w:pPr>
        <w:pStyle w:val="FootnoteText"/>
      </w:pPr>
      <w:r>
        <w:rPr>
          <w:rStyle w:val="FootnoteReference"/>
        </w:rPr>
        <w:footnoteRef/>
      </w:r>
      <w:r>
        <w:t xml:space="preserve"> </w:t>
      </w:r>
      <w:r w:rsidR="00A361E9">
        <w:t xml:space="preserve">Ibid. </w:t>
      </w:r>
      <w:r w:rsidR="00150BE3">
        <w:t>p</w:t>
      </w:r>
      <w:r w:rsidR="00150BE3">
        <w:t xml:space="preserve">. </w:t>
      </w:r>
      <w:r>
        <w:t>563</w:t>
      </w:r>
      <w:r w:rsidR="00150BE3">
        <w:t>.</w:t>
      </w:r>
    </w:p>
  </w:footnote>
  <w:footnote w:id="26">
    <w:p w14:paraId="4BFCF90B" w14:textId="420468E5" w:rsidR="006B0F4A" w:rsidRDefault="006B0F4A">
      <w:pPr>
        <w:pStyle w:val="FootnoteText"/>
      </w:pPr>
      <w:r>
        <w:rPr>
          <w:rStyle w:val="FootnoteReference"/>
        </w:rPr>
        <w:footnoteRef/>
      </w:r>
      <w:r>
        <w:t xml:space="preserve"> </w:t>
      </w:r>
      <w:r w:rsidR="008B0C7C">
        <w:t xml:space="preserve">Francesca Aran </w:t>
      </w:r>
      <w:r w:rsidR="008B0C7C" w:rsidRPr="00150BE3">
        <w:t>Murphy,</w:t>
      </w:r>
      <w:r w:rsidR="008B0C7C">
        <w:t xml:space="preserve"> </w:t>
      </w:r>
      <w:r w:rsidR="008B0C7C" w:rsidRPr="00150BE3">
        <w:t xml:space="preserve">(ed.). 2015. </w:t>
      </w:r>
      <w:r w:rsidR="008B0C7C" w:rsidRPr="00150BE3">
        <w:rPr>
          <w:i/>
          <w:iCs/>
        </w:rPr>
        <w:t>The Oxford Handbook of Christology</w:t>
      </w:r>
      <w:r w:rsidR="008B0C7C" w:rsidRPr="00150BE3">
        <w:t>, First edition</w:t>
      </w:r>
      <w:r w:rsidR="008B0C7C">
        <w:t>,</w:t>
      </w:r>
      <w:r w:rsidR="008B0C7C" w:rsidRPr="00150BE3">
        <w:t xml:space="preserve"> (Oxford: Oxford University Press)</w:t>
      </w:r>
      <w:r w:rsidR="008B0C7C">
        <w:t>, p</w:t>
      </w:r>
      <w:r w:rsidR="00150BE3">
        <w:t xml:space="preserve">. </w:t>
      </w:r>
      <w:r>
        <w:t>565</w:t>
      </w:r>
      <w:r w:rsidR="00150BE3">
        <w:t>.</w:t>
      </w:r>
    </w:p>
  </w:footnote>
  <w:footnote w:id="27">
    <w:p w14:paraId="21F3BF05" w14:textId="763B0E55" w:rsidR="006B0F4A" w:rsidRDefault="006B0F4A">
      <w:pPr>
        <w:pStyle w:val="FootnoteText"/>
      </w:pPr>
      <w:r>
        <w:rPr>
          <w:rStyle w:val="FootnoteReference"/>
        </w:rPr>
        <w:footnoteRef/>
      </w:r>
      <w:r>
        <w:t xml:space="preserve"> </w:t>
      </w:r>
      <w:r w:rsidR="00A361E9">
        <w:t xml:space="preserve">Francesca Aran </w:t>
      </w:r>
      <w:r w:rsidR="00A361E9" w:rsidRPr="00150BE3">
        <w:t>Murphy,</w:t>
      </w:r>
      <w:r w:rsidR="00A361E9">
        <w:t xml:space="preserve"> </w:t>
      </w:r>
      <w:r w:rsidR="00A361E9" w:rsidRPr="00150BE3">
        <w:t xml:space="preserve">(ed.). 2015. </w:t>
      </w:r>
      <w:r w:rsidR="00A361E9" w:rsidRPr="00150BE3">
        <w:rPr>
          <w:i/>
          <w:iCs/>
        </w:rPr>
        <w:t>The Oxford Handbook of Christology</w:t>
      </w:r>
      <w:r w:rsidR="00A361E9" w:rsidRPr="00150BE3">
        <w:t>, First edition</w:t>
      </w:r>
      <w:r w:rsidR="008B0C7C">
        <w:t xml:space="preserve">, </w:t>
      </w:r>
      <w:r w:rsidR="00150BE3">
        <w:t>p</w:t>
      </w:r>
      <w:r w:rsidR="00150BE3">
        <w:t xml:space="preserve">. </w:t>
      </w:r>
      <w:r>
        <w:t>565</w:t>
      </w:r>
      <w:r w:rsidR="00150BE3">
        <w:t xml:space="preserve">. </w:t>
      </w:r>
    </w:p>
  </w:footnote>
  <w:footnote w:id="28">
    <w:p w14:paraId="78E5842A" w14:textId="77777777" w:rsidR="00C438DB" w:rsidRDefault="00C438DB" w:rsidP="00C438DB">
      <w:pPr>
        <w:pStyle w:val="FootnoteText"/>
      </w:pPr>
      <w:r>
        <w:rPr>
          <w:rStyle w:val="FootnoteReference"/>
        </w:rPr>
        <w:footnoteRef/>
      </w:r>
      <w:r>
        <w:t xml:space="preserve"> </w:t>
      </w:r>
      <w:r w:rsidRPr="005A3F3E">
        <w:t xml:space="preserve">Sung Uk Lim, 2021. </w:t>
      </w:r>
      <w:r w:rsidRPr="005A3F3E">
        <w:rPr>
          <w:i/>
          <w:iCs/>
        </w:rPr>
        <w:t>Otherness and Identity in the Gospel of John</w:t>
      </w:r>
      <w:r w:rsidRPr="005A3F3E">
        <w:t xml:space="preserve"> (Basingstoke: Palgrave Macmillan)</w:t>
      </w:r>
      <w:r>
        <w:t xml:space="preserve"> p. 37.</w:t>
      </w:r>
    </w:p>
  </w:footnote>
  <w:footnote w:id="29">
    <w:p w14:paraId="11705B52" w14:textId="7259D750" w:rsidR="00AB65FD" w:rsidRDefault="00AB65FD">
      <w:pPr>
        <w:pStyle w:val="FootnoteText"/>
      </w:pPr>
      <w:r>
        <w:rPr>
          <w:rStyle w:val="FootnoteReference"/>
        </w:rPr>
        <w:footnoteRef/>
      </w:r>
      <w:r>
        <w:t xml:space="preserve"> </w:t>
      </w:r>
      <w:r w:rsidR="003C7D60" w:rsidRPr="003C7D60">
        <w:t xml:space="preserve">Harvey, Susan Ashbrook, and David G. Hunter. 2008. </w:t>
      </w:r>
      <w:r w:rsidR="003C7D60" w:rsidRPr="003C7D60">
        <w:rPr>
          <w:i/>
          <w:iCs/>
        </w:rPr>
        <w:t>The Oxford Handbook of Early Christian Studies</w:t>
      </w:r>
      <w:r w:rsidR="003C7D60" w:rsidRPr="003C7D60">
        <w:t xml:space="preserve"> (Oxford: Oxford University Press)</w:t>
      </w:r>
      <w:r>
        <w:t xml:space="preserve"> p</w:t>
      </w:r>
      <w:r w:rsidR="003C7D60">
        <w:t xml:space="preserve">. </w:t>
      </w:r>
      <w:r>
        <w:t>265</w:t>
      </w:r>
      <w:r w:rsidR="003C7D60">
        <w:t>.</w:t>
      </w:r>
    </w:p>
  </w:footnote>
  <w:footnote w:id="30">
    <w:p w14:paraId="0AA322B5" w14:textId="73C496EA" w:rsidR="00447B29" w:rsidRDefault="00447B29">
      <w:pPr>
        <w:pStyle w:val="FootnoteText"/>
      </w:pPr>
      <w:r>
        <w:rPr>
          <w:rStyle w:val="FootnoteReference"/>
        </w:rPr>
        <w:footnoteRef/>
      </w:r>
      <w:r>
        <w:t xml:space="preserve"> </w:t>
      </w:r>
      <w:r w:rsidR="003C7D60">
        <w:t xml:space="preserve">Susan Ashrbook </w:t>
      </w:r>
      <w:r w:rsidR="003C7D60" w:rsidRPr="003C7D60">
        <w:t xml:space="preserve">Harvey, and David G. Hunter. 2008. </w:t>
      </w:r>
      <w:r w:rsidR="003C7D60" w:rsidRPr="003C7D60">
        <w:rPr>
          <w:i/>
          <w:iCs/>
        </w:rPr>
        <w:t>The Oxford Handbook of Early Christian Studies</w:t>
      </w:r>
      <w:r w:rsidR="003C7D60" w:rsidRPr="003C7D60">
        <w:t xml:space="preserve"> </w:t>
      </w:r>
      <w:r w:rsidR="003C7D60">
        <w:t xml:space="preserve">p. </w:t>
      </w:r>
      <w:r>
        <w:t>266</w:t>
      </w:r>
      <w:r w:rsidR="003C7D60">
        <w:t xml:space="preserve">. </w:t>
      </w:r>
    </w:p>
  </w:footnote>
  <w:footnote w:id="31">
    <w:p w14:paraId="15510732" w14:textId="3F619B34" w:rsidR="00F34F09" w:rsidRDefault="00F34F09">
      <w:pPr>
        <w:pStyle w:val="FootnoteText"/>
      </w:pPr>
      <w:r>
        <w:rPr>
          <w:rStyle w:val="FootnoteReference"/>
        </w:rPr>
        <w:footnoteRef/>
      </w:r>
      <w:r>
        <w:t xml:space="preserve"> </w:t>
      </w:r>
      <w:r w:rsidR="0012519B">
        <w:t xml:space="preserve">Augustine, </w:t>
      </w:r>
      <w:r w:rsidR="00E9195A">
        <w:rPr>
          <w:i/>
          <w:iCs/>
        </w:rPr>
        <w:t xml:space="preserve">The confessions, </w:t>
      </w:r>
      <w:r w:rsidR="00E9195A">
        <w:t xml:space="preserve">book VII, </w:t>
      </w:r>
      <w:r w:rsidR="00800560">
        <w:t>Chapter 3.5</w:t>
      </w:r>
      <w:r w:rsidR="00E9195A">
        <w:t>.</w:t>
      </w:r>
      <w:r w:rsidR="00800560">
        <w:t xml:space="preserve"> </w:t>
      </w:r>
    </w:p>
  </w:footnote>
  <w:footnote w:id="32">
    <w:p w14:paraId="12E12D86" w14:textId="1E8BE259" w:rsidR="00622909" w:rsidRDefault="00622909">
      <w:pPr>
        <w:pStyle w:val="FootnoteText"/>
      </w:pPr>
      <w:r>
        <w:rPr>
          <w:rStyle w:val="FootnoteReference"/>
        </w:rPr>
        <w:footnoteRef/>
      </w:r>
      <w:r>
        <w:t xml:space="preserve"> </w:t>
      </w:r>
      <w:r w:rsidR="00E9195A">
        <w:t xml:space="preserve">Augustine, </w:t>
      </w:r>
      <w:r w:rsidR="00E9195A">
        <w:rPr>
          <w:i/>
          <w:iCs/>
        </w:rPr>
        <w:t xml:space="preserve">The confessions, </w:t>
      </w:r>
      <w:r w:rsidR="00E9195A">
        <w:t xml:space="preserve">book VII, </w:t>
      </w:r>
      <w:r>
        <w:t>Chapter 2</w:t>
      </w:r>
      <w:r w:rsidR="00E9195A">
        <w:t>.</w:t>
      </w:r>
    </w:p>
  </w:footnote>
  <w:footnote w:id="33">
    <w:p w14:paraId="4DF71153" w14:textId="73CCDBAB" w:rsidR="002F11D1" w:rsidRDefault="002F11D1">
      <w:pPr>
        <w:pStyle w:val="FootnoteText"/>
      </w:pPr>
      <w:r>
        <w:rPr>
          <w:rStyle w:val="FootnoteReference"/>
        </w:rPr>
        <w:footnoteRef/>
      </w:r>
      <w:r>
        <w:t xml:space="preserve"> </w:t>
      </w:r>
      <w:r w:rsidR="00627F41">
        <w:t>Ibid.</w:t>
      </w:r>
      <w:r w:rsidR="00E9195A">
        <w:t xml:space="preserve"> </w:t>
      </w:r>
      <w:r>
        <w:t>Chapter 3</w:t>
      </w:r>
      <w:r w:rsidR="00E9195A">
        <w:t>.</w:t>
      </w:r>
    </w:p>
  </w:footnote>
  <w:footnote w:id="34">
    <w:p w14:paraId="047AA809" w14:textId="736CC27F" w:rsidR="000A40C6" w:rsidRDefault="000A40C6">
      <w:pPr>
        <w:pStyle w:val="FootnoteText"/>
      </w:pPr>
      <w:r>
        <w:rPr>
          <w:rStyle w:val="FootnoteReference"/>
        </w:rPr>
        <w:footnoteRef/>
      </w:r>
      <w:r w:rsidR="00E9195A">
        <w:t xml:space="preserve"> </w:t>
      </w:r>
      <w:r w:rsidR="00627F41">
        <w:t>Ibid.</w:t>
      </w:r>
      <w:r>
        <w:t xml:space="preserve"> Chapter 3</w:t>
      </w:r>
      <w:r w:rsidR="00E9195A">
        <w:t>.</w:t>
      </w:r>
    </w:p>
  </w:footnote>
  <w:footnote w:id="35">
    <w:p w14:paraId="119106A3" w14:textId="09694227" w:rsidR="000878E0" w:rsidRDefault="000878E0">
      <w:pPr>
        <w:pStyle w:val="FootnoteText"/>
      </w:pPr>
      <w:r>
        <w:rPr>
          <w:rStyle w:val="FootnoteReference"/>
        </w:rPr>
        <w:footnoteRef/>
      </w:r>
      <w:r>
        <w:t xml:space="preserve"> </w:t>
      </w:r>
      <w:r w:rsidR="00627F41">
        <w:t>Ibid.</w:t>
      </w:r>
      <w:r w:rsidR="00E9195A">
        <w:t xml:space="preserve"> </w:t>
      </w:r>
      <w:r>
        <w:t xml:space="preserve">Chapter </w:t>
      </w:r>
      <w:r w:rsidR="00E43DF1">
        <w:t>7</w:t>
      </w:r>
      <w:r w:rsidR="00E9195A">
        <w:t>.</w:t>
      </w:r>
    </w:p>
  </w:footnote>
  <w:footnote w:id="36">
    <w:p w14:paraId="4823E805" w14:textId="247F9716" w:rsidR="004F5FA7" w:rsidRDefault="004F5FA7">
      <w:pPr>
        <w:pStyle w:val="FootnoteText"/>
      </w:pPr>
      <w:r>
        <w:rPr>
          <w:rStyle w:val="FootnoteReference"/>
        </w:rPr>
        <w:footnoteRef/>
      </w:r>
      <w:r>
        <w:t xml:space="preserve"> </w:t>
      </w:r>
      <w:r w:rsidR="008B0C7C">
        <w:t>Ibid.</w:t>
      </w:r>
      <w:r w:rsidR="00E9195A">
        <w:t xml:space="preserve"> </w:t>
      </w:r>
      <w:r>
        <w:t xml:space="preserve">Chapter </w:t>
      </w:r>
      <w:r w:rsidR="00EA40ED">
        <w:t>7.11</w:t>
      </w:r>
      <w:r w:rsidR="00E9195A">
        <w:t>.</w:t>
      </w:r>
    </w:p>
  </w:footnote>
  <w:footnote w:id="37">
    <w:p w14:paraId="5217A686" w14:textId="4C950E88" w:rsidR="00A659BD" w:rsidRDefault="00A659BD">
      <w:pPr>
        <w:pStyle w:val="FootnoteText"/>
      </w:pPr>
      <w:r>
        <w:rPr>
          <w:rStyle w:val="FootnoteReference"/>
        </w:rPr>
        <w:footnoteRef/>
      </w:r>
      <w:r>
        <w:t xml:space="preserve"> </w:t>
      </w:r>
      <w:r w:rsidR="00E9195A">
        <w:t xml:space="preserve">Augustine, </w:t>
      </w:r>
      <w:r w:rsidR="00E9195A">
        <w:rPr>
          <w:i/>
          <w:iCs/>
        </w:rPr>
        <w:t xml:space="preserve">The confessions, </w:t>
      </w:r>
      <w:r w:rsidR="00E9195A">
        <w:t xml:space="preserve">book VII, </w:t>
      </w:r>
      <w:r>
        <w:t>Chapter 12</w:t>
      </w:r>
      <w:r w:rsidR="00E9195A">
        <w:t xml:space="preserve">. </w:t>
      </w:r>
    </w:p>
  </w:footnote>
  <w:footnote w:id="38">
    <w:p w14:paraId="043976F7" w14:textId="48DCE943" w:rsidR="00E06F34" w:rsidRDefault="00E06F34">
      <w:pPr>
        <w:pStyle w:val="FootnoteText"/>
      </w:pPr>
      <w:r>
        <w:rPr>
          <w:rStyle w:val="FootnoteReference"/>
        </w:rPr>
        <w:footnoteRef/>
      </w:r>
      <w:r>
        <w:t xml:space="preserve"> </w:t>
      </w:r>
      <w:r w:rsidR="009B125B" w:rsidRPr="009B125B">
        <w:rPr>
          <w:lang w:val="en-US"/>
        </w:rPr>
        <w:t>Yugin Nagasawa,</w:t>
      </w:r>
      <w:r w:rsidR="009217B9">
        <w:rPr>
          <w:lang w:val="en-US"/>
        </w:rPr>
        <w:t xml:space="preserve"> 2024,</w:t>
      </w:r>
      <w:r w:rsidR="009B125B" w:rsidRPr="009B125B">
        <w:rPr>
          <w:lang w:val="en-US"/>
        </w:rPr>
        <w:t xml:space="preserve"> </w:t>
      </w:r>
      <w:r w:rsidR="009B125B" w:rsidRPr="009B125B">
        <w:rPr>
          <w:i/>
          <w:iCs/>
          <w:lang w:val="en-US"/>
        </w:rPr>
        <w:t>The Problem of Evil for Atheists</w:t>
      </w:r>
      <w:r w:rsidR="009B125B" w:rsidRPr="009B125B">
        <w:rPr>
          <w:lang w:val="en-US"/>
        </w:rPr>
        <w:t xml:space="preserve"> (Oxford: Oxford University Press</w:t>
      </w:r>
      <w:r w:rsidR="00E9195A">
        <w:rPr>
          <w:lang w:val="en-US"/>
        </w:rPr>
        <w:t>)</w:t>
      </w:r>
      <w:r w:rsidR="009217B9">
        <w:rPr>
          <w:lang w:val="en-US"/>
        </w:rPr>
        <w:t>,</w:t>
      </w:r>
      <w:r w:rsidR="00E9195A">
        <w:rPr>
          <w:lang w:val="en-US"/>
        </w:rPr>
        <w:t xml:space="preserve"> p. 10. </w:t>
      </w:r>
    </w:p>
  </w:footnote>
  <w:footnote w:id="39">
    <w:p w14:paraId="0DC0FF1F" w14:textId="5DED7ED6" w:rsidR="00C4619D" w:rsidRDefault="00C4619D">
      <w:pPr>
        <w:pStyle w:val="FootnoteText"/>
      </w:pPr>
      <w:r>
        <w:rPr>
          <w:rStyle w:val="FootnoteReference"/>
        </w:rPr>
        <w:footnoteRef/>
      </w:r>
      <w:r>
        <w:t xml:space="preserve"> </w:t>
      </w:r>
      <w:r w:rsidR="00B9358D">
        <w:t xml:space="preserve">Alister </w:t>
      </w:r>
      <w:r w:rsidR="00CF74A0" w:rsidRPr="00CF74A0">
        <w:t>McGrath, </w:t>
      </w:r>
      <w:r w:rsidR="00B9358D">
        <w:t xml:space="preserve">2016, </w:t>
      </w:r>
      <w:r w:rsidR="00CF74A0" w:rsidRPr="00CF74A0">
        <w:rPr>
          <w:i/>
          <w:iCs/>
        </w:rPr>
        <w:t>The Christian Theology Reader</w:t>
      </w:r>
      <w:r w:rsidR="00CF74A0" w:rsidRPr="00CF74A0">
        <w:t xml:space="preserve">. 5th ed. </w:t>
      </w:r>
      <w:r w:rsidR="00B9358D">
        <w:t>(</w:t>
      </w:r>
      <w:r w:rsidR="00CF74A0" w:rsidRPr="00CF74A0">
        <w:t>Wiley</w:t>
      </w:r>
      <w:r w:rsidR="00966519">
        <w:t xml:space="preserve"> Blackwell)</w:t>
      </w:r>
      <w:r w:rsidR="009217B9">
        <w:t>,</w:t>
      </w:r>
      <w:r w:rsidR="00966519">
        <w:t xml:space="preserve"> p.</w:t>
      </w:r>
      <w:r>
        <w:t xml:space="preserve"> 327</w:t>
      </w:r>
      <w:r w:rsidR="00966519">
        <w:t>.</w:t>
      </w:r>
    </w:p>
  </w:footnote>
  <w:footnote w:id="40">
    <w:p w14:paraId="6140C016" w14:textId="22427F6C" w:rsidR="007C0579" w:rsidRDefault="007C0579">
      <w:pPr>
        <w:pStyle w:val="FootnoteText"/>
      </w:pPr>
      <w:r>
        <w:rPr>
          <w:rStyle w:val="FootnoteReference"/>
        </w:rPr>
        <w:footnoteRef/>
      </w:r>
      <w:r>
        <w:t xml:space="preserve"> </w:t>
      </w:r>
      <w:r w:rsidR="00EB2FE1">
        <w:t xml:space="preserve">Alister </w:t>
      </w:r>
      <w:r w:rsidR="00EB2FE1" w:rsidRPr="00CF74A0">
        <w:t>McGrath, </w:t>
      </w:r>
      <w:r w:rsidR="00EB2FE1">
        <w:t xml:space="preserve">2016, </w:t>
      </w:r>
      <w:r w:rsidR="00EB2FE1" w:rsidRPr="00CF74A0">
        <w:rPr>
          <w:i/>
          <w:iCs/>
        </w:rPr>
        <w:t>The Christian Theology Reader</w:t>
      </w:r>
      <w:r w:rsidR="00EB2FE1" w:rsidRPr="00CF74A0">
        <w:t xml:space="preserve">. </w:t>
      </w:r>
      <w:r w:rsidR="00EB2FE1">
        <w:t>p.</w:t>
      </w:r>
      <w:r>
        <w:t xml:space="preserve"> </w:t>
      </w:r>
      <w:r w:rsidR="00171406">
        <w:t>327</w:t>
      </w:r>
      <w:r w:rsidR="00EB2FE1">
        <w:t>.</w:t>
      </w:r>
    </w:p>
  </w:footnote>
  <w:footnote w:id="41">
    <w:p w14:paraId="2FFAB1B2" w14:textId="2F50FBE5" w:rsidR="008F28C3" w:rsidRPr="008F28C3" w:rsidRDefault="008F28C3">
      <w:pPr>
        <w:pStyle w:val="FootnoteText"/>
        <w:rPr>
          <w:lang w:val="en-US"/>
        </w:rPr>
      </w:pPr>
      <w:r>
        <w:rPr>
          <w:rStyle w:val="FootnoteReference"/>
        </w:rPr>
        <w:footnoteRef/>
      </w:r>
      <w:r>
        <w:t xml:space="preserve"> </w:t>
      </w:r>
      <w:r>
        <w:t xml:space="preserve">F. Pieter </w:t>
      </w:r>
      <w:r w:rsidRPr="00274FEE">
        <w:t>Craffert, and</w:t>
      </w:r>
      <w:r>
        <w:t xml:space="preserve"> J. J.</w:t>
      </w:r>
      <w:r w:rsidRPr="00274FEE">
        <w:t xml:space="preserve"> Pieter</w:t>
      </w:r>
      <w:r>
        <w:t>,</w:t>
      </w:r>
      <w:r w:rsidRPr="00274FEE">
        <w:t xml:space="preserve"> Botha. 2005. ‘WHY JESUS COULD WALK ON THE SEA BUT HE COULD NOT READ AND WRITE: Reflections on Historicity and Interpretation in Historical Jesus Research’, </w:t>
      </w:r>
      <w:r w:rsidRPr="00274FEE">
        <w:rPr>
          <w:i/>
          <w:iCs/>
        </w:rPr>
        <w:t>Neotestamentica</w:t>
      </w:r>
      <w:r w:rsidRPr="00274FEE">
        <w:t xml:space="preserve"> (Pretoria), 39.1, pp. 5–38</w:t>
      </w:r>
      <w:r>
        <w:t>. P.10.</w:t>
      </w:r>
    </w:p>
  </w:footnote>
  <w:footnote w:id="42">
    <w:p w14:paraId="21CB9088" w14:textId="7F7E41EA" w:rsidR="007A023C" w:rsidRPr="007A023C" w:rsidRDefault="007A023C">
      <w:pPr>
        <w:pStyle w:val="FootnoteText"/>
        <w:rPr>
          <w:lang w:val="en-US"/>
        </w:rPr>
      </w:pPr>
      <w:r>
        <w:rPr>
          <w:rStyle w:val="FootnoteReference"/>
        </w:rPr>
        <w:footnoteRef/>
      </w:r>
      <w:r>
        <w:t xml:space="preserve"> </w:t>
      </w:r>
      <w:r w:rsidR="00B971BA" w:rsidRPr="00EE0CB8">
        <w:t xml:space="preserve">Douglas Estes, 2020. ‘DUALISM OR PARADOX? A NEW “LIGHT” ON THE GOSPEL OF JOHN’, </w:t>
      </w:r>
      <w:r w:rsidR="00B971BA" w:rsidRPr="00EE0CB8">
        <w:rPr>
          <w:i/>
          <w:iCs/>
        </w:rPr>
        <w:t>Journal of Theological Studies</w:t>
      </w:r>
      <w:r w:rsidR="00B971BA" w:rsidRPr="00EE0CB8">
        <w:t>, 71.1, pp. 90–118, doi:10.1093/jts/flz168 p.110.</w:t>
      </w:r>
    </w:p>
  </w:footnote>
  <w:footnote w:id="43">
    <w:p w14:paraId="67ACD635" w14:textId="254A6A18" w:rsidR="00716D9B" w:rsidRDefault="00716D9B">
      <w:pPr>
        <w:pStyle w:val="FootnoteText"/>
      </w:pPr>
      <w:r>
        <w:rPr>
          <w:rStyle w:val="FootnoteReference"/>
        </w:rPr>
        <w:footnoteRef/>
      </w:r>
      <w:r>
        <w:t xml:space="preserve"> </w:t>
      </w:r>
      <w:r w:rsidR="00EB2FE1">
        <w:t xml:space="preserve">Alister </w:t>
      </w:r>
      <w:r w:rsidR="00EB2FE1" w:rsidRPr="00CF74A0">
        <w:t>McGrath, </w:t>
      </w:r>
      <w:r w:rsidR="00EB2FE1">
        <w:t xml:space="preserve">2016, </w:t>
      </w:r>
      <w:r w:rsidR="00EB2FE1" w:rsidRPr="00CF74A0">
        <w:rPr>
          <w:i/>
          <w:iCs/>
        </w:rPr>
        <w:t>The Christian Theology Reader</w:t>
      </w:r>
      <w:r w:rsidR="00EB2FE1" w:rsidRPr="00CF74A0">
        <w:t xml:space="preserve">. 5th ed. </w:t>
      </w:r>
      <w:r w:rsidR="00EB2FE1">
        <w:t>(</w:t>
      </w:r>
      <w:r w:rsidR="00EB2FE1" w:rsidRPr="00CF74A0">
        <w:t>Wiley</w:t>
      </w:r>
      <w:r w:rsidR="00EB2FE1">
        <w:t xml:space="preserve"> Blackwell) </w:t>
      </w:r>
      <w:r w:rsidR="00EB2FE1">
        <w:t xml:space="preserve">p. </w:t>
      </w:r>
      <w:r w:rsidR="001B60F5">
        <w:t xml:space="preserve">325. </w:t>
      </w:r>
    </w:p>
  </w:footnote>
  <w:footnote w:id="44">
    <w:p w14:paraId="406E6450" w14:textId="1D05657F" w:rsidR="00EC5678" w:rsidRPr="00EC5678" w:rsidRDefault="00EC5678">
      <w:pPr>
        <w:pStyle w:val="FootnoteText"/>
        <w:rPr>
          <w:lang w:val="en-US"/>
        </w:rPr>
      </w:pPr>
      <w:r>
        <w:rPr>
          <w:rStyle w:val="FootnoteReference"/>
        </w:rPr>
        <w:footnoteRef/>
      </w:r>
      <w:r>
        <w:t xml:space="preserve"> </w:t>
      </w:r>
      <w:r>
        <w:t xml:space="preserve">F. Pieter </w:t>
      </w:r>
      <w:r w:rsidRPr="00274FEE">
        <w:t>Craffert, and</w:t>
      </w:r>
      <w:r>
        <w:t xml:space="preserve"> J. J.</w:t>
      </w:r>
      <w:r w:rsidRPr="00274FEE">
        <w:t xml:space="preserve"> Pieter</w:t>
      </w:r>
      <w:r>
        <w:t>,</w:t>
      </w:r>
      <w:r w:rsidRPr="00274FEE">
        <w:t xml:space="preserve"> Botha. 2005. ‘WHY JESUS COULD WALK ON THE SEA BUT HE COULD NOT READ AND WRITE: Reflections on Historicity and Interpretation in Historical Jesus Research’, </w:t>
      </w:r>
      <w:r w:rsidRPr="00274FEE">
        <w:rPr>
          <w:i/>
          <w:iCs/>
        </w:rPr>
        <w:t>Neotestamentica</w:t>
      </w:r>
      <w:r w:rsidRPr="00274FEE">
        <w:t xml:space="preserve"> (Pretoria), 39.1, pp. 5–38</w:t>
      </w:r>
      <w:r>
        <w:t>. P.10.</w:t>
      </w:r>
    </w:p>
  </w:footnote>
  <w:footnote w:id="45">
    <w:p w14:paraId="3CB35F4F" w14:textId="7952D0CF" w:rsidR="001636CE" w:rsidRDefault="001636CE">
      <w:pPr>
        <w:pStyle w:val="FootnoteText"/>
      </w:pPr>
      <w:r>
        <w:rPr>
          <w:rStyle w:val="FootnoteReference"/>
        </w:rPr>
        <w:footnoteRef/>
      </w:r>
      <w:r>
        <w:t xml:space="preserve"> </w:t>
      </w:r>
      <w:r w:rsidR="00EB2FE1">
        <w:t xml:space="preserve">Alister </w:t>
      </w:r>
      <w:r w:rsidR="00EB2FE1" w:rsidRPr="00CF74A0">
        <w:t>McGrath, </w:t>
      </w:r>
      <w:r w:rsidR="00EB2FE1">
        <w:t xml:space="preserve">2016, </w:t>
      </w:r>
      <w:r w:rsidR="00EB2FE1" w:rsidRPr="00CF74A0">
        <w:rPr>
          <w:i/>
          <w:iCs/>
        </w:rPr>
        <w:t>The Christian Theology Reader</w:t>
      </w:r>
      <w:r w:rsidR="00EB2FE1" w:rsidRPr="00CF74A0">
        <w:t xml:space="preserve">. 5th ed. </w:t>
      </w:r>
      <w:r w:rsidR="00EB2FE1">
        <w:t>(</w:t>
      </w:r>
      <w:r w:rsidR="00EB2FE1" w:rsidRPr="00CF74A0">
        <w:t>Wiley</w:t>
      </w:r>
      <w:r w:rsidR="00EB2FE1">
        <w:t xml:space="preserve"> Blackwell) </w:t>
      </w:r>
      <w:r w:rsidR="00EB2FE1">
        <w:t xml:space="preserve">p. </w:t>
      </w:r>
      <w:r>
        <w:t>332</w:t>
      </w:r>
      <w:r w:rsidR="00EB2FE1">
        <w:t>.</w:t>
      </w:r>
    </w:p>
  </w:footnote>
  <w:footnote w:id="46">
    <w:p w14:paraId="109C1DD9" w14:textId="11C5120C" w:rsidR="00017C92" w:rsidRPr="00017C92" w:rsidRDefault="00017C92">
      <w:pPr>
        <w:pStyle w:val="FootnoteText"/>
        <w:rPr>
          <w:lang w:val="en-US"/>
        </w:rPr>
      </w:pPr>
      <w:r>
        <w:rPr>
          <w:rStyle w:val="FootnoteReference"/>
        </w:rPr>
        <w:footnoteRef/>
      </w:r>
      <w:r>
        <w:t xml:space="preserve"> </w:t>
      </w:r>
      <w:r w:rsidR="003165DA">
        <w:t xml:space="preserve">Gene L. </w:t>
      </w:r>
      <w:r w:rsidR="000143E9">
        <w:t xml:space="preserve">Green Et al, 2016, </w:t>
      </w:r>
      <w:r w:rsidR="00A92446">
        <w:t>‘</w:t>
      </w:r>
      <w:r w:rsidR="00A92446">
        <w:rPr>
          <w:lang w:val="en-US"/>
        </w:rPr>
        <w:t xml:space="preserve">The Spirit Over The Earth’, </w:t>
      </w:r>
      <w:r w:rsidR="00264226">
        <w:rPr>
          <w:i/>
          <w:iCs/>
          <w:lang w:val="en-US"/>
        </w:rPr>
        <w:t xml:space="preserve">Majority World Theology Series, </w:t>
      </w:r>
      <w:r w:rsidR="00264226">
        <w:rPr>
          <w:lang w:val="en-US"/>
        </w:rPr>
        <w:t>(William B Eerdmans)</w:t>
      </w:r>
      <w:r w:rsidR="006449E4">
        <w:rPr>
          <w:lang w:val="en-US"/>
        </w:rPr>
        <w:t xml:space="preserve">, </w:t>
      </w:r>
      <w:r w:rsidR="00B35FA6">
        <w:rPr>
          <w:lang w:val="en-US"/>
        </w:rPr>
        <w:t xml:space="preserve">p. 14. </w:t>
      </w:r>
    </w:p>
  </w:footnote>
  <w:footnote w:id="47">
    <w:p w14:paraId="73475F91" w14:textId="02AF0924" w:rsidR="00BC75DC" w:rsidRPr="00BC75DC" w:rsidRDefault="00BC75DC">
      <w:pPr>
        <w:pStyle w:val="FootnoteText"/>
        <w:rPr>
          <w:lang w:val="en-US"/>
        </w:rPr>
      </w:pPr>
      <w:r>
        <w:rPr>
          <w:rStyle w:val="FootnoteReference"/>
        </w:rPr>
        <w:footnoteRef/>
      </w:r>
      <w:r>
        <w:t xml:space="preserve"> </w:t>
      </w:r>
      <w:r w:rsidR="003165DA">
        <w:t>Gene L. Green Et al, 2016, ‘</w:t>
      </w:r>
      <w:r w:rsidR="003165DA">
        <w:rPr>
          <w:lang w:val="en-US"/>
        </w:rPr>
        <w:t xml:space="preserve">The Spirit Over The Earth’, </w:t>
      </w:r>
      <w:r w:rsidR="003165DA">
        <w:rPr>
          <w:i/>
          <w:iCs/>
          <w:lang w:val="en-US"/>
        </w:rPr>
        <w:t>Majority World Theology Series</w:t>
      </w:r>
      <w:r>
        <w:rPr>
          <w:lang w:val="en-US"/>
        </w:rPr>
        <w:t xml:space="preserve">, p. 33. </w:t>
      </w:r>
    </w:p>
  </w:footnote>
  <w:footnote w:id="48">
    <w:p w14:paraId="499CC71D" w14:textId="46501C66" w:rsidR="00292A66" w:rsidRPr="00292A66" w:rsidRDefault="00292A66">
      <w:pPr>
        <w:pStyle w:val="FootnoteText"/>
        <w:rPr>
          <w:lang w:val="en-US"/>
        </w:rPr>
      </w:pPr>
      <w:r>
        <w:rPr>
          <w:rStyle w:val="FootnoteReference"/>
        </w:rPr>
        <w:footnoteRef/>
      </w:r>
      <w:r w:rsidR="006449E4">
        <w:t xml:space="preserve"> Ibid</w:t>
      </w:r>
      <w:r>
        <w:rPr>
          <w:lang w:val="en-US"/>
        </w:rPr>
        <w:t>.</w:t>
      </w:r>
      <w:r w:rsidR="006449E4">
        <w:rPr>
          <w:lang w:val="en-US"/>
        </w:rPr>
        <w:t xml:space="preserve"> p.</w:t>
      </w:r>
      <w:r>
        <w:rPr>
          <w:lang w:val="en-US"/>
        </w:rPr>
        <w:t xml:space="preserve"> 16. </w:t>
      </w:r>
    </w:p>
  </w:footnote>
  <w:footnote w:id="49">
    <w:p w14:paraId="024B7F53" w14:textId="4B9B51B2" w:rsidR="003205AA" w:rsidRPr="003205AA" w:rsidRDefault="003205AA">
      <w:pPr>
        <w:pStyle w:val="FootnoteText"/>
        <w:rPr>
          <w:lang w:val="en-US"/>
        </w:rPr>
      </w:pPr>
      <w:r>
        <w:rPr>
          <w:rStyle w:val="FootnoteReference"/>
        </w:rPr>
        <w:footnoteRef/>
      </w:r>
      <w:r>
        <w:t xml:space="preserve"> </w:t>
      </w:r>
      <w:r w:rsidR="006449E4">
        <w:t xml:space="preserve">Ibid. p. </w:t>
      </w:r>
      <w:r>
        <w:rPr>
          <w:lang w:val="en-US"/>
        </w:rPr>
        <w:t xml:space="preserve">18. </w:t>
      </w:r>
    </w:p>
  </w:footnote>
  <w:footnote w:id="50">
    <w:p w14:paraId="0F2E95F9" w14:textId="5F1A32AE" w:rsidR="001E69F2" w:rsidRPr="001E69F2" w:rsidRDefault="001E69F2">
      <w:pPr>
        <w:pStyle w:val="FootnoteText"/>
        <w:rPr>
          <w:lang w:val="en-US"/>
        </w:rPr>
      </w:pPr>
      <w:r>
        <w:rPr>
          <w:rStyle w:val="FootnoteReference"/>
        </w:rPr>
        <w:footnoteRef/>
      </w:r>
      <w:r w:rsidR="006449E4">
        <w:t xml:space="preserve"> Ibid. p</w:t>
      </w:r>
      <w:r>
        <w:rPr>
          <w:lang w:val="en-US"/>
        </w:rPr>
        <w:t xml:space="preserve">. </w:t>
      </w:r>
      <w:r w:rsidR="0045402D">
        <w:rPr>
          <w:lang w:val="en-US"/>
        </w:rPr>
        <w:t>19</w:t>
      </w:r>
      <w:r w:rsidR="00705055">
        <w:rPr>
          <w:lang w:val="en-US"/>
        </w:rPr>
        <w:t>.</w:t>
      </w:r>
    </w:p>
  </w:footnote>
  <w:footnote w:id="51">
    <w:p w14:paraId="39C14540" w14:textId="4B6FE73A" w:rsidR="00EC6AD4" w:rsidRPr="00EC6AD4" w:rsidRDefault="00EC6AD4">
      <w:pPr>
        <w:pStyle w:val="FootnoteText"/>
        <w:rPr>
          <w:lang w:val="en-US"/>
        </w:rPr>
      </w:pPr>
      <w:r>
        <w:rPr>
          <w:rStyle w:val="FootnoteReference"/>
        </w:rPr>
        <w:footnoteRef/>
      </w:r>
      <w:r w:rsidR="00705055">
        <w:t xml:space="preserve"> Ibid. p. </w:t>
      </w:r>
      <w:r w:rsidR="00766888">
        <w:rPr>
          <w:lang w:val="en-US"/>
        </w:rPr>
        <w:t xml:space="preserve">20. </w:t>
      </w:r>
    </w:p>
  </w:footnote>
  <w:footnote w:id="52">
    <w:p w14:paraId="25D8903B" w14:textId="580551A6" w:rsidR="002C1206" w:rsidRPr="002C1206" w:rsidRDefault="002C1206">
      <w:pPr>
        <w:pStyle w:val="FootnoteText"/>
        <w:rPr>
          <w:lang w:val="en-US"/>
        </w:rPr>
      </w:pPr>
      <w:r>
        <w:rPr>
          <w:rStyle w:val="FootnoteReference"/>
        </w:rPr>
        <w:footnoteRef/>
      </w:r>
      <w:r>
        <w:t xml:space="preserve"> </w:t>
      </w:r>
      <w:r w:rsidR="00705055">
        <w:t xml:space="preserve">Ibid. </w:t>
      </w:r>
      <w:r>
        <w:t xml:space="preserve">p. </w:t>
      </w:r>
      <w:r w:rsidR="003C5E49">
        <w:t>21</w:t>
      </w:r>
      <w:r w:rsidR="00705055">
        <w:t>.</w:t>
      </w:r>
    </w:p>
  </w:footnote>
  <w:footnote w:id="53">
    <w:p w14:paraId="4A7D3ACB" w14:textId="794E19CA" w:rsidR="003C5E49" w:rsidRPr="003C5E49" w:rsidRDefault="003C5E49">
      <w:pPr>
        <w:pStyle w:val="FootnoteText"/>
        <w:rPr>
          <w:lang w:val="en-US"/>
        </w:rPr>
      </w:pPr>
      <w:r>
        <w:rPr>
          <w:rStyle w:val="FootnoteReference"/>
        </w:rPr>
        <w:footnoteRef/>
      </w:r>
      <w:r>
        <w:t xml:space="preserve"> </w:t>
      </w:r>
      <w:r w:rsidR="008B0C7C">
        <w:t>Gene L. Green Et al, 2016, ‘</w:t>
      </w:r>
      <w:r w:rsidR="008B0C7C">
        <w:rPr>
          <w:lang w:val="en-US"/>
        </w:rPr>
        <w:t xml:space="preserve">The Spirit Over The Earth’, </w:t>
      </w:r>
      <w:r w:rsidR="008B0C7C">
        <w:rPr>
          <w:i/>
          <w:iCs/>
          <w:lang w:val="en-US"/>
        </w:rPr>
        <w:t xml:space="preserve">Majority World Theology Series, </w:t>
      </w:r>
      <w:r w:rsidR="008B0C7C">
        <w:rPr>
          <w:lang w:val="en-US"/>
        </w:rPr>
        <w:t xml:space="preserve">(William B Eerdmans), </w:t>
      </w:r>
      <w:r>
        <w:rPr>
          <w:lang w:val="en-US"/>
        </w:rPr>
        <w:t xml:space="preserve">p. 21. </w:t>
      </w:r>
    </w:p>
  </w:footnote>
  <w:footnote w:id="54">
    <w:p w14:paraId="19024C67" w14:textId="75AFD010" w:rsidR="00B3561E" w:rsidRPr="00B3561E" w:rsidRDefault="00B3561E">
      <w:pPr>
        <w:pStyle w:val="FootnoteText"/>
        <w:rPr>
          <w:lang w:val="en-US"/>
        </w:rPr>
      </w:pPr>
      <w:r>
        <w:rPr>
          <w:rStyle w:val="FootnoteReference"/>
        </w:rPr>
        <w:footnoteRef/>
      </w:r>
      <w:r>
        <w:t xml:space="preserve"> </w:t>
      </w:r>
      <w:r w:rsidR="00705055">
        <w:t>Gene L. Green Et al, 2016, ‘</w:t>
      </w:r>
      <w:r w:rsidR="00705055">
        <w:rPr>
          <w:lang w:val="en-US"/>
        </w:rPr>
        <w:t xml:space="preserve">The Spirit Over The Earth’, </w:t>
      </w:r>
      <w:r w:rsidR="00705055">
        <w:rPr>
          <w:i/>
          <w:iCs/>
          <w:lang w:val="en-US"/>
        </w:rPr>
        <w:t xml:space="preserve">Majority World Theology Series, </w:t>
      </w:r>
      <w:r>
        <w:rPr>
          <w:lang w:val="en-US"/>
        </w:rPr>
        <w:t>p. 25</w:t>
      </w:r>
      <w:r w:rsidR="00705055">
        <w:rPr>
          <w:lang w:val="en-US"/>
        </w:rPr>
        <w:t>.</w:t>
      </w:r>
    </w:p>
  </w:footnote>
  <w:footnote w:id="55">
    <w:p w14:paraId="3895FD24" w14:textId="7AFCFAF3" w:rsidR="00FC6433" w:rsidRPr="00FC6433" w:rsidRDefault="00FC6433">
      <w:pPr>
        <w:pStyle w:val="FootnoteText"/>
        <w:rPr>
          <w:lang w:val="en-US"/>
        </w:rPr>
      </w:pPr>
      <w:r>
        <w:rPr>
          <w:rStyle w:val="FootnoteReference"/>
        </w:rPr>
        <w:footnoteRef/>
      </w:r>
      <w:r>
        <w:t xml:space="preserve"> </w:t>
      </w:r>
      <w:r w:rsidR="008B0C7C">
        <w:t xml:space="preserve">Ibid. </w:t>
      </w:r>
      <w:r w:rsidR="00A1302E">
        <w:rPr>
          <w:lang w:val="en-US"/>
        </w:rPr>
        <w:t>p</w:t>
      </w:r>
      <w:r>
        <w:rPr>
          <w:lang w:val="en-US"/>
        </w:rPr>
        <w:t xml:space="preserve">. 25. </w:t>
      </w:r>
    </w:p>
  </w:footnote>
  <w:footnote w:id="56">
    <w:p w14:paraId="7C916E8A" w14:textId="6CECD521" w:rsidR="00B11EF4" w:rsidRPr="00B11EF4" w:rsidRDefault="00B11EF4">
      <w:pPr>
        <w:pStyle w:val="FootnoteText"/>
        <w:rPr>
          <w:lang w:val="en-US"/>
        </w:rPr>
      </w:pPr>
      <w:r>
        <w:rPr>
          <w:rStyle w:val="FootnoteReference"/>
        </w:rPr>
        <w:footnoteRef/>
      </w:r>
      <w:r>
        <w:t xml:space="preserve"> </w:t>
      </w:r>
      <w:r w:rsidR="00705055">
        <w:rPr>
          <w:lang w:val="en-US"/>
        </w:rPr>
        <w:t>Ibid.</w:t>
      </w:r>
      <w:r>
        <w:rPr>
          <w:lang w:val="en-US"/>
        </w:rPr>
        <w:t xml:space="preserve"> p. 33</w:t>
      </w:r>
      <w:r w:rsidR="00705055">
        <w:rPr>
          <w:lang w:val="en-US"/>
        </w:rPr>
        <w:t>.</w:t>
      </w:r>
    </w:p>
  </w:footnote>
  <w:footnote w:id="57">
    <w:p w14:paraId="3DD68639" w14:textId="54B9494D" w:rsidR="00D5334D" w:rsidRPr="00D5334D" w:rsidRDefault="00D5334D">
      <w:pPr>
        <w:pStyle w:val="FootnoteText"/>
        <w:rPr>
          <w:lang w:val="en-US"/>
        </w:rPr>
      </w:pPr>
      <w:r>
        <w:rPr>
          <w:rStyle w:val="FootnoteReference"/>
        </w:rPr>
        <w:footnoteRef/>
      </w:r>
      <w:r>
        <w:t xml:space="preserve"> </w:t>
      </w:r>
      <w:r w:rsidR="00705055">
        <w:rPr>
          <w:lang w:val="en-US"/>
        </w:rPr>
        <w:t>Ibid.</w:t>
      </w:r>
      <w:r>
        <w:rPr>
          <w:lang w:val="en-US"/>
        </w:rPr>
        <w:t xml:space="preserve"> p.</w:t>
      </w:r>
      <w:r w:rsidR="00705055">
        <w:rPr>
          <w:lang w:val="en-US"/>
        </w:rPr>
        <w:t xml:space="preserve"> </w:t>
      </w:r>
      <w:r>
        <w:rPr>
          <w:lang w:val="en-US"/>
        </w:rPr>
        <w:t xml:space="preserve">15. </w:t>
      </w:r>
    </w:p>
  </w:footnote>
  <w:footnote w:id="58">
    <w:p w14:paraId="0D2A1ADC" w14:textId="755B57FD" w:rsidR="005E2D18" w:rsidRPr="005E2D18" w:rsidRDefault="005E2D18">
      <w:pPr>
        <w:pStyle w:val="FootnoteText"/>
        <w:rPr>
          <w:lang w:val="en-US"/>
        </w:rPr>
      </w:pPr>
      <w:r>
        <w:rPr>
          <w:rStyle w:val="FootnoteReference"/>
        </w:rPr>
        <w:footnoteRef/>
      </w:r>
      <w:r>
        <w:t xml:space="preserve"> </w:t>
      </w:r>
      <w:r w:rsidR="00705055">
        <w:t xml:space="preserve">Ibid. </w:t>
      </w:r>
      <w:r w:rsidR="00933F33">
        <w:t xml:space="preserve">p. 20. </w:t>
      </w:r>
    </w:p>
  </w:footnote>
  <w:footnote w:id="59">
    <w:p w14:paraId="1D5EEE0B" w14:textId="3C71984F" w:rsidR="00401297" w:rsidRPr="00401297" w:rsidRDefault="00401297">
      <w:pPr>
        <w:pStyle w:val="FootnoteText"/>
        <w:rPr>
          <w:lang w:val="en-US"/>
        </w:rPr>
      </w:pPr>
      <w:r>
        <w:rPr>
          <w:rStyle w:val="FootnoteReference"/>
        </w:rPr>
        <w:footnoteRef/>
      </w:r>
      <w:r>
        <w:t xml:space="preserve"> </w:t>
      </w:r>
      <w:r w:rsidR="00705055">
        <w:rPr>
          <w:lang w:val="en-US"/>
        </w:rPr>
        <w:t xml:space="preserve">Ibid. </w:t>
      </w:r>
      <w:r>
        <w:rPr>
          <w:lang w:val="en-US"/>
        </w:rPr>
        <w:t xml:space="preserve">p. </w:t>
      </w:r>
      <w:r w:rsidR="00165508">
        <w:rPr>
          <w:lang w:val="en-US"/>
        </w:rPr>
        <w:t xml:space="preserve">33.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5E5"/>
    <w:rsid w:val="00002C24"/>
    <w:rsid w:val="00003733"/>
    <w:rsid w:val="000143E9"/>
    <w:rsid w:val="00017C92"/>
    <w:rsid w:val="00021098"/>
    <w:rsid w:val="00025620"/>
    <w:rsid w:val="000258D6"/>
    <w:rsid w:val="00044896"/>
    <w:rsid w:val="000462B4"/>
    <w:rsid w:val="00060770"/>
    <w:rsid w:val="00071D3C"/>
    <w:rsid w:val="000878E0"/>
    <w:rsid w:val="00087B91"/>
    <w:rsid w:val="000932AA"/>
    <w:rsid w:val="000A2A0E"/>
    <w:rsid w:val="000A40C6"/>
    <w:rsid w:val="000B0CC5"/>
    <w:rsid w:val="000C1E1E"/>
    <w:rsid w:val="000D2B07"/>
    <w:rsid w:val="000E18F1"/>
    <w:rsid w:val="000F28AE"/>
    <w:rsid w:val="001042C0"/>
    <w:rsid w:val="00105D76"/>
    <w:rsid w:val="001137C6"/>
    <w:rsid w:val="001244FB"/>
    <w:rsid w:val="0012519B"/>
    <w:rsid w:val="00143A43"/>
    <w:rsid w:val="00147736"/>
    <w:rsid w:val="00150BE3"/>
    <w:rsid w:val="00151A11"/>
    <w:rsid w:val="00160C6E"/>
    <w:rsid w:val="00162190"/>
    <w:rsid w:val="00163560"/>
    <w:rsid w:val="001636CE"/>
    <w:rsid w:val="00164C47"/>
    <w:rsid w:val="00165508"/>
    <w:rsid w:val="00171406"/>
    <w:rsid w:val="00175372"/>
    <w:rsid w:val="0019411D"/>
    <w:rsid w:val="00194531"/>
    <w:rsid w:val="001A45FC"/>
    <w:rsid w:val="001B60F5"/>
    <w:rsid w:val="001D2F6C"/>
    <w:rsid w:val="001E69F2"/>
    <w:rsid w:val="001F7E45"/>
    <w:rsid w:val="00206645"/>
    <w:rsid w:val="002137DD"/>
    <w:rsid w:val="00216238"/>
    <w:rsid w:val="002224EB"/>
    <w:rsid w:val="00231322"/>
    <w:rsid w:val="002321CF"/>
    <w:rsid w:val="00233421"/>
    <w:rsid w:val="00242C43"/>
    <w:rsid w:val="00261A9A"/>
    <w:rsid w:val="00264226"/>
    <w:rsid w:val="002835E5"/>
    <w:rsid w:val="00284D9B"/>
    <w:rsid w:val="00292A66"/>
    <w:rsid w:val="002A4B15"/>
    <w:rsid w:val="002B1C6B"/>
    <w:rsid w:val="002B3BA0"/>
    <w:rsid w:val="002B794A"/>
    <w:rsid w:val="002C1206"/>
    <w:rsid w:val="002D6EA3"/>
    <w:rsid w:val="002D749F"/>
    <w:rsid w:val="002E1DD8"/>
    <w:rsid w:val="002E29D9"/>
    <w:rsid w:val="002F11D1"/>
    <w:rsid w:val="003165DA"/>
    <w:rsid w:val="00317DC4"/>
    <w:rsid w:val="003205AA"/>
    <w:rsid w:val="00321BA5"/>
    <w:rsid w:val="00337BDD"/>
    <w:rsid w:val="00355095"/>
    <w:rsid w:val="00370818"/>
    <w:rsid w:val="003A6AC3"/>
    <w:rsid w:val="003C5E49"/>
    <w:rsid w:val="003C5F23"/>
    <w:rsid w:val="003C7D60"/>
    <w:rsid w:val="003E02DE"/>
    <w:rsid w:val="003F1F78"/>
    <w:rsid w:val="003F746D"/>
    <w:rsid w:val="00401297"/>
    <w:rsid w:val="00406B15"/>
    <w:rsid w:val="0041572B"/>
    <w:rsid w:val="00431CA5"/>
    <w:rsid w:val="00433C3F"/>
    <w:rsid w:val="00446085"/>
    <w:rsid w:val="00447B29"/>
    <w:rsid w:val="0045402D"/>
    <w:rsid w:val="004573F8"/>
    <w:rsid w:val="0046480F"/>
    <w:rsid w:val="00483568"/>
    <w:rsid w:val="00490D86"/>
    <w:rsid w:val="00494BEB"/>
    <w:rsid w:val="004A70B0"/>
    <w:rsid w:val="004D369F"/>
    <w:rsid w:val="004F5FA7"/>
    <w:rsid w:val="00502EC5"/>
    <w:rsid w:val="00503779"/>
    <w:rsid w:val="0050539B"/>
    <w:rsid w:val="00507815"/>
    <w:rsid w:val="00507B3B"/>
    <w:rsid w:val="00515F9F"/>
    <w:rsid w:val="00523956"/>
    <w:rsid w:val="00530750"/>
    <w:rsid w:val="00536719"/>
    <w:rsid w:val="00550349"/>
    <w:rsid w:val="0055200E"/>
    <w:rsid w:val="005532DA"/>
    <w:rsid w:val="00571C10"/>
    <w:rsid w:val="005724A7"/>
    <w:rsid w:val="00572C0A"/>
    <w:rsid w:val="00576E50"/>
    <w:rsid w:val="00577D50"/>
    <w:rsid w:val="00585BBC"/>
    <w:rsid w:val="005A36A3"/>
    <w:rsid w:val="005A544E"/>
    <w:rsid w:val="005B54AF"/>
    <w:rsid w:val="005B6D68"/>
    <w:rsid w:val="005D2457"/>
    <w:rsid w:val="005E2D18"/>
    <w:rsid w:val="005F29C2"/>
    <w:rsid w:val="006127C3"/>
    <w:rsid w:val="00621C30"/>
    <w:rsid w:val="00622909"/>
    <w:rsid w:val="0062734A"/>
    <w:rsid w:val="00627F41"/>
    <w:rsid w:val="00630C1F"/>
    <w:rsid w:val="006413B6"/>
    <w:rsid w:val="0064466A"/>
    <w:rsid w:val="006449E4"/>
    <w:rsid w:val="00647C63"/>
    <w:rsid w:val="00650B77"/>
    <w:rsid w:val="00660E07"/>
    <w:rsid w:val="0066398A"/>
    <w:rsid w:val="006676AA"/>
    <w:rsid w:val="0067648B"/>
    <w:rsid w:val="00680A75"/>
    <w:rsid w:val="00687C8D"/>
    <w:rsid w:val="006A13DE"/>
    <w:rsid w:val="006A30BD"/>
    <w:rsid w:val="006B00B4"/>
    <w:rsid w:val="006B0E15"/>
    <w:rsid w:val="006B0F4A"/>
    <w:rsid w:val="006B3024"/>
    <w:rsid w:val="006C0F0F"/>
    <w:rsid w:val="006C3302"/>
    <w:rsid w:val="006C4A6B"/>
    <w:rsid w:val="006D403B"/>
    <w:rsid w:val="006E0172"/>
    <w:rsid w:val="006E07A2"/>
    <w:rsid w:val="00705044"/>
    <w:rsid w:val="00705055"/>
    <w:rsid w:val="0071559A"/>
    <w:rsid w:val="00716D9B"/>
    <w:rsid w:val="00721EC4"/>
    <w:rsid w:val="007309CD"/>
    <w:rsid w:val="00756834"/>
    <w:rsid w:val="007607DA"/>
    <w:rsid w:val="007622AD"/>
    <w:rsid w:val="00766888"/>
    <w:rsid w:val="00770E22"/>
    <w:rsid w:val="00785C29"/>
    <w:rsid w:val="0079586E"/>
    <w:rsid w:val="00796981"/>
    <w:rsid w:val="007A023C"/>
    <w:rsid w:val="007B55B7"/>
    <w:rsid w:val="007C0579"/>
    <w:rsid w:val="007C38A2"/>
    <w:rsid w:val="007C533C"/>
    <w:rsid w:val="007D3056"/>
    <w:rsid w:val="007D32AD"/>
    <w:rsid w:val="007F5483"/>
    <w:rsid w:val="00800560"/>
    <w:rsid w:val="00801AA4"/>
    <w:rsid w:val="008040BC"/>
    <w:rsid w:val="00815035"/>
    <w:rsid w:val="00823043"/>
    <w:rsid w:val="00844269"/>
    <w:rsid w:val="008770A5"/>
    <w:rsid w:val="00893849"/>
    <w:rsid w:val="00893C39"/>
    <w:rsid w:val="008A15A7"/>
    <w:rsid w:val="008A49F7"/>
    <w:rsid w:val="008B0C7C"/>
    <w:rsid w:val="008E020E"/>
    <w:rsid w:val="008F28C3"/>
    <w:rsid w:val="00906528"/>
    <w:rsid w:val="009203AE"/>
    <w:rsid w:val="009217B9"/>
    <w:rsid w:val="009246ED"/>
    <w:rsid w:val="00933F33"/>
    <w:rsid w:val="00941884"/>
    <w:rsid w:val="009478B4"/>
    <w:rsid w:val="00952159"/>
    <w:rsid w:val="00960829"/>
    <w:rsid w:val="00966519"/>
    <w:rsid w:val="00970302"/>
    <w:rsid w:val="0099055A"/>
    <w:rsid w:val="00991CAA"/>
    <w:rsid w:val="009929D9"/>
    <w:rsid w:val="00994EAC"/>
    <w:rsid w:val="009A246A"/>
    <w:rsid w:val="009B11D8"/>
    <w:rsid w:val="009B125B"/>
    <w:rsid w:val="009B6BC3"/>
    <w:rsid w:val="009E14C1"/>
    <w:rsid w:val="009E68B6"/>
    <w:rsid w:val="009F5A46"/>
    <w:rsid w:val="00A00C3D"/>
    <w:rsid w:val="00A02F81"/>
    <w:rsid w:val="00A1302E"/>
    <w:rsid w:val="00A15060"/>
    <w:rsid w:val="00A32402"/>
    <w:rsid w:val="00A361E9"/>
    <w:rsid w:val="00A36FB6"/>
    <w:rsid w:val="00A4615B"/>
    <w:rsid w:val="00A461B1"/>
    <w:rsid w:val="00A5098A"/>
    <w:rsid w:val="00A53E6A"/>
    <w:rsid w:val="00A659BD"/>
    <w:rsid w:val="00A745C9"/>
    <w:rsid w:val="00A74CD9"/>
    <w:rsid w:val="00A92446"/>
    <w:rsid w:val="00AB65FD"/>
    <w:rsid w:val="00AC7186"/>
    <w:rsid w:val="00AD60F8"/>
    <w:rsid w:val="00AF0161"/>
    <w:rsid w:val="00B11EF4"/>
    <w:rsid w:val="00B261E4"/>
    <w:rsid w:val="00B27EC7"/>
    <w:rsid w:val="00B3561E"/>
    <w:rsid w:val="00B35FA6"/>
    <w:rsid w:val="00B3795A"/>
    <w:rsid w:val="00B472A6"/>
    <w:rsid w:val="00B520CE"/>
    <w:rsid w:val="00B90988"/>
    <w:rsid w:val="00B9358D"/>
    <w:rsid w:val="00B971BA"/>
    <w:rsid w:val="00BB72D7"/>
    <w:rsid w:val="00BC308E"/>
    <w:rsid w:val="00BC75DC"/>
    <w:rsid w:val="00BD345F"/>
    <w:rsid w:val="00BD5112"/>
    <w:rsid w:val="00BF459A"/>
    <w:rsid w:val="00BF4944"/>
    <w:rsid w:val="00C02788"/>
    <w:rsid w:val="00C046D9"/>
    <w:rsid w:val="00C21D4D"/>
    <w:rsid w:val="00C22E3F"/>
    <w:rsid w:val="00C37E35"/>
    <w:rsid w:val="00C4280A"/>
    <w:rsid w:val="00C438DB"/>
    <w:rsid w:val="00C4619D"/>
    <w:rsid w:val="00C47D49"/>
    <w:rsid w:val="00C62275"/>
    <w:rsid w:val="00C63E20"/>
    <w:rsid w:val="00C64DCD"/>
    <w:rsid w:val="00C92793"/>
    <w:rsid w:val="00C92868"/>
    <w:rsid w:val="00CB078C"/>
    <w:rsid w:val="00CB0C9A"/>
    <w:rsid w:val="00CF0FF9"/>
    <w:rsid w:val="00CF68B0"/>
    <w:rsid w:val="00CF74A0"/>
    <w:rsid w:val="00D2326F"/>
    <w:rsid w:val="00D27BB6"/>
    <w:rsid w:val="00D30A17"/>
    <w:rsid w:val="00D42596"/>
    <w:rsid w:val="00D45B7E"/>
    <w:rsid w:val="00D4713C"/>
    <w:rsid w:val="00D5334D"/>
    <w:rsid w:val="00D57702"/>
    <w:rsid w:val="00D60541"/>
    <w:rsid w:val="00D65304"/>
    <w:rsid w:val="00D714DE"/>
    <w:rsid w:val="00D75506"/>
    <w:rsid w:val="00D8629D"/>
    <w:rsid w:val="00D87283"/>
    <w:rsid w:val="00D92FB0"/>
    <w:rsid w:val="00DB6A5C"/>
    <w:rsid w:val="00DC0667"/>
    <w:rsid w:val="00DD4162"/>
    <w:rsid w:val="00DD5042"/>
    <w:rsid w:val="00DD6E44"/>
    <w:rsid w:val="00DD7696"/>
    <w:rsid w:val="00DE5D03"/>
    <w:rsid w:val="00DF03D9"/>
    <w:rsid w:val="00DF4948"/>
    <w:rsid w:val="00DF5FAE"/>
    <w:rsid w:val="00DF667A"/>
    <w:rsid w:val="00E06F34"/>
    <w:rsid w:val="00E21B90"/>
    <w:rsid w:val="00E30911"/>
    <w:rsid w:val="00E348E3"/>
    <w:rsid w:val="00E35F7B"/>
    <w:rsid w:val="00E43DF1"/>
    <w:rsid w:val="00E44DB4"/>
    <w:rsid w:val="00E4765B"/>
    <w:rsid w:val="00E54A9F"/>
    <w:rsid w:val="00E6673C"/>
    <w:rsid w:val="00E82CF1"/>
    <w:rsid w:val="00E83945"/>
    <w:rsid w:val="00E9195A"/>
    <w:rsid w:val="00E97781"/>
    <w:rsid w:val="00EA40ED"/>
    <w:rsid w:val="00EB1D7D"/>
    <w:rsid w:val="00EB2FE1"/>
    <w:rsid w:val="00EB32D0"/>
    <w:rsid w:val="00EC5678"/>
    <w:rsid w:val="00EC6AD4"/>
    <w:rsid w:val="00ED2690"/>
    <w:rsid w:val="00EE79C2"/>
    <w:rsid w:val="00EE7B0E"/>
    <w:rsid w:val="00EF64CD"/>
    <w:rsid w:val="00F05122"/>
    <w:rsid w:val="00F05476"/>
    <w:rsid w:val="00F16477"/>
    <w:rsid w:val="00F25D2F"/>
    <w:rsid w:val="00F34F09"/>
    <w:rsid w:val="00F46E5E"/>
    <w:rsid w:val="00F50F0B"/>
    <w:rsid w:val="00F7335E"/>
    <w:rsid w:val="00F7460A"/>
    <w:rsid w:val="00F92172"/>
    <w:rsid w:val="00F96E39"/>
    <w:rsid w:val="00FB272A"/>
    <w:rsid w:val="00FB7F58"/>
    <w:rsid w:val="00FC4BFD"/>
    <w:rsid w:val="00FC6254"/>
    <w:rsid w:val="00FC6433"/>
    <w:rsid w:val="00FC72E9"/>
    <w:rsid w:val="00FC7BF9"/>
    <w:rsid w:val="00FD16E9"/>
    <w:rsid w:val="00FE47D7"/>
    <w:rsid w:val="00FF3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81D977"/>
  <w15:chartTrackingRefBased/>
  <w15:docId w15:val="{A0B27E2D-129D-46B5-8101-B4D282B66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35E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835E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835E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835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835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835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35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35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35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5E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835E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835E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835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835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835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35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35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35E5"/>
    <w:rPr>
      <w:rFonts w:eastAsiaTheme="majorEastAsia" w:cstheme="majorBidi"/>
      <w:color w:val="272727" w:themeColor="text1" w:themeTint="D8"/>
    </w:rPr>
  </w:style>
  <w:style w:type="paragraph" w:styleId="Title">
    <w:name w:val="Title"/>
    <w:basedOn w:val="Normal"/>
    <w:next w:val="Normal"/>
    <w:link w:val="TitleChar"/>
    <w:uiPriority w:val="10"/>
    <w:qFormat/>
    <w:rsid w:val="002835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35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35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35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35E5"/>
    <w:pPr>
      <w:spacing w:before="160"/>
      <w:jc w:val="center"/>
    </w:pPr>
    <w:rPr>
      <w:i/>
      <w:iCs/>
      <w:color w:val="404040" w:themeColor="text1" w:themeTint="BF"/>
    </w:rPr>
  </w:style>
  <w:style w:type="character" w:customStyle="1" w:styleId="QuoteChar">
    <w:name w:val="Quote Char"/>
    <w:basedOn w:val="DefaultParagraphFont"/>
    <w:link w:val="Quote"/>
    <w:uiPriority w:val="29"/>
    <w:rsid w:val="002835E5"/>
    <w:rPr>
      <w:i/>
      <w:iCs/>
      <w:color w:val="404040" w:themeColor="text1" w:themeTint="BF"/>
    </w:rPr>
  </w:style>
  <w:style w:type="paragraph" w:styleId="ListParagraph">
    <w:name w:val="List Paragraph"/>
    <w:basedOn w:val="Normal"/>
    <w:uiPriority w:val="34"/>
    <w:qFormat/>
    <w:rsid w:val="002835E5"/>
    <w:pPr>
      <w:ind w:left="720"/>
      <w:contextualSpacing/>
    </w:pPr>
  </w:style>
  <w:style w:type="character" w:styleId="IntenseEmphasis">
    <w:name w:val="Intense Emphasis"/>
    <w:basedOn w:val="DefaultParagraphFont"/>
    <w:uiPriority w:val="21"/>
    <w:qFormat/>
    <w:rsid w:val="002835E5"/>
    <w:rPr>
      <w:i/>
      <w:iCs/>
      <w:color w:val="2F5496" w:themeColor="accent1" w:themeShade="BF"/>
    </w:rPr>
  </w:style>
  <w:style w:type="paragraph" w:styleId="IntenseQuote">
    <w:name w:val="Intense Quote"/>
    <w:basedOn w:val="Normal"/>
    <w:next w:val="Normal"/>
    <w:link w:val="IntenseQuoteChar"/>
    <w:uiPriority w:val="30"/>
    <w:qFormat/>
    <w:rsid w:val="002835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835E5"/>
    <w:rPr>
      <w:i/>
      <w:iCs/>
      <w:color w:val="2F5496" w:themeColor="accent1" w:themeShade="BF"/>
    </w:rPr>
  </w:style>
  <w:style w:type="character" w:styleId="IntenseReference">
    <w:name w:val="Intense Reference"/>
    <w:basedOn w:val="DefaultParagraphFont"/>
    <w:uiPriority w:val="32"/>
    <w:qFormat/>
    <w:rsid w:val="002835E5"/>
    <w:rPr>
      <w:b/>
      <w:bCs/>
      <w:smallCaps/>
      <w:color w:val="2F5496" w:themeColor="accent1" w:themeShade="BF"/>
      <w:spacing w:val="5"/>
    </w:rPr>
  </w:style>
  <w:style w:type="paragraph" w:styleId="FootnoteText">
    <w:name w:val="footnote text"/>
    <w:basedOn w:val="Normal"/>
    <w:link w:val="FootnoteTextChar"/>
    <w:uiPriority w:val="99"/>
    <w:semiHidden/>
    <w:unhideWhenUsed/>
    <w:rsid w:val="002835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35E5"/>
    <w:rPr>
      <w:sz w:val="20"/>
      <w:szCs w:val="20"/>
    </w:rPr>
  </w:style>
  <w:style w:type="character" w:styleId="FootnoteReference">
    <w:name w:val="footnote reference"/>
    <w:basedOn w:val="DefaultParagraphFont"/>
    <w:uiPriority w:val="99"/>
    <w:semiHidden/>
    <w:unhideWhenUsed/>
    <w:rsid w:val="002835E5"/>
    <w:rPr>
      <w:vertAlign w:val="superscript"/>
    </w:rPr>
  </w:style>
  <w:style w:type="paragraph" w:styleId="NormalWeb">
    <w:name w:val="Normal (Web)"/>
    <w:basedOn w:val="Normal"/>
    <w:uiPriority w:val="99"/>
    <w:semiHidden/>
    <w:unhideWhenUsed/>
    <w:rsid w:val="009B125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B125B"/>
    <w:rPr>
      <w:color w:val="0563C1" w:themeColor="hyperlink"/>
      <w:u w:val="single"/>
    </w:rPr>
  </w:style>
  <w:style w:type="character" w:styleId="UnresolvedMention">
    <w:name w:val="Unresolved Mention"/>
    <w:basedOn w:val="DefaultParagraphFont"/>
    <w:uiPriority w:val="99"/>
    <w:semiHidden/>
    <w:unhideWhenUsed/>
    <w:rsid w:val="009B12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blegateway.com/versions/New-Revised-Standard-Version-Updated-Edition-NRSVue-Bible/"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12003</TotalTime>
  <Pages>7</Pages>
  <Words>2632</Words>
  <Characters>15008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Chick</dc:creator>
  <cp:keywords/>
  <dc:description/>
  <cp:lastModifiedBy>Marcus Chick</cp:lastModifiedBy>
  <cp:revision>321</cp:revision>
  <dcterms:created xsi:type="dcterms:W3CDTF">2026-07-16T09:44:00Z</dcterms:created>
  <dcterms:modified xsi:type="dcterms:W3CDTF">2026-07-27T14:37:00Z</dcterms:modified>
</cp:coreProperties>
</file>