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BEBA7" w14:textId="652B0BB8" w:rsidR="004B6189" w:rsidRPr="005F2893" w:rsidRDefault="004B6189" w:rsidP="004B6189">
      <w:pPr>
        <w:rPr>
          <w:rFonts w:ascii="Arial" w:hAnsi="Arial" w:cs="Arial"/>
          <w:b/>
          <w:bCs/>
          <w:sz w:val="32"/>
          <w:szCs w:val="32"/>
        </w:rPr>
      </w:pPr>
      <w:bookmarkStart w:id="0" w:name="_Hlk149154204"/>
      <w:r w:rsidRPr="005F2893">
        <w:rPr>
          <w:rFonts w:ascii="Arial" w:hAnsi="Arial" w:cs="Arial"/>
          <w:b/>
          <w:bCs/>
          <w:sz w:val="32"/>
          <w:szCs w:val="32"/>
        </w:rPr>
        <w:t>Does a hunter-gatherer lifestyle afford a person to become more resilient than a modern western lifestyle?</w:t>
      </w:r>
    </w:p>
    <w:p w14:paraId="4AA8A327" w14:textId="77777777" w:rsidR="004B6189" w:rsidRPr="005F2893" w:rsidRDefault="004B6189" w:rsidP="004B6189">
      <w:pPr>
        <w:rPr>
          <w:rFonts w:ascii="Arial" w:hAnsi="Arial" w:cs="Arial"/>
          <w:sz w:val="28"/>
          <w:szCs w:val="28"/>
        </w:rPr>
      </w:pPr>
      <w:r w:rsidRPr="005F2893">
        <w:rPr>
          <w:rFonts w:ascii="Arial" w:hAnsi="Arial" w:cs="Arial"/>
          <w:sz w:val="28"/>
          <w:szCs w:val="28"/>
        </w:rPr>
        <w:t>Title: Hunter-Gatherer Lifestyle vs. Modern Western Lifestyle: Exploring Resilience</w:t>
      </w:r>
    </w:p>
    <w:p w14:paraId="6078BFC2" w14:textId="77777777" w:rsidR="00804DEC" w:rsidRDefault="00804DEC" w:rsidP="004B6189">
      <w:pPr>
        <w:rPr>
          <w:rFonts w:ascii="Arial" w:hAnsi="Arial" w:cs="Arial"/>
          <w:sz w:val="24"/>
          <w:szCs w:val="24"/>
        </w:rPr>
      </w:pPr>
    </w:p>
    <w:p w14:paraId="52FEAEA8" w14:textId="77777777" w:rsidR="005F2893" w:rsidRDefault="00804DEC" w:rsidP="004B6189">
      <w:pPr>
        <w:rPr>
          <w:rFonts w:ascii="Arial" w:hAnsi="Arial" w:cs="Arial"/>
          <w:b/>
          <w:bCs/>
          <w:sz w:val="24"/>
          <w:szCs w:val="24"/>
        </w:rPr>
      </w:pPr>
      <w:r w:rsidRPr="005F2893">
        <w:rPr>
          <w:rFonts w:ascii="Arial" w:hAnsi="Arial" w:cs="Arial"/>
          <w:b/>
          <w:bCs/>
          <w:sz w:val="24"/>
          <w:szCs w:val="24"/>
        </w:rPr>
        <w:t xml:space="preserve">Introduction </w:t>
      </w:r>
    </w:p>
    <w:p w14:paraId="4287F6DE" w14:textId="7515738C" w:rsidR="004B6189" w:rsidRPr="005F2893" w:rsidRDefault="00804DEC" w:rsidP="004B6189">
      <w:pPr>
        <w:rPr>
          <w:rFonts w:ascii="Arial" w:hAnsi="Arial" w:cs="Arial"/>
          <w:b/>
          <w:bCs/>
          <w:sz w:val="24"/>
          <w:szCs w:val="24"/>
        </w:rPr>
      </w:pPr>
      <w:r>
        <w:rPr>
          <w:rFonts w:ascii="Arial" w:hAnsi="Arial" w:cs="Arial"/>
          <w:sz w:val="24"/>
          <w:szCs w:val="24"/>
        </w:rPr>
        <w:t>T</w:t>
      </w:r>
      <w:r w:rsidR="00B216D0" w:rsidRPr="00B216D0">
        <w:rPr>
          <w:rFonts w:ascii="Arial" w:hAnsi="Arial" w:cs="Arial"/>
          <w:sz w:val="24"/>
          <w:szCs w:val="24"/>
        </w:rPr>
        <w:t>he purpose of this dissertation proposal is to examine and contrast the degrees of resilience exhibited by those who lead</w:t>
      </w:r>
      <w:r w:rsidR="00F1472B">
        <w:rPr>
          <w:rFonts w:ascii="Arial" w:hAnsi="Arial" w:cs="Arial"/>
          <w:sz w:val="24"/>
          <w:szCs w:val="24"/>
        </w:rPr>
        <w:t xml:space="preserve"> a</w:t>
      </w:r>
      <w:r w:rsidR="00B216D0" w:rsidRPr="00B216D0">
        <w:rPr>
          <w:rFonts w:ascii="Arial" w:hAnsi="Arial" w:cs="Arial"/>
          <w:sz w:val="24"/>
          <w:szCs w:val="24"/>
        </w:rPr>
        <w:t xml:space="preserve"> modern </w:t>
      </w:r>
      <w:r>
        <w:rPr>
          <w:rFonts w:ascii="Arial" w:hAnsi="Arial" w:cs="Arial"/>
          <w:sz w:val="24"/>
          <w:szCs w:val="24"/>
        </w:rPr>
        <w:t>we</w:t>
      </w:r>
      <w:r w:rsidR="00B216D0" w:rsidRPr="00B216D0">
        <w:rPr>
          <w:rFonts w:ascii="Arial" w:hAnsi="Arial" w:cs="Arial"/>
          <w:sz w:val="24"/>
          <w:szCs w:val="24"/>
        </w:rPr>
        <w:t xml:space="preserve">stern society with those who lead a traditional hunter-gatherer lifestyle. The proposed study will examine the variables—diet, physical activity, </w:t>
      </w:r>
      <w:r>
        <w:rPr>
          <w:rFonts w:ascii="Arial" w:hAnsi="Arial" w:cs="Arial"/>
          <w:sz w:val="24"/>
          <w:szCs w:val="24"/>
        </w:rPr>
        <w:t xml:space="preserve">the environment, </w:t>
      </w:r>
      <w:r w:rsidR="00B216D0" w:rsidRPr="00B216D0">
        <w:rPr>
          <w:rFonts w:ascii="Arial" w:hAnsi="Arial" w:cs="Arial"/>
          <w:sz w:val="24"/>
          <w:szCs w:val="24"/>
        </w:rPr>
        <w:t>social structures, and psychological elements</w:t>
      </w:r>
      <w:r>
        <w:rPr>
          <w:rFonts w:ascii="Arial" w:hAnsi="Arial" w:cs="Arial"/>
          <w:sz w:val="24"/>
          <w:szCs w:val="24"/>
        </w:rPr>
        <w:t xml:space="preserve"> and evaluate how these variables impact upon the two lifestyles. </w:t>
      </w:r>
      <w:r w:rsidR="00B216D0" w:rsidRPr="00B216D0">
        <w:rPr>
          <w:rFonts w:ascii="Arial" w:hAnsi="Arial" w:cs="Arial"/>
          <w:sz w:val="24"/>
          <w:szCs w:val="24"/>
        </w:rPr>
        <w:t>This dissertation aims to contribute to conversations on the possible advantages and disadvantages of each lifestyle by offering a thorough understanding of how these disparate lifestyles affect human resilience.</w:t>
      </w:r>
    </w:p>
    <w:p w14:paraId="03330645" w14:textId="42021BF4" w:rsidR="00B301FE" w:rsidRDefault="004B6189" w:rsidP="004B6189">
      <w:pPr>
        <w:rPr>
          <w:rFonts w:ascii="Arial" w:hAnsi="Arial" w:cs="Arial"/>
          <w:sz w:val="24"/>
          <w:szCs w:val="24"/>
        </w:rPr>
      </w:pPr>
      <w:r w:rsidRPr="004B6189">
        <w:rPr>
          <w:rFonts w:ascii="Arial" w:hAnsi="Arial" w:cs="Arial"/>
          <w:sz w:val="24"/>
          <w:szCs w:val="24"/>
        </w:rPr>
        <w:t xml:space="preserve">The concept of resilience has gained significant attention in recent years due to its importance in maintaining physical and psychological well-being. </w:t>
      </w:r>
      <w:r w:rsidR="00502FF8" w:rsidRPr="004B6189">
        <w:rPr>
          <w:rFonts w:ascii="Arial" w:hAnsi="Arial" w:cs="Arial"/>
          <w:sz w:val="24"/>
          <w:szCs w:val="24"/>
        </w:rPr>
        <w:t>Resilience</w:t>
      </w:r>
      <w:r w:rsidR="00502FF8">
        <w:rPr>
          <w:rFonts w:ascii="Arial" w:hAnsi="Arial" w:cs="Arial"/>
          <w:sz w:val="24"/>
          <w:szCs w:val="24"/>
        </w:rPr>
        <w:t xml:space="preserve"> (</w:t>
      </w:r>
      <w:r w:rsidR="00502FF8" w:rsidRPr="00502FF8">
        <w:rPr>
          <w:rFonts w:ascii="Arial" w:hAnsi="Arial" w:cs="Arial"/>
          <w:sz w:val="24"/>
          <w:szCs w:val="24"/>
        </w:rPr>
        <w:t>Webb, L., 2013</w:t>
      </w:r>
      <w:r w:rsidR="00502FF8">
        <w:rPr>
          <w:rFonts w:ascii="Arial" w:hAnsi="Arial" w:cs="Arial"/>
          <w:sz w:val="24"/>
          <w:szCs w:val="24"/>
        </w:rPr>
        <w:t>)</w:t>
      </w:r>
      <w:r w:rsidRPr="004B6189">
        <w:rPr>
          <w:rFonts w:ascii="Arial" w:hAnsi="Arial" w:cs="Arial"/>
          <w:sz w:val="24"/>
          <w:szCs w:val="24"/>
        </w:rPr>
        <w:t xml:space="preserve"> is often defined as the ability to adapt and recover from adversity while maintaining mental and physical health</w:t>
      </w:r>
      <w:r w:rsidRPr="00530530">
        <w:rPr>
          <w:rFonts w:ascii="Arial" w:hAnsi="Arial" w:cs="Arial"/>
          <w:sz w:val="24"/>
          <w:szCs w:val="24"/>
        </w:rPr>
        <w:t xml:space="preserve">. </w:t>
      </w:r>
      <w:r w:rsidR="00530530" w:rsidRPr="00530530">
        <w:rPr>
          <w:rFonts w:ascii="Arial" w:hAnsi="Arial" w:cs="Arial"/>
          <w:sz w:val="24"/>
          <w:szCs w:val="24"/>
        </w:rPr>
        <w:t>(</w:t>
      </w:r>
      <w:r w:rsidR="00530530" w:rsidRPr="00530530">
        <w:rPr>
          <w:rFonts w:ascii="Arial" w:hAnsi="Arial" w:cs="Arial"/>
          <w:color w:val="222222"/>
          <w:sz w:val="24"/>
          <w:szCs w:val="24"/>
          <w:shd w:val="clear" w:color="auto" w:fill="FFFFFF"/>
        </w:rPr>
        <w:t>Leung, M.H. and Lee, P.K., 2016) talk about how</w:t>
      </w:r>
      <w:r w:rsidR="00530530">
        <w:rPr>
          <w:rFonts w:ascii="Arial" w:hAnsi="Arial" w:cs="Arial"/>
          <w:color w:val="222222"/>
          <w:sz w:val="20"/>
          <w:szCs w:val="20"/>
          <w:shd w:val="clear" w:color="auto" w:fill="FFFFFF"/>
        </w:rPr>
        <w:t xml:space="preserve"> i</w:t>
      </w:r>
      <w:r w:rsidRPr="004B6189">
        <w:rPr>
          <w:rFonts w:ascii="Arial" w:hAnsi="Arial" w:cs="Arial"/>
          <w:sz w:val="24"/>
          <w:szCs w:val="24"/>
        </w:rPr>
        <w:t xml:space="preserve">t has become particularly relevant in the context of today's modern Western lifestyle, characterized by urbanization, sedentary </w:t>
      </w:r>
      <w:r w:rsidR="00765AEF" w:rsidRPr="004B6189">
        <w:rPr>
          <w:rFonts w:ascii="Arial" w:hAnsi="Arial" w:cs="Arial"/>
          <w:sz w:val="24"/>
          <w:szCs w:val="24"/>
        </w:rPr>
        <w:t>behaviour</w:t>
      </w:r>
      <w:r w:rsidRPr="004B6189">
        <w:rPr>
          <w:rFonts w:ascii="Arial" w:hAnsi="Arial" w:cs="Arial"/>
          <w:sz w:val="24"/>
          <w:szCs w:val="24"/>
        </w:rPr>
        <w:t>, processed food consumption, and high-stress levels</w:t>
      </w:r>
      <w:r w:rsidR="00B301FE" w:rsidRPr="00053271">
        <w:rPr>
          <w:rFonts w:ascii="Arial" w:hAnsi="Arial" w:cs="Arial"/>
          <w:sz w:val="24"/>
          <w:szCs w:val="24"/>
        </w:rPr>
        <w:t>.</w:t>
      </w:r>
      <w:r w:rsidR="00053271" w:rsidRPr="00053271">
        <w:rPr>
          <w:rFonts w:ascii="Arial" w:hAnsi="Arial" w:cs="Arial"/>
          <w:color w:val="3C4245"/>
          <w:sz w:val="24"/>
          <w:szCs w:val="24"/>
          <w:shd w:val="clear" w:color="auto" w:fill="FFFFFF"/>
        </w:rPr>
        <w:t xml:space="preserve"> "The habit of maintaining a healthy lifestyle, including regular exercise and a nutritious diet ideally begins in childhood and we hope that parents and schools everywhere will use</w:t>
      </w:r>
      <w:r w:rsidR="00A254A8">
        <w:rPr>
          <w:rFonts w:ascii="Arial" w:hAnsi="Arial" w:cs="Arial"/>
          <w:color w:val="3C4245"/>
          <w:sz w:val="24"/>
          <w:szCs w:val="24"/>
          <w:shd w:val="clear" w:color="auto" w:fill="FFFFFF"/>
        </w:rPr>
        <w:t xml:space="preserve"> to</w:t>
      </w:r>
      <w:r w:rsidR="00053271" w:rsidRPr="00053271">
        <w:rPr>
          <w:rFonts w:ascii="Arial" w:hAnsi="Arial" w:cs="Arial"/>
          <w:color w:val="3C4245"/>
          <w:sz w:val="24"/>
          <w:szCs w:val="24"/>
          <w:shd w:val="clear" w:color="auto" w:fill="FFFFFF"/>
        </w:rPr>
        <w:t xml:space="preserve"> this day to spread this message," said Dr Gro Harlem Brundtland, WHO’s Director-General</w:t>
      </w:r>
      <w:r w:rsidR="00053271">
        <w:rPr>
          <w:rFonts w:ascii="Noto Sans" w:hAnsi="Noto Sans" w:cs="Noto Sans"/>
          <w:color w:val="3C4245"/>
          <w:shd w:val="clear" w:color="auto" w:fill="FFFFFF"/>
        </w:rPr>
        <w:t>.</w:t>
      </w:r>
      <w:r w:rsidR="004E38CE">
        <w:rPr>
          <w:rFonts w:ascii="Arial" w:hAnsi="Arial" w:cs="Arial"/>
          <w:sz w:val="24"/>
          <w:szCs w:val="24"/>
        </w:rPr>
        <w:t xml:space="preserve"> </w:t>
      </w:r>
      <w:r w:rsidR="00D17D1A" w:rsidRPr="00D17D1A">
        <w:rPr>
          <w:rFonts w:ascii="Arial" w:hAnsi="Arial" w:cs="Arial"/>
          <w:sz w:val="24"/>
          <w:szCs w:val="24"/>
        </w:rPr>
        <w:t>It is true that adversity and discomfort serve as the drivers for resilience. The difficulties and discomfort people encounter present chances for development of emotional resilience, adaptability, and personal growth</w:t>
      </w:r>
      <w:r w:rsidR="00D17D1A" w:rsidRPr="00053271">
        <w:rPr>
          <w:rFonts w:ascii="Arial" w:hAnsi="Arial" w:cs="Arial"/>
          <w:sz w:val="24"/>
          <w:szCs w:val="24"/>
        </w:rPr>
        <w:t>.</w:t>
      </w:r>
      <w:r w:rsidR="00053271" w:rsidRPr="00053271">
        <w:rPr>
          <w:rFonts w:ascii="Arial" w:hAnsi="Arial" w:cs="Arial"/>
          <w:sz w:val="24"/>
          <w:szCs w:val="24"/>
        </w:rPr>
        <w:t xml:space="preserve"> </w:t>
      </w:r>
      <w:proofErr w:type="spellStart"/>
      <w:r w:rsidR="00053271" w:rsidRPr="00053271">
        <w:rPr>
          <w:rFonts w:ascii="Arial" w:hAnsi="Arial" w:cs="Arial"/>
          <w:sz w:val="24"/>
          <w:szCs w:val="24"/>
        </w:rPr>
        <w:t>Kmietowicz</w:t>
      </w:r>
      <w:proofErr w:type="spellEnd"/>
      <w:r w:rsidR="00053271" w:rsidRPr="00053271">
        <w:rPr>
          <w:rFonts w:ascii="Arial" w:hAnsi="Arial" w:cs="Arial"/>
          <w:sz w:val="24"/>
          <w:szCs w:val="24"/>
        </w:rPr>
        <w:t>, Z. (2002</w:t>
      </w:r>
      <w:r w:rsidR="00053271">
        <w:t xml:space="preserve">) </w:t>
      </w:r>
      <w:r w:rsidR="00D17D1A" w:rsidRPr="00D17D1A">
        <w:rPr>
          <w:rFonts w:ascii="Arial" w:hAnsi="Arial" w:cs="Arial"/>
          <w:sz w:val="24"/>
          <w:szCs w:val="24"/>
        </w:rPr>
        <w:t xml:space="preserve"> </w:t>
      </w:r>
    </w:p>
    <w:p w14:paraId="01A2DDA8" w14:textId="77777777" w:rsidR="00B301FE" w:rsidRDefault="00B301FE" w:rsidP="004B6189">
      <w:pPr>
        <w:rPr>
          <w:rFonts w:ascii="Arial" w:hAnsi="Arial" w:cs="Arial"/>
          <w:sz w:val="24"/>
          <w:szCs w:val="24"/>
        </w:rPr>
      </w:pPr>
    </w:p>
    <w:p w14:paraId="091D7FC8" w14:textId="0EDE5C46" w:rsidR="00B301FE" w:rsidRDefault="00B301FE" w:rsidP="004B6189">
      <w:pPr>
        <w:rPr>
          <w:rFonts w:ascii="Arial" w:hAnsi="Arial" w:cs="Arial"/>
          <w:b/>
          <w:bCs/>
          <w:sz w:val="24"/>
          <w:szCs w:val="24"/>
        </w:rPr>
      </w:pPr>
      <w:r w:rsidRPr="005F2893">
        <w:rPr>
          <w:rFonts w:ascii="Arial" w:hAnsi="Arial" w:cs="Arial"/>
          <w:b/>
          <w:bCs/>
          <w:sz w:val="24"/>
          <w:szCs w:val="24"/>
        </w:rPr>
        <w:t>Rationale</w:t>
      </w:r>
    </w:p>
    <w:p w14:paraId="57E01875" w14:textId="77777777" w:rsidR="00BF53C9" w:rsidRDefault="00BF53C9" w:rsidP="004B6189">
      <w:pPr>
        <w:rPr>
          <w:rFonts w:ascii="Arial" w:hAnsi="Arial" w:cs="Arial"/>
          <w:b/>
          <w:bCs/>
          <w:sz w:val="24"/>
          <w:szCs w:val="24"/>
        </w:rPr>
      </w:pPr>
    </w:p>
    <w:p w14:paraId="552934FE" w14:textId="77777777" w:rsidR="00BF53C9" w:rsidRPr="00BF53C9" w:rsidRDefault="00BF53C9" w:rsidP="00BF53C9">
      <w:pPr>
        <w:numPr>
          <w:ilvl w:val="0"/>
          <w:numId w:val="9"/>
        </w:numPr>
        <w:rPr>
          <w:rFonts w:ascii="Arial" w:hAnsi="Arial" w:cs="Arial"/>
          <w:sz w:val="24"/>
          <w:szCs w:val="24"/>
        </w:rPr>
      </w:pPr>
      <w:r w:rsidRPr="00BF53C9">
        <w:rPr>
          <w:rFonts w:ascii="Arial" w:hAnsi="Arial" w:cs="Arial"/>
          <w:sz w:val="24"/>
          <w:szCs w:val="24"/>
        </w:rPr>
        <w:t xml:space="preserve">Historical Context: The comparison between hunter-gatherer and modern Western lifestyles is compelling due to their significant historical and cultural differences. Hunter-gatherer societies represent a lifestyle that humans practiced for </w:t>
      </w:r>
      <w:proofErr w:type="gramStart"/>
      <w:r w:rsidRPr="00BF53C9">
        <w:rPr>
          <w:rFonts w:ascii="Arial" w:hAnsi="Arial" w:cs="Arial"/>
          <w:sz w:val="24"/>
          <w:szCs w:val="24"/>
        </w:rPr>
        <w:t>the majority of</w:t>
      </w:r>
      <w:proofErr w:type="gramEnd"/>
      <w:r w:rsidRPr="00BF53C9">
        <w:rPr>
          <w:rFonts w:ascii="Arial" w:hAnsi="Arial" w:cs="Arial"/>
          <w:sz w:val="24"/>
          <w:szCs w:val="24"/>
        </w:rPr>
        <w:t xml:space="preserve"> our species' existence, while the modern Western lifestyle is characterized by urbanization, technological advancements, and industrialization. These differences offer a unique lens through which to examine the factors influencing resilience.</w:t>
      </w:r>
    </w:p>
    <w:p w14:paraId="28E2EAA9" w14:textId="77777777" w:rsidR="00BF53C9" w:rsidRPr="00BF53C9" w:rsidRDefault="00BF53C9" w:rsidP="00BF53C9">
      <w:pPr>
        <w:numPr>
          <w:ilvl w:val="0"/>
          <w:numId w:val="9"/>
        </w:numPr>
        <w:rPr>
          <w:rFonts w:ascii="Arial" w:hAnsi="Arial" w:cs="Arial"/>
          <w:sz w:val="24"/>
          <w:szCs w:val="24"/>
        </w:rPr>
      </w:pPr>
      <w:r w:rsidRPr="00BF53C9">
        <w:rPr>
          <w:rFonts w:ascii="Arial" w:hAnsi="Arial" w:cs="Arial"/>
          <w:sz w:val="24"/>
          <w:szCs w:val="24"/>
        </w:rPr>
        <w:t xml:space="preserve">Lifestyle Components: Hunter-gatherer societies typically have a strong connection to the natural world, a reliance on physical fitness, close-knit social structures, and minimal exposure to chronic stressors like pollution and urban </w:t>
      </w:r>
      <w:r w:rsidRPr="00BF53C9">
        <w:rPr>
          <w:rFonts w:ascii="Arial" w:hAnsi="Arial" w:cs="Arial"/>
          <w:sz w:val="24"/>
          <w:szCs w:val="24"/>
        </w:rPr>
        <w:lastRenderedPageBreak/>
        <w:t>crowding. In contrast, modern Western lifestyles often involve sedentary work, disconnection from nature, increased psychological stress, and higher rates of lifestyle-related diseases. Exploring these lifestyle components will help understand their impact on resilience.</w:t>
      </w:r>
    </w:p>
    <w:p w14:paraId="24512EF0" w14:textId="77777777" w:rsidR="00BF53C9" w:rsidRPr="00BF53C9" w:rsidRDefault="00BF53C9" w:rsidP="00BF53C9">
      <w:pPr>
        <w:numPr>
          <w:ilvl w:val="0"/>
          <w:numId w:val="9"/>
        </w:numPr>
        <w:rPr>
          <w:rFonts w:ascii="Arial" w:hAnsi="Arial" w:cs="Arial"/>
          <w:b/>
          <w:bCs/>
          <w:sz w:val="24"/>
          <w:szCs w:val="24"/>
        </w:rPr>
      </w:pPr>
      <w:r w:rsidRPr="00BF53C9">
        <w:rPr>
          <w:rFonts w:ascii="Arial" w:hAnsi="Arial" w:cs="Arial"/>
          <w:sz w:val="24"/>
          <w:szCs w:val="24"/>
        </w:rPr>
        <w:t>Resilience Factors: Resilience is influenced by various factors, including genetics, social support, psychological well-being, and coping strategies. Comparing these factors between hunter-gatherer and Western populations will shed light on how different lifestyles affect an individual's ability to adapt to stressors and challenges</w:t>
      </w:r>
      <w:r w:rsidRPr="00BF53C9">
        <w:rPr>
          <w:rFonts w:ascii="Arial" w:hAnsi="Arial" w:cs="Arial"/>
          <w:b/>
          <w:bCs/>
          <w:sz w:val="24"/>
          <w:szCs w:val="24"/>
        </w:rPr>
        <w:t>.</w:t>
      </w:r>
    </w:p>
    <w:p w14:paraId="4FBC5AC1" w14:textId="77777777" w:rsidR="00BF53C9" w:rsidRPr="005F2893" w:rsidRDefault="00BF53C9" w:rsidP="004B6189">
      <w:pPr>
        <w:rPr>
          <w:rFonts w:ascii="Arial" w:hAnsi="Arial" w:cs="Arial"/>
          <w:b/>
          <w:bCs/>
          <w:sz w:val="24"/>
          <w:szCs w:val="24"/>
        </w:rPr>
      </w:pPr>
    </w:p>
    <w:p w14:paraId="7CF17F37" w14:textId="723F8E8F" w:rsidR="004B6189" w:rsidRDefault="00D17D1A" w:rsidP="004B6189">
      <w:pPr>
        <w:rPr>
          <w:rFonts w:ascii="Arial" w:hAnsi="Arial" w:cs="Arial"/>
          <w:sz w:val="24"/>
          <w:szCs w:val="24"/>
        </w:rPr>
      </w:pPr>
      <w:r w:rsidRPr="00D17D1A">
        <w:rPr>
          <w:rFonts w:ascii="Arial" w:hAnsi="Arial" w:cs="Arial"/>
          <w:sz w:val="24"/>
          <w:szCs w:val="24"/>
        </w:rPr>
        <w:t xml:space="preserve">This has ramifications for </w:t>
      </w:r>
      <w:proofErr w:type="gramStart"/>
      <w:r w:rsidRPr="00D17D1A">
        <w:rPr>
          <w:rFonts w:ascii="Arial" w:hAnsi="Arial" w:cs="Arial"/>
          <w:sz w:val="24"/>
          <w:szCs w:val="24"/>
        </w:rPr>
        <w:t>society as a whole, enhancing</w:t>
      </w:r>
      <w:proofErr w:type="gramEnd"/>
      <w:r w:rsidRPr="00D17D1A">
        <w:rPr>
          <w:rFonts w:ascii="Arial" w:hAnsi="Arial" w:cs="Arial"/>
          <w:sz w:val="24"/>
          <w:szCs w:val="24"/>
        </w:rPr>
        <w:t xml:space="preserve"> communities and advancing society. Adversity and discomfort play a significant role in the process of developing resilience, even though they are not the only factors. Being resilient is the outcome of being uncomfortable and learning from it, which makes it an essential and life-changing part of the human experience</w:t>
      </w:r>
      <w:r w:rsidR="00A357CC" w:rsidRPr="00A357CC">
        <w:rPr>
          <w:rFonts w:ascii="Arial" w:hAnsi="Arial" w:cs="Arial"/>
          <w:sz w:val="24"/>
          <w:szCs w:val="24"/>
        </w:rPr>
        <w:t>.</w:t>
      </w:r>
      <w:r w:rsidR="00A357CC" w:rsidRPr="00A357CC">
        <w:rPr>
          <w:rFonts w:ascii="Arial" w:hAnsi="Arial" w:cs="Arial"/>
          <w:color w:val="222222"/>
          <w:sz w:val="24"/>
          <w:szCs w:val="24"/>
          <w:shd w:val="clear" w:color="auto" w:fill="FFFFFF"/>
        </w:rPr>
        <w:t xml:space="preserve"> Webb, L., </w:t>
      </w:r>
      <w:r w:rsidR="00A357CC">
        <w:rPr>
          <w:rFonts w:ascii="Arial" w:hAnsi="Arial" w:cs="Arial"/>
          <w:color w:val="222222"/>
          <w:sz w:val="24"/>
          <w:szCs w:val="24"/>
          <w:shd w:val="clear" w:color="auto" w:fill="FFFFFF"/>
        </w:rPr>
        <w:t>(</w:t>
      </w:r>
      <w:r w:rsidR="00A357CC" w:rsidRPr="00A357CC">
        <w:rPr>
          <w:rFonts w:ascii="Arial" w:hAnsi="Arial" w:cs="Arial"/>
          <w:color w:val="222222"/>
          <w:sz w:val="24"/>
          <w:szCs w:val="24"/>
          <w:shd w:val="clear" w:color="auto" w:fill="FFFFFF"/>
        </w:rPr>
        <w:t>2013.)</w:t>
      </w:r>
    </w:p>
    <w:p w14:paraId="3925E149" w14:textId="77777777" w:rsidR="00B301FE" w:rsidRDefault="00B301FE" w:rsidP="004B6189">
      <w:pPr>
        <w:rPr>
          <w:rFonts w:ascii="Arial" w:hAnsi="Arial" w:cs="Arial"/>
          <w:sz w:val="24"/>
          <w:szCs w:val="24"/>
        </w:rPr>
      </w:pPr>
    </w:p>
    <w:p w14:paraId="2E1A372B" w14:textId="39A1C8A2" w:rsidR="00B301FE" w:rsidRPr="005F2893" w:rsidRDefault="00B301FE" w:rsidP="004B6189">
      <w:pPr>
        <w:rPr>
          <w:rFonts w:ascii="Arial" w:hAnsi="Arial" w:cs="Arial"/>
          <w:b/>
          <w:bCs/>
          <w:sz w:val="24"/>
          <w:szCs w:val="24"/>
        </w:rPr>
      </w:pPr>
      <w:r w:rsidRPr="005F2893">
        <w:rPr>
          <w:rFonts w:ascii="Arial" w:hAnsi="Arial" w:cs="Arial"/>
          <w:b/>
          <w:bCs/>
          <w:sz w:val="24"/>
          <w:szCs w:val="24"/>
        </w:rPr>
        <w:t>Objectives:</w:t>
      </w:r>
    </w:p>
    <w:p w14:paraId="6999E84E" w14:textId="145D8C3A" w:rsidR="005F2893" w:rsidRPr="005F2893" w:rsidRDefault="005F2893" w:rsidP="005F2893">
      <w:pPr>
        <w:pStyle w:val="ListParagraph"/>
        <w:numPr>
          <w:ilvl w:val="0"/>
          <w:numId w:val="7"/>
        </w:numPr>
        <w:rPr>
          <w:rFonts w:ascii="Arial" w:hAnsi="Arial" w:cs="Arial"/>
          <w:sz w:val="24"/>
          <w:szCs w:val="24"/>
        </w:rPr>
      </w:pPr>
      <w:r w:rsidRPr="005F2893">
        <w:rPr>
          <w:rFonts w:ascii="Arial" w:hAnsi="Arial" w:cs="Arial"/>
          <w:sz w:val="24"/>
          <w:szCs w:val="24"/>
        </w:rPr>
        <w:t>Define resilience and what it consists of</w:t>
      </w:r>
      <w:r w:rsidR="00733828">
        <w:rPr>
          <w:rFonts w:ascii="Arial" w:hAnsi="Arial" w:cs="Arial"/>
          <w:sz w:val="24"/>
          <w:szCs w:val="24"/>
        </w:rPr>
        <w:t xml:space="preserve"> (mental/physical)</w:t>
      </w:r>
    </w:p>
    <w:p w14:paraId="343FCFAC" w14:textId="5514832A" w:rsidR="005F2893" w:rsidRDefault="00B301FE" w:rsidP="005F2893">
      <w:pPr>
        <w:pStyle w:val="ListParagraph"/>
        <w:numPr>
          <w:ilvl w:val="0"/>
          <w:numId w:val="7"/>
        </w:numPr>
        <w:rPr>
          <w:rFonts w:ascii="Arial" w:hAnsi="Arial" w:cs="Arial"/>
          <w:sz w:val="24"/>
          <w:szCs w:val="24"/>
        </w:rPr>
      </w:pPr>
      <w:r w:rsidRPr="005F2893">
        <w:rPr>
          <w:rFonts w:ascii="Arial" w:hAnsi="Arial" w:cs="Arial"/>
          <w:sz w:val="24"/>
          <w:szCs w:val="24"/>
        </w:rPr>
        <w:t xml:space="preserve">Explore </w:t>
      </w:r>
      <w:r w:rsidR="005F2893">
        <w:rPr>
          <w:rFonts w:ascii="Arial" w:hAnsi="Arial" w:cs="Arial"/>
          <w:sz w:val="24"/>
          <w:szCs w:val="24"/>
        </w:rPr>
        <w:t>how the two lifestyles are led.</w:t>
      </w:r>
    </w:p>
    <w:p w14:paraId="4788C06B" w14:textId="4DC63FCD" w:rsidR="005F2893" w:rsidRDefault="005F2893" w:rsidP="005F2893">
      <w:pPr>
        <w:pStyle w:val="ListParagraph"/>
        <w:numPr>
          <w:ilvl w:val="0"/>
          <w:numId w:val="7"/>
        </w:numPr>
        <w:rPr>
          <w:rFonts w:ascii="Arial" w:hAnsi="Arial" w:cs="Arial"/>
          <w:sz w:val="24"/>
          <w:szCs w:val="24"/>
        </w:rPr>
      </w:pPr>
      <w:r>
        <w:rPr>
          <w:rFonts w:ascii="Arial" w:hAnsi="Arial" w:cs="Arial"/>
          <w:sz w:val="24"/>
          <w:szCs w:val="24"/>
        </w:rPr>
        <w:t xml:space="preserve">Analyse the level of resilience between the two lifestyles. </w:t>
      </w:r>
    </w:p>
    <w:p w14:paraId="5CBFF327" w14:textId="4A0573F4" w:rsidR="00B301FE" w:rsidRPr="005F2893" w:rsidRDefault="005F2893" w:rsidP="004B6189">
      <w:pPr>
        <w:pStyle w:val="ListParagraph"/>
        <w:numPr>
          <w:ilvl w:val="0"/>
          <w:numId w:val="7"/>
        </w:numPr>
        <w:rPr>
          <w:rFonts w:ascii="Arial" w:hAnsi="Arial" w:cs="Arial"/>
          <w:sz w:val="24"/>
          <w:szCs w:val="24"/>
        </w:rPr>
      </w:pPr>
      <w:r>
        <w:rPr>
          <w:rFonts w:ascii="Arial" w:hAnsi="Arial" w:cs="Arial"/>
          <w:sz w:val="24"/>
          <w:szCs w:val="24"/>
        </w:rPr>
        <w:t>Recommendations??</w:t>
      </w:r>
    </w:p>
    <w:p w14:paraId="0EF5E12B" w14:textId="77777777" w:rsidR="00B301FE" w:rsidRDefault="00B301FE" w:rsidP="004B6189">
      <w:pPr>
        <w:rPr>
          <w:rFonts w:ascii="Arial" w:hAnsi="Arial" w:cs="Arial"/>
          <w:sz w:val="24"/>
          <w:szCs w:val="24"/>
        </w:rPr>
      </w:pPr>
    </w:p>
    <w:p w14:paraId="3B8ABA69" w14:textId="4201EDE5" w:rsidR="004B6189" w:rsidRPr="005F2893" w:rsidRDefault="004B6189" w:rsidP="005F2893">
      <w:pPr>
        <w:rPr>
          <w:rFonts w:ascii="Arial" w:hAnsi="Arial" w:cs="Arial"/>
          <w:b/>
          <w:bCs/>
          <w:sz w:val="24"/>
          <w:szCs w:val="24"/>
        </w:rPr>
      </w:pPr>
      <w:r w:rsidRPr="005F2893">
        <w:rPr>
          <w:rFonts w:ascii="Arial" w:hAnsi="Arial" w:cs="Arial"/>
          <w:b/>
          <w:bCs/>
          <w:sz w:val="24"/>
          <w:szCs w:val="24"/>
        </w:rPr>
        <w:t xml:space="preserve">Literature Review </w:t>
      </w:r>
    </w:p>
    <w:p w14:paraId="0D086E0F" w14:textId="77777777" w:rsidR="005F2893" w:rsidRDefault="005F2893" w:rsidP="004B6189">
      <w:pPr>
        <w:rPr>
          <w:rFonts w:ascii="Arial" w:hAnsi="Arial" w:cs="Arial"/>
          <w:sz w:val="24"/>
          <w:szCs w:val="24"/>
        </w:rPr>
      </w:pPr>
    </w:p>
    <w:p w14:paraId="71390102" w14:textId="77777777" w:rsidR="00E91CB9" w:rsidRPr="00E91CB9" w:rsidRDefault="00E91CB9" w:rsidP="00E91CB9">
      <w:pPr>
        <w:rPr>
          <w:rFonts w:ascii="Arial" w:hAnsi="Arial" w:cs="Arial"/>
          <w:sz w:val="24"/>
          <w:szCs w:val="24"/>
        </w:rPr>
      </w:pPr>
      <w:r w:rsidRPr="00E91CB9">
        <w:rPr>
          <w:rFonts w:ascii="Arial" w:hAnsi="Arial" w:cs="Arial"/>
          <w:sz w:val="24"/>
          <w:szCs w:val="24"/>
        </w:rPr>
        <w:t>The literature review will encompass two main areas: resilience studies and comparative studies on nomadic Bedouin tribal lifestyles and Western indoor lifestyles. The resilience literature will include theories and models of resilience, factors influencing resilience, and methods of assessing resilience. Additionally, the review will explore existing studies on resilience within various cultural and environmental contexts.</w:t>
      </w:r>
    </w:p>
    <w:p w14:paraId="32E8ABBA" w14:textId="77777777" w:rsidR="00E91CB9" w:rsidRPr="00E91CB9" w:rsidRDefault="00E91CB9" w:rsidP="00E91CB9">
      <w:pPr>
        <w:rPr>
          <w:rFonts w:ascii="Arial" w:eastAsia="Times New Roman" w:hAnsi="Arial" w:cs="Arial"/>
          <w:color w:val="000000"/>
          <w:kern w:val="0"/>
          <w:sz w:val="24"/>
          <w:szCs w:val="24"/>
          <w:lang w:eastAsia="en-GB"/>
          <w14:ligatures w14:val="none"/>
        </w:rPr>
      </w:pPr>
      <w:r w:rsidRPr="00E91CB9">
        <w:rPr>
          <w:rFonts w:ascii="Arial" w:eastAsia="Times New Roman" w:hAnsi="Arial" w:cs="Arial"/>
          <w:color w:val="000000"/>
          <w:kern w:val="0"/>
          <w:sz w:val="24"/>
          <w:szCs w:val="24"/>
          <w:lang w:eastAsia="en-GB"/>
          <w14:ligatures w14:val="none"/>
        </w:rPr>
        <w:t>Furthermore, the literature review will delve into the characteristics of nomadic Bedouin tribal lifestyles, focusing on their historical practices, culture, and social organization. It will also provide insights into Western indoor lifestyles, emphasizing the effects of urbanization, technology, and social changes on these lifestyles.</w:t>
      </w:r>
    </w:p>
    <w:p w14:paraId="0E126C02" w14:textId="77777777" w:rsidR="00E91CB9" w:rsidRPr="00E91CB9" w:rsidRDefault="00E91CB9" w:rsidP="00E91CB9">
      <w:pPr>
        <w:rPr>
          <w:rFonts w:ascii="Arial" w:hAnsi="Arial" w:cs="Arial"/>
          <w:sz w:val="24"/>
          <w:szCs w:val="24"/>
        </w:rPr>
      </w:pPr>
      <w:r w:rsidRPr="00E91CB9">
        <w:rPr>
          <w:rFonts w:ascii="Arial" w:eastAsia="Times New Roman" w:hAnsi="Arial" w:cs="Arial"/>
          <w:color w:val="000000"/>
          <w:kern w:val="0"/>
          <w:sz w:val="24"/>
          <w:szCs w:val="24"/>
          <w:lang w:eastAsia="en-GB"/>
          <w14:ligatures w14:val="none"/>
        </w:rPr>
        <w:t xml:space="preserve">This research has the potential to make several significant contributions to the field of resilience studies. It will shed light on the dynamics of resilience in contrasting lifestyles and environments, offering a nuanced understanding of how cultural, social, and environmental factors influence resilience. Additionally, the findings may inform policies and interventions aimed at enhancing resilience and well-being in </w:t>
      </w:r>
      <w:r w:rsidRPr="00E91CB9">
        <w:rPr>
          <w:rFonts w:ascii="Arial" w:eastAsia="Times New Roman" w:hAnsi="Arial" w:cs="Arial"/>
          <w:color w:val="000000"/>
          <w:kern w:val="0"/>
          <w:sz w:val="24"/>
          <w:szCs w:val="24"/>
          <w:lang w:eastAsia="en-GB"/>
          <w14:ligatures w14:val="none"/>
        </w:rPr>
        <w:lastRenderedPageBreak/>
        <w:t>urban and nomadic populations. The comparative approach taken in this research will contribute to cross-cultural and interdisciplinary research on resilience.</w:t>
      </w:r>
    </w:p>
    <w:p w14:paraId="73C64D0F" w14:textId="77777777" w:rsidR="00E91CB9" w:rsidRPr="005B1837" w:rsidRDefault="00E91CB9" w:rsidP="00E91CB9">
      <w:pPr>
        <w:rPr>
          <w:rFonts w:ascii="Arial" w:hAnsi="Arial" w:cs="Arial"/>
          <w:b/>
          <w:bCs/>
          <w:sz w:val="24"/>
          <w:szCs w:val="24"/>
        </w:rPr>
      </w:pPr>
      <w:r w:rsidRPr="005B1837">
        <w:rPr>
          <w:rFonts w:ascii="Arial" w:hAnsi="Arial" w:cs="Arial"/>
          <w:b/>
          <w:bCs/>
          <w:sz w:val="24"/>
          <w:szCs w:val="24"/>
        </w:rPr>
        <w:t xml:space="preserve">Expected Results </w:t>
      </w:r>
    </w:p>
    <w:p w14:paraId="19872B78" w14:textId="77777777" w:rsidR="00E91CB9" w:rsidRPr="00E91CB9" w:rsidRDefault="00E91CB9" w:rsidP="00E91CB9">
      <w:pPr>
        <w:rPr>
          <w:rFonts w:ascii="Arial" w:hAnsi="Arial" w:cs="Arial"/>
          <w:sz w:val="24"/>
          <w:szCs w:val="24"/>
        </w:rPr>
      </w:pPr>
      <w:r w:rsidRPr="00E91CB9">
        <w:rPr>
          <w:rFonts w:ascii="Arial" w:hAnsi="Arial" w:cs="Arial"/>
          <w:sz w:val="24"/>
          <w:szCs w:val="24"/>
        </w:rPr>
        <w:t>It is predicted that people who lead traditional hunter-gatherer lifestyles will be more resilient than people who lead modern Western lifestyles. This theory is supported by the possible advantages of natural diets, robust social networks, physical activity, and lower stress levels in the hunter-gatherer lifestyle.</w:t>
      </w:r>
    </w:p>
    <w:p w14:paraId="719B472C" w14:textId="77777777" w:rsidR="00E91CB9" w:rsidRPr="00E91CB9" w:rsidRDefault="00E91CB9" w:rsidP="00E91CB9">
      <w:pPr>
        <w:rPr>
          <w:rFonts w:ascii="Arial" w:hAnsi="Arial" w:cs="Arial"/>
          <w:sz w:val="24"/>
          <w:szCs w:val="24"/>
        </w:rPr>
      </w:pPr>
      <w:r w:rsidRPr="00E91CB9">
        <w:rPr>
          <w:rFonts w:ascii="Arial" w:hAnsi="Arial" w:cs="Arial"/>
          <w:sz w:val="24"/>
          <w:szCs w:val="24"/>
        </w:rPr>
        <w:t>Findings could indicate that members of hunter-gatherer communities have reduced rates of stress, anxiety, and depression, as well as lower BMIs, better blood pressure, and glucose levels. It is also anticipated that their eating patterns will be closer to those of ideal nutrition.</w:t>
      </w:r>
    </w:p>
    <w:p w14:paraId="6D06661B" w14:textId="77777777" w:rsidR="00E91CB9" w:rsidRPr="00E91CB9" w:rsidRDefault="00E91CB9" w:rsidP="00E91CB9">
      <w:pPr>
        <w:rPr>
          <w:rFonts w:ascii="Arial" w:hAnsi="Arial" w:cs="Arial"/>
          <w:sz w:val="24"/>
          <w:szCs w:val="24"/>
        </w:rPr>
      </w:pPr>
      <w:r w:rsidRPr="00E91CB9">
        <w:rPr>
          <w:rFonts w:ascii="Arial" w:hAnsi="Arial" w:cs="Arial"/>
          <w:sz w:val="24"/>
          <w:szCs w:val="24"/>
        </w:rPr>
        <w:t>Discussion The findings from this study will contribute to our understanding of the relationship between lifestyle and resilience. If the research confirms that individuals in hunter-gatherer societies exhibit higher levels of resilience, this may have significant implications for public health and well-being.</w:t>
      </w:r>
    </w:p>
    <w:p w14:paraId="528A9719" w14:textId="77777777" w:rsidR="00E91CB9" w:rsidRPr="00E91CB9" w:rsidRDefault="00E91CB9" w:rsidP="00E91CB9">
      <w:pPr>
        <w:rPr>
          <w:rFonts w:ascii="Arial" w:hAnsi="Arial" w:cs="Arial"/>
          <w:b/>
          <w:bCs/>
          <w:sz w:val="24"/>
          <w:szCs w:val="24"/>
        </w:rPr>
      </w:pPr>
      <w:r w:rsidRPr="00E91CB9">
        <w:rPr>
          <w:rFonts w:ascii="Arial" w:hAnsi="Arial" w:cs="Arial"/>
          <w:b/>
          <w:bCs/>
          <w:sz w:val="24"/>
          <w:szCs w:val="24"/>
        </w:rPr>
        <w:t>Technology</w:t>
      </w:r>
    </w:p>
    <w:p w14:paraId="29D37293" w14:textId="79F60130" w:rsidR="00E91CB9" w:rsidRPr="00E91CB9" w:rsidRDefault="00E91CB9" w:rsidP="00E91CB9">
      <w:pPr>
        <w:rPr>
          <w:rFonts w:ascii="Arial" w:hAnsi="Arial" w:cs="Arial"/>
          <w:sz w:val="24"/>
          <w:szCs w:val="24"/>
        </w:rPr>
      </w:pPr>
      <w:r w:rsidRPr="00E91CB9">
        <w:rPr>
          <w:rFonts w:ascii="Arial" w:hAnsi="Arial" w:cs="Arial"/>
          <w:sz w:val="24"/>
          <w:szCs w:val="24"/>
        </w:rPr>
        <w:t>Children's access to technology—TVs, iPads, and iPhones contributes significantly to another major factor in the decline in children's resilience.</w:t>
      </w:r>
      <w:r w:rsidR="00502FF8" w:rsidRPr="00502FF8">
        <w:rPr>
          <w:rFonts w:ascii="Arial" w:hAnsi="Arial" w:cs="Arial"/>
          <w:color w:val="222222"/>
          <w:sz w:val="20"/>
          <w:szCs w:val="20"/>
          <w:shd w:val="clear" w:color="auto" w:fill="FFFFFF"/>
        </w:rPr>
        <w:t xml:space="preserve"> </w:t>
      </w:r>
      <w:r w:rsidR="00502FF8" w:rsidRPr="00502FF8">
        <w:rPr>
          <w:rFonts w:ascii="Arial" w:hAnsi="Arial" w:cs="Arial"/>
          <w:sz w:val="24"/>
          <w:szCs w:val="24"/>
        </w:rPr>
        <w:t xml:space="preserve">Twenge, J.M., </w:t>
      </w:r>
      <w:r w:rsidR="00502FF8">
        <w:rPr>
          <w:rFonts w:ascii="Arial" w:hAnsi="Arial" w:cs="Arial"/>
          <w:sz w:val="24"/>
          <w:szCs w:val="24"/>
        </w:rPr>
        <w:t>(</w:t>
      </w:r>
      <w:r w:rsidR="00502FF8" w:rsidRPr="00502FF8">
        <w:rPr>
          <w:rFonts w:ascii="Arial" w:hAnsi="Arial" w:cs="Arial"/>
          <w:sz w:val="24"/>
          <w:szCs w:val="24"/>
        </w:rPr>
        <w:t>2017</w:t>
      </w:r>
      <w:r w:rsidR="00502FF8">
        <w:rPr>
          <w:rFonts w:ascii="Arial" w:hAnsi="Arial" w:cs="Arial"/>
          <w:sz w:val="24"/>
          <w:szCs w:val="24"/>
        </w:rPr>
        <w:t>)</w:t>
      </w:r>
      <w:r w:rsidRPr="00E91CB9">
        <w:rPr>
          <w:rFonts w:ascii="Arial" w:hAnsi="Arial" w:cs="Arial"/>
          <w:sz w:val="24"/>
          <w:szCs w:val="24"/>
        </w:rPr>
        <w:t xml:space="preserve"> Since children now rely on this kind of technology for entertainment, it needs to be carefully managed to prevent negative effects in families. Does the notable absence of technology in tribal communities create an environment, where there is no distraction by devices, which then leaves no other option for the kids and adults to find ways to occupy their minds, or even encourage boredom and letting their minds drift and encourage thoughts, which potentially leads to </w:t>
      </w:r>
      <w:r w:rsidR="00502FF8" w:rsidRPr="00E91CB9">
        <w:rPr>
          <w:rFonts w:ascii="Arial" w:hAnsi="Arial" w:cs="Arial"/>
          <w:sz w:val="24"/>
          <w:szCs w:val="24"/>
        </w:rPr>
        <w:t>innovation</w:t>
      </w:r>
      <w:r w:rsidR="00502FF8">
        <w:rPr>
          <w:rFonts w:ascii="Arial" w:hAnsi="Arial" w:cs="Arial"/>
          <w:sz w:val="24"/>
          <w:szCs w:val="24"/>
        </w:rPr>
        <w:t xml:space="preserve">. </w:t>
      </w:r>
      <w:r w:rsidR="00733828">
        <w:rPr>
          <w:rFonts w:ascii="Arial" w:hAnsi="Arial" w:cs="Arial"/>
          <w:sz w:val="24"/>
          <w:szCs w:val="24"/>
        </w:rPr>
        <w:t>(Gold</w:t>
      </w:r>
      <w:r w:rsidR="00502FF8" w:rsidRPr="00502FF8">
        <w:rPr>
          <w:rFonts w:ascii="Arial" w:hAnsi="Arial" w:cs="Arial"/>
          <w:sz w:val="24"/>
          <w:szCs w:val="24"/>
        </w:rPr>
        <w:t>, J., 2014.</w:t>
      </w:r>
      <w:r w:rsidR="00502FF8">
        <w:rPr>
          <w:rFonts w:ascii="Arial" w:hAnsi="Arial" w:cs="Arial"/>
          <w:sz w:val="24"/>
          <w:szCs w:val="24"/>
        </w:rPr>
        <w:t>)</w:t>
      </w:r>
    </w:p>
    <w:p w14:paraId="2FDF38BC" w14:textId="5192B6CC" w:rsidR="00E91CB9" w:rsidRPr="004B6189" w:rsidRDefault="00E91CB9" w:rsidP="004B75CE">
      <w:pPr>
        <w:rPr>
          <w:rFonts w:ascii="Arial" w:hAnsi="Arial" w:cs="Arial"/>
          <w:sz w:val="24"/>
          <w:szCs w:val="24"/>
        </w:rPr>
      </w:pPr>
      <w:r w:rsidRPr="00E91CB9">
        <w:rPr>
          <w:rFonts w:ascii="Arial" w:hAnsi="Arial" w:cs="Arial"/>
          <w:sz w:val="24"/>
          <w:szCs w:val="24"/>
        </w:rPr>
        <w:t>In contrast, hunter-gatherer societies represent an ancestral lifestyle, where humans relied on foraging, hunting, and gathering for sustenance. These societies often feature a lifestyle marked by physical activity, natural diets, close-knit communities, and a deep connection to nature. The purpose of this dissertation proposal is to investigate whether the traditional hunter-gatherer lifestyle affords individuals greater resilience compared to the modern Western lifestyle</w:t>
      </w:r>
      <w:r w:rsidR="004B75CE">
        <w:rPr>
          <w:rFonts w:ascii="Arial" w:hAnsi="Arial" w:cs="Arial"/>
          <w:sz w:val="24"/>
          <w:szCs w:val="24"/>
        </w:rPr>
        <w:t xml:space="preserve"> (</w:t>
      </w:r>
      <w:r w:rsidR="004B75CE" w:rsidRPr="004B75CE">
        <w:rPr>
          <w:rFonts w:ascii="Arial" w:hAnsi="Arial" w:cs="Arial"/>
          <w:sz w:val="24"/>
          <w:szCs w:val="24"/>
        </w:rPr>
        <w:t>Fortier, J., 2009</w:t>
      </w:r>
      <w:r w:rsidR="004B75CE">
        <w:rPr>
          <w:rFonts w:ascii="Arial" w:hAnsi="Arial" w:cs="Arial"/>
          <w:sz w:val="24"/>
          <w:szCs w:val="24"/>
        </w:rPr>
        <w:t>)</w:t>
      </w:r>
      <w:r w:rsidR="00567439">
        <w:rPr>
          <w:rFonts w:ascii="Arial" w:hAnsi="Arial" w:cs="Arial"/>
          <w:sz w:val="24"/>
          <w:szCs w:val="24"/>
        </w:rPr>
        <w:t xml:space="preserve">. </w:t>
      </w:r>
      <w:r w:rsidR="00567439" w:rsidRPr="00567439">
        <w:rPr>
          <w:rFonts w:ascii="Arial" w:hAnsi="Arial" w:cs="Arial"/>
          <w:sz w:val="24"/>
          <w:szCs w:val="24"/>
        </w:rPr>
        <w:t xml:space="preserve">A sedentary lifestyle marked by extended periods of time spent in front of computers or at offices has been brought about by urbanisation. This inactivity has been connected to </w:t>
      </w:r>
      <w:proofErr w:type="gramStart"/>
      <w:r w:rsidR="00567439" w:rsidRPr="00567439">
        <w:rPr>
          <w:rFonts w:ascii="Arial" w:hAnsi="Arial" w:cs="Arial"/>
          <w:sz w:val="24"/>
          <w:szCs w:val="24"/>
        </w:rPr>
        <w:t>a number of</w:t>
      </w:r>
      <w:proofErr w:type="gramEnd"/>
      <w:r w:rsidR="00567439" w:rsidRPr="00567439">
        <w:rPr>
          <w:rFonts w:ascii="Arial" w:hAnsi="Arial" w:cs="Arial"/>
          <w:sz w:val="24"/>
          <w:szCs w:val="24"/>
        </w:rPr>
        <w:t xml:space="preserve"> health problems, such as obesity, heart disease, and psychological stress, all of which can weaken a person's resistance.</w:t>
      </w:r>
    </w:p>
    <w:p w14:paraId="61DFDE48" w14:textId="4A769413" w:rsidR="004B6189" w:rsidRPr="004B6189" w:rsidRDefault="00872810" w:rsidP="004B6189">
      <w:pPr>
        <w:rPr>
          <w:rFonts w:ascii="Arial" w:hAnsi="Arial" w:cs="Arial"/>
          <w:sz w:val="24"/>
          <w:szCs w:val="24"/>
        </w:rPr>
      </w:pPr>
      <w:r w:rsidRPr="00872810">
        <w:rPr>
          <w:rFonts w:ascii="Arial" w:hAnsi="Arial" w:cs="Arial"/>
          <w:sz w:val="24"/>
          <w:szCs w:val="24"/>
        </w:rPr>
        <w:t xml:space="preserve">Firth, J. </w:t>
      </w:r>
      <w:r w:rsidRPr="00872810">
        <w:rPr>
          <w:rFonts w:ascii="Arial" w:hAnsi="Arial" w:cs="Arial"/>
          <w:i/>
          <w:iCs/>
          <w:sz w:val="24"/>
          <w:szCs w:val="24"/>
        </w:rPr>
        <w:t>et al.</w:t>
      </w:r>
      <w:r w:rsidRPr="00872810">
        <w:rPr>
          <w:rFonts w:ascii="Arial" w:hAnsi="Arial" w:cs="Arial"/>
          <w:sz w:val="24"/>
          <w:szCs w:val="24"/>
        </w:rPr>
        <w:t xml:space="preserve"> (2020) </w:t>
      </w:r>
      <w:r>
        <w:rPr>
          <w:rFonts w:ascii="Arial" w:hAnsi="Arial" w:cs="Arial"/>
          <w:sz w:val="24"/>
          <w:szCs w:val="24"/>
        </w:rPr>
        <w:t>states in the BMJ that c</w:t>
      </w:r>
      <w:r w:rsidR="005B77A4" w:rsidRPr="005B77A4">
        <w:rPr>
          <w:rFonts w:ascii="Arial" w:hAnsi="Arial" w:cs="Arial"/>
          <w:sz w:val="24"/>
          <w:szCs w:val="24"/>
        </w:rPr>
        <w:t xml:space="preserve">onsuming processed foods is another </w:t>
      </w:r>
      <w:r w:rsidR="00CD0038" w:rsidRPr="00567439">
        <w:rPr>
          <w:rFonts w:ascii="Arial" w:hAnsi="Arial" w:cs="Arial"/>
          <w:sz w:val="24"/>
          <w:szCs w:val="24"/>
        </w:rPr>
        <w:t xml:space="preserve">significant </w:t>
      </w:r>
      <w:r w:rsidR="00567439">
        <w:rPr>
          <w:rFonts w:ascii="Arial" w:hAnsi="Arial" w:cs="Arial"/>
          <w:sz w:val="24"/>
          <w:szCs w:val="24"/>
        </w:rPr>
        <w:t>aspect</w:t>
      </w:r>
      <w:r w:rsidR="005B77A4" w:rsidRPr="005B77A4">
        <w:rPr>
          <w:rFonts w:ascii="Arial" w:hAnsi="Arial" w:cs="Arial"/>
          <w:sz w:val="24"/>
          <w:szCs w:val="24"/>
        </w:rPr>
        <w:t xml:space="preserve"> of the modern Western way of life. Diets that are highly processed, high in energy, and low in nutrients have been linked to mental and physical health conditions like anxiety and depression as well as physical health conditions like type 2 diabetes and obesity. These issues with one's physical or mental health can make one less resilient to hardship.</w:t>
      </w:r>
      <w:r w:rsidR="003D0A6A">
        <w:rPr>
          <w:rFonts w:ascii="Arial" w:hAnsi="Arial" w:cs="Arial"/>
          <w:sz w:val="24"/>
          <w:szCs w:val="24"/>
        </w:rPr>
        <w:t xml:space="preserve"> </w:t>
      </w:r>
      <w:r w:rsidR="003D0A6A" w:rsidRPr="003D0A6A">
        <w:rPr>
          <w:rFonts w:ascii="Arial" w:hAnsi="Arial" w:cs="Arial"/>
          <w:sz w:val="24"/>
          <w:szCs w:val="24"/>
        </w:rPr>
        <w:t xml:space="preserve">Srour, B. and </w:t>
      </w:r>
      <w:proofErr w:type="spellStart"/>
      <w:r w:rsidR="003D0A6A" w:rsidRPr="003D0A6A">
        <w:rPr>
          <w:rFonts w:ascii="Arial" w:hAnsi="Arial" w:cs="Arial"/>
          <w:sz w:val="24"/>
          <w:szCs w:val="24"/>
        </w:rPr>
        <w:t>Touvier</w:t>
      </w:r>
      <w:proofErr w:type="spellEnd"/>
      <w:r w:rsidR="003D0A6A" w:rsidRPr="003D0A6A">
        <w:rPr>
          <w:rFonts w:ascii="Arial" w:hAnsi="Arial" w:cs="Arial"/>
          <w:sz w:val="24"/>
          <w:szCs w:val="24"/>
        </w:rPr>
        <w:t>, M. (2021)</w:t>
      </w:r>
    </w:p>
    <w:p w14:paraId="645F6C76" w14:textId="20B6CCE9" w:rsidR="004B6189" w:rsidRPr="00AB1487" w:rsidRDefault="005B77A4" w:rsidP="004B6189">
      <w:pPr>
        <w:rPr>
          <w:rFonts w:ascii="Arial" w:hAnsi="Arial" w:cs="Arial"/>
          <w:sz w:val="24"/>
          <w:szCs w:val="24"/>
        </w:rPr>
      </w:pPr>
      <w:r w:rsidRPr="005B77A4">
        <w:rPr>
          <w:rFonts w:ascii="Arial" w:hAnsi="Arial" w:cs="Arial"/>
          <w:sz w:val="24"/>
          <w:szCs w:val="24"/>
        </w:rPr>
        <w:t xml:space="preserve">Furthermore, chronic stress and burnout can result from the fast-paced, competitive principles of </w:t>
      </w:r>
      <w:r w:rsidR="00D43EDA">
        <w:rPr>
          <w:rFonts w:ascii="Arial" w:hAnsi="Arial" w:cs="Arial"/>
          <w:sz w:val="24"/>
          <w:szCs w:val="24"/>
        </w:rPr>
        <w:t>w</w:t>
      </w:r>
      <w:r w:rsidRPr="005B77A4">
        <w:rPr>
          <w:rFonts w:ascii="Arial" w:hAnsi="Arial" w:cs="Arial"/>
          <w:sz w:val="24"/>
          <w:szCs w:val="24"/>
        </w:rPr>
        <w:t xml:space="preserve">estern society, which further diminishes resilience. These high levels </w:t>
      </w:r>
      <w:r w:rsidRPr="005B77A4">
        <w:rPr>
          <w:rFonts w:ascii="Arial" w:hAnsi="Arial" w:cs="Arial"/>
          <w:sz w:val="24"/>
          <w:szCs w:val="24"/>
        </w:rPr>
        <w:lastRenderedPageBreak/>
        <w:t>of stress could be caused by things like long work hours, little social support systems, and a disconnection from the natural world.</w:t>
      </w:r>
      <w:r w:rsidR="00D43EDA">
        <w:rPr>
          <w:rFonts w:ascii="Arial" w:hAnsi="Arial" w:cs="Arial"/>
          <w:sz w:val="24"/>
          <w:szCs w:val="24"/>
        </w:rPr>
        <w:t xml:space="preserve"> </w:t>
      </w:r>
      <w:r w:rsidR="00AB1487" w:rsidRPr="00AB1487">
        <w:rPr>
          <w:rFonts w:ascii="Arial" w:hAnsi="Arial" w:cs="Arial"/>
          <w:sz w:val="24"/>
          <w:szCs w:val="24"/>
        </w:rPr>
        <w:t>(Hine, R. and Sellens, M., 2009</w:t>
      </w:r>
      <w:r w:rsidR="00AB1487">
        <w:rPr>
          <w:rFonts w:ascii="Arial" w:hAnsi="Arial" w:cs="Arial"/>
          <w:sz w:val="24"/>
          <w:szCs w:val="24"/>
        </w:rPr>
        <w:t>)</w:t>
      </w:r>
    </w:p>
    <w:p w14:paraId="3A60CD7F" w14:textId="77777777" w:rsidR="00E04AED" w:rsidRDefault="00E04AED" w:rsidP="004B6189">
      <w:pPr>
        <w:rPr>
          <w:rFonts w:ascii="Arial" w:hAnsi="Arial" w:cs="Arial"/>
          <w:b/>
          <w:bCs/>
          <w:sz w:val="24"/>
          <w:szCs w:val="24"/>
        </w:rPr>
      </w:pPr>
    </w:p>
    <w:p w14:paraId="3BD0D1D2" w14:textId="6BEE91EB" w:rsidR="004B6189" w:rsidRPr="00D43EDA" w:rsidRDefault="004B6189" w:rsidP="004B6189">
      <w:pPr>
        <w:rPr>
          <w:rFonts w:ascii="Arial" w:hAnsi="Arial" w:cs="Arial"/>
          <w:b/>
          <w:bCs/>
          <w:sz w:val="24"/>
          <w:szCs w:val="24"/>
        </w:rPr>
      </w:pPr>
      <w:r w:rsidRPr="00D43EDA">
        <w:rPr>
          <w:rFonts w:ascii="Arial" w:hAnsi="Arial" w:cs="Arial"/>
          <w:b/>
          <w:bCs/>
          <w:sz w:val="24"/>
          <w:szCs w:val="24"/>
        </w:rPr>
        <w:t>Resilience in Hunter-Gatherer Lifestyle</w:t>
      </w:r>
    </w:p>
    <w:p w14:paraId="7C3108F8" w14:textId="327A6523" w:rsidR="00C41591" w:rsidRPr="004B6189" w:rsidRDefault="00C41591" w:rsidP="004B6189">
      <w:pPr>
        <w:rPr>
          <w:rFonts w:ascii="Arial" w:hAnsi="Arial" w:cs="Arial"/>
          <w:sz w:val="24"/>
          <w:szCs w:val="24"/>
        </w:rPr>
      </w:pPr>
      <w:r w:rsidRPr="00C41591">
        <w:rPr>
          <w:rFonts w:ascii="Arial" w:hAnsi="Arial" w:cs="Arial"/>
          <w:sz w:val="24"/>
          <w:szCs w:val="24"/>
        </w:rPr>
        <w:t xml:space="preserve">The alternative way of life that hunter-gatherer societies offer is frequently characterised by features that afford resilience. These societies place a high value on physical activity because they depend on hunting, gathering, and foraging for food </w:t>
      </w:r>
      <w:proofErr w:type="gramStart"/>
      <w:r w:rsidRPr="00C41591">
        <w:rPr>
          <w:rFonts w:ascii="Arial" w:hAnsi="Arial" w:cs="Arial"/>
          <w:sz w:val="24"/>
          <w:szCs w:val="24"/>
        </w:rPr>
        <w:t>on a daily basis</w:t>
      </w:r>
      <w:proofErr w:type="gramEnd"/>
      <w:r w:rsidRPr="00C41591">
        <w:rPr>
          <w:rFonts w:ascii="Arial" w:hAnsi="Arial" w:cs="Arial"/>
          <w:sz w:val="24"/>
          <w:szCs w:val="24"/>
        </w:rPr>
        <w:t>, all of which demand physical labour.</w:t>
      </w:r>
      <w:r w:rsidR="006F46DF" w:rsidRPr="006F46DF">
        <w:rPr>
          <w:rFonts w:ascii="Times New Roman" w:eastAsia="Times New Roman" w:hAnsi="Times New Roman" w:cs="Times New Roman"/>
          <w:kern w:val="0"/>
          <w:sz w:val="24"/>
          <w:szCs w:val="24"/>
          <w:lang w:eastAsia="en-GB"/>
          <w14:ligatures w14:val="none"/>
        </w:rPr>
        <w:t xml:space="preserve"> </w:t>
      </w:r>
      <w:r w:rsidR="006F46DF" w:rsidRPr="006F46DF">
        <w:rPr>
          <w:rFonts w:ascii="Arial" w:hAnsi="Arial" w:cs="Arial"/>
          <w:sz w:val="24"/>
          <w:szCs w:val="24"/>
        </w:rPr>
        <w:t>Milton, K. (2000)</w:t>
      </w:r>
      <w:r w:rsidR="006F46DF">
        <w:rPr>
          <w:rFonts w:ascii="Arial" w:hAnsi="Arial" w:cs="Arial"/>
          <w:sz w:val="24"/>
          <w:szCs w:val="24"/>
        </w:rPr>
        <w:t>.</w:t>
      </w:r>
      <w:r w:rsidR="006F46DF" w:rsidRPr="006F46DF">
        <w:rPr>
          <w:rFonts w:ascii="Arial" w:hAnsi="Arial" w:cs="Arial"/>
          <w:sz w:val="24"/>
          <w:szCs w:val="24"/>
        </w:rPr>
        <w:t xml:space="preserve"> </w:t>
      </w:r>
      <w:r w:rsidR="006F46DF" w:rsidRPr="00C41591">
        <w:rPr>
          <w:rFonts w:ascii="Arial" w:hAnsi="Arial" w:cs="Arial"/>
          <w:sz w:val="24"/>
          <w:szCs w:val="24"/>
        </w:rPr>
        <w:t>Frequent</w:t>
      </w:r>
      <w:r w:rsidRPr="00C41591">
        <w:rPr>
          <w:rFonts w:ascii="Arial" w:hAnsi="Arial" w:cs="Arial"/>
          <w:sz w:val="24"/>
          <w:szCs w:val="24"/>
        </w:rPr>
        <w:t xml:space="preserve"> exercise is linked to enhanced resilience, lowered stress levels, and better mental health</w:t>
      </w:r>
      <w:r w:rsidR="00AB1487">
        <w:rPr>
          <w:rFonts w:ascii="Arial" w:hAnsi="Arial" w:cs="Arial"/>
          <w:sz w:val="24"/>
          <w:szCs w:val="24"/>
        </w:rPr>
        <w:t>.</w:t>
      </w:r>
      <w:r w:rsidR="00AB1487" w:rsidRPr="00AB1487">
        <w:t xml:space="preserve"> </w:t>
      </w:r>
      <w:r w:rsidR="00AB1487">
        <w:t>(</w:t>
      </w:r>
      <w:r w:rsidR="00AB1487" w:rsidRPr="00AB1487">
        <w:rPr>
          <w:rFonts w:ascii="Arial" w:hAnsi="Arial" w:cs="Arial"/>
          <w:sz w:val="24"/>
          <w:szCs w:val="24"/>
        </w:rPr>
        <w:t>Childs, E. and De Wit, H., 2014</w:t>
      </w:r>
      <w:r w:rsidR="00AB1487">
        <w:rPr>
          <w:rFonts w:ascii="Arial" w:hAnsi="Arial" w:cs="Arial"/>
          <w:sz w:val="24"/>
          <w:szCs w:val="24"/>
        </w:rPr>
        <w:t>)</w:t>
      </w:r>
    </w:p>
    <w:p w14:paraId="1C2602DB" w14:textId="01A5B80B" w:rsidR="004B6189" w:rsidRPr="004B6189" w:rsidRDefault="004B6189" w:rsidP="004B6189">
      <w:pPr>
        <w:rPr>
          <w:rFonts w:ascii="Arial" w:hAnsi="Arial" w:cs="Arial"/>
          <w:sz w:val="24"/>
          <w:szCs w:val="24"/>
        </w:rPr>
      </w:pPr>
      <w:r w:rsidRPr="004B6189">
        <w:rPr>
          <w:rFonts w:ascii="Arial" w:hAnsi="Arial" w:cs="Arial"/>
          <w:sz w:val="24"/>
          <w:szCs w:val="24"/>
        </w:rPr>
        <w:t>Natural diets are another key aspect of the hunter-gatherer lifestyle. These diets consist of unprocessed, locally sourced, and nutrient-dense foods. Research has shown that such diets can have a positive impact on physical and mental health, contributing to greater resilience.</w:t>
      </w:r>
      <w:r w:rsidR="00D43EDA">
        <w:rPr>
          <w:rFonts w:ascii="Arial" w:hAnsi="Arial" w:cs="Arial"/>
          <w:sz w:val="24"/>
          <w:szCs w:val="24"/>
        </w:rPr>
        <w:t xml:space="preserve"> </w:t>
      </w:r>
      <w:r w:rsidR="006173B5" w:rsidRPr="006173B5">
        <w:rPr>
          <w:rFonts w:ascii="Arial" w:hAnsi="Arial" w:cs="Arial"/>
          <w:sz w:val="24"/>
          <w:szCs w:val="24"/>
        </w:rPr>
        <w:t>Hambrecht, R. and Gielen, S. (2005)</w:t>
      </w:r>
    </w:p>
    <w:p w14:paraId="79484E9E" w14:textId="3E01BE07" w:rsidR="004B6189" w:rsidRPr="004B6189" w:rsidRDefault="004B6189" w:rsidP="004B6189">
      <w:pPr>
        <w:rPr>
          <w:rFonts w:ascii="Arial" w:hAnsi="Arial" w:cs="Arial"/>
          <w:sz w:val="24"/>
          <w:szCs w:val="24"/>
        </w:rPr>
      </w:pPr>
      <w:r w:rsidRPr="004B6189">
        <w:rPr>
          <w:rFonts w:ascii="Arial" w:hAnsi="Arial" w:cs="Arial"/>
          <w:sz w:val="24"/>
          <w:szCs w:val="24"/>
        </w:rPr>
        <w:t>Hunter-gatherer societies often live in close-knit, interdependent communities, which provide a robust social support system.</w:t>
      </w:r>
      <w:r w:rsidR="00CB00DA" w:rsidRPr="00CB00DA">
        <w:t xml:space="preserve"> </w:t>
      </w:r>
      <w:r w:rsidR="00CB00DA" w:rsidRPr="00CB00DA">
        <w:rPr>
          <w:rFonts w:ascii="Arial" w:hAnsi="Arial" w:cs="Arial"/>
          <w:sz w:val="24"/>
          <w:szCs w:val="24"/>
        </w:rPr>
        <w:t xml:space="preserve">LYNCH, </w:t>
      </w:r>
      <w:r w:rsidR="00733828" w:rsidRPr="00CB00DA">
        <w:rPr>
          <w:rFonts w:ascii="Arial" w:hAnsi="Arial" w:cs="Arial"/>
          <w:sz w:val="24"/>
          <w:szCs w:val="24"/>
        </w:rPr>
        <w:t>K.A.,</w:t>
      </w:r>
      <w:r w:rsidR="00733828">
        <w:rPr>
          <w:rFonts w:ascii="Arial" w:hAnsi="Arial" w:cs="Arial"/>
          <w:sz w:val="24"/>
          <w:szCs w:val="24"/>
        </w:rPr>
        <w:t xml:space="preserve"> </w:t>
      </w:r>
      <w:r w:rsidR="006C0D8D">
        <w:rPr>
          <w:rFonts w:ascii="Arial" w:hAnsi="Arial" w:cs="Arial"/>
          <w:sz w:val="24"/>
          <w:szCs w:val="24"/>
        </w:rPr>
        <w:t>(</w:t>
      </w:r>
      <w:r w:rsidR="006C0D8D" w:rsidRPr="00CB00DA">
        <w:rPr>
          <w:rFonts w:ascii="Arial" w:hAnsi="Arial" w:cs="Arial"/>
          <w:sz w:val="24"/>
          <w:szCs w:val="24"/>
        </w:rPr>
        <w:t>2016</w:t>
      </w:r>
      <w:r w:rsidR="00733828">
        <w:rPr>
          <w:rFonts w:ascii="Arial" w:hAnsi="Arial" w:cs="Arial"/>
          <w:sz w:val="24"/>
          <w:szCs w:val="24"/>
        </w:rPr>
        <w:t>)</w:t>
      </w:r>
      <w:r w:rsidR="00CB00DA" w:rsidRPr="00CB00DA">
        <w:rPr>
          <w:rFonts w:ascii="Arial" w:hAnsi="Arial" w:cs="Arial"/>
          <w:sz w:val="24"/>
          <w:szCs w:val="24"/>
        </w:rPr>
        <w:t xml:space="preserve">. </w:t>
      </w:r>
      <w:r w:rsidR="00CB00DA">
        <w:rPr>
          <w:rFonts w:ascii="Arial" w:hAnsi="Arial" w:cs="Arial"/>
          <w:sz w:val="24"/>
          <w:szCs w:val="24"/>
        </w:rPr>
        <w:t>Talks of a “sense of place”</w:t>
      </w:r>
      <w:r w:rsidRPr="004B6189">
        <w:rPr>
          <w:rFonts w:ascii="Arial" w:hAnsi="Arial" w:cs="Arial"/>
          <w:sz w:val="24"/>
          <w:szCs w:val="24"/>
        </w:rPr>
        <w:t xml:space="preserve"> This social cohesion and support network can act as a buffer against stressors and adversities, further enhancing resilience.</w:t>
      </w:r>
      <w:r w:rsidR="00D43EDA">
        <w:rPr>
          <w:rFonts w:ascii="Arial" w:hAnsi="Arial" w:cs="Arial"/>
          <w:sz w:val="24"/>
          <w:szCs w:val="24"/>
        </w:rPr>
        <w:t xml:space="preserve"> </w:t>
      </w:r>
    </w:p>
    <w:p w14:paraId="70A104D6" w14:textId="77777777" w:rsidR="00E04AED" w:rsidRDefault="00E04AED" w:rsidP="00D43EDA">
      <w:pPr>
        <w:rPr>
          <w:rFonts w:ascii="Arial" w:hAnsi="Arial" w:cs="Arial"/>
          <w:b/>
          <w:bCs/>
          <w:sz w:val="24"/>
          <w:szCs w:val="24"/>
          <w:highlight w:val="yellow"/>
        </w:rPr>
      </w:pPr>
    </w:p>
    <w:p w14:paraId="19FD4CF6" w14:textId="5EA651F3" w:rsidR="00E35A62" w:rsidRDefault="006C0D8D" w:rsidP="004B6189">
      <w:pPr>
        <w:rPr>
          <w:rFonts w:ascii="Arial" w:hAnsi="Arial" w:cs="Arial"/>
          <w:b/>
          <w:bCs/>
          <w:sz w:val="24"/>
          <w:szCs w:val="24"/>
        </w:rPr>
      </w:pPr>
      <w:r w:rsidRPr="006C0D8D">
        <w:rPr>
          <w:rFonts w:ascii="Arial" w:hAnsi="Arial" w:cs="Arial"/>
          <w:b/>
          <w:bCs/>
          <w:sz w:val="24"/>
          <w:szCs w:val="24"/>
        </w:rPr>
        <w:t>Methodology</w:t>
      </w:r>
    </w:p>
    <w:p w14:paraId="5668D272" w14:textId="06EABE28" w:rsidR="006C0D8D" w:rsidRDefault="006C0D8D" w:rsidP="004B6189">
      <w:pPr>
        <w:rPr>
          <w:rFonts w:ascii="Arial" w:hAnsi="Arial" w:cs="Arial"/>
          <w:b/>
          <w:bCs/>
          <w:sz w:val="24"/>
          <w:szCs w:val="24"/>
        </w:rPr>
      </w:pPr>
      <w:r>
        <w:rPr>
          <w:rFonts w:ascii="Arial" w:hAnsi="Arial" w:cs="Arial"/>
          <w:b/>
          <w:bCs/>
          <w:sz w:val="24"/>
          <w:szCs w:val="24"/>
        </w:rPr>
        <w:t>Data collection:</w:t>
      </w:r>
    </w:p>
    <w:p w14:paraId="3606F455" w14:textId="77A6854F" w:rsidR="006C0D8D" w:rsidRDefault="006C0D8D" w:rsidP="006C0D8D">
      <w:pPr>
        <w:pStyle w:val="ListParagraph"/>
        <w:rPr>
          <w:rFonts w:ascii="Arial" w:hAnsi="Arial" w:cs="Arial"/>
          <w:sz w:val="24"/>
          <w:szCs w:val="24"/>
        </w:rPr>
      </w:pPr>
      <w:r w:rsidRPr="006C0D8D">
        <w:rPr>
          <w:rFonts w:ascii="Arial" w:hAnsi="Arial" w:cs="Arial"/>
          <w:sz w:val="24"/>
          <w:szCs w:val="24"/>
        </w:rPr>
        <w:t>The onion research method</w:t>
      </w:r>
    </w:p>
    <w:p w14:paraId="41588A1C" w14:textId="3C8D7AFB" w:rsidR="006C0D8D" w:rsidRDefault="006C0D8D" w:rsidP="006C0D8D">
      <w:pPr>
        <w:pStyle w:val="ListParagraph"/>
        <w:numPr>
          <w:ilvl w:val="0"/>
          <w:numId w:val="11"/>
        </w:numPr>
        <w:rPr>
          <w:rFonts w:ascii="Arial" w:hAnsi="Arial" w:cs="Arial"/>
          <w:sz w:val="24"/>
          <w:szCs w:val="24"/>
        </w:rPr>
      </w:pPr>
      <w:r>
        <w:rPr>
          <w:rFonts w:ascii="Arial" w:hAnsi="Arial" w:cs="Arial"/>
          <w:sz w:val="24"/>
          <w:szCs w:val="24"/>
        </w:rPr>
        <w:t>Search strategy – Qualitative/Quantitative</w:t>
      </w:r>
    </w:p>
    <w:p w14:paraId="7F6D0EC0" w14:textId="53F554A9" w:rsidR="006C0D8D" w:rsidRDefault="006C0D8D" w:rsidP="006C0D8D">
      <w:pPr>
        <w:pStyle w:val="ListParagraph"/>
        <w:numPr>
          <w:ilvl w:val="0"/>
          <w:numId w:val="11"/>
        </w:numPr>
        <w:rPr>
          <w:rFonts w:ascii="Arial" w:hAnsi="Arial" w:cs="Arial"/>
          <w:sz w:val="24"/>
          <w:szCs w:val="24"/>
        </w:rPr>
      </w:pPr>
      <w:r>
        <w:rPr>
          <w:rFonts w:ascii="Arial" w:hAnsi="Arial" w:cs="Arial"/>
          <w:sz w:val="24"/>
          <w:szCs w:val="24"/>
        </w:rPr>
        <w:t>Databases – Electronic, UWTSD database</w:t>
      </w:r>
    </w:p>
    <w:p w14:paraId="5B7B62FD" w14:textId="01605227" w:rsidR="006C0D8D" w:rsidRDefault="006C0D8D" w:rsidP="006C0D8D">
      <w:pPr>
        <w:pStyle w:val="ListParagraph"/>
        <w:numPr>
          <w:ilvl w:val="0"/>
          <w:numId w:val="11"/>
        </w:numPr>
        <w:rPr>
          <w:rFonts w:ascii="Arial" w:hAnsi="Arial" w:cs="Arial"/>
          <w:sz w:val="24"/>
          <w:szCs w:val="24"/>
        </w:rPr>
      </w:pPr>
      <w:r>
        <w:rPr>
          <w:rFonts w:ascii="Arial" w:hAnsi="Arial" w:cs="Arial"/>
          <w:sz w:val="24"/>
          <w:szCs w:val="24"/>
        </w:rPr>
        <w:t>Search tools – google scholar.</w:t>
      </w:r>
    </w:p>
    <w:p w14:paraId="744F0D9B" w14:textId="344C038A" w:rsidR="006C0D8D" w:rsidRDefault="006C0D8D" w:rsidP="006C0D8D">
      <w:pPr>
        <w:pStyle w:val="ListParagraph"/>
        <w:numPr>
          <w:ilvl w:val="0"/>
          <w:numId w:val="11"/>
        </w:numPr>
        <w:rPr>
          <w:rFonts w:ascii="Arial" w:hAnsi="Arial" w:cs="Arial"/>
          <w:sz w:val="24"/>
          <w:szCs w:val="24"/>
        </w:rPr>
      </w:pPr>
      <w:r>
        <w:rPr>
          <w:rFonts w:ascii="Arial" w:hAnsi="Arial" w:cs="Arial"/>
          <w:sz w:val="24"/>
          <w:szCs w:val="24"/>
        </w:rPr>
        <w:t>Boolean operators</w:t>
      </w:r>
    </w:p>
    <w:p w14:paraId="5B01EB9F" w14:textId="22F1D8DA" w:rsidR="006C0D8D" w:rsidRDefault="006C0D8D" w:rsidP="006C0D8D">
      <w:pPr>
        <w:pStyle w:val="ListParagraph"/>
        <w:numPr>
          <w:ilvl w:val="0"/>
          <w:numId w:val="11"/>
        </w:numPr>
        <w:rPr>
          <w:rFonts w:ascii="Arial" w:hAnsi="Arial" w:cs="Arial"/>
          <w:sz w:val="24"/>
          <w:szCs w:val="24"/>
        </w:rPr>
      </w:pPr>
      <w:r>
        <w:rPr>
          <w:rFonts w:ascii="Arial" w:hAnsi="Arial" w:cs="Arial"/>
          <w:sz w:val="24"/>
          <w:szCs w:val="24"/>
        </w:rPr>
        <w:t>Inclusion/exclusion</w:t>
      </w:r>
    </w:p>
    <w:p w14:paraId="6C09F0CD" w14:textId="77777777" w:rsidR="006C0D8D" w:rsidRDefault="006C0D8D" w:rsidP="006C0D8D">
      <w:pPr>
        <w:pStyle w:val="ListParagraph"/>
        <w:ind w:left="1440"/>
        <w:rPr>
          <w:rFonts w:ascii="Arial" w:hAnsi="Arial" w:cs="Arial"/>
          <w:sz w:val="24"/>
          <w:szCs w:val="24"/>
        </w:rPr>
      </w:pPr>
    </w:p>
    <w:p w14:paraId="31D480E8" w14:textId="1067965E" w:rsidR="006C0D8D" w:rsidRDefault="006C0D8D" w:rsidP="006C0D8D">
      <w:pPr>
        <w:rPr>
          <w:rFonts w:ascii="Arial" w:hAnsi="Arial" w:cs="Arial"/>
          <w:b/>
          <w:bCs/>
          <w:sz w:val="24"/>
          <w:szCs w:val="24"/>
        </w:rPr>
      </w:pPr>
      <w:r w:rsidRPr="006C0D8D">
        <w:rPr>
          <w:rFonts w:ascii="Arial" w:hAnsi="Arial" w:cs="Arial"/>
          <w:b/>
          <w:bCs/>
          <w:sz w:val="24"/>
          <w:szCs w:val="24"/>
        </w:rPr>
        <w:t>Data Analysis</w:t>
      </w:r>
    </w:p>
    <w:p w14:paraId="030341FD" w14:textId="06F494BF" w:rsidR="006C0D8D" w:rsidRPr="006C0D8D" w:rsidRDefault="006C0D8D" w:rsidP="006C0D8D">
      <w:pPr>
        <w:rPr>
          <w:rFonts w:ascii="Arial" w:hAnsi="Arial" w:cs="Arial"/>
          <w:sz w:val="24"/>
          <w:szCs w:val="24"/>
        </w:rPr>
      </w:pPr>
      <w:r w:rsidRPr="006C0D8D">
        <w:rPr>
          <w:rFonts w:ascii="Arial" w:hAnsi="Arial" w:cs="Arial"/>
          <w:sz w:val="24"/>
          <w:szCs w:val="24"/>
        </w:rPr>
        <w:t>Thematic analysis</w:t>
      </w:r>
      <w:r>
        <w:rPr>
          <w:rFonts w:ascii="Arial" w:hAnsi="Arial" w:cs="Arial"/>
          <w:sz w:val="24"/>
          <w:szCs w:val="24"/>
        </w:rPr>
        <w:t xml:space="preserve"> (looking at different themes and any crossover between the two lifestyles).</w:t>
      </w:r>
    </w:p>
    <w:p w14:paraId="7711EF0A" w14:textId="77777777" w:rsidR="00E35A62" w:rsidRPr="004B6189" w:rsidRDefault="00E35A62" w:rsidP="004B6189">
      <w:pPr>
        <w:rPr>
          <w:rFonts w:ascii="Arial" w:hAnsi="Arial" w:cs="Arial"/>
          <w:sz w:val="24"/>
          <w:szCs w:val="24"/>
        </w:rPr>
      </w:pPr>
    </w:p>
    <w:p w14:paraId="008BDD21" w14:textId="77777777" w:rsidR="005C2D69" w:rsidRDefault="005C2D69" w:rsidP="005C2D69">
      <w:pPr>
        <w:rPr>
          <w:rFonts w:ascii="Arial" w:hAnsi="Arial" w:cs="Arial"/>
          <w:sz w:val="24"/>
          <w:szCs w:val="24"/>
        </w:rPr>
      </w:pPr>
    </w:p>
    <w:p w14:paraId="52D97578" w14:textId="3E98A201" w:rsidR="004B6189" w:rsidRPr="005C2D69" w:rsidRDefault="004B6189" w:rsidP="005C2D69">
      <w:pPr>
        <w:rPr>
          <w:rFonts w:ascii="Arial" w:hAnsi="Arial" w:cs="Arial"/>
          <w:b/>
          <w:bCs/>
          <w:sz w:val="24"/>
          <w:szCs w:val="24"/>
        </w:rPr>
      </w:pPr>
      <w:r w:rsidRPr="005C2D69">
        <w:rPr>
          <w:rFonts w:ascii="Arial" w:hAnsi="Arial" w:cs="Arial"/>
          <w:b/>
          <w:bCs/>
          <w:sz w:val="24"/>
          <w:szCs w:val="24"/>
        </w:rPr>
        <w:t xml:space="preserve">Conclusion </w:t>
      </w:r>
    </w:p>
    <w:p w14:paraId="5BA588F0" w14:textId="77777777" w:rsidR="00B216D0" w:rsidRPr="00B216D0" w:rsidRDefault="00B216D0" w:rsidP="00B216D0">
      <w:pPr>
        <w:rPr>
          <w:rFonts w:ascii="Arial" w:hAnsi="Arial" w:cs="Arial"/>
          <w:sz w:val="24"/>
          <w:szCs w:val="24"/>
        </w:rPr>
      </w:pPr>
      <w:r w:rsidRPr="00B216D0">
        <w:rPr>
          <w:rFonts w:ascii="Arial" w:hAnsi="Arial" w:cs="Arial"/>
          <w:sz w:val="24"/>
          <w:szCs w:val="24"/>
        </w:rPr>
        <w:t>This dissertation proposal describes a thorough investigation that compares the resilience levels of those who lead a modern Western lifestyle with those who lead a hunter-gatherer lifestyle. This study aims to clarify whether living as a hunter-</w:t>
      </w:r>
      <w:r w:rsidRPr="00B216D0">
        <w:rPr>
          <w:rFonts w:ascii="Arial" w:hAnsi="Arial" w:cs="Arial"/>
          <w:sz w:val="24"/>
          <w:szCs w:val="24"/>
        </w:rPr>
        <w:lastRenderedPageBreak/>
        <w:t xml:space="preserve">gatherer </w:t>
      </w:r>
      <w:proofErr w:type="gramStart"/>
      <w:r w:rsidRPr="00B216D0">
        <w:rPr>
          <w:rFonts w:ascii="Arial" w:hAnsi="Arial" w:cs="Arial"/>
          <w:sz w:val="24"/>
          <w:szCs w:val="24"/>
        </w:rPr>
        <w:t>actually gives</w:t>
      </w:r>
      <w:proofErr w:type="gramEnd"/>
      <w:r w:rsidRPr="00B216D0">
        <w:rPr>
          <w:rFonts w:ascii="Arial" w:hAnsi="Arial" w:cs="Arial"/>
          <w:sz w:val="24"/>
          <w:szCs w:val="24"/>
        </w:rPr>
        <w:t xml:space="preserve"> people more resilience by looking into things like nutrition, exercise, social networks, and mental health.</w:t>
      </w:r>
    </w:p>
    <w:p w14:paraId="6D5D02DD" w14:textId="0AAB67EF" w:rsidR="004B6189" w:rsidRPr="004B6189" w:rsidRDefault="00B216D0" w:rsidP="00B216D0">
      <w:pPr>
        <w:rPr>
          <w:rFonts w:ascii="Arial" w:hAnsi="Arial" w:cs="Arial"/>
          <w:sz w:val="24"/>
          <w:szCs w:val="24"/>
        </w:rPr>
      </w:pPr>
      <w:r w:rsidRPr="00B216D0">
        <w:rPr>
          <w:rFonts w:ascii="Arial" w:hAnsi="Arial" w:cs="Arial"/>
          <w:sz w:val="24"/>
          <w:szCs w:val="24"/>
        </w:rPr>
        <w:t xml:space="preserve">This study could have </w:t>
      </w:r>
      <w:r w:rsidR="00805C6D">
        <w:rPr>
          <w:rFonts w:ascii="Arial" w:hAnsi="Arial" w:cs="Arial"/>
          <w:sz w:val="24"/>
          <w:szCs w:val="24"/>
        </w:rPr>
        <w:t>some positive</w:t>
      </w:r>
      <w:r w:rsidRPr="00B216D0">
        <w:rPr>
          <w:rFonts w:ascii="Arial" w:hAnsi="Arial" w:cs="Arial"/>
          <w:sz w:val="24"/>
          <w:szCs w:val="24"/>
        </w:rPr>
        <w:t xml:space="preserve"> effects on public health and wellbeing. </w:t>
      </w:r>
      <w:proofErr w:type="gramStart"/>
      <w:r w:rsidRPr="00B216D0">
        <w:rPr>
          <w:rFonts w:ascii="Arial" w:hAnsi="Arial" w:cs="Arial"/>
          <w:sz w:val="24"/>
          <w:szCs w:val="24"/>
        </w:rPr>
        <w:t>In the event that</w:t>
      </w:r>
      <w:proofErr w:type="gramEnd"/>
      <w:r w:rsidRPr="00B216D0">
        <w:rPr>
          <w:rFonts w:ascii="Arial" w:hAnsi="Arial" w:cs="Arial"/>
          <w:sz w:val="24"/>
          <w:szCs w:val="24"/>
        </w:rPr>
        <w:t xml:space="preserve"> it is proven that the hunter-gatherer way of life fosters more resilience, this could offer insightful information to people and communities looking to raise their resilience levels and general quality of life. This study could have an impact on lifestyle guidelines and policies for a world that is healthier and more resilient.</w:t>
      </w:r>
    </w:p>
    <w:bookmarkEnd w:id="0"/>
    <w:p w14:paraId="6CA1DE24" w14:textId="5C413FDE" w:rsidR="00E04AED" w:rsidRDefault="00E04AED">
      <w:pPr>
        <w:rPr>
          <w:rFonts w:ascii="Arial" w:hAnsi="Arial" w:cs="Arial"/>
          <w:sz w:val="24"/>
          <w:szCs w:val="24"/>
        </w:rPr>
      </w:pPr>
      <w:r>
        <w:rPr>
          <w:rFonts w:ascii="Arial" w:hAnsi="Arial" w:cs="Arial"/>
          <w:sz w:val="24"/>
          <w:szCs w:val="24"/>
        </w:rPr>
        <w:t>Word count:</w:t>
      </w:r>
      <w:r w:rsidR="006C5924">
        <w:rPr>
          <w:rFonts w:ascii="Arial" w:hAnsi="Arial" w:cs="Arial"/>
          <w:sz w:val="24"/>
          <w:szCs w:val="24"/>
        </w:rPr>
        <w:t xml:space="preserve"> 1503</w:t>
      </w:r>
    </w:p>
    <w:p w14:paraId="7636A082" w14:textId="77777777" w:rsidR="00E04AED" w:rsidRDefault="00E04AED">
      <w:pPr>
        <w:rPr>
          <w:rFonts w:ascii="Arial" w:hAnsi="Arial" w:cs="Arial"/>
          <w:sz w:val="24"/>
          <w:szCs w:val="24"/>
        </w:rPr>
      </w:pPr>
    </w:p>
    <w:p w14:paraId="4D1B7D8A" w14:textId="77777777" w:rsidR="00E04AED" w:rsidRDefault="00E04AED">
      <w:pPr>
        <w:rPr>
          <w:rFonts w:ascii="Arial" w:hAnsi="Arial" w:cs="Arial"/>
          <w:sz w:val="24"/>
          <w:szCs w:val="24"/>
        </w:rPr>
      </w:pPr>
    </w:p>
    <w:p w14:paraId="5220CBCF" w14:textId="77777777" w:rsidR="00E04AED" w:rsidRPr="00E04AED" w:rsidRDefault="00E04AED" w:rsidP="00E04AED">
      <w:pPr>
        <w:rPr>
          <w:rFonts w:ascii="Arial" w:hAnsi="Arial" w:cs="Arial"/>
          <w:b/>
          <w:bCs/>
          <w:sz w:val="24"/>
          <w:szCs w:val="24"/>
        </w:rPr>
      </w:pPr>
      <w:r w:rsidRPr="00E04AED">
        <w:rPr>
          <w:rFonts w:ascii="Arial" w:hAnsi="Arial" w:cs="Arial"/>
          <w:b/>
          <w:bCs/>
          <w:sz w:val="24"/>
          <w:szCs w:val="24"/>
        </w:rPr>
        <w:t>Research Timetable</w:t>
      </w:r>
    </w:p>
    <w:tbl>
      <w:tblPr>
        <w:tblStyle w:val="TableGrid"/>
        <w:tblW w:w="0" w:type="auto"/>
        <w:tblLook w:val="04A0" w:firstRow="1" w:lastRow="0" w:firstColumn="1" w:lastColumn="0" w:noHBand="0" w:noVBand="1"/>
      </w:tblPr>
      <w:tblGrid>
        <w:gridCol w:w="4508"/>
        <w:gridCol w:w="4508"/>
      </w:tblGrid>
      <w:tr w:rsidR="00E04AED" w:rsidRPr="00BF53C9" w14:paraId="001EEC40" w14:textId="77777777" w:rsidTr="00C77F17">
        <w:tc>
          <w:tcPr>
            <w:tcW w:w="4508" w:type="dxa"/>
          </w:tcPr>
          <w:p w14:paraId="4F37AAB3" w14:textId="77777777" w:rsidR="00E04AED" w:rsidRPr="00E04AED" w:rsidRDefault="00E04AED" w:rsidP="00C77F17">
            <w:pPr>
              <w:rPr>
                <w:rFonts w:ascii="Arial" w:hAnsi="Arial" w:cs="Arial"/>
                <w:sz w:val="24"/>
                <w:szCs w:val="24"/>
              </w:rPr>
            </w:pPr>
            <w:r w:rsidRPr="00E04AED">
              <w:rPr>
                <w:rFonts w:ascii="Arial" w:hAnsi="Arial" w:cs="Arial"/>
                <w:sz w:val="24"/>
                <w:szCs w:val="24"/>
              </w:rPr>
              <w:t>Chapters</w:t>
            </w:r>
          </w:p>
        </w:tc>
        <w:tc>
          <w:tcPr>
            <w:tcW w:w="4508" w:type="dxa"/>
          </w:tcPr>
          <w:p w14:paraId="259C8173" w14:textId="77777777" w:rsidR="00E04AED" w:rsidRPr="00E04AED" w:rsidRDefault="00E04AED" w:rsidP="00C77F17">
            <w:pPr>
              <w:rPr>
                <w:rFonts w:ascii="Arial" w:hAnsi="Arial" w:cs="Arial"/>
                <w:sz w:val="24"/>
                <w:szCs w:val="24"/>
              </w:rPr>
            </w:pPr>
            <w:r w:rsidRPr="00E04AED">
              <w:rPr>
                <w:rFonts w:ascii="Arial" w:hAnsi="Arial" w:cs="Arial"/>
                <w:sz w:val="24"/>
                <w:szCs w:val="24"/>
              </w:rPr>
              <w:t>Date</w:t>
            </w:r>
          </w:p>
        </w:tc>
      </w:tr>
      <w:tr w:rsidR="00E04AED" w:rsidRPr="00BF53C9" w14:paraId="4C36D5D6" w14:textId="77777777" w:rsidTr="00C77F17">
        <w:tc>
          <w:tcPr>
            <w:tcW w:w="4508" w:type="dxa"/>
          </w:tcPr>
          <w:p w14:paraId="3D5A1410" w14:textId="77777777" w:rsidR="00E04AED" w:rsidRPr="00E04AED" w:rsidRDefault="00E04AED" w:rsidP="00C77F17">
            <w:pPr>
              <w:rPr>
                <w:rFonts w:ascii="Arial" w:hAnsi="Arial" w:cs="Arial"/>
                <w:sz w:val="24"/>
                <w:szCs w:val="24"/>
              </w:rPr>
            </w:pPr>
          </w:p>
        </w:tc>
        <w:tc>
          <w:tcPr>
            <w:tcW w:w="4508" w:type="dxa"/>
          </w:tcPr>
          <w:p w14:paraId="43C08839" w14:textId="77777777" w:rsidR="00E04AED" w:rsidRPr="00BF53C9" w:rsidRDefault="00E04AED" w:rsidP="00C77F17">
            <w:pPr>
              <w:rPr>
                <w:rFonts w:ascii="Arial" w:hAnsi="Arial" w:cs="Arial"/>
                <w:sz w:val="24"/>
                <w:szCs w:val="24"/>
                <w:highlight w:val="yellow"/>
              </w:rPr>
            </w:pPr>
          </w:p>
        </w:tc>
      </w:tr>
      <w:tr w:rsidR="00E04AED" w:rsidRPr="00BF53C9" w14:paraId="6367738D" w14:textId="77777777" w:rsidTr="00C77F17">
        <w:tc>
          <w:tcPr>
            <w:tcW w:w="4508" w:type="dxa"/>
          </w:tcPr>
          <w:p w14:paraId="6EB6587E" w14:textId="1FB7F182" w:rsidR="00E04AED" w:rsidRPr="00E04AED" w:rsidRDefault="00E04AED" w:rsidP="00C77F17">
            <w:pPr>
              <w:rPr>
                <w:rFonts w:ascii="Arial" w:hAnsi="Arial" w:cs="Arial"/>
                <w:sz w:val="24"/>
                <w:szCs w:val="24"/>
              </w:rPr>
            </w:pPr>
            <w:r>
              <w:rPr>
                <w:rFonts w:ascii="Arial" w:hAnsi="Arial" w:cs="Arial"/>
                <w:sz w:val="24"/>
                <w:szCs w:val="24"/>
              </w:rPr>
              <w:t>Methodology Research</w:t>
            </w:r>
          </w:p>
        </w:tc>
        <w:tc>
          <w:tcPr>
            <w:tcW w:w="4508" w:type="dxa"/>
          </w:tcPr>
          <w:p w14:paraId="646DCD3C" w14:textId="5445E564" w:rsidR="00E04AED" w:rsidRPr="00BF53C9" w:rsidRDefault="00E04AED" w:rsidP="00C77F17">
            <w:pPr>
              <w:rPr>
                <w:rFonts w:ascii="Arial" w:hAnsi="Arial" w:cs="Arial"/>
                <w:sz w:val="24"/>
                <w:szCs w:val="24"/>
                <w:highlight w:val="yellow"/>
              </w:rPr>
            </w:pPr>
            <w:r w:rsidRPr="00E04AED">
              <w:rPr>
                <w:rFonts w:ascii="Arial" w:hAnsi="Arial" w:cs="Arial"/>
                <w:sz w:val="24"/>
                <w:szCs w:val="24"/>
              </w:rPr>
              <w:t>Oct/</w:t>
            </w:r>
            <w:r>
              <w:rPr>
                <w:rFonts w:ascii="Arial" w:hAnsi="Arial" w:cs="Arial"/>
                <w:sz w:val="24"/>
                <w:szCs w:val="24"/>
              </w:rPr>
              <w:t xml:space="preserve"> Nov/ Dec</w:t>
            </w:r>
          </w:p>
        </w:tc>
      </w:tr>
      <w:tr w:rsidR="00E04AED" w:rsidRPr="00BF53C9" w14:paraId="19742547" w14:textId="77777777" w:rsidTr="00C77F17">
        <w:tc>
          <w:tcPr>
            <w:tcW w:w="4508" w:type="dxa"/>
          </w:tcPr>
          <w:p w14:paraId="12C8D2A0" w14:textId="4758F8E2" w:rsidR="00E04AED" w:rsidRPr="00E04AED" w:rsidRDefault="00E04AED" w:rsidP="00C77F17">
            <w:pPr>
              <w:rPr>
                <w:rFonts w:ascii="Arial" w:hAnsi="Arial" w:cs="Arial"/>
                <w:sz w:val="24"/>
                <w:szCs w:val="24"/>
              </w:rPr>
            </w:pPr>
            <w:r>
              <w:rPr>
                <w:rFonts w:ascii="Arial" w:hAnsi="Arial" w:cs="Arial"/>
                <w:sz w:val="24"/>
                <w:szCs w:val="24"/>
              </w:rPr>
              <w:t>Reading</w:t>
            </w:r>
          </w:p>
        </w:tc>
        <w:tc>
          <w:tcPr>
            <w:tcW w:w="4508" w:type="dxa"/>
          </w:tcPr>
          <w:p w14:paraId="3D44F4E7" w14:textId="55C16CE2" w:rsidR="00E04AED" w:rsidRPr="00E04AED" w:rsidRDefault="00E04AED" w:rsidP="00C77F17">
            <w:pPr>
              <w:rPr>
                <w:rFonts w:ascii="Arial" w:hAnsi="Arial" w:cs="Arial"/>
                <w:sz w:val="24"/>
                <w:szCs w:val="24"/>
              </w:rPr>
            </w:pPr>
            <w:r w:rsidRPr="00E04AED">
              <w:rPr>
                <w:rFonts w:ascii="Arial" w:hAnsi="Arial" w:cs="Arial"/>
                <w:sz w:val="24"/>
                <w:szCs w:val="24"/>
              </w:rPr>
              <w:t>Dec/ Jan/ Feb</w:t>
            </w:r>
          </w:p>
        </w:tc>
      </w:tr>
      <w:tr w:rsidR="00E04AED" w:rsidRPr="00BF53C9" w14:paraId="26E32024" w14:textId="77777777" w:rsidTr="00C77F17">
        <w:tc>
          <w:tcPr>
            <w:tcW w:w="4508" w:type="dxa"/>
          </w:tcPr>
          <w:p w14:paraId="17C6C2BA" w14:textId="1E8763B8" w:rsidR="00E04AED" w:rsidRPr="00E04AED" w:rsidRDefault="00E04AED" w:rsidP="00C77F17">
            <w:pPr>
              <w:rPr>
                <w:rFonts w:ascii="Arial" w:hAnsi="Arial" w:cs="Arial"/>
                <w:sz w:val="24"/>
                <w:szCs w:val="24"/>
              </w:rPr>
            </w:pPr>
            <w:r>
              <w:rPr>
                <w:rFonts w:ascii="Arial" w:hAnsi="Arial" w:cs="Arial"/>
                <w:sz w:val="24"/>
                <w:szCs w:val="24"/>
              </w:rPr>
              <w:t>Analyse Data</w:t>
            </w:r>
          </w:p>
        </w:tc>
        <w:tc>
          <w:tcPr>
            <w:tcW w:w="4508" w:type="dxa"/>
          </w:tcPr>
          <w:p w14:paraId="3F291A4F" w14:textId="5FC27313" w:rsidR="00E04AED" w:rsidRPr="00E04AED" w:rsidRDefault="00E04AED" w:rsidP="00C77F17">
            <w:pPr>
              <w:rPr>
                <w:rFonts w:ascii="Arial" w:hAnsi="Arial" w:cs="Arial"/>
                <w:sz w:val="24"/>
                <w:szCs w:val="24"/>
              </w:rPr>
            </w:pPr>
            <w:r>
              <w:rPr>
                <w:rFonts w:ascii="Arial" w:hAnsi="Arial" w:cs="Arial"/>
                <w:sz w:val="24"/>
                <w:szCs w:val="24"/>
              </w:rPr>
              <w:t>Feb/ March</w:t>
            </w:r>
          </w:p>
        </w:tc>
      </w:tr>
      <w:tr w:rsidR="00E04AED" w:rsidRPr="00BF53C9" w14:paraId="11CCB1E3" w14:textId="77777777" w:rsidTr="00C77F17">
        <w:tc>
          <w:tcPr>
            <w:tcW w:w="4508" w:type="dxa"/>
          </w:tcPr>
          <w:p w14:paraId="7254DDF1" w14:textId="12FC8FB6" w:rsidR="00E04AED" w:rsidRPr="00E04AED" w:rsidRDefault="00E04AED" w:rsidP="00C77F17">
            <w:pPr>
              <w:rPr>
                <w:rFonts w:ascii="Arial" w:hAnsi="Arial" w:cs="Arial"/>
                <w:sz w:val="24"/>
                <w:szCs w:val="24"/>
              </w:rPr>
            </w:pPr>
            <w:r w:rsidRPr="00E04AED">
              <w:rPr>
                <w:rFonts w:ascii="Arial" w:hAnsi="Arial" w:cs="Arial"/>
                <w:sz w:val="24"/>
                <w:szCs w:val="24"/>
              </w:rPr>
              <w:t>Discussion/ Writing</w:t>
            </w:r>
          </w:p>
        </w:tc>
        <w:tc>
          <w:tcPr>
            <w:tcW w:w="4508" w:type="dxa"/>
          </w:tcPr>
          <w:p w14:paraId="3CD350BA" w14:textId="7FEFBF2A" w:rsidR="00E04AED" w:rsidRPr="00E04AED" w:rsidRDefault="00E04AED" w:rsidP="00C77F17">
            <w:pPr>
              <w:rPr>
                <w:rFonts w:ascii="Arial" w:hAnsi="Arial" w:cs="Arial"/>
                <w:sz w:val="24"/>
                <w:szCs w:val="24"/>
              </w:rPr>
            </w:pPr>
            <w:r w:rsidRPr="00E04AED">
              <w:rPr>
                <w:rFonts w:ascii="Arial" w:hAnsi="Arial" w:cs="Arial"/>
                <w:sz w:val="24"/>
                <w:szCs w:val="24"/>
              </w:rPr>
              <w:t>March/ April</w:t>
            </w:r>
          </w:p>
        </w:tc>
      </w:tr>
      <w:tr w:rsidR="00E04AED" w:rsidRPr="00BF53C9" w14:paraId="0E77D30F" w14:textId="77777777" w:rsidTr="00C77F17">
        <w:tc>
          <w:tcPr>
            <w:tcW w:w="4508" w:type="dxa"/>
          </w:tcPr>
          <w:p w14:paraId="74D0FB6C" w14:textId="3E596141" w:rsidR="00E04AED" w:rsidRPr="00E04AED" w:rsidRDefault="00E04AED" w:rsidP="00C77F17">
            <w:pPr>
              <w:rPr>
                <w:rFonts w:ascii="Arial" w:hAnsi="Arial" w:cs="Arial"/>
                <w:sz w:val="24"/>
                <w:szCs w:val="24"/>
              </w:rPr>
            </w:pPr>
          </w:p>
        </w:tc>
        <w:tc>
          <w:tcPr>
            <w:tcW w:w="4508" w:type="dxa"/>
          </w:tcPr>
          <w:p w14:paraId="104A53A6" w14:textId="77777777" w:rsidR="00E04AED" w:rsidRPr="00BF53C9" w:rsidRDefault="00E04AED" w:rsidP="00C77F17">
            <w:pPr>
              <w:rPr>
                <w:rFonts w:ascii="Arial" w:hAnsi="Arial" w:cs="Arial"/>
                <w:sz w:val="24"/>
                <w:szCs w:val="24"/>
                <w:highlight w:val="yellow"/>
              </w:rPr>
            </w:pPr>
          </w:p>
        </w:tc>
      </w:tr>
      <w:tr w:rsidR="00E04AED" w:rsidRPr="00BF53C9" w14:paraId="27DDA334" w14:textId="77777777" w:rsidTr="00C77F17">
        <w:tc>
          <w:tcPr>
            <w:tcW w:w="4508" w:type="dxa"/>
          </w:tcPr>
          <w:p w14:paraId="25E8B26E" w14:textId="05F4C878" w:rsidR="00E04AED" w:rsidRPr="00E04AED" w:rsidRDefault="00E04AED" w:rsidP="00C77F17">
            <w:pPr>
              <w:rPr>
                <w:rFonts w:ascii="Arial" w:hAnsi="Arial" w:cs="Arial"/>
                <w:sz w:val="24"/>
                <w:szCs w:val="24"/>
              </w:rPr>
            </w:pPr>
          </w:p>
        </w:tc>
        <w:tc>
          <w:tcPr>
            <w:tcW w:w="4508" w:type="dxa"/>
          </w:tcPr>
          <w:p w14:paraId="6B11E07A" w14:textId="77777777" w:rsidR="00E04AED" w:rsidRPr="00BF53C9" w:rsidRDefault="00E04AED" w:rsidP="00C77F17">
            <w:pPr>
              <w:rPr>
                <w:rFonts w:ascii="Arial" w:hAnsi="Arial" w:cs="Arial"/>
                <w:sz w:val="24"/>
                <w:szCs w:val="24"/>
                <w:highlight w:val="yellow"/>
              </w:rPr>
            </w:pPr>
          </w:p>
        </w:tc>
      </w:tr>
      <w:tr w:rsidR="00E04AED" w:rsidRPr="00BF53C9" w14:paraId="0D71F7F9" w14:textId="77777777" w:rsidTr="00C77F17">
        <w:tc>
          <w:tcPr>
            <w:tcW w:w="4508" w:type="dxa"/>
          </w:tcPr>
          <w:p w14:paraId="7CCAD788" w14:textId="1ABB4C82" w:rsidR="00E04AED" w:rsidRPr="00E04AED" w:rsidRDefault="00E04AED" w:rsidP="00C77F17">
            <w:pPr>
              <w:rPr>
                <w:rFonts w:ascii="Arial" w:hAnsi="Arial" w:cs="Arial"/>
                <w:sz w:val="24"/>
                <w:szCs w:val="24"/>
              </w:rPr>
            </w:pPr>
          </w:p>
        </w:tc>
        <w:tc>
          <w:tcPr>
            <w:tcW w:w="4508" w:type="dxa"/>
          </w:tcPr>
          <w:p w14:paraId="0CBB6DDA" w14:textId="77777777" w:rsidR="00E04AED" w:rsidRPr="00BF53C9" w:rsidRDefault="00E04AED" w:rsidP="00C77F17">
            <w:pPr>
              <w:rPr>
                <w:rFonts w:ascii="Arial" w:hAnsi="Arial" w:cs="Arial"/>
                <w:sz w:val="24"/>
                <w:szCs w:val="24"/>
                <w:highlight w:val="yellow"/>
              </w:rPr>
            </w:pPr>
          </w:p>
        </w:tc>
      </w:tr>
      <w:tr w:rsidR="00E04AED" w:rsidRPr="00BF53C9" w14:paraId="62DAB2C5" w14:textId="77777777" w:rsidTr="00C77F17">
        <w:tc>
          <w:tcPr>
            <w:tcW w:w="4508" w:type="dxa"/>
          </w:tcPr>
          <w:p w14:paraId="6842D2A3" w14:textId="1E72D173" w:rsidR="00E04AED" w:rsidRPr="00E04AED" w:rsidRDefault="00E04AED" w:rsidP="00C77F17">
            <w:pPr>
              <w:rPr>
                <w:rFonts w:ascii="Arial" w:hAnsi="Arial" w:cs="Arial"/>
                <w:sz w:val="24"/>
                <w:szCs w:val="24"/>
              </w:rPr>
            </w:pPr>
          </w:p>
        </w:tc>
        <w:tc>
          <w:tcPr>
            <w:tcW w:w="4508" w:type="dxa"/>
          </w:tcPr>
          <w:p w14:paraId="6697A67B" w14:textId="77777777" w:rsidR="00E04AED" w:rsidRPr="00BF53C9" w:rsidRDefault="00E04AED" w:rsidP="00C77F17">
            <w:pPr>
              <w:rPr>
                <w:rFonts w:ascii="Arial" w:hAnsi="Arial" w:cs="Arial"/>
                <w:sz w:val="24"/>
                <w:szCs w:val="24"/>
                <w:highlight w:val="yellow"/>
              </w:rPr>
            </w:pPr>
          </w:p>
        </w:tc>
      </w:tr>
      <w:tr w:rsidR="00E04AED" w14:paraId="3DDEF8D0" w14:textId="77777777" w:rsidTr="00C77F17">
        <w:tc>
          <w:tcPr>
            <w:tcW w:w="4508" w:type="dxa"/>
          </w:tcPr>
          <w:p w14:paraId="7B091398" w14:textId="35D9E16D" w:rsidR="00E04AED" w:rsidRPr="00E04AED" w:rsidRDefault="00E04AED" w:rsidP="00C77F17">
            <w:pPr>
              <w:rPr>
                <w:rFonts w:ascii="Arial" w:hAnsi="Arial" w:cs="Arial"/>
                <w:sz w:val="24"/>
                <w:szCs w:val="24"/>
              </w:rPr>
            </w:pPr>
          </w:p>
        </w:tc>
        <w:tc>
          <w:tcPr>
            <w:tcW w:w="4508" w:type="dxa"/>
          </w:tcPr>
          <w:p w14:paraId="26419ADE" w14:textId="77777777" w:rsidR="00E04AED" w:rsidRDefault="00E04AED" w:rsidP="00C77F17">
            <w:pPr>
              <w:rPr>
                <w:rFonts w:ascii="Arial" w:hAnsi="Arial" w:cs="Arial"/>
                <w:sz w:val="24"/>
                <w:szCs w:val="24"/>
              </w:rPr>
            </w:pPr>
          </w:p>
        </w:tc>
      </w:tr>
    </w:tbl>
    <w:p w14:paraId="2DFC05F3" w14:textId="77777777" w:rsidR="00E04AED" w:rsidRPr="00E04AED" w:rsidRDefault="00E04AED" w:rsidP="00E04AED">
      <w:pPr>
        <w:rPr>
          <w:rFonts w:ascii="Arial" w:hAnsi="Arial" w:cs="Arial"/>
          <w:b/>
          <w:bCs/>
          <w:sz w:val="24"/>
          <w:szCs w:val="24"/>
        </w:rPr>
      </w:pPr>
    </w:p>
    <w:p w14:paraId="0089D1F3" w14:textId="069CFD25" w:rsidR="00E04AED" w:rsidRDefault="00E04AED">
      <w:pPr>
        <w:rPr>
          <w:rFonts w:ascii="Arial" w:hAnsi="Arial" w:cs="Arial"/>
          <w:b/>
          <w:bCs/>
          <w:sz w:val="24"/>
          <w:szCs w:val="24"/>
        </w:rPr>
      </w:pPr>
      <w:r w:rsidRPr="00E04AED">
        <w:rPr>
          <w:rFonts w:ascii="Arial" w:hAnsi="Arial" w:cs="Arial"/>
          <w:b/>
          <w:bCs/>
          <w:sz w:val="24"/>
          <w:szCs w:val="24"/>
        </w:rPr>
        <w:t>References</w:t>
      </w:r>
    </w:p>
    <w:p w14:paraId="6878E22D" w14:textId="77777777" w:rsidR="00053271" w:rsidRDefault="00053271">
      <w:pPr>
        <w:rPr>
          <w:rFonts w:ascii="Arial" w:hAnsi="Arial" w:cs="Arial"/>
          <w:b/>
          <w:bCs/>
          <w:sz w:val="24"/>
          <w:szCs w:val="24"/>
        </w:rPr>
      </w:pPr>
    </w:p>
    <w:p w14:paraId="3FEB6CB8" w14:textId="77777777" w:rsidR="005C2D69" w:rsidRPr="005C2D69" w:rsidRDefault="005C2D69" w:rsidP="005C2D69">
      <w:pPr>
        <w:spacing w:line="360" w:lineRule="auto"/>
        <w:rPr>
          <w:rFonts w:ascii="Arial" w:hAnsi="Arial" w:cs="Arial"/>
          <w:color w:val="222222"/>
          <w:sz w:val="24"/>
          <w:szCs w:val="24"/>
          <w:shd w:val="clear" w:color="auto" w:fill="FFFFFF"/>
        </w:rPr>
      </w:pPr>
    </w:p>
    <w:p w14:paraId="2CF42FF9" w14:textId="77777777" w:rsidR="005C2D69" w:rsidRPr="005C2D69" w:rsidRDefault="005C2D69" w:rsidP="00265910">
      <w:pPr>
        <w:pStyle w:val="NormalWeb"/>
        <w:spacing w:line="360" w:lineRule="auto"/>
        <w:jc w:val="both"/>
        <w:rPr>
          <w:rFonts w:ascii="Arial" w:hAnsi="Arial" w:cs="Arial"/>
        </w:rPr>
      </w:pPr>
      <w:bookmarkStart w:id="1" w:name="_Hlk149151609"/>
      <w:r w:rsidRPr="005C2D69">
        <w:rPr>
          <w:rFonts w:ascii="Arial" w:hAnsi="Arial" w:cs="Arial"/>
        </w:rPr>
        <w:t>Childs, E. and De Wit, H., 2014</w:t>
      </w:r>
      <w:bookmarkEnd w:id="1"/>
      <w:r w:rsidRPr="005C2D69">
        <w:rPr>
          <w:rFonts w:ascii="Arial" w:hAnsi="Arial" w:cs="Arial"/>
        </w:rPr>
        <w:t>. Regular exercise is associated with emotional resilience to acute stress in healthy adults. </w:t>
      </w:r>
      <w:r w:rsidRPr="005C2D69">
        <w:rPr>
          <w:rFonts w:ascii="Arial" w:hAnsi="Arial" w:cs="Arial"/>
          <w:i/>
          <w:iCs/>
        </w:rPr>
        <w:t>Frontiers in physiology</w:t>
      </w:r>
      <w:r w:rsidRPr="005C2D69">
        <w:rPr>
          <w:rFonts w:ascii="Arial" w:hAnsi="Arial" w:cs="Arial"/>
        </w:rPr>
        <w:t>, p.161.</w:t>
      </w:r>
    </w:p>
    <w:p w14:paraId="2EE122D9" w14:textId="77777777" w:rsidR="005C2D69" w:rsidRPr="005C2D69" w:rsidRDefault="005C2D69" w:rsidP="00265910">
      <w:pPr>
        <w:pStyle w:val="NormalWeb"/>
        <w:spacing w:line="360" w:lineRule="auto"/>
        <w:ind w:left="567" w:hanging="720"/>
        <w:jc w:val="both"/>
        <w:rPr>
          <w:rFonts w:ascii="Arial" w:hAnsi="Arial" w:cs="Arial"/>
        </w:rPr>
      </w:pPr>
      <w:bookmarkStart w:id="2" w:name="_Hlk149135882"/>
      <w:r w:rsidRPr="005C2D69">
        <w:rPr>
          <w:rFonts w:ascii="Arial" w:hAnsi="Arial" w:cs="Arial"/>
        </w:rPr>
        <w:t xml:space="preserve">Firth, J. </w:t>
      </w:r>
      <w:r w:rsidRPr="005C2D69">
        <w:rPr>
          <w:rFonts w:ascii="Arial" w:hAnsi="Arial" w:cs="Arial"/>
          <w:i/>
          <w:iCs/>
        </w:rPr>
        <w:t>et al.</w:t>
      </w:r>
      <w:r w:rsidRPr="005C2D69">
        <w:rPr>
          <w:rFonts w:ascii="Arial" w:hAnsi="Arial" w:cs="Arial"/>
        </w:rPr>
        <w:t xml:space="preserve"> (2020) </w:t>
      </w:r>
      <w:bookmarkEnd w:id="2"/>
      <w:r w:rsidRPr="005C2D69">
        <w:rPr>
          <w:rFonts w:ascii="Arial" w:hAnsi="Arial" w:cs="Arial"/>
        </w:rPr>
        <w:t xml:space="preserve">‘Food and mood: How do diet and nutrition affect mental wellbeing?’, </w:t>
      </w:r>
      <w:r w:rsidRPr="005C2D69">
        <w:rPr>
          <w:rFonts w:ascii="Arial" w:hAnsi="Arial" w:cs="Arial"/>
          <w:i/>
          <w:iCs/>
        </w:rPr>
        <w:t>BMJ</w:t>
      </w:r>
      <w:r w:rsidRPr="005C2D69">
        <w:rPr>
          <w:rFonts w:ascii="Arial" w:hAnsi="Arial" w:cs="Arial"/>
        </w:rPr>
        <w:t xml:space="preserve">, p. m2382. doi:10.1136/bmj.m2382. </w:t>
      </w:r>
    </w:p>
    <w:p w14:paraId="0E02ABF0" w14:textId="77777777" w:rsidR="005C2D69" w:rsidRPr="005C2D69" w:rsidRDefault="005C2D69" w:rsidP="00265910">
      <w:pPr>
        <w:spacing w:line="360" w:lineRule="auto"/>
        <w:ind w:hanging="720"/>
        <w:jc w:val="both"/>
        <w:rPr>
          <w:rFonts w:ascii="Arial" w:hAnsi="Arial" w:cs="Arial"/>
          <w:color w:val="222222"/>
          <w:sz w:val="24"/>
          <w:szCs w:val="24"/>
          <w:shd w:val="clear" w:color="auto" w:fill="FFFFFF"/>
        </w:rPr>
      </w:pPr>
      <w:r w:rsidRPr="005C2D69">
        <w:rPr>
          <w:rFonts w:ascii="Arial" w:hAnsi="Arial" w:cs="Arial"/>
          <w:color w:val="222222"/>
          <w:sz w:val="24"/>
          <w:szCs w:val="24"/>
          <w:shd w:val="clear" w:color="auto" w:fill="FFFFFF"/>
        </w:rPr>
        <w:t>Fortier, J., 2009. Kings of the Forest: The Cultural Resilience of Himalayan Hunter-Gatherers.</w:t>
      </w:r>
    </w:p>
    <w:p w14:paraId="178AC625" w14:textId="77777777" w:rsidR="005C2D69" w:rsidRPr="005C2D69" w:rsidRDefault="005C2D69" w:rsidP="00265910">
      <w:pPr>
        <w:spacing w:line="360" w:lineRule="auto"/>
        <w:ind w:hanging="720"/>
        <w:jc w:val="both"/>
        <w:rPr>
          <w:rFonts w:ascii="Arial" w:hAnsi="Arial" w:cs="Arial"/>
          <w:color w:val="222222"/>
          <w:sz w:val="24"/>
          <w:szCs w:val="24"/>
          <w:shd w:val="clear" w:color="auto" w:fill="FFFFFF"/>
        </w:rPr>
      </w:pPr>
      <w:bookmarkStart w:id="3" w:name="_Hlk149135167"/>
      <w:r w:rsidRPr="005C2D69">
        <w:rPr>
          <w:rFonts w:ascii="Arial" w:hAnsi="Arial" w:cs="Arial"/>
          <w:color w:val="222222"/>
          <w:sz w:val="24"/>
          <w:szCs w:val="24"/>
          <w:shd w:val="clear" w:color="auto" w:fill="FFFFFF"/>
        </w:rPr>
        <w:t>Gold, J., 2014. </w:t>
      </w:r>
      <w:bookmarkEnd w:id="3"/>
      <w:r w:rsidRPr="005C2D69">
        <w:rPr>
          <w:rFonts w:ascii="Arial" w:hAnsi="Arial" w:cs="Arial"/>
          <w:i/>
          <w:iCs/>
          <w:color w:val="222222"/>
          <w:sz w:val="24"/>
          <w:szCs w:val="24"/>
          <w:shd w:val="clear" w:color="auto" w:fill="FFFFFF"/>
        </w:rPr>
        <w:t>Screen-smart parenting: How to find balance and benefit in your child's use of social media, apps, and digital devices</w:t>
      </w:r>
      <w:r w:rsidRPr="005C2D69">
        <w:rPr>
          <w:rFonts w:ascii="Arial" w:hAnsi="Arial" w:cs="Arial"/>
          <w:color w:val="222222"/>
          <w:sz w:val="24"/>
          <w:szCs w:val="24"/>
          <w:shd w:val="clear" w:color="auto" w:fill="FFFFFF"/>
        </w:rPr>
        <w:t>. Guilford Publications.</w:t>
      </w:r>
    </w:p>
    <w:p w14:paraId="41E03682" w14:textId="77777777" w:rsidR="005C2D69" w:rsidRPr="005C2D69" w:rsidRDefault="005C2D69" w:rsidP="00265910">
      <w:pPr>
        <w:pStyle w:val="NormalWeb"/>
        <w:spacing w:line="360" w:lineRule="auto"/>
        <w:ind w:hanging="720"/>
        <w:jc w:val="both"/>
        <w:rPr>
          <w:rFonts w:ascii="Arial" w:hAnsi="Arial" w:cs="Arial"/>
        </w:rPr>
      </w:pPr>
      <w:bookmarkStart w:id="4" w:name="_Hlk149153517"/>
      <w:r w:rsidRPr="005C2D69">
        <w:rPr>
          <w:rFonts w:ascii="Arial" w:hAnsi="Arial" w:cs="Arial"/>
        </w:rPr>
        <w:lastRenderedPageBreak/>
        <w:t xml:space="preserve">Hambrecht, R. and Gielen, S. (2005) </w:t>
      </w:r>
      <w:bookmarkEnd w:id="4"/>
      <w:r w:rsidRPr="005C2D69">
        <w:rPr>
          <w:rFonts w:ascii="Arial" w:hAnsi="Arial" w:cs="Arial"/>
        </w:rPr>
        <w:t>‘Essay: Hunter-gatherer to sedentary lifestyle’, The Lancet, 366. doi:10.1016/s0140-6736(05)67856-7.</w:t>
      </w:r>
    </w:p>
    <w:p w14:paraId="5197F47D" w14:textId="77777777" w:rsidR="005C2D69" w:rsidRPr="005C2D69" w:rsidRDefault="005C2D69" w:rsidP="00265910">
      <w:pPr>
        <w:pStyle w:val="NormalWeb"/>
        <w:spacing w:line="360" w:lineRule="auto"/>
        <w:ind w:left="567" w:hanging="720"/>
        <w:jc w:val="both"/>
        <w:rPr>
          <w:rFonts w:ascii="Arial" w:hAnsi="Arial" w:cs="Arial"/>
        </w:rPr>
      </w:pPr>
      <w:bookmarkStart w:id="5" w:name="_Hlk149132522"/>
      <w:proofErr w:type="spellStart"/>
      <w:r w:rsidRPr="005C2D69">
        <w:rPr>
          <w:rFonts w:ascii="Arial" w:hAnsi="Arial" w:cs="Arial"/>
        </w:rPr>
        <w:t>Kmietowicz</w:t>
      </w:r>
      <w:proofErr w:type="spellEnd"/>
      <w:r w:rsidRPr="005C2D69">
        <w:rPr>
          <w:rFonts w:ascii="Arial" w:hAnsi="Arial" w:cs="Arial"/>
        </w:rPr>
        <w:t xml:space="preserve">, Z. (2002) </w:t>
      </w:r>
      <w:bookmarkEnd w:id="5"/>
      <w:r w:rsidRPr="005C2D69">
        <w:rPr>
          <w:rFonts w:ascii="Arial" w:hAnsi="Arial" w:cs="Arial"/>
        </w:rPr>
        <w:t xml:space="preserve">‘Who warns of heart disease threat to </w:t>
      </w:r>
      <w:proofErr w:type="gramStart"/>
      <w:r w:rsidRPr="005C2D69">
        <w:rPr>
          <w:rFonts w:ascii="Arial" w:hAnsi="Arial" w:cs="Arial"/>
        </w:rPr>
        <w:t>developing</w:t>
      </w:r>
      <w:proofErr w:type="gramEnd"/>
      <w:r w:rsidRPr="005C2D69">
        <w:rPr>
          <w:rFonts w:ascii="Arial" w:hAnsi="Arial" w:cs="Arial"/>
        </w:rPr>
        <w:t xml:space="preserve"> world’, </w:t>
      </w:r>
      <w:r w:rsidRPr="005C2D69">
        <w:rPr>
          <w:rFonts w:ascii="Arial" w:hAnsi="Arial" w:cs="Arial"/>
          <w:i/>
          <w:iCs/>
        </w:rPr>
        <w:t>BMJ</w:t>
      </w:r>
      <w:r w:rsidRPr="005C2D69">
        <w:rPr>
          <w:rFonts w:ascii="Arial" w:hAnsi="Arial" w:cs="Arial"/>
        </w:rPr>
        <w:t xml:space="preserve">, 325(7369). doi:10.1136/bmj.325.7369.853/a. </w:t>
      </w:r>
    </w:p>
    <w:p w14:paraId="4D8B4264" w14:textId="77777777" w:rsidR="005C2D69" w:rsidRPr="005C2D69" w:rsidRDefault="005C2D69" w:rsidP="00265910">
      <w:pPr>
        <w:spacing w:line="360" w:lineRule="auto"/>
        <w:ind w:hanging="720"/>
        <w:jc w:val="both"/>
        <w:rPr>
          <w:rFonts w:ascii="Arial" w:hAnsi="Arial" w:cs="Arial"/>
          <w:color w:val="222222"/>
          <w:sz w:val="24"/>
          <w:szCs w:val="24"/>
          <w:shd w:val="clear" w:color="auto" w:fill="FFFFFF"/>
        </w:rPr>
      </w:pPr>
      <w:bookmarkStart w:id="6" w:name="_Hlk149134020"/>
      <w:r w:rsidRPr="005C2D69">
        <w:rPr>
          <w:rFonts w:ascii="Arial" w:hAnsi="Arial" w:cs="Arial"/>
          <w:color w:val="222222"/>
          <w:sz w:val="24"/>
          <w:szCs w:val="24"/>
          <w:shd w:val="clear" w:color="auto" w:fill="FFFFFF"/>
        </w:rPr>
        <w:t>Leung, M.H. and Lee, P.K., 2016</w:t>
      </w:r>
      <w:bookmarkEnd w:id="6"/>
      <w:r w:rsidRPr="005C2D69">
        <w:rPr>
          <w:rFonts w:ascii="Arial" w:hAnsi="Arial" w:cs="Arial"/>
          <w:color w:val="222222"/>
          <w:sz w:val="24"/>
          <w:szCs w:val="24"/>
          <w:shd w:val="clear" w:color="auto" w:fill="FFFFFF"/>
        </w:rPr>
        <w:t>. The roles of the outdoors and occupants in contributing to a potential pan-microbiome of the built environment: a review. </w:t>
      </w:r>
      <w:r w:rsidRPr="005C2D69">
        <w:rPr>
          <w:rFonts w:ascii="Arial" w:hAnsi="Arial" w:cs="Arial"/>
          <w:i/>
          <w:iCs/>
          <w:color w:val="222222"/>
          <w:sz w:val="24"/>
          <w:szCs w:val="24"/>
          <w:shd w:val="clear" w:color="auto" w:fill="FFFFFF"/>
        </w:rPr>
        <w:t>Microbiome</w:t>
      </w:r>
      <w:r w:rsidRPr="005C2D69">
        <w:rPr>
          <w:rFonts w:ascii="Arial" w:hAnsi="Arial" w:cs="Arial"/>
          <w:color w:val="222222"/>
          <w:sz w:val="24"/>
          <w:szCs w:val="24"/>
          <w:shd w:val="clear" w:color="auto" w:fill="FFFFFF"/>
        </w:rPr>
        <w:t>, </w:t>
      </w:r>
      <w:r w:rsidRPr="005C2D69">
        <w:rPr>
          <w:rFonts w:ascii="Arial" w:hAnsi="Arial" w:cs="Arial"/>
          <w:i/>
          <w:iCs/>
          <w:color w:val="222222"/>
          <w:sz w:val="24"/>
          <w:szCs w:val="24"/>
          <w:shd w:val="clear" w:color="auto" w:fill="FFFFFF"/>
        </w:rPr>
        <w:t>4</w:t>
      </w:r>
      <w:r w:rsidRPr="005C2D69">
        <w:rPr>
          <w:rFonts w:ascii="Arial" w:hAnsi="Arial" w:cs="Arial"/>
          <w:color w:val="222222"/>
          <w:sz w:val="24"/>
          <w:szCs w:val="24"/>
          <w:shd w:val="clear" w:color="auto" w:fill="FFFFFF"/>
        </w:rPr>
        <w:t>(1), pp.1-15.</w:t>
      </w:r>
    </w:p>
    <w:p w14:paraId="727ECE24" w14:textId="77777777" w:rsidR="005C2D69" w:rsidRPr="005C2D69" w:rsidRDefault="005C2D69" w:rsidP="00265910">
      <w:pPr>
        <w:pStyle w:val="NormalWeb"/>
        <w:spacing w:line="360" w:lineRule="auto"/>
        <w:ind w:hanging="720"/>
        <w:jc w:val="both"/>
        <w:rPr>
          <w:rFonts w:ascii="Arial" w:hAnsi="Arial" w:cs="Arial"/>
        </w:rPr>
      </w:pPr>
      <w:bookmarkStart w:id="7" w:name="_Hlk149154068"/>
      <w:r w:rsidRPr="005C2D69">
        <w:rPr>
          <w:rFonts w:ascii="Arial" w:hAnsi="Arial" w:cs="Arial"/>
        </w:rPr>
        <w:t xml:space="preserve">LYNCH, K.A., 2016. </w:t>
      </w:r>
      <w:bookmarkEnd w:id="7"/>
      <w:r w:rsidRPr="005C2D69">
        <w:rPr>
          <w:rFonts w:ascii="Arial" w:hAnsi="Arial" w:cs="Arial"/>
        </w:rPr>
        <w:t>"The land tells our story": Urban Native place-making and implications for wellness, Boston University</w:t>
      </w:r>
    </w:p>
    <w:p w14:paraId="05B736CA" w14:textId="77777777" w:rsidR="005C2D69" w:rsidRPr="005C2D69" w:rsidRDefault="005C2D69" w:rsidP="00265910">
      <w:pPr>
        <w:pStyle w:val="NormalWeb"/>
        <w:spacing w:line="360" w:lineRule="auto"/>
        <w:ind w:hanging="720"/>
        <w:jc w:val="both"/>
        <w:rPr>
          <w:rFonts w:ascii="Arial" w:hAnsi="Arial" w:cs="Arial"/>
        </w:rPr>
      </w:pPr>
      <w:bookmarkStart w:id="8" w:name="_Hlk149152037"/>
      <w:r w:rsidRPr="006F46DF">
        <w:rPr>
          <w:rFonts w:ascii="Arial" w:hAnsi="Arial" w:cs="Arial"/>
        </w:rPr>
        <w:t xml:space="preserve">Milton, K. (2000) </w:t>
      </w:r>
      <w:bookmarkEnd w:id="8"/>
      <w:r w:rsidRPr="006F46DF">
        <w:rPr>
          <w:rFonts w:ascii="Arial" w:hAnsi="Arial" w:cs="Arial"/>
        </w:rPr>
        <w:t xml:space="preserve">‘Hunter-gatherer diets—a different perspective’, </w:t>
      </w:r>
      <w:r w:rsidRPr="006F46DF">
        <w:rPr>
          <w:rFonts w:ascii="Arial" w:hAnsi="Arial" w:cs="Arial"/>
          <w:i/>
          <w:iCs/>
        </w:rPr>
        <w:t>The American Journal of Clinical Nutrition</w:t>
      </w:r>
      <w:r w:rsidRPr="006F46DF">
        <w:rPr>
          <w:rFonts w:ascii="Arial" w:hAnsi="Arial" w:cs="Arial"/>
        </w:rPr>
        <w:t>, 71(3), pp. 665–667. doi:10.1093/</w:t>
      </w:r>
      <w:proofErr w:type="spellStart"/>
      <w:r w:rsidRPr="006F46DF">
        <w:rPr>
          <w:rFonts w:ascii="Arial" w:hAnsi="Arial" w:cs="Arial"/>
        </w:rPr>
        <w:t>ajcn</w:t>
      </w:r>
      <w:proofErr w:type="spellEnd"/>
      <w:r w:rsidRPr="006F46DF">
        <w:rPr>
          <w:rFonts w:ascii="Arial" w:hAnsi="Arial" w:cs="Arial"/>
        </w:rPr>
        <w:t xml:space="preserve">/71.3.665. </w:t>
      </w:r>
    </w:p>
    <w:p w14:paraId="60BD92A9" w14:textId="77777777" w:rsidR="005C2D69" w:rsidRPr="005C2D69" w:rsidRDefault="005C2D69" w:rsidP="00265910">
      <w:pPr>
        <w:pStyle w:val="NormalWeb"/>
        <w:spacing w:line="360" w:lineRule="auto"/>
        <w:ind w:left="567" w:hanging="720"/>
        <w:jc w:val="both"/>
        <w:rPr>
          <w:rFonts w:ascii="Arial" w:hAnsi="Arial" w:cs="Arial"/>
        </w:rPr>
      </w:pPr>
      <w:r w:rsidRPr="005C2D69">
        <w:rPr>
          <w:rFonts w:ascii="Arial" w:hAnsi="Arial" w:cs="Arial"/>
        </w:rPr>
        <w:t xml:space="preserve">Pretty, J., Angus, C., Bain, M., Barton, J., Gladwell, V., </w:t>
      </w:r>
      <w:bookmarkStart w:id="9" w:name="_Hlk149151234"/>
      <w:r w:rsidRPr="005C2D69">
        <w:rPr>
          <w:rFonts w:ascii="Arial" w:hAnsi="Arial" w:cs="Arial"/>
        </w:rPr>
        <w:t>Hine, R. and Sellens, M., 2009</w:t>
      </w:r>
      <w:bookmarkEnd w:id="9"/>
      <w:r w:rsidRPr="005C2D69">
        <w:rPr>
          <w:rFonts w:ascii="Arial" w:hAnsi="Arial" w:cs="Arial"/>
        </w:rPr>
        <w:t xml:space="preserve">. Nature, childhood, </w:t>
      </w:r>
      <w:proofErr w:type="gramStart"/>
      <w:r w:rsidRPr="005C2D69">
        <w:rPr>
          <w:rFonts w:ascii="Arial" w:hAnsi="Arial" w:cs="Arial"/>
        </w:rPr>
        <w:t>health</w:t>
      </w:r>
      <w:proofErr w:type="gramEnd"/>
      <w:r w:rsidRPr="005C2D69">
        <w:rPr>
          <w:rFonts w:ascii="Arial" w:hAnsi="Arial" w:cs="Arial"/>
        </w:rPr>
        <w:t xml:space="preserve"> and life pathways. </w:t>
      </w:r>
      <w:r w:rsidRPr="005C2D69">
        <w:rPr>
          <w:rFonts w:ascii="Arial" w:hAnsi="Arial" w:cs="Arial"/>
          <w:i/>
          <w:iCs/>
        </w:rPr>
        <w:t>Occasional Paper</w:t>
      </w:r>
      <w:r w:rsidRPr="005C2D69">
        <w:rPr>
          <w:rFonts w:ascii="Arial" w:hAnsi="Arial" w:cs="Arial"/>
        </w:rPr>
        <w:t>, </w:t>
      </w:r>
      <w:r w:rsidRPr="005C2D69">
        <w:rPr>
          <w:rFonts w:ascii="Arial" w:hAnsi="Arial" w:cs="Arial"/>
          <w:i/>
          <w:iCs/>
        </w:rPr>
        <w:t>2</w:t>
      </w:r>
      <w:r w:rsidRPr="005C2D69">
        <w:rPr>
          <w:rFonts w:ascii="Arial" w:hAnsi="Arial" w:cs="Arial"/>
        </w:rPr>
        <w:t>, pp.202009-2.</w:t>
      </w:r>
    </w:p>
    <w:p w14:paraId="63B04ED6" w14:textId="77777777" w:rsidR="005C2D69" w:rsidRPr="005C2D69" w:rsidRDefault="005C2D69" w:rsidP="00265910">
      <w:pPr>
        <w:pStyle w:val="NormalWeb"/>
        <w:spacing w:line="360" w:lineRule="auto"/>
        <w:ind w:left="567" w:hanging="720"/>
        <w:jc w:val="both"/>
        <w:rPr>
          <w:rFonts w:ascii="Arial" w:hAnsi="Arial" w:cs="Arial"/>
        </w:rPr>
      </w:pPr>
      <w:bookmarkStart w:id="10" w:name="_Hlk149150865"/>
      <w:r w:rsidRPr="005C2D69">
        <w:rPr>
          <w:rFonts w:ascii="Arial" w:hAnsi="Arial" w:cs="Arial"/>
        </w:rPr>
        <w:t xml:space="preserve">Srour, B. and </w:t>
      </w:r>
      <w:proofErr w:type="spellStart"/>
      <w:r w:rsidRPr="005C2D69">
        <w:rPr>
          <w:rFonts w:ascii="Arial" w:hAnsi="Arial" w:cs="Arial"/>
        </w:rPr>
        <w:t>Touvier</w:t>
      </w:r>
      <w:proofErr w:type="spellEnd"/>
      <w:r w:rsidRPr="005C2D69">
        <w:rPr>
          <w:rFonts w:ascii="Arial" w:hAnsi="Arial" w:cs="Arial"/>
        </w:rPr>
        <w:t xml:space="preserve">, M. (2021) </w:t>
      </w:r>
      <w:bookmarkEnd w:id="10"/>
      <w:r w:rsidRPr="005C2D69">
        <w:rPr>
          <w:rFonts w:ascii="Arial" w:hAnsi="Arial" w:cs="Arial"/>
        </w:rPr>
        <w:t xml:space="preserve">‘Ultra-processed foods and human health: What do we already know and what will further research tell us?’, </w:t>
      </w:r>
      <w:proofErr w:type="spellStart"/>
      <w:r w:rsidRPr="005C2D69">
        <w:rPr>
          <w:rFonts w:ascii="Arial" w:hAnsi="Arial" w:cs="Arial"/>
          <w:i/>
          <w:iCs/>
        </w:rPr>
        <w:t>EClinicalMedicine</w:t>
      </w:r>
      <w:proofErr w:type="spellEnd"/>
      <w:r w:rsidRPr="005C2D69">
        <w:rPr>
          <w:rFonts w:ascii="Arial" w:hAnsi="Arial" w:cs="Arial"/>
        </w:rPr>
        <w:t xml:space="preserve">, 32, p. 100747. </w:t>
      </w:r>
      <w:proofErr w:type="gramStart"/>
      <w:r w:rsidRPr="005C2D69">
        <w:rPr>
          <w:rFonts w:ascii="Arial" w:hAnsi="Arial" w:cs="Arial"/>
        </w:rPr>
        <w:t>doi:10.1016/j.eclinm</w:t>
      </w:r>
      <w:proofErr w:type="gramEnd"/>
      <w:r w:rsidRPr="005C2D69">
        <w:rPr>
          <w:rFonts w:ascii="Arial" w:hAnsi="Arial" w:cs="Arial"/>
        </w:rPr>
        <w:t xml:space="preserve">.2021.100747. </w:t>
      </w:r>
    </w:p>
    <w:p w14:paraId="7DCD41BA" w14:textId="77777777" w:rsidR="005C2D69" w:rsidRPr="005C2D69" w:rsidRDefault="005C2D69" w:rsidP="00265910">
      <w:pPr>
        <w:spacing w:line="360" w:lineRule="auto"/>
        <w:ind w:hanging="720"/>
        <w:jc w:val="both"/>
        <w:rPr>
          <w:rFonts w:ascii="Arial" w:hAnsi="Arial" w:cs="Arial"/>
          <w:color w:val="222222"/>
          <w:sz w:val="24"/>
          <w:szCs w:val="24"/>
          <w:shd w:val="clear" w:color="auto" w:fill="FFFFFF"/>
        </w:rPr>
      </w:pPr>
      <w:bookmarkStart w:id="11" w:name="_Hlk149135068"/>
      <w:r w:rsidRPr="005C2D69">
        <w:rPr>
          <w:rFonts w:ascii="Arial" w:hAnsi="Arial" w:cs="Arial"/>
          <w:color w:val="222222"/>
          <w:sz w:val="24"/>
          <w:szCs w:val="24"/>
          <w:shd w:val="clear" w:color="auto" w:fill="FFFFFF"/>
        </w:rPr>
        <w:t>Twenge, J.M., 2017</w:t>
      </w:r>
      <w:bookmarkEnd w:id="11"/>
      <w:r w:rsidRPr="005C2D69">
        <w:rPr>
          <w:rFonts w:ascii="Arial" w:hAnsi="Arial" w:cs="Arial"/>
          <w:color w:val="222222"/>
          <w:sz w:val="24"/>
          <w:szCs w:val="24"/>
          <w:shd w:val="clear" w:color="auto" w:fill="FFFFFF"/>
        </w:rPr>
        <w:t>. </w:t>
      </w:r>
      <w:proofErr w:type="spellStart"/>
      <w:r w:rsidRPr="005C2D69">
        <w:rPr>
          <w:rFonts w:ascii="Arial" w:hAnsi="Arial" w:cs="Arial"/>
          <w:i/>
          <w:iCs/>
          <w:color w:val="222222"/>
          <w:sz w:val="24"/>
          <w:szCs w:val="24"/>
          <w:shd w:val="clear" w:color="auto" w:fill="FFFFFF"/>
        </w:rPr>
        <w:t>iGen</w:t>
      </w:r>
      <w:proofErr w:type="spellEnd"/>
      <w:r w:rsidRPr="005C2D69">
        <w:rPr>
          <w:rFonts w:ascii="Arial" w:hAnsi="Arial" w:cs="Arial"/>
          <w:i/>
          <w:iCs/>
          <w:color w:val="222222"/>
          <w:sz w:val="24"/>
          <w:szCs w:val="24"/>
          <w:shd w:val="clear" w:color="auto" w:fill="FFFFFF"/>
        </w:rPr>
        <w:t>: Why today's super-connected kids are growing up less rebellious, more tolerant, less happy--and completely unprepared for adulthood--and what that means for the rest of us</w:t>
      </w:r>
      <w:r w:rsidRPr="005C2D69">
        <w:rPr>
          <w:rFonts w:ascii="Arial" w:hAnsi="Arial" w:cs="Arial"/>
          <w:color w:val="222222"/>
          <w:sz w:val="24"/>
          <w:szCs w:val="24"/>
          <w:shd w:val="clear" w:color="auto" w:fill="FFFFFF"/>
        </w:rPr>
        <w:t>. Simon and Schuster.</w:t>
      </w:r>
    </w:p>
    <w:p w14:paraId="465F828B" w14:textId="77777777" w:rsidR="005C2D69" w:rsidRPr="005C2D69" w:rsidRDefault="005C2D69" w:rsidP="00265910">
      <w:pPr>
        <w:pStyle w:val="NormalWeb"/>
        <w:spacing w:line="360" w:lineRule="auto"/>
        <w:ind w:left="567" w:hanging="720"/>
        <w:jc w:val="both"/>
        <w:rPr>
          <w:rFonts w:ascii="Arial" w:hAnsi="Arial" w:cs="Arial"/>
        </w:rPr>
      </w:pPr>
      <w:bookmarkStart w:id="12" w:name="_Hlk149134756"/>
      <w:bookmarkStart w:id="13" w:name="_Hlk149133091"/>
      <w:r w:rsidRPr="005C2D69">
        <w:rPr>
          <w:rFonts w:ascii="Arial" w:hAnsi="Arial" w:cs="Arial"/>
          <w:color w:val="222222"/>
          <w:shd w:val="clear" w:color="auto" w:fill="FFFFFF"/>
        </w:rPr>
        <w:t>Webb, L., 2013</w:t>
      </w:r>
      <w:bookmarkEnd w:id="12"/>
      <w:r w:rsidRPr="005C2D69">
        <w:rPr>
          <w:rFonts w:ascii="Arial" w:hAnsi="Arial" w:cs="Arial"/>
          <w:color w:val="222222"/>
          <w:shd w:val="clear" w:color="auto" w:fill="FFFFFF"/>
        </w:rPr>
        <w:t>. </w:t>
      </w:r>
      <w:bookmarkEnd w:id="13"/>
      <w:r w:rsidRPr="005C2D69">
        <w:rPr>
          <w:rFonts w:ascii="Arial" w:hAnsi="Arial" w:cs="Arial"/>
          <w:i/>
          <w:iCs/>
          <w:color w:val="222222"/>
          <w:shd w:val="clear" w:color="auto" w:fill="FFFFFF"/>
        </w:rPr>
        <w:t xml:space="preserve">Resilience: How to cope when everything around you </w:t>
      </w:r>
      <w:proofErr w:type="gramStart"/>
      <w:r w:rsidRPr="005C2D69">
        <w:rPr>
          <w:rFonts w:ascii="Arial" w:hAnsi="Arial" w:cs="Arial"/>
          <w:i/>
          <w:iCs/>
          <w:color w:val="222222"/>
          <w:shd w:val="clear" w:color="auto" w:fill="FFFFFF"/>
        </w:rPr>
        <w:t>keeps</w:t>
      </w:r>
      <w:proofErr w:type="gramEnd"/>
      <w:r w:rsidRPr="005C2D69">
        <w:rPr>
          <w:rFonts w:ascii="Arial" w:hAnsi="Arial" w:cs="Arial"/>
          <w:i/>
          <w:iCs/>
          <w:color w:val="222222"/>
          <w:shd w:val="clear" w:color="auto" w:fill="FFFFFF"/>
        </w:rPr>
        <w:t xml:space="preserve"> changing</w:t>
      </w:r>
      <w:r w:rsidRPr="005C2D69">
        <w:rPr>
          <w:rFonts w:ascii="Arial" w:hAnsi="Arial" w:cs="Arial"/>
          <w:color w:val="222222"/>
          <w:shd w:val="clear" w:color="auto" w:fill="FFFFFF"/>
        </w:rPr>
        <w:t>. John Wiley &amp; Sons.</w:t>
      </w:r>
    </w:p>
    <w:p w14:paraId="5261F3D9" w14:textId="77777777" w:rsidR="003D0A6A" w:rsidRDefault="003D0A6A" w:rsidP="00265910">
      <w:pPr>
        <w:pStyle w:val="NormalWeb"/>
        <w:ind w:left="567" w:hanging="720"/>
        <w:jc w:val="both"/>
      </w:pPr>
    </w:p>
    <w:p w14:paraId="6DA1406E" w14:textId="77777777" w:rsidR="00872810" w:rsidRDefault="00872810" w:rsidP="00265910">
      <w:pPr>
        <w:ind w:hanging="720"/>
        <w:jc w:val="both"/>
        <w:rPr>
          <w:rFonts w:ascii="Arial" w:hAnsi="Arial" w:cs="Arial"/>
          <w:b/>
          <w:bCs/>
          <w:sz w:val="24"/>
          <w:szCs w:val="24"/>
        </w:rPr>
      </w:pPr>
    </w:p>
    <w:p w14:paraId="02F31E52" w14:textId="77777777" w:rsidR="00E04AED" w:rsidRDefault="00E04AED" w:rsidP="00265910">
      <w:pPr>
        <w:ind w:hanging="720"/>
        <w:jc w:val="both"/>
        <w:rPr>
          <w:rFonts w:ascii="Arial" w:hAnsi="Arial" w:cs="Arial"/>
          <w:b/>
          <w:bCs/>
          <w:sz w:val="24"/>
          <w:szCs w:val="24"/>
        </w:rPr>
      </w:pPr>
    </w:p>
    <w:p w14:paraId="586B3D42" w14:textId="77777777" w:rsidR="00E04AED" w:rsidRPr="00E04AED" w:rsidRDefault="00E04AED" w:rsidP="00265910">
      <w:pPr>
        <w:ind w:hanging="720"/>
        <w:jc w:val="both"/>
        <w:rPr>
          <w:rFonts w:ascii="Arial" w:hAnsi="Arial" w:cs="Arial"/>
          <w:b/>
          <w:bCs/>
          <w:sz w:val="24"/>
          <w:szCs w:val="24"/>
        </w:rPr>
      </w:pPr>
    </w:p>
    <w:sectPr w:rsidR="00E04AED" w:rsidRPr="00E04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21CC"/>
    <w:multiLevelType w:val="hybridMultilevel"/>
    <w:tmpl w:val="845E8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32281B"/>
    <w:multiLevelType w:val="hybridMultilevel"/>
    <w:tmpl w:val="89D0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C51F8"/>
    <w:multiLevelType w:val="hybridMultilevel"/>
    <w:tmpl w:val="D7C2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465D0"/>
    <w:multiLevelType w:val="multilevel"/>
    <w:tmpl w:val="73AAA7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DB4325"/>
    <w:multiLevelType w:val="multilevel"/>
    <w:tmpl w:val="6E784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BD162E"/>
    <w:multiLevelType w:val="multilevel"/>
    <w:tmpl w:val="4BA684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E006B"/>
    <w:multiLevelType w:val="multilevel"/>
    <w:tmpl w:val="79EA9472"/>
    <w:lvl w:ilvl="0">
      <w:start w:val="5"/>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7" w15:restartNumberingAfterBreak="0">
    <w:nsid w:val="4C5D5579"/>
    <w:multiLevelType w:val="hybridMultilevel"/>
    <w:tmpl w:val="7308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E71E3C"/>
    <w:multiLevelType w:val="multilevel"/>
    <w:tmpl w:val="121C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034B98"/>
    <w:multiLevelType w:val="multilevel"/>
    <w:tmpl w:val="9BDE11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232DA"/>
    <w:multiLevelType w:val="multilevel"/>
    <w:tmpl w:val="008E7F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7331718">
    <w:abstractNumId w:val="8"/>
  </w:num>
  <w:num w:numId="2" w16cid:durableId="508788635">
    <w:abstractNumId w:val="9"/>
  </w:num>
  <w:num w:numId="3" w16cid:durableId="2029141850">
    <w:abstractNumId w:val="3"/>
  </w:num>
  <w:num w:numId="4" w16cid:durableId="355235895">
    <w:abstractNumId w:val="5"/>
  </w:num>
  <w:num w:numId="5" w16cid:durableId="996767313">
    <w:abstractNumId w:val="6"/>
  </w:num>
  <w:num w:numId="6" w16cid:durableId="1288665302">
    <w:abstractNumId w:val="10"/>
  </w:num>
  <w:num w:numId="7" w16cid:durableId="924385640">
    <w:abstractNumId w:val="2"/>
  </w:num>
  <w:num w:numId="8" w16cid:durableId="2117019642">
    <w:abstractNumId w:val="7"/>
  </w:num>
  <w:num w:numId="9" w16cid:durableId="1933272084">
    <w:abstractNumId w:val="4"/>
  </w:num>
  <w:num w:numId="10" w16cid:durableId="346566912">
    <w:abstractNumId w:val="1"/>
  </w:num>
  <w:num w:numId="11" w16cid:durableId="1994528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89"/>
    <w:rsid w:val="00053271"/>
    <w:rsid w:val="001963DB"/>
    <w:rsid w:val="001F3796"/>
    <w:rsid w:val="00265910"/>
    <w:rsid w:val="00335507"/>
    <w:rsid w:val="0036768F"/>
    <w:rsid w:val="003826BC"/>
    <w:rsid w:val="003D0A6A"/>
    <w:rsid w:val="00483A74"/>
    <w:rsid w:val="004B6189"/>
    <w:rsid w:val="004B75CE"/>
    <w:rsid w:val="004E02F2"/>
    <w:rsid w:val="004E38CE"/>
    <w:rsid w:val="00502FF8"/>
    <w:rsid w:val="00530530"/>
    <w:rsid w:val="00533A4C"/>
    <w:rsid w:val="00567439"/>
    <w:rsid w:val="005B1837"/>
    <w:rsid w:val="005B77A4"/>
    <w:rsid w:val="005C2D69"/>
    <w:rsid w:val="005F2893"/>
    <w:rsid w:val="006173B5"/>
    <w:rsid w:val="006C0D8D"/>
    <w:rsid w:val="006C5924"/>
    <w:rsid w:val="006F46DF"/>
    <w:rsid w:val="00733828"/>
    <w:rsid w:val="00765AEF"/>
    <w:rsid w:val="00804DEC"/>
    <w:rsid w:val="00805C6D"/>
    <w:rsid w:val="00872810"/>
    <w:rsid w:val="008A4093"/>
    <w:rsid w:val="008D1CE4"/>
    <w:rsid w:val="00A254A8"/>
    <w:rsid w:val="00A357CC"/>
    <w:rsid w:val="00A35B11"/>
    <w:rsid w:val="00AB1487"/>
    <w:rsid w:val="00B216D0"/>
    <w:rsid w:val="00B301FE"/>
    <w:rsid w:val="00BF53C9"/>
    <w:rsid w:val="00C41591"/>
    <w:rsid w:val="00CA34EF"/>
    <w:rsid w:val="00CB00DA"/>
    <w:rsid w:val="00CD0038"/>
    <w:rsid w:val="00D17D1A"/>
    <w:rsid w:val="00D43EDA"/>
    <w:rsid w:val="00E04AED"/>
    <w:rsid w:val="00E35A62"/>
    <w:rsid w:val="00E91CB9"/>
    <w:rsid w:val="00F12D8C"/>
    <w:rsid w:val="00F1472B"/>
    <w:rsid w:val="00F255D8"/>
    <w:rsid w:val="00F73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01A5"/>
  <w15:chartTrackingRefBased/>
  <w15:docId w15:val="{818D6969-DA32-4117-893C-A5B684F9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5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893"/>
    <w:pPr>
      <w:ind w:left="720"/>
      <w:contextualSpacing/>
    </w:pPr>
  </w:style>
  <w:style w:type="table" w:styleId="TableGrid">
    <w:name w:val="Table Grid"/>
    <w:basedOn w:val="TableNormal"/>
    <w:uiPriority w:val="39"/>
    <w:rsid w:val="00E35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532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5935">
      <w:bodyDiv w:val="1"/>
      <w:marLeft w:val="0"/>
      <w:marRight w:val="0"/>
      <w:marTop w:val="0"/>
      <w:marBottom w:val="0"/>
      <w:divBdr>
        <w:top w:val="none" w:sz="0" w:space="0" w:color="auto"/>
        <w:left w:val="none" w:sz="0" w:space="0" w:color="auto"/>
        <w:bottom w:val="none" w:sz="0" w:space="0" w:color="auto"/>
        <w:right w:val="none" w:sz="0" w:space="0" w:color="auto"/>
      </w:divBdr>
    </w:div>
    <w:div w:id="472720376">
      <w:bodyDiv w:val="1"/>
      <w:marLeft w:val="0"/>
      <w:marRight w:val="0"/>
      <w:marTop w:val="0"/>
      <w:marBottom w:val="0"/>
      <w:divBdr>
        <w:top w:val="none" w:sz="0" w:space="0" w:color="auto"/>
        <w:left w:val="none" w:sz="0" w:space="0" w:color="auto"/>
        <w:bottom w:val="none" w:sz="0" w:space="0" w:color="auto"/>
        <w:right w:val="none" w:sz="0" w:space="0" w:color="auto"/>
      </w:divBdr>
    </w:div>
    <w:div w:id="522524671">
      <w:bodyDiv w:val="1"/>
      <w:marLeft w:val="0"/>
      <w:marRight w:val="0"/>
      <w:marTop w:val="0"/>
      <w:marBottom w:val="0"/>
      <w:divBdr>
        <w:top w:val="none" w:sz="0" w:space="0" w:color="auto"/>
        <w:left w:val="none" w:sz="0" w:space="0" w:color="auto"/>
        <w:bottom w:val="none" w:sz="0" w:space="0" w:color="auto"/>
        <w:right w:val="none" w:sz="0" w:space="0" w:color="auto"/>
      </w:divBdr>
    </w:div>
    <w:div w:id="637104352">
      <w:bodyDiv w:val="1"/>
      <w:marLeft w:val="0"/>
      <w:marRight w:val="0"/>
      <w:marTop w:val="0"/>
      <w:marBottom w:val="0"/>
      <w:divBdr>
        <w:top w:val="none" w:sz="0" w:space="0" w:color="auto"/>
        <w:left w:val="none" w:sz="0" w:space="0" w:color="auto"/>
        <w:bottom w:val="none" w:sz="0" w:space="0" w:color="auto"/>
        <w:right w:val="none" w:sz="0" w:space="0" w:color="auto"/>
      </w:divBdr>
    </w:div>
    <w:div w:id="1333416735">
      <w:bodyDiv w:val="1"/>
      <w:marLeft w:val="0"/>
      <w:marRight w:val="0"/>
      <w:marTop w:val="0"/>
      <w:marBottom w:val="0"/>
      <w:divBdr>
        <w:top w:val="none" w:sz="0" w:space="0" w:color="auto"/>
        <w:left w:val="none" w:sz="0" w:space="0" w:color="auto"/>
        <w:bottom w:val="none" w:sz="0" w:space="0" w:color="auto"/>
        <w:right w:val="none" w:sz="0" w:space="0" w:color="auto"/>
      </w:divBdr>
    </w:div>
    <w:div w:id="1532498495">
      <w:bodyDiv w:val="1"/>
      <w:marLeft w:val="0"/>
      <w:marRight w:val="0"/>
      <w:marTop w:val="0"/>
      <w:marBottom w:val="0"/>
      <w:divBdr>
        <w:top w:val="none" w:sz="0" w:space="0" w:color="auto"/>
        <w:left w:val="none" w:sz="0" w:space="0" w:color="auto"/>
        <w:bottom w:val="none" w:sz="0" w:space="0" w:color="auto"/>
        <w:right w:val="none" w:sz="0" w:space="0" w:color="auto"/>
      </w:divBdr>
    </w:div>
    <w:div w:id="1654917701">
      <w:bodyDiv w:val="1"/>
      <w:marLeft w:val="0"/>
      <w:marRight w:val="0"/>
      <w:marTop w:val="0"/>
      <w:marBottom w:val="0"/>
      <w:divBdr>
        <w:top w:val="none" w:sz="0" w:space="0" w:color="auto"/>
        <w:left w:val="none" w:sz="0" w:space="0" w:color="auto"/>
        <w:bottom w:val="none" w:sz="0" w:space="0" w:color="auto"/>
        <w:right w:val="none" w:sz="0" w:space="0" w:color="auto"/>
      </w:divBdr>
      <w:divsChild>
        <w:div w:id="1735541418">
          <w:marLeft w:val="0"/>
          <w:marRight w:val="0"/>
          <w:marTop w:val="0"/>
          <w:marBottom w:val="0"/>
          <w:divBdr>
            <w:top w:val="single" w:sz="2" w:space="0" w:color="auto"/>
            <w:left w:val="single" w:sz="2" w:space="0" w:color="auto"/>
            <w:bottom w:val="single" w:sz="6" w:space="0" w:color="auto"/>
            <w:right w:val="single" w:sz="2" w:space="0" w:color="auto"/>
          </w:divBdr>
          <w:divsChild>
            <w:div w:id="145056431">
              <w:marLeft w:val="0"/>
              <w:marRight w:val="0"/>
              <w:marTop w:val="100"/>
              <w:marBottom w:val="100"/>
              <w:divBdr>
                <w:top w:val="single" w:sz="2" w:space="0" w:color="D9D9E3"/>
                <w:left w:val="single" w:sz="2" w:space="0" w:color="D9D9E3"/>
                <w:bottom w:val="single" w:sz="2" w:space="0" w:color="D9D9E3"/>
                <w:right w:val="single" w:sz="2" w:space="0" w:color="D9D9E3"/>
              </w:divBdr>
              <w:divsChild>
                <w:div w:id="946471439">
                  <w:marLeft w:val="0"/>
                  <w:marRight w:val="0"/>
                  <w:marTop w:val="0"/>
                  <w:marBottom w:val="0"/>
                  <w:divBdr>
                    <w:top w:val="single" w:sz="2" w:space="0" w:color="D9D9E3"/>
                    <w:left w:val="single" w:sz="2" w:space="0" w:color="D9D9E3"/>
                    <w:bottom w:val="single" w:sz="2" w:space="0" w:color="D9D9E3"/>
                    <w:right w:val="single" w:sz="2" w:space="0" w:color="D9D9E3"/>
                  </w:divBdr>
                  <w:divsChild>
                    <w:div w:id="1058749836">
                      <w:marLeft w:val="0"/>
                      <w:marRight w:val="0"/>
                      <w:marTop w:val="0"/>
                      <w:marBottom w:val="0"/>
                      <w:divBdr>
                        <w:top w:val="single" w:sz="2" w:space="0" w:color="D9D9E3"/>
                        <w:left w:val="single" w:sz="2" w:space="0" w:color="D9D9E3"/>
                        <w:bottom w:val="single" w:sz="2" w:space="0" w:color="D9D9E3"/>
                        <w:right w:val="single" w:sz="2" w:space="0" w:color="D9D9E3"/>
                      </w:divBdr>
                      <w:divsChild>
                        <w:div w:id="886259488">
                          <w:marLeft w:val="0"/>
                          <w:marRight w:val="0"/>
                          <w:marTop w:val="0"/>
                          <w:marBottom w:val="0"/>
                          <w:divBdr>
                            <w:top w:val="single" w:sz="2" w:space="0" w:color="D9D9E3"/>
                            <w:left w:val="single" w:sz="2" w:space="0" w:color="D9D9E3"/>
                            <w:bottom w:val="single" w:sz="2" w:space="0" w:color="D9D9E3"/>
                            <w:right w:val="single" w:sz="2" w:space="0" w:color="D9D9E3"/>
                          </w:divBdr>
                          <w:divsChild>
                            <w:div w:id="1395084621">
                              <w:marLeft w:val="0"/>
                              <w:marRight w:val="0"/>
                              <w:marTop w:val="0"/>
                              <w:marBottom w:val="0"/>
                              <w:divBdr>
                                <w:top w:val="single" w:sz="2" w:space="0" w:color="D9D9E3"/>
                                <w:left w:val="single" w:sz="2" w:space="0" w:color="D9D9E3"/>
                                <w:bottom w:val="single" w:sz="2" w:space="0" w:color="D9D9E3"/>
                                <w:right w:val="single" w:sz="2" w:space="0" w:color="D9D9E3"/>
                              </w:divBdr>
                              <w:divsChild>
                                <w:div w:id="1646932154">
                                  <w:marLeft w:val="0"/>
                                  <w:marRight w:val="0"/>
                                  <w:marTop w:val="0"/>
                                  <w:marBottom w:val="0"/>
                                  <w:divBdr>
                                    <w:top w:val="single" w:sz="2" w:space="0" w:color="D9D9E3"/>
                                    <w:left w:val="single" w:sz="2" w:space="0" w:color="D9D9E3"/>
                                    <w:bottom w:val="single" w:sz="2" w:space="0" w:color="D9D9E3"/>
                                    <w:right w:val="single" w:sz="2" w:space="0" w:color="D9D9E3"/>
                                  </w:divBdr>
                                  <w:divsChild>
                                    <w:div w:id="954410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7613671">
          <w:marLeft w:val="0"/>
          <w:marRight w:val="0"/>
          <w:marTop w:val="0"/>
          <w:marBottom w:val="0"/>
          <w:divBdr>
            <w:top w:val="single" w:sz="2" w:space="0" w:color="auto"/>
            <w:left w:val="single" w:sz="2" w:space="0" w:color="auto"/>
            <w:bottom w:val="single" w:sz="6" w:space="0" w:color="auto"/>
            <w:right w:val="single" w:sz="2" w:space="0" w:color="auto"/>
          </w:divBdr>
          <w:divsChild>
            <w:div w:id="914826634">
              <w:marLeft w:val="0"/>
              <w:marRight w:val="0"/>
              <w:marTop w:val="100"/>
              <w:marBottom w:val="100"/>
              <w:divBdr>
                <w:top w:val="single" w:sz="2" w:space="0" w:color="D9D9E3"/>
                <w:left w:val="single" w:sz="2" w:space="0" w:color="D9D9E3"/>
                <w:bottom w:val="single" w:sz="2" w:space="0" w:color="D9D9E3"/>
                <w:right w:val="single" w:sz="2" w:space="0" w:color="D9D9E3"/>
              </w:divBdr>
              <w:divsChild>
                <w:div w:id="625044682">
                  <w:marLeft w:val="0"/>
                  <w:marRight w:val="0"/>
                  <w:marTop w:val="0"/>
                  <w:marBottom w:val="0"/>
                  <w:divBdr>
                    <w:top w:val="single" w:sz="2" w:space="0" w:color="D9D9E3"/>
                    <w:left w:val="single" w:sz="2" w:space="0" w:color="D9D9E3"/>
                    <w:bottom w:val="single" w:sz="2" w:space="0" w:color="D9D9E3"/>
                    <w:right w:val="single" w:sz="2" w:space="0" w:color="D9D9E3"/>
                  </w:divBdr>
                  <w:divsChild>
                    <w:div w:id="2030135993">
                      <w:marLeft w:val="0"/>
                      <w:marRight w:val="0"/>
                      <w:marTop w:val="0"/>
                      <w:marBottom w:val="0"/>
                      <w:divBdr>
                        <w:top w:val="single" w:sz="2" w:space="0" w:color="D9D9E3"/>
                        <w:left w:val="single" w:sz="2" w:space="0" w:color="D9D9E3"/>
                        <w:bottom w:val="single" w:sz="2" w:space="0" w:color="D9D9E3"/>
                        <w:right w:val="single" w:sz="2" w:space="0" w:color="D9D9E3"/>
                      </w:divBdr>
                      <w:divsChild>
                        <w:div w:id="616253792">
                          <w:marLeft w:val="0"/>
                          <w:marRight w:val="0"/>
                          <w:marTop w:val="0"/>
                          <w:marBottom w:val="0"/>
                          <w:divBdr>
                            <w:top w:val="single" w:sz="2" w:space="0" w:color="D9D9E3"/>
                            <w:left w:val="single" w:sz="2" w:space="0" w:color="D9D9E3"/>
                            <w:bottom w:val="single" w:sz="2" w:space="0" w:color="D9D9E3"/>
                            <w:right w:val="single" w:sz="2" w:space="0" w:color="D9D9E3"/>
                          </w:divBdr>
                          <w:divsChild>
                            <w:div w:id="83840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6937497">
                      <w:marLeft w:val="0"/>
                      <w:marRight w:val="0"/>
                      <w:marTop w:val="0"/>
                      <w:marBottom w:val="0"/>
                      <w:divBdr>
                        <w:top w:val="single" w:sz="2" w:space="0" w:color="D9D9E3"/>
                        <w:left w:val="single" w:sz="2" w:space="0" w:color="D9D9E3"/>
                        <w:bottom w:val="single" w:sz="2" w:space="0" w:color="D9D9E3"/>
                        <w:right w:val="single" w:sz="2" w:space="0" w:color="D9D9E3"/>
                      </w:divBdr>
                      <w:divsChild>
                        <w:div w:id="1990789182">
                          <w:marLeft w:val="0"/>
                          <w:marRight w:val="0"/>
                          <w:marTop w:val="0"/>
                          <w:marBottom w:val="0"/>
                          <w:divBdr>
                            <w:top w:val="single" w:sz="2" w:space="0" w:color="D9D9E3"/>
                            <w:left w:val="single" w:sz="2" w:space="0" w:color="D9D9E3"/>
                            <w:bottom w:val="single" w:sz="2" w:space="0" w:color="D9D9E3"/>
                            <w:right w:val="single" w:sz="2" w:space="0" w:color="D9D9E3"/>
                          </w:divBdr>
                          <w:divsChild>
                            <w:div w:id="1879930154">
                              <w:marLeft w:val="0"/>
                              <w:marRight w:val="0"/>
                              <w:marTop w:val="0"/>
                              <w:marBottom w:val="0"/>
                              <w:divBdr>
                                <w:top w:val="single" w:sz="2" w:space="0" w:color="D9D9E3"/>
                                <w:left w:val="single" w:sz="2" w:space="0" w:color="D9D9E3"/>
                                <w:bottom w:val="single" w:sz="2" w:space="0" w:color="D9D9E3"/>
                                <w:right w:val="single" w:sz="2" w:space="0" w:color="D9D9E3"/>
                              </w:divBdr>
                              <w:divsChild>
                                <w:div w:id="1224608775">
                                  <w:marLeft w:val="0"/>
                                  <w:marRight w:val="0"/>
                                  <w:marTop w:val="0"/>
                                  <w:marBottom w:val="0"/>
                                  <w:divBdr>
                                    <w:top w:val="single" w:sz="2" w:space="0" w:color="D9D9E3"/>
                                    <w:left w:val="single" w:sz="2" w:space="0" w:color="D9D9E3"/>
                                    <w:bottom w:val="single" w:sz="2" w:space="0" w:color="D9D9E3"/>
                                    <w:right w:val="single" w:sz="2" w:space="0" w:color="D9D9E3"/>
                                  </w:divBdr>
                                  <w:divsChild>
                                    <w:div w:id="1900705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1950</TotalTime>
  <Pages>6</Pages>
  <Words>1919</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32</cp:revision>
  <dcterms:created xsi:type="dcterms:W3CDTF">2023-10-20T14:30:00Z</dcterms:created>
  <dcterms:modified xsi:type="dcterms:W3CDTF">2023-10-26T14:54:00Z</dcterms:modified>
</cp:coreProperties>
</file>