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7D1DE4F">
      <w:pPr>
        <w:spacing w:after="0" w:line="480" w:lineRule="auto"/>
        <w:rPr>
          <w:rFonts w:ascii="Times New Roman" w:hAnsi="Times New Roman" w:cs="Times New Roman"/>
          <w:sz w:val="24"/>
          <w:szCs w:val="24"/>
        </w:rPr>
      </w:pPr>
    </w:p>
    <w:p w14:paraId="594A66F2">
      <w:pPr>
        <w:spacing w:after="0" w:line="480" w:lineRule="auto"/>
        <w:rPr>
          <w:rFonts w:ascii="Times New Roman" w:hAnsi="Times New Roman" w:cs="Times New Roman"/>
          <w:sz w:val="24"/>
          <w:szCs w:val="24"/>
        </w:rPr>
      </w:pPr>
    </w:p>
    <w:p w14:paraId="165C417C">
      <w:pPr>
        <w:spacing w:after="0" w:line="480" w:lineRule="auto"/>
        <w:rPr>
          <w:rFonts w:ascii="Times New Roman" w:hAnsi="Times New Roman" w:cs="Times New Roman"/>
          <w:sz w:val="24"/>
          <w:szCs w:val="24"/>
        </w:rPr>
      </w:pPr>
    </w:p>
    <w:p w14:paraId="6C48F747">
      <w:pPr>
        <w:spacing w:after="0" w:line="480" w:lineRule="auto"/>
        <w:rPr>
          <w:rFonts w:ascii="Times New Roman" w:hAnsi="Times New Roman" w:cs="Times New Roman"/>
          <w:sz w:val="24"/>
          <w:szCs w:val="24"/>
        </w:rPr>
      </w:pPr>
    </w:p>
    <w:p w14:paraId="464358B4">
      <w:pPr>
        <w:spacing w:after="0" w:line="480" w:lineRule="auto"/>
        <w:jc w:val="center"/>
        <w:rPr>
          <w:rFonts w:ascii="Times New Roman" w:hAnsi="Times New Roman" w:cs="Times New Roman"/>
          <w:b/>
          <w:bCs/>
          <w:sz w:val="28"/>
          <w:szCs w:val="28"/>
        </w:rPr>
      </w:pPr>
    </w:p>
    <w:p w14:paraId="20AEB940">
      <w:pPr>
        <w:spacing w:after="0" w:line="48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Programme: BA Leadership and Management</w:t>
      </w:r>
    </w:p>
    <w:p w14:paraId="79CB9CB6">
      <w:pPr>
        <w:spacing w:after="0" w:line="48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Module: BMSW Coaching and Mentoring Skills for the Workplace</w:t>
      </w:r>
    </w:p>
    <w:p w14:paraId="0D6E4506">
      <w:pPr>
        <w:spacing w:after="0" w:line="48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Task 3: Individual Report</w:t>
      </w:r>
    </w:p>
    <w:p w14:paraId="250AE261">
      <w:pPr>
        <w:spacing w:after="0" w:line="48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 xml:space="preserve">Name: Natalia Cojocaru </w:t>
      </w:r>
    </w:p>
    <w:p w14:paraId="0270D316">
      <w:pPr>
        <w:spacing w:after="0" w:line="48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 xml:space="preserve"> Student ID: 2119063</w:t>
      </w:r>
    </w:p>
    <w:p w14:paraId="54CE2181">
      <w:pPr>
        <w:spacing w:after="0" w:line="48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Lecturer’s name: Dr Mudassar Hasan</w:t>
      </w:r>
    </w:p>
    <w:p w14:paraId="74F7F4CB">
      <w:pPr>
        <w:spacing w:after="0" w:line="480" w:lineRule="auto"/>
        <w:jc w:val="center"/>
        <w:rPr>
          <w:rFonts w:hint="default" w:ascii="Times New Roman" w:hAnsi="Times New Roman" w:cs="Times New Roman"/>
          <w:sz w:val="28"/>
          <w:szCs w:val="28"/>
          <w:lang w:val="en-GB"/>
        </w:rPr>
      </w:pPr>
    </w:p>
    <w:p w14:paraId="752BA69B">
      <w:pPr>
        <w:spacing w:after="0" w:line="480" w:lineRule="auto"/>
        <w:jc w:val="center"/>
        <w:rPr>
          <w:rFonts w:ascii="Times New Roman" w:hAnsi="Times New Roman" w:cs="Times New Roman"/>
          <w:sz w:val="24"/>
          <w:szCs w:val="24"/>
        </w:rPr>
      </w:pPr>
    </w:p>
    <w:p w14:paraId="6A058724">
      <w:pPr>
        <w:spacing w:after="0" w:line="480" w:lineRule="auto"/>
        <w:jc w:val="center"/>
        <w:rPr>
          <w:rFonts w:ascii="Times New Roman" w:hAnsi="Times New Roman" w:cs="Times New Roman"/>
          <w:b/>
          <w:i/>
          <w:sz w:val="24"/>
          <w:szCs w:val="24"/>
        </w:rPr>
      </w:pPr>
      <w:r>
        <w:rPr>
          <w:rFonts w:ascii="Times New Roman" w:hAnsi="Times New Roman" w:cs="Times New Roman"/>
          <w:b/>
          <w:sz w:val="24"/>
          <w:szCs w:val="24"/>
        </w:rPr>
        <w:br w:type="page"/>
      </w:r>
    </w:p>
    <w:sdt>
      <w:sdtPr>
        <w:rPr>
          <w:rFonts w:ascii="Times New Roman" w:hAnsi="Times New Roman" w:cs="Times New Roman" w:eastAsiaTheme="minorHAnsi"/>
          <w:color w:val="auto"/>
          <w:sz w:val="24"/>
          <w:szCs w:val="24"/>
        </w:rPr>
        <w:id w:val="-95947529"/>
        <w:docPartObj>
          <w:docPartGallery w:val="Table of Contents"/>
          <w:docPartUnique/>
        </w:docPartObj>
      </w:sdtPr>
      <w:sdtEndPr>
        <w:rPr>
          <w:rFonts w:ascii="Times New Roman" w:hAnsi="Times New Roman" w:cs="Times New Roman" w:eastAsiaTheme="minorHAnsi"/>
          <w:b/>
          <w:bCs/>
          <w:color w:val="auto"/>
          <w:sz w:val="24"/>
          <w:szCs w:val="24"/>
        </w:rPr>
      </w:sdtEndPr>
      <w:sdtContent>
        <w:p w14:paraId="711E6770">
          <w:pPr>
            <w:pStyle w:val="17"/>
            <w:spacing w:before="0" w:line="360" w:lineRule="auto"/>
            <w:jc w:val="center"/>
            <w:rPr>
              <w:rFonts w:ascii="Times New Roman" w:hAnsi="Times New Roman" w:cs="Times New Roman"/>
              <w:b/>
              <w:color w:val="000000" w:themeColor="text1"/>
              <w:sz w:val="28"/>
              <w:szCs w:val="28"/>
              <w14:textFill>
                <w14:solidFill>
                  <w14:schemeClr w14:val="tx1"/>
                </w14:solidFill>
              </w14:textFill>
            </w:rPr>
          </w:pPr>
          <w:r>
            <w:rPr>
              <w:rFonts w:ascii="Times New Roman" w:hAnsi="Times New Roman" w:cs="Times New Roman"/>
              <w:b/>
              <w:color w:val="000000" w:themeColor="text1"/>
              <w:sz w:val="28"/>
              <w:szCs w:val="28"/>
              <w14:textFill>
                <w14:solidFill>
                  <w14:schemeClr w14:val="tx1"/>
                </w14:solidFill>
              </w14:textFill>
            </w:rPr>
            <w:t>Table of Contents</w:t>
          </w:r>
        </w:p>
        <w:p w14:paraId="63CCB21D">
          <w:pPr>
            <w:rPr>
              <w:rFonts w:ascii="Times New Roman" w:hAnsi="Times New Roman" w:cs="Times New Roman"/>
              <w:b/>
              <w:color w:val="000000" w:themeColor="text1"/>
              <w:sz w:val="24"/>
              <w:szCs w:val="24"/>
              <w14:textFill>
                <w14:solidFill>
                  <w14:schemeClr w14:val="tx1"/>
                </w14:solidFill>
              </w14:textFill>
            </w:rPr>
          </w:pPr>
        </w:p>
        <w:p w14:paraId="36731B17">
          <w:pPr>
            <w:spacing w:after="0" w:line="360" w:lineRule="auto"/>
            <w:rPr>
              <w:rFonts w:ascii="Times New Roman" w:hAnsi="Times New Roman" w:cs="Times New Roman"/>
              <w:b/>
              <w:color w:val="000000" w:themeColor="text1"/>
              <w:sz w:val="24"/>
              <w:szCs w:val="24"/>
              <w14:textFill>
                <w14:solidFill>
                  <w14:schemeClr w14:val="tx1"/>
                </w14:solidFill>
              </w14:textFill>
            </w:rPr>
          </w:pPr>
        </w:p>
        <w:p w14:paraId="00B7C49B">
          <w:pPr>
            <w:pStyle w:val="10"/>
            <w:tabs>
              <w:tab w:val="right" w:leader="dot" w:pos="9350"/>
            </w:tabs>
            <w:rPr>
              <w:rFonts w:ascii="Times New Roman" w:hAnsi="Times New Roman" w:cs="Times New Roman" w:eastAsiaTheme="minorEastAsia"/>
              <w:sz w:val="24"/>
              <w:szCs w:val="24"/>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"_Toc180757122" </w:instrText>
          </w:r>
          <w:r>
            <w:fldChar w:fldCharType="separate"/>
          </w:r>
          <w:r>
            <w:rPr>
              <w:rStyle w:val="9"/>
              <w:rFonts w:ascii="Times New Roman" w:hAnsi="Times New Roman" w:cs="Times New Roman"/>
              <w:sz w:val="24"/>
              <w:szCs w:val="24"/>
            </w:rPr>
            <w:t>Task 3 Reflective Report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_Toc180757122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4FE1127">
          <w:pPr>
            <w:pStyle w:val="11"/>
            <w:tabs>
              <w:tab w:val="right" w:leader="dot" w:pos="9350"/>
            </w:tabs>
            <w:rPr>
              <w:rFonts w:ascii="Times New Roman" w:hAnsi="Times New Roman" w:cs="Times New Roman" w:eastAsiaTheme="minorEastAsia"/>
              <w:sz w:val="24"/>
              <w:szCs w:val="24"/>
            </w:rPr>
          </w:pPr>
          <w:r>
            <w:fldChar w:fldCharType="begin"/>
          </w:r>
          <w:r>
            <w:instrText xml:space="preserve"> HYPERLINK \l "_Toc180757123" </w:instrText>
          </w:r>
          <w:r>
            <w:fldChar w:fldCharType="separate"/>
          </w:r>
          <w:r>
            <w:rPr>
              <w:rStyle w:val="9"/>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1E4CA67">
          <w:pPr>
            <w:pStyle w:val="11"/>
            <w:tabs>
              <w:tab w:val="right" w:leader="dot" w:pos="9350"/>
            </w:tabs>
            <w:rPr>
              <w:rFonts w:ascii="Times New Roman" w:hAnsi="Times New Roman" w:cs="Times New Roman" w:eastAsiaTheme="minorEastAsia"/>
              <w:sz w:val="24"/>
              <w:szCs w:val="24"/>
            </w:rPr>
          </w:pPr>
          <w:r>
            <w:fldChar w:fldCharType="begin"/>
          </w:r>
          <w:r>
            <w:instrText xml:space="preserve"> HYPERLINK \l "_Toc180757124" </w:instrText>
          </w:r>
          <w:r>
            <w:fldChar w:fldCharType="separate"/>
          </w:r>
          <w:r>
            <w:rPr>
              <w:rStyle w:val="9"/>
              <w:rFonts w:ascii="Times New Roman" w:hAnsi="Times New Roman" w:cs="Times New Roman"/>
              <w:sz w:val="24"/>
              <w:szCs w:val="24"/>
            </w:rPr>
            <w:t>Critical Evaluation of the Purpose of Coaching and Mentoring Within a Workplace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_Toc180757124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135B078">
          <w:pPr>
            <w:pStyle w:val="11"/>
            <w:tabs>
              <w:tab w:val="right" w:leader="dot" w:pos="9350"/>
            </w:tabs>
            <w:rPr>
              <w:rFonts w:ascii="Times New Roman" w:hAnsi="Times New Roman" w:cs="Times New Roman" w:eastAsiaTheme="minorEastAsia"/>
              <w:sz w:val="24"/>
              <w:szCs w:val="24"/>
            </w:rPr>
          </w:pPr>
          <w:r>
            <w:fldChar w:fldCharType="begin"/>
          </w:r>
          <w:r>
            <w:instrText xml:space="preserve"> HYPERLINK \l "_Toc180757125" </w:instrText>
          </w:r>
          <w:r>
            <w:fldChar w:fldCharType="separate"/>
          </w:r>
          <w:r>
            <w:rPr>
              <w:rStyle w:val="9"/>
              <w:rFonts w:ascii="Times New Roman" w:hAnsi="Times New Roman" w:cs="Times New Roman"/>
              <w:sz w:val="24"/>
              <w:szCs w:val="24"/>
            </w:rPr>
            <w:t>Critical Analysis of a Specific Model of Coaching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_Toc180757125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3BF9BB4">
          <w:pPr>
            <w:pStyle w:val="11"/>
            <w:tabs>
              <w:tab w:val="right" w:leader="dot" w:pos="9350"/>
            </w:tabs>
            <w:rPr>
              <w:rFonts w:ascii="Times New Roman" w:hAnsi="Times New Roman" w:cs="Times New Roman" w:eastAsiaTheme="minorEastAsia"/>
              <w:sz w:val="24"/>
              <w:szCs w:val="24"/>
            </w:rPr>
          </w:pPr>
          <w:r>
            <w:fldChar w:fldCharType="begin"/>
          </w:r>
          <w:r>
            <w:instrText xml:space="preserve"> HYPERLINK \l "_Toc180757126" </w:instrText>
          </w:r>
          <w:r>
            <w:fldChar w:fldCharType="separate"/>
          </w:r>
          <w:r>
            <w:rPr>
              <w:rStyle w:val="9"/>
              <w:rFonts w:ascii="Times New Roman" w:hAnsi="Times New Roman" w:cs="Times New Roman"/>
              <w:sz w:val="24"/>
              <w:szCs w:val="24"/>
            </w:rPr>
            <w:t>Reflection on Practical 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8C4ED08">
          <w:pPr>
            <w:pStyle w:val="11"/>
            <w:tabs>
              <w:tab w:val="right" w:leader="dot" w:pos="9350"/>
            </w:tabs>
            <w:rPr>
              <w:rFonts w:ascii="Times New Roman" w:hAnsi="Times New Roman" w:cs="Times New Roman" w:eastAsiaTheme="minorEastAsia"/>
              <w:sz w:val="24"/>
              <w:szCs w:val="24"/>
            </w:rPr>
          </w:pPr>
          <w:r>
            <w:fldChar w:fldCharType="begin"/>
          </w:r>
          <w:r>
            <w:instrText xml:space="preserve"> HYPERLINK \l "_Toc180757127" </w:instrText>
          </w:r>
          <w:r>
            <w:fldChar w:fldCharType="separate"/>
          </w:r>
          <w:r>
            <w:rPr>
              <w:rStyle w:val="9"/>
              <w:rFonts w:ascii="Times New Roman" w:hAnsi="Times New Roman" w:cs="Times New Roman"/>
              <w:sz w:val="24"/>
              <w:szCs w:val="24"/>
            </w:rPr>
            <w:t>Reflection on Practical 2</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_Toc180757127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5C62A6C">
          <w:pPr>
            <w:pStyle w:val="11"/>
            <w:tabs>
              <w:tab w:val="right" w:leader="dot" w:pos="9350"/>
            </w:tabs>
            <w:rPr>
              <w:rFonts w:ascii="Times New Roman" w:hAnsi="Times New Roman" w:cs="Times New Roman" w:eastAsiaTheme="minorEastAsia"/>
              <w:sz w:val="24"/>
              <w:szCs w:val="24"/>
            </w:rPr>
          </w:pPr>
          <w:r>
            <w:fldChar w:fldCharType="begin"/>
          </w:r>
          <w:r>
            <w:instrText xml:space="preserve"> HYPERLINK \l "_Toc180757128" </w:instrText>
          </w:r>
          <w:r>
            <w:fldChar w:fldCharType="separate"/>
          </w:r>
          <w:r>
            <w:rPr>
              <w:rStyle w:val="9"/>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_Toc180757128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E565C01">
          <w:pPr>
            <w:pStyle w:val="10"/>
            <w:tabs>
              <w:tab w:val="right" w:leader="dot" w:pos="9350"/>
            </w:tabs>
            <w:rPr>
              <w:rFonts w:ascii="Times New Roman" w:hAnsi="Times New Roman" w:cs="Times New Roman" w:eastAsiaTheme="minorEastAsia"/>
              <w:sz w:val="24"/>
              <w:szCs w:val="24"/>
            </w:rPr>
          </w:pPr>
          <w:r>
            <w:fldChar w:fldCharType="begin"/>
          </w:r>
          <w:r>
            <w:instrText xml:space="preserve"> HYPERLINK \l "_Toc180757129" </w:instrText>
          </w:r>
          <w:r>
            <w:fldChar w:fldCharType="separate"/>
          </w:r>
          <w:r>
            <w:rPr>
              <w:rStyle w:val="9"/>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_Toc180757129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F34256E">
          <w:pPr>
            <w:spacing w:after="0" w:line="360" w:lineRule="auto"/>
            <w:rPr>
              <w:rFonts w:ascii="Times New Roman" w:hAnsi="Times New Roman" w:cs="Times New Roman"/>
              <w:sz w:val="24"/>
              <w:szCs w:val="24"/>
            </w:rPr>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14:paraId="3E8CEA17">
      <w:pPr>
        <w:spacing w:after="0" w:line="480" w:lineRule="auto"/>
        <w:rPr>
          <w:rFonts w:ascii="Times New Roman" w:hAnsi="Times New Roman" w:cs="Times New Roman"/>
          <w:b/>
          <w:i/>
          <w:sz w:val="24"/>
          <w:szCs w:val="24"/>
        </w:rPr>
      </w:pPr>
      <w:r>
        <w:rPr>
          <w:rFonts w:ascii="Times New Roman" w:hAnsi="Times New Roman" w:cs="Times New Roman"/>
          <w:sz w:val="24"/>
          <w:szCs w:val="24"/>
        </w:rPr>
        <w:br w:type="page"/>
      </w:r>
    </w:p>
    <w:p w14:paraId="2162B2E1">
      <w:pPr>
        <w:pStyle w:val="2"/>
      </w:pPr>
      <w:bookmarkStart w:id="0" w:name="_Toc180757122"/>
      <w:r>
        <w:t>Task 3 Reflective Report</w:t>
      </w:r>
      <w:bookmarkEnd w:id="0"/>
    </w:p>
    <w:p w14:paraId="62752AA4">
      <w:pPr>
        <w:pStyle w:val="3"/>
        <w:jc w:val="center"/>
      </w:pPr>
      <w:bookmarkStart w:id="1" w:name="_Toc180757123"/>
      <w:bookmarkStart w:id="8" w:name="_GoBack"/>
      <w:bookmarkEnd w:id="8"/>
      <w:r>
        <w:t>Introduction</w:t>
      </w:r>
      <w:bookmarkEnd w:id="1"/>
    </w:p>
    <w:p w14:paraId="5D8C275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this reflective report, I aim to present my personal reflections on the two practical sessions we undertook as a group, focusing on coaching and mentoring. The first session focused on identifying goals, while the second session was centered around creating a motivational plan (Lumbanraja et al., 2024). This report reflects on these sessions using Gibbs' Reflective Cycle (1988), which I have selected as my model for reflection. Gibbs’ Cycle consists of six stages: description, feelings, evaluation, analysis, conclusion, and action plan. I will apply this model to reflect on my personal experiences and our collective efforts during these activities.</w:t>
      </w:r>
    </w:p>
    <w:p w14:paraId="4DABA3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both sessions, I was able to experience firsthand the differences between coaching and mentoring. Coaching, as I learne</w:t>
      </w:r>
      <w:r>
        <w:rPr>
          <w:rFonts w:hint="default" w:ascii="Times New Roman" w:hAnsi="Times New Roman" w:cs="Times New Roman"/>
          <w:sz w:val="24"/>
          <w:szCs w:val="24"/>
          <w:lang w:val="en-GB"/>
        </w:rPr>
        <w:t>d</w:t>
      </w:r>
      <w:r>
        <w:rPr>
          <w:rFonts w:ascii="Times New Roman" w:hAnsi="Times New Roman" w:cs="Times New Roman"/>
          <w:sz w:val="24"/>
          <w:szCs w:val="24"/>
        </w:rPr>
        <w:t>, is a more structured, short-term relationship where the focus is on improving specific performance or behavio</w:t>
      </w:r>
      <w:r>
        <w:rPr>
          <w:rFonts w:hint="default" w:ascii="Times New Roman" w:hAnsi="Times New Roman" w:cs="Times New Roman"/>
          <w:sz w:val="24"/>
          <w:szCs w:val="24"/>
          <w:lang w:val="en-GB"/>
        </w:rPr>
        <w:t>u</w:t>
      </w:r>
      <w:r>
        <w:rPr>
          <w:rFonts w:ascii="Times New Roman" w:hAnsi="Times New Roman" w:cs="Times New Roman"/>
          <w:sz w:val="24"/>
          <w:szCs w:val="24"/>
        </w:rPr>
        <w:t>r. In contrast, mentoring is more long-term and focuses on personal and professional development over time (Lowes, 2020). I personally felt that coaching helped me refine my skills for immediate tasks, while mentoring offered me a deeper, more comprehensive learning experience. The key to both is understanding their purpose and the roles we, as coachees or mentees, must play in our development.</w:t>
      </w:r>
    </w:p>
    <w:p w14:paraId="7AA037A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Through the sessions, I also reali</w:t>
      </w:r>
      <w:r>
        <w:rPr>
          <w:rFonts w:hint="default" w:ascii="Times New Roman" w:hAnsi="Times New Roman" w:cs="Times New Roman"/>
          <w:sz w:val="24"/>
          <w:szCs w:val="24"/>
          <w:lang w:val="en-GB"/>
        </w:rPr>
        <w:t>s</w:t>
      </w:r>
      <w:r>
        <w:rPr>
          <w:rFonts w:ascii="Times New Roman" w:hAnsi="Times New Roman" w:cs="Times New Roman"/>
          <w:sz w:val="24"/>
          <w:szCs w:val="24"/>
        </w:rPr>
        <w:t>ed that effective coaching and mentoring require certain interpersonal skills. These skills include listening, questioning, and providing constructive feedback. I noticed that these skills were not just necessary for the coach or mentor, but also for me as the coachee or mentee. I had to actively participate in the sessions, providing honest feedback and reflecting on my own development. These sessions provided me with a better understanding of how I can use coaching and mentoring to enhance both my professional and personal life.</w:t>
      </w:r>
    </w:p>
    <w:p w14:paraId="43F5BC3D">
      <w:pPr>
        <w:pStyle w:val="3"/>
      </w:pPr>
      <w:bookmarkStart w:id="2" w:name="_Toc180757124"/>
      <w:r>
        <w:t>Critical Evaluation of the Purpose of Coaching and Mentoring Within a Workplace</w:t>
      </w:r>
      <w:bookmarkEnd w:id="2"/>
    </w:p>
    <w:p w14:paraId="0F0D762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From my experience, I came to understand that the purpose of coaching and mentoring in the workplace is to improve performance, facilitate personal growth, and help individuals like me achieve specific career goals. In our sessions, I reali</w:t>
      </w:r>
      <w:r>
        <w:rPr>
          <w:rFonts w:hint="default" w:ascii="Times New Roman" w:hAnsi="Times New Roman" w:cs="Times New Roman"/>
          <w:sz w:val="24"/>
          <w:szCs w:val="24"/>
          <w:lang w:val="en-GB"/>
        </w:rPr>
        <w:t>s</w:t>
      </w:r>
      <w:r>
        <w:rPr>
          <w:rFonts w:ascii="Times New Roman" w:hAnsi="Times New Roman" w:cs="Times New Roman"/>
          <w:sz w:val="24"/>
          <w:szCs w:val="24"/>
        </w:rPr>
        <w:t>ed that coaching is more goal-oriented and performance-driven. It helped me focus on improving my existing skills and behavio</w:t>
      </w:r>
      <w:r>
        <w:rPr>
          <w:rFonts w:hint="default" w:ascii="Times New Roman" w:hAnsi="Times New Roman" w:cs="Times New Roman"/>
          <w:sz w:val="24"/>
          <w:szCs w:val="24"/>
          <w:lang w:val="en-GB"/>
        </w:rPr>
        <w:t>u</w:t>
      </w:r>
      <w:r>
        <w:rPr>
          <w:rFonts w:ascii="Times New Roman" w:hAnsi="Times New Roman" w:cs="Times New Roman"/>
          <w:sz w:val="24"/>
          <w:szCs w:val="24"/>
        </w:rPr>
        <w:t>rs. As Esmaeeli and Yazdani (2023) point out, coaching allows individuals to clarify their goals and take action in a focused, measurable way. During the sessions, I was given clear guidance on how to set goals and take concrete steps toward achieving them, which made me feel more confident in my approach to tasks.</w:t>
      </w:r>
    </w:p>
    <w:p w14:paraId="127B9DC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However, I also saw that mentoring plays a much larger role in long-term personal development. As I reflected on my own career, I reali</w:t>
      </w:r>
      <w:r>
        <w:rPr>
          <w:rFonts w:hint="default" w:ascii="Times New Roman" w:hAnsi="Times New Roman" w:cs="Times New Roman"/>
          <w:sz w:val="24"/>
          <w:szCs w:val="24"/>
          <w:lang w:val="en-GB"/>
        </w:rPr>
        <w:t>s</w:t>
      </w:r>
      <w:r>
        <w:rPr>
          <w:rFonts w:ascii="Times New Roman" w:hAnsi="Times New Roman" w:cs="Times New Roman"/>
          <w:sz w:val="24"/>
          <w:szCs w:val="24"/>
        </w:rPr>
        <w:t>ed that mentoring provides guidance that goes beyond immediate goals. My mentor encouraged me to think about my broader career aspirations, including the development of my leadership potential. In this way, mentoring is not just about helping me accomplish short-term tasks, but also about fostering my long-term growth. Esmaeeli and Yazdani (2023) highlight that mentoring helps individuals develop skills and abilities for future roles, which aligns with my own experience in the sessions.</w:t>
      </w:r>
    </w:p>
    <w:p w14:paraId="2B5F9CD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 learned that coaching and mentoring work together to create a learning culture within an organi</w:t>
      </w:r>
      <w:r>
        <w:rPr>
          <w:rFonts w:hint="default" w:ascii="Times New Roman" w:hAnsi="Times New Roman" w:cs="Times New Roman"/>
          <w:sz w:val="24"/>
          <w:szCs w:val="24"/>
          <w:lang w:val="en-GB"/>
        </w:rPr>
        <w:t>s</w:t>
      </w:r>
      <w:r>
        <w:rPr>
          <w:rFonts w:ascii="Times New Roman" w:hAnsi="Times New Roman" w:cs="Times New Roman"/>
          <w:sz w:val="24"/>
          <w:szCs w:val="24"/>
        </w:rPr>
        <w:t>ation. While coaching helped me improve immediate behavio</w:t>
      </w:r>
      <w:r>
        <w:rPr>
          <w:rFonts w:hint="default" w:ascii="Times New Roman" w:hAnsi="Times New Roman" w:cs="Times New Roman"/>
          <w:sz w:val="24"/>
          <w:szCs w:val="24"/>
          <w:lang w:val="en-GB"/>
        </w:rPr>
        <w:t>u</w:t>
      </w:r>
      <w:r>
        <w:rPr>
          <w:rFonts w:ascii="Times New Roman" w:hAnsi="Times New Roman" w:cs="Times New Roman"/>
          <w:sz w:val="24"/>
          <w:szCs w:val="24"/>
        </w:rPr>
        <w:t>rs and performance, mentoring encouraged me to think about my broader development and long-term success. I reali</w:t>
      </w:r>
      <w:r>
        <w:rPr>
          <w:rFonts w:hint="default" w:ascii="Times New Roman" w:hAnsi="Times New Roman" w:cs="Times New Roman"/>
          <w:sz w:val="24"/>
          <w:szCs w:val="24"/>
          <w:lang w:val="en-GB"/>
        </w:rPr>
        <w:t>s</w:t>
      </w:r>
      <w:r>
        <w:rPr>
          <w:rFonts w:ascii="Times New Roman" w:hAnsi="Times New Roman" w:cs="Times New Roman"/>
          <w:sz w:val="24"/>
          <w:szCs w:val="24"/>
        </w:rPr>
        <w:t>ed that these processes can make a significant difference in both personal satisfaction and organizational success. For me, the combination of coaching and mentoring has made me feel more engaged and motivated to perform well in my current role and to aim for greater achievements in the future.</w:t>
      </w:r>
    </w:p>
    <w:p w14:paraId="0E102ED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 believe that coaching and mentoring are essential tools for organi</w:t>
      </w:r>
      <w:r>
        <w:rPr>
          <w:rFonts w:hint="default" w:ascii="Times New Roman" w:hAnsi="Times New Roman" w:cs="Times New Roman"/>
          <w:sz w:val="24"/>
          <w:szCs w:val="24"/>
          <w:lang w:val="en-GB"/>
        </w:rPr>
        <w:t>s</w:t>
      </w:r>
      <w:r>
        <w:rPr>
          <w:rFonts w:ascii="Times New Roman" w:hAnsi="Times New Roman" w:cs="Times New Roman"/>
          <w:sz w:val="24"/>
          <w:szCs w:val="24"/>
        </w:rPr>
        <w:t>ations, and they should be integrated into our workplace practices to help employees, like myself, grow and thrive. By providing employees with structured coaching and mentoring, organi</w:t>
      </w:r>
      <w:r>
        <w:rPr>
          <w:rFonts w:hint="default" w:ascii="Times New Roman" w:hAnsi="Times New Roman" w:cs="Times New Roman"/>
          <w:sz w:val="24"/>
          <w:szCs w:val="24"/>
          <w:lang w:val="en-GB"/>
        </w:rPr>
        <w:t>s</w:t>
      </w:r>
      <w:r>
        <w:rPr>
          <w:rFonts w:ascii="Times New Roman" w:hAnsi="Times New Roman" w:cs="Times New Roman"/>
          <w:sz w:val="24"/>
          <w:szCs w:val="24"/>
        </w:rPr>
        <w:t>ations can enhance employee engagement, retention, and performance. This, in turn, leads to a more productive and successful workplace. Personally, I feel that these practices have helped me understand my strengths and areas for improvement, which I can use to advance in my career.</w:t>
      </w:r>
    </w:p>
    <w:p w14:paraId="65D8BD6D">
      <w:pPr>
        <w:spacing w:after="0" w:line="480" w:lineRule="auto"/>
        <w:rPr>
          <w:rFonts w:ascii="Times New Roman" w:hAnsi="Times New Roman" w:cs="Times New Roman"/>
          <w:sz w:val="24"/>
          <w:szCs w:val="24"/>
        </w:rPr>
      </w:pPr>
    </w:p>
    <w:p w14:paraId="46E7E52D">
      <w:pPr>
        <w:pStyle w:val="3"/>
      </w:pPr>
      <w:bookmarkStart w:id="3" w:name="_Toc180757125"/>
      <w:r>
        <w:t>Critical Analysis of a Specific Model of Coaching</w:t>
      </w:r>
      <w:bookmarkEnd w:id="3"/>
    </w:p>
    <w:p w14:paraId="2EBC86D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our coaching session, I found the GROW Model (Whitmore, 1992) to be particularly effective. The GROW Model provided me with a structured approach to goal-setting and problem-solving, and I found it useful for clarifying my personal objectives. I’ll share how I applied the four stages of GROW—Goal, Reality, Options, and Will—to my own development during the coaching session.</w:t>
      </w:r>
    </w:p>
    <w:p w14:paraId="118E0ED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first stage, Goal, helped me set clear, achievable objectives. I was able to articulate what I wanted to accomplish and break it down into measurable steps. This step made me reali</w:t>
      </w:r>
      <w:r>
        <w:rPr>
          <w:rFonts w:hint="default" w:ascii="Times New Roman" w:hAnsi="Times New Roman" w:cs="Times New Roman"/>
          <w:sz w:val="24"/>
          <w:szCs w:val="24"/>
          <w:lang w:val="en-GB"/>
        </w:rPr>
        <w:t>s</w:t>
      </w:r>
      <w:r>
        <w:rPr>
          <w:rFonts w:ascii="Times New Roman" w:hAnsi="Times New Roman" w:cs="Times New Roman"/>
          <w:sz w:val="24"/>
          <w:szCs w:val="24"/>
        </w:rPr>
        <w:t>e how important it is to have specific goals to work toward. The Reality stage helped me assess my current situation and understand where I stood in relation to my goals. This stage encouraged me to evaluate my strengths and weaknesses, which helped me see the gaps I needed to address.</w:t>
      </w:r>
    </w:p>
    <w:p w14:paraId="11DC506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Options stage, I was encouraged to think of possible solutions to the challenges I faced. This stage was empowering because it forced me to brainstorm and evaluate different strategies. I reali</w:t>
      </w:r>
      <w:r>
        <w:rPr>
          <w:rFonts w:hint="default" w:ascii="Times New Roman" w:hAnsi="Times New Roman" w:cs="Times New Roman"/>
          <w:sz w:val="24"/>
          <w:szCs w:val="24"/>
          <w:lang w:val="en-GB"/>
        </w:rPr>
        <w:t>s</w:t>
      </w:r>
      <w:r>
        <w:rPr>
          <w:rFonts w:ascii="Times New Roman" w:hAnsi="Times New Roman" w:cs="Times New Roman"/>
          <w:sz w:val="24"/>
          <w:szCs w:val="24"/>
        </w:rPr>
        <w:t>ed that having multiple options allows me to choose the most effective way forward. The final stage, Will, was where I committed to taking action. I set clear steps and deadlines to ensure I remained on track to achieve my goals. This was the part where I truly felt accountable for my progress.</w:t>
      </w:r>
    </w:p>
    <w:p w14:paraId="4C057AC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GROW Model has several benefits, which I felt were particularly relevant to me. One key benefit is that it is highly adaptable. I could use it in any situation, whether it was for improving my work performance or developing a new skill. It gave me the flexibility to apply the model to a wide range of goals and challenges. Additionally, it encouraged me to take ownership of my development, making me more invested in achieving my goals. I found that using this model made my coaching session more focused and productive.</w:t>
      </w:r>
    </w:p>
    <w:p w14:paraId="0942F0D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However, I did encounter some challenges with the GROW Model. In some cases, I found it difficult to fully understand the Reality stage, especially when I wasn’t sure about my starting point. At times, I struggled with identifying concrete solutions during the Options stage, as I felt overwhelmed by the possibilities. While the GROW Model offers a structured approach, I also found that it could be limiting if I wasn’t clear on my goals. Despite these challenges, I believe the GROW Model helped me clarify my objectives and take action, which contributed to my overall growth during the coaching session.</w:t>
      </w:r>
    </w:p>
    <w:p w14:paraId="3C50CAD6">
      <w:pPr>
        <w:spacing w:after="0" w:line="480" w:lineRule="auto"/>
        <w:ind w:firstLine="720"/>
        <w:rPr>
          <w:rFonts w:ascii="Times New Roman" w:hAnsi="Times New Roman" w:cs="Times New Roman"/>
          <w:sz w:val="24"/>
          <w:szCs w:val="24"/>
        </w:rPr>
      </w:pPr>
    </w:p>
    <w:p w14:paraId="6649C570">
      <w:pPr>
        <w:pStyle w:val="3"/>
      </w:pPr>
      <w:bookmarkStart w:id="4" w:name="_Toc180757126"/>
      <w:r>
        <w:t>Reflection on Practical 1</w:t>
      </w:r>
      <w:bookmarkEnd w:id="4"/>
    </w:p>
    <w:p w14:paraId="00D09F3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first practical session, I applied Hawkins’ (1988) Gibbs’ Reflective Cycle to my coaching experience, using the GROW model to guide the coachee through setting a goal. As I reflect on the session, I recall asking open-ended questions to help the coachee define their goal, such as: "How would you like to manage your time better?" and "How would it affect your workplace?" These questions were designed to encourage self-reflection and to help the coachee explore their thoughts and feelings. During this process, I felt confident in explaining the GROW model and its steps, but I also experienced a sense of nervousness, especially when it came to allowing the coachee to come up with solutions themselves.</w:t>
      </w:r>
    </w:p>
    <w:p w14:paraId="5E7840E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At first, I found it challenging to step back and let the coachee search for their own answers, but I soon realized that the more the coachee spoke, the stronger their reaction was to my interventions. This interaction made me recognize the importance of patience in the coaching process. In hindsight, I can confidently say that the session was effective in helping the coachee clarify their goal and reflect on their current reality. I encouraged the coachee to think about their time management challenges and explore the possible options for improving their work schedule. The more I listened and guided, the more the coachee became engaged in their own solution-finding process.</w:t>
      </w:r>
    </w:p>
    <w:p w14:paraId="465F459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One aspect I would like to have spent more time on during the "Reality" stage was helping the coachee objectively analy</w:t>
      </w:r>
      <w:r>
        <w:rPr>
          <w:rFonts w:hint="default" w:ascii="Times New Roman" w:hAnsi="Times New Roman" w:cs="Times New Roman"/>
          <w:sz w:val="24"/>
          <w:szCs w:val="24"/>
          <w:lang w:val="en-GB"/>
        </w:rPr>
        <w:t>s</w:t>
      </w:r>
      <w:r>
        <w:rPr>
          <w:rFonts w:ascii="Times New Roman" w:hAnsi="Times New Roman" w:cs="Times New Roman"/>
          <w:sz w:val="24"/>
          <w:szCs w:val="24"/>
        </w:rPr>
        <w:t>e what was holding them back. Although I did ask questions that allowed for self-exploration, I believe I could have spent more time asking deeper questions to help them gain a better understanding of the barriers they were facing. In this stage, I found that I could have been more focused on encouraging the coachee to consider the underlying causes of their time management issues.</w:t>
      </w:r>
    </w:p>
    <w:p w14:paraId="4FFDD5C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When I reached the "Analysis" stage, I reali</w:t>
      </w:r>
      <w:r>
        <w:rPr>
          <w:rFonts w:hint="default" w:ascii="Times New Roman" w:hAnsi="Times New Roman" w:cs="Times New Roman"/>
          <w:sz w:val="24"/>
          <w:szCs w:val="24"/>
          <w:lang w:val="en-GB"/>
        </w:rPr>
        <w:t>s</w:t>
      </w:r>
      <w:r>
        <w:rPr>
          <w:rFonts w:ascii="Times New Roman" w:hAnsi="Times New Roman" w:cs="Times New Roman"/>
          <w:sz w:val="24"/>
          <w:szCs w:val="24"/>
        </w:rPr>
        <w:t>ed that goal-setting is key in promoting a sense of control at the workplace. It became clear to me that by breaking down larger goals into smaller, more manageable steps, individuals like myself could feel more empowered. However, I struggled with finding the balance between engaging the coachee in deep questioning without overwhelming them with too much at once. While the GROW model was beneficial in structuring the session and guiding our conversation, I recogni</w:t>
      </w:r>
      <w:r>
        <w:rPr>
          <w:rFonts w:hint="default" w:ascii="Times New Roman" w:hAnsi="Times New Roman" w:cs="Times New Roman"/>
          <w:sz w:val="24"/>
          <w:szCs w:val="24"/>
          <w:lang w:val="en-GB"/>
        </w:rPr>
        <w:t>s</w:t>
      </w:r>
      <w:r>
        <w:rPr>
          <w:rFonts w:ascii="Times New Roman" w:hAnsi="Times New Roman" w:cs="Times New Roman"/>
          <w:sz w:val="24"/>
          <w:szCs w:val="24"/>
        </w:rPr>
        <w:t>ed that focusing more on the coachee’s emotions and providing more emotional support would improve the overall coaching experience.</w:t>
      </w:r>
    </w:p>
    <w:p w14:paraId="57FFDD6E">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future sessions, I plan to be more mindful of these emotional aspects, ensuring that the coachee feels fully supported while also being challenged to reflect on their goals. I also want to give more attention to the "Reality" stage, helping the coachee explore their obstacles in greater depth to gain a clearer picture of what is holding them back from achieving their goals.</w:t>
      </w:r>
    </w:p>
    <w:p w14:paraId="1EC67BD2">
      <w:pPr>
        <w:spacing w:after="0" w:line="480" w:lineRule="auto"/>
        <w:ind w:firstLine="720"/>
        <w:rPr>
          <w:rFonts w:ascii="Times New Roman" w:hAnsi="Times New Roman" w:cs="Times New Roman"/>
          <w:sz w:val="24"/>
          <w:szCs w:val="24"/>
        </w:rPr>
      </w:pPr>
    </w:p>
    <w:p w14:paraId="3F88EB79">
      <w:pPr>
        <w:spacing w:after="0" w:line="480" w:lineRule="auto"/>
        <w:rPr>
          <w:rFonts w:ascii="Times New Roman" w:hAnsi="Times New Roman" w:cs="Times New Roman"/>
          <w:sz w:val="24"/>
          <w:szCs w:val="24"/>
        </w:rPr>
      </w:pPr>
    </w:p>
    <w:p w14:paraId="02BE660A">
      <w:pPr>
        <w:pStyle w:val="3"/>
      </w:pPr>
      <w:bookmarkStart w:id="5" w:name="_Toc180757127"/>
      <w:r>
        <w:t>Reflection on Practical 2</w:t>
      </w:r>
      <w:bookmarkEnd w:id="5"/>
    </w:p>
    <w:p w14:paraId="1F4CF57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second practical session, I had the opportunity to conduct a mentoring session using the Johari Window model to give constructive feedback. During this session, I worked with a mentee, guiding them through a feedback process where I asked thought-provoking questions like, "What kind of feedback have you received that you least expected?" and "What do you believe others would say about your leadership?" These questions helped the mentee reflect on their behavio</w:t>
      </w:r>
      <w:r>
        <w:rPr>
          <w:rFonts w:hint="default" w:ascii="Times New Roman" w:hAnsi="Times New Roman" w:cs="Times New Roman"/>
          <w:sz w:val="24"/>
          <w:szCs w:val="24"/>
          <w:lang w:val="en-GB"/>
        </w:rPr>
        <w:t>u</w:t>
      </w:r>
      <w:r>
        <w:rPr>
          <w:rFonts w:ascii="Times New Roman" w:hAnsi="Times New Roman" w:cs="Times New Roman"/>
          <w:sz w:val="24"/>
          <w:szCs w:val="24"/>
        </w:rPr>
        <w:t>r and how others perceive them.</w:t>
      </w:r>
    </w:p>
    <w:p w14:paraId="6670B2B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At the beginning of the session, I felt somewhat uncomfortable providing direct feedback. I didn’t want to overwhelm the mentee with criticism, and I worried about their reaction. However, as the conversation unfolded, I began to feel more at ease. The mentee was receptive to the feedback, which made it easier for me to offer constructive criticism in a supportive manner. I explained how expanding their "Open Area" in the Johari Window could help them grow as a leader by being more open to feedback and increasing their self-awareness.</w:t>
      </w:r>
    </w:p>
    <w:p w14:paraId="0C85C97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 found the Johari Window to be a helpful tool for guiding the conversation and facilitating a deeper reflection on the feedback. It allowed me to demonstrate how feedback from others could help the mentee gain a better understanding of their strengths and areas for improvement. I was pleased with how the mentee responded, as they were open to criticism and seemed genuinely interested in using the feedback to develop themselves further.</w:t>
      </w:r>
    </w:p>
    <w:p w14:paraId="038E94AE">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I also </w:t>
      </w:r>
      <w:r>
        <w:rPr>
          <w:rFonts w:hint="default" w:ascii="Times New Roman" w:hAnsi="Times New Roman" w:cs="Times New Roman"/>
          <w:sz w:val="24"/>
          <w:szCs w:val="24"/>
          <w:lang w:val="en-GB"/>
        </w:rPr>
        <w:t>identified</w:t>
      </w:r>
      <w:r>
        <w:rPr>
          <w:rFonts w:ascii="Times New Roman" w:hAnsi="Times New Roman" w:cs="Times New Roman"/>
          <w:sz w:val="24"/>
          <w:szCs w:val="24"/>
        </w:rPr>
        <w:t xml:space="preserve"> areas where I could have improved. One aspect I wish I had spent more time on was exploring the "Hidden Area" of the Johari Window. I could have encouraged the mentee to disclose more about their personal experiences and challenges, which would have enriched our conversation and provided greater insight into their development. In future mentoring sessions, I will make a more conscious effort to delve deeper into the mentee’s hidden areas, helping them explore aspects of themselves that they may not be fully aware of.</w:t>
      </w:r>
    </w:p>
    <w:p w14:paraId="0FEA7E6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Through this mentoring experience, I learned that providing constructive feedback requires a balance of honesty and sensitivity. It’s essential to give feedback in a way that encourages reflection and growth, while also being mindful of the mentee’s feelings. I realized that I can be critical without being harsh and that constructive feedback should always be accompanied by encouragement and positive reinforcement.</w:t>
      </w:r>
    </w:p>
    <w:p w14:paraId="68D86B95">
      <w:pPr>
        <w:spacing w:after="0" w:line="480" w:lineRule="auto"/>
        <w:rPr>
          <w:rFonts w:ascii="Times New Roman" w:hAnsi="Times New Roman" w:cs="Times New Roman"/>
          <w:sz w:val="24"/>
          <w:szCs w:val="24"/>
        </w:rPr>
      </w:pPr>
    </w:p>
    <w:p w14:paraId="51A42CE3">
      <w:pPr>
        <w:pStyle w:val="3"/>
      </w:pPr>
      <w:bookmarkStart w:id="6" w:name="_Toc180757128"/>
      <w:r>
        <w:t>Conclusion</w:t>
      </w:r>
      <w:bookmarkEnd w:id="6"/>
      <w:r>
        <w:t xml:space="preserve"> </w:t>
      </w:r>
    </w:p>
    <w:p w14:paraId="710B4EB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conclusion, reflecting on the coaching and mentoring sessions has been an invaluable learning experience for me. I’ve gained a deeper understanding of how the GROW model and Johari Window can be used to guide individuals through their development. The coaching session helped me focus on setting clear, achievable goals, while the mentoring session allowed me to practice providing constructive feedback in a supportive manner.</w:t>
      </w:r>
    </w:p>
    <w:p w14:paraId="59D8EA6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These experiences have also highlighted areas where I can improve. In coaching, I need to focus more on the emotional aspects of the session, ensuring that the coachee feels fully supported throughout the process. In mentoring, I realized the importance of exploring the mentee’s hidden areas to facilitate deeper reflection and growth. Moving forward, I plan to incorporate these insights into my future coaching and mentoring sessions to make them even more effective and impactful.</w:t>
      </w:r>
    </w:p>
    <w:p w14:paraId="71A626F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Overall, I believe that coaching and mentoring are essential tools for personal and professional development. By providing individuals with guidance, support, and feedback, we can help them unlock their potential and achieve their goals. I look forward to applying what I’ve learned in future workplace practices, using a combination of structured coaching and mentoring to enhance both personal and organizational growth.</w:t>
      </w:r>
    </w:p>
    <w:p w14:paraId="65E8B2D2">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14:paraId="2B21105C">
      <w:pPr>
        <w:pStyle w:val="2"/>
        <w:jc w:val="center"/>
      </w:pPr>
      <w:bookmarkStart w:id="7" w:name="_Toc180757129"/>
      <w:r>
        <w:t>References</w:t>
      </w:r>
      <w:bookmarkEnd w:id="7"/>
    </w:p>
    <w:p w14:paraId="2E7D6CBE">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Alamsyah, M.N., Indreswari, H. and Bariyyah, K., 2024. Implementation of Group Counseling Using the Johari Window Technique to Enhance Student Self-Disclosure. </w:t>
      </w:r>
      <w:r>
        <w:rPr>
          <w:rFonts w:ascii="Times New Roman" w:hAnsi="Times New Roman" w:cs="Times New Roman"/>
          <w:i/>
          <w:iCs/>
          <w:color w:val="222222"/>
          <w:sz w:val="24"/>
          <w:szCs w:val="24"/>
          <w:shd w:val="clear" w:color="auto" w:fill="FFFFFF"/>
        </w:rPr>
        <w:t>KONSELING: Jurnal Ilmiah Penelitian dan Penerapannya</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(3), pp.69-74.</w:t>
      </w:r>
    </w:p>
    <w:p w14:paraId="1CC18E44">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Asiza, N., Yusuf, M., Rahman, A., Irwan, M., Patmawati, P. and Ramadani, F., 2023. Enhancing Speaking Proficiency through Self-Discovery: Utilizing Johari Window Techniques in Student Learning. </w:t>
      </w:r>
      <w:r>
        <w:rPr>
          <w:rFonts w:ascii="Times New Roman" w:hAnsi="Times New Roman" w:cs="Times New Roman"/>
          <w:i/>
          <w:iCs/>
          <w:color w:val="222222"/>
          <w:sz w:val="24"/>
          <w:szCs w:val="24"/>
          <w:shd w:val="clear" w:color="auto" w:fill="FFFFFF"/>
        </w:rPr>
        <w:t>Voices of English Language Education Society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(3), pp.753-764.</w:t>
      </w:r>
    </w:p>
    <w:p w14:paraId="487B86FE">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Esmaeeli, S. and Yazdani, H., 2023. Developing Techniques to Improve L2 Learning Motivation and Willingness to Communicate Utilizing Johari Window Model in Foreign Language Context. </w:t>
      </w:r>
      <w:r>
        <w:rPr>
          <w:rFonts w:ascii="Times New Roman" w:hAnsi="Times New Roman" w:cs="Times New Roman"/>
          <w:i/>
          <w:iCs/>
          <w:color w:val="222222"/>
          <w:sz w:val="24"/>
          <w:szCs w:val="24"/>
          <w:shd w:val="clear" w:color="auto" w:fill="FFFFFF"/>
        </w:rPr>
        <w:t>Journal of Modern Research in English Language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w:t>
      </w:r>
      <w:r>
        <w:rPr>
          <w:rFonts w:ascii="Times New Roman" w:hAnsi="Times New Roman" w:cs="Times New Roman"/>
          <w:color w:val="222222"/>
          <w:sz w:val="24"/>
          <w:szCs w:val="24"/>
          <w:shd w:val="clear" w:color="auto" w:fill="FFFFFF"/>
        </w:rPr>
        <w:t>(1), pp.52-29.</w:t>
      </w:r>
    </w:p>
    <w:p w14:paraId="45F69245">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Koca, G.Ş. and Erigüç, G., 2020. The effects of communication skills levels of health professionals on the dimensions of the Johari Window model. </w:t>
      </w:r>
      <w:r>
        <w:rPr>
          <w:rFonts w:ascii="Times New Roman" w:hAnsi="Times New Roman" w:cs="Times New Roman"/>
          <w:i/>
          <w:iCs/>
          <w:color w:val="222222"/>
          <w:sz w:val="24"/>
          <w:szCs w:val="24"/>
          <w:shd w:val="clear" w:color="auto" w:fill="FFFFFF"/>
        </w:rPr>
        <w:t>International Journal of Healthcare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(sup1), pp.434-446.</w:t>
      </w:r>
    </w:p>
    <w:p w14:paraId="1F562C4C">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Lowes, R., 2020, July. Knowing you: Personal tutoring, learning analytics and the Johari Window. In </w:t>
      </w:r>
      <w:r>
        <w:rPr>
          <w:rFonts w:ascii="Times New Roman" w:hAnsi="Times New Roman" w:cs="Times New Roman"/>
          <w:i/>
          <w:iCs/>
          <w:color w:val="222222"/>
          <w:sz w:val="24"/>
          <w:szCs w:val="24"/>
          <w:shd w:val="clear" w:color="auto" w:fill="FFFFFF"/>
        </w:rPr>
        <w:t>Frontiers in Education</w:t>
      </w:r>
      <w:r>
        <w:rPr>
          <w:rFonts w:ascii="Times New Roman" w:hAnsi="Times New Roman" w:cs="Times New Roman"/>
          <w:color w:val="222222"/>
          <w:sz w:val="24"/>
          <w:szCs w:val="24"/>
          <w:shd w:val="clear" w:color="auto" w:fill="FFFFFF"/>
        </w:rPr>
        <w:t> (Vol. 5, p. 101). Frontiers Media SA.</w:t>
      </w:r>
    </w:p>
    <w:p w14:paraId="47EE212C">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Lumbanraja, P., Lubis, A.S. and Nadapdap, K.M.N., 2024. A review of the Johari window theory as grand theory of human resource competence. </w:t>
      </w:r>
      <w:r>
        <w:rPr>
          <w:rFonts w:ascii="Times New Roman" w:hAnsi="Times New Roman" w:cs="Times New Roman"/>
          <w:i/>
          <w:iCs/>
          <w:color w:val="222222"/>
          <w:sz w:val="24"/>
          <w:szCs w:val="24"/>
          <w:shd w:val="clear" w:color="auto" w:fill="FFFFFF"/>
        </w:rPr>
        <w:t>Multidisciplinary Reviews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(1), pp.2024002-2024002.</w:t>
      </w:r>
    </w:p>
    <w:p w14:paraId="157B6C5B">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Mathew, J. and Sebastian, T., 2020. Johari window model a self disclosure process to promote the teamwork. </w:t>
      </w:r>
      <w:r>
        <w:rPr>
          <w:rFonts w:ascii="Times New Roman" w:hAnsi="Times New Roman" w:cs="Times New Roman"/>
          <w:i/>
          <w:iCs/>
          <w:color w:val="222222"/>
          <w:sz w:val="24"/>
          <w:szCs w:val="24"/>
          <w:shd w:val="clear" w:color="auto" w:fill="FFFFFF"/>
        </w:rPr>
        <w:t>TNNMC Journal of Mental Health Nursing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(1), pp.25-29.</w:t>
      </w:r>
    </w:p>
    <w:p w14:paraId="3AF88A98">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Prasad, K.D.V. and Rao, M., 2022. Johari Window methodology to expand Open Arena with Team Building for enhancing psychological Well-being: A case study with reference to E-Commerce Industry. </w:t>
      </w:r>
      <w:r>
        <w:rPr>
          <w:rFonts w:ascii="Times New Roman" w:hAnsi="Times New Roman" w:cs="Times New Roman"/>
          <w:i/>
          <w:iCs/>
          <w:color w:val="222222"/>
          <w:sz w:val="24"/>
          <w:szCs w:val="24"/>
          <w:shd w:val="clear" w:color="auto" w:fill="FFFFFF"/>
        </w:rPr>
        <w:t>Journal of Positive School Psychology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(2), pp.160-168.</w:t>
      </w:r>
    </w:p>
    <w:p w14:paraId="6BE9B126">
      <w:pPr>
        <w:spacing w:after="0"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Rashid, L.D.M.M., 2022. The Effect of an Educational Program based on the Johari window model on Developing Self-Communication Among Intermediate School Students in The City of Mosul. </w:t>
      </w:r>
      <w:r>
        <w:rPr>
          <w:rFonts w:ascii="Times New Roman" w:hAnsi="Times New Roman" w:cs="Times New Roman"/>
          <w:i/>
          <w:iCs/>
          <w:color w:val="222222"/>
          <w:sz w:val="24"/>
          <w:szCs w:val="24"/>
          <w:shd w:val="clear" w:color="auto" w:fill="FFFFFF"/>
        </w:rPr>
        <w:t>Nasaq</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34</w:t>
      </w:r>
      <w:r>
        <w:rPr>
          <w:rFonts w:ascii="Times New Roman" w:hAnsi="Times New Roman" w:cs="Times New Roman"/>
          <w:color w:val="222222"/>
          <w:sz w:val="24"/>
          <w:szCs w:val="24"/>
          <w:shd w:val="clear" w:color="auto" w:fill="FFFFFF"/>
        </w:rPr>
        <w:t>(1).</w:t>
      </w:r>
    </w:p>
    <w:p w14:paraId="7F3DE707">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Spennemann, D.H., 2023. The usefulness of the Johari Window for the Cultural Heritage Planning Process. </w:t>
      </w:r>
      <w:r>
        <w:rPr>
          <w:rFonts w:ascii="Times New Roman" w:hAnsi="Times New Roman" w:cs="Times New Roman"/>
          <w:i/>
          <w:iCs/>
          <w:color w:val="222222"/>
          <w:sz w:val="24"/>
          <w:szCs w:val="24"/>
          <w:shd w:val="clear" w:color="auto" w:fill="FFFFFF"/>
        </w:rPr>
        <w:t>Heritage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(1), pp.724-741.</w:t>
      </w:r>
    </w:p>
    <w:p w14:paraId="04D4EADD">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Yamanaka, A. and Hassell-Goodman, S., 2021. The Johari Window: A View Into Leadership. In </w:t>
      </w:r>
      <w:r>
        <w:rPr>
          <w:rFonts w:ascii="Times New Roman" w:hAnsi="Times New Roman" w:cs="Times New Roman"/>
          <w:i/>
          <w:iCs/>
          <w:color w:val="222222"/>
          <w:sz w:val="24"/>
          <w:szCs w:val="24"/>
          <w:shd w:val="clear" w:color="auto" w:fill="FFFFFF"/>
        </w:rPr>
        <w:t>Women and Leadership Development in College</w:t>
      </w:r>
      <w:r>
        <w:rPr>
          <w:rFonts w:ascii="Times New Roman" w:hAnsi="Times New Roman" w:cs="Times New Roman"/>
          <w:color w:val="222222"/>
          <w:sz w:val="24"/>
          <w:szCs w:val="24"/>
          <w:shd w:val="clear" w:color="auto" w:fill="FFFFFF"/>
        </w:rPr>
        <w:t> (pp. 42-48). Routledge.</w:t>
      </w:r>
    </w:p>
    <w:p w14:paraId="7742C260">
      <w:pPr>
        <w:spacing w:after="0" w:line="480" w:lineRule="auto"/>
        <w:ind w:left="720" w:hanging="720"/>
        <w:rPr>
          <w:rFonts w:ascii="Times New Roman" w:hAnsi="Times New Roman" w:cs="Times New Roman"/>
          <w:color w:val="222222"/>
          <w:sz w:val="24"/>
          <w:szCs w:val="24"/>
          <w:shd w:val="clear" w:color="auto" w:fill="FFFFFF"/>
        </w:rPr>
      </w:pPr>
    </w:p>
    <w:sectPr>
      <w:head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50A8E72">
    <w:pPr>
      <w:pStyle w:val="8"/>
      <w:jc w:val="right"/>
      <w:rPr>
        <w:rFonts w:ascii="Times New Roman" w:hAnsi="Times New Roman" w:cs="Times New Roman"/>
        <w:sz w:val="24"/>
        <w:szCs w:val="24"/>
      </w:rPr>
    </w:pPr>
    <w:r>
      <w:rPr>
        <w:rFonts w:ascii="Times New Roman" w:hAnsi="Times New Roman" w:cs="Times New Roman"/>
        <w:sz w:val="24"/>
        <w:szCs w:val="24"/>
      </w:rPr>
      <w:t xml:space="preserve">Leadership and Management      </w:t>
    </w:r>
    <w:sdt>
      <w:sdtPr>
        <w:rPr>
          <w:rFonts w:ascii="Times New Roman" w:hAnsi="Times New Roman" w:cs="Times New Roman"/>
          <w:sz w:val="24"/>
          <w:szCs w:val="24"/>
        </w:rPr>
        <w:id w:val="48738018"/>
        <w:docPartObj>
          <w:docPartGallery w:val="autotext"/>
        </w:docPartObj>
      </w:sdtPr>
      <w:sdtEndPr>
        <w:rPr>
          <w:rFonts w:ascii="Times New Roman" w:hAnsi="Times New Roman" w:cs="Times New Roman"/>
          <w:sz w:val="24"/>
          <w:szCs w:val="24"/>
        </w:r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p>
  <w:p w14:paraId="010760FE">
    <w:pPr>
      <w:pStyle w:val="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36B"/>
    <w:rsid w:val="0021436B"/>
    <w:rsid w:val="002A0CBD"/>
    <w:rsid w:val="00325F4D"/>
    <w:rsid w:val="006528C6"/>
    <w:rsid w:val="00656E82"/>
    <w:rsid w:val="00662A37"/>
    <w:rsid w:val="007363FB"/>
    <w:rsid w:val="007704A8"/>
    <w:rsid w:val="007E5D16"/>
    <w:rsid w:val="0092775F"/>
    <w:rsid w:val="00A00D19"/>
    <w:rsid w:val="00A94EE2"/>
    <w:rsid w:val="00B80BC3"/>
    <w:rsid w:val="00CD2F01"/>
    <w:rsid w:val="00D01578"/>
    <w:rsid w:val="00D2445A"/>
    <w:rsid w:val="00E3549B"/>
    <w:rsid w:val="00E50597"/>
    <w:rsid w:val="00E75FCA"/>
    <w:rsid w:val="00F46203"/>
    <w:rsid w:val="00F67F78"/>
    <w:rsid w:val="0BA86CC3"/>
    <w:rsid w:val="5B145031"/>
    <w:rsid w:val="61FF4338"/>
    <w:rsid w:val="6AC87D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4"/>
    <w:qFormat/>
    <w:uiPriority w:val="9"/>
    <w:pPr>
      <w:spacing w:after="0" w:line="480" w:lineRule="auto"/>
      <w:outlineLvl w:val="0"/>
    </w:pPr>
    <w:rPr>
      <w:rFonts w:ascii="Times New Roman" w:hAnsi="Times New Roman" w:cs="Times New Roman"/>
      <w:b/>
      <w:i/>
      <w:sz w:val="24"/>
      <w:szCs w:val="24"/>
    </w:rPr>
  </w:style>
  <w:style w:type="paragraph" w:styleId="3">
    <w:name w:val="heading 2"/>
    <w:basedOn w:val="1"/>
    <w:next w:val="1"/>
    <w:link w:val="15"/>
    <w:unhideWhenUsed/>
    <w:qFormat/>
    <w:uiPriority w:val="9"/>
    <w:pPr>
      <w:spacing w:after="0" w:line="480" w:lineRule="auto"/>
      <w:outlineLvl w:val="1"/>
    </w:pPr>
    <w:rPr>
      <w:rFonts w:ascii="Times New Roman" w:hAnsi="Times New Roman" w:cs="Times New Roman"/>
      <w:i/>
      <w:sz w:val="24"/>
      <w:szCs w:val="24"/>
    </w:rPr>
  </w:style>
  <w:style w:type="paragraph" w:styleId="4">
    <w:name w:val="heading 3"/>
    <w:basedOn w:val="1"/>
    <w:next w:val="1"/>
    <w:link w:val="16"/>
    <w:unhideWhenUsed/>
    <w:qFormat/>
    <w:uiPriority w:val="9"/>
    <w:pPr>
      <w:spacing w:after="0" w:line="480" w:lineRule="auto"/>
      <w:jc w:val="center"/>
      <w:outlineLvl w:val="2"/>
    </w:pPr>
    <w:rPr>
      <w:rFonts w:ascii="Times New Roman" w:hAnsi="Times New Roman" w:cs="Times New Roman"/>
      <w:sz w:val="24"/>
      <w:szCs w:val="24"/>
    </w:rPr>
  </w:style>
  <w:style w:type="character" w:default="1" w:styleId="5">
    <w:name w:val="Default Paragraph Font"/>
    <w:unhideWhenUsed/>
    <w:qFormat/>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19"/>
    <w:unhideWhenUsed/>
    <w:qFormat/>
    <w:uiPriority w:val="99"/>
    <w:pPr>
      <w:tabs>
        <w:tab w:val="center" w:pos="4680"/>
        <w:tab w:val="right" w:pos="9360"/>
      </w:tabs>
      <w:spacing w:after="0" w:line="240" w:lineRule="auto"/>
    </w:pPr>
  </w:style>
  <w:style w:type="paragraph" w:styleId="8">
    <w:name w:val="header"/>
    <w:basedOn w:val="1"/>
    <w:link w:val="18"/>
    <w:unhideWhenUsed/>
    <w:qFormat/>
    <w:uiPriority w:val="99"/>
    <w:pPr>
      <w:tabs>
        <w:tab w:val="center" w:pos="4680"/>
        <w:tab w:val="right" w:pos="9360"/>
      </w:tabs>
      <w:spacing w:after="0" w:line="240" w:lineRule="auto"/>
    </w:pPr>
  </w:style>
  <w:style w:type="character" w:styleId="9">
    <w:name w:val="Hyperlink"/>
    <w:basedOn w:val="5"/>
    <w:unhideWhenUsed/>
    <w:qFormat/>
    <w:uiPriority w:val="99"/>
    <w:rPr>
      <w:color w:val="0563C1" w:themeColor="hyperlink"/>
      <w:u w:val="single"/>
      <w14:textFill>
        <w14:solidFill>
          <w14:schemeClr w14:val="hlink"/>
        </w14:solidFill>
      </w14:textFill>
    </w:rPr>
  </w:style>
  <w:style w:type="paragraph" w:styleId="10">
    <w:name w:val="toc 1"/>
    <w:basedOn w:val="1"/>
    <w:next w:val="1"/>
    <w:autoRedefine/>
    <w:unhideWhenUsed/>
    <w:qFormat/>
    <w:uiPriority w:val="39"/>
    <w:pPr>
      <w:spacing w:after="100"/>
    </w:pPr>
  </w:style>
  <w:style w:type="paragraph" w:styleId="11">
    <w:name w:val="toc 2"/>
    <w:basedOn w:val="1"/>
    <w:next w:val="1"/>
    <w:autoRedefine/>
    <w:unhideWhenUsed/>
    <w:qFormat/>
    <w:uiPriority w:val="39"/>
    <w:pPr>
      <w:spacing w:after="100"/>
      <w:ind w:left="220"/>
    </w:pPr>
  </w:style>
  <w:style w:type="paragraph" w:styleId="12">
    <w:name w:val="toc 3"/>
    <w:basedOn w:val="1"/>
    <w:next w:val="1"/>
    <w:autoRedefine/>
    <w:unhideWhenUsed/>
    <w:qFormat/>
    <w:uiPriority w:val="39"/>
    <w:pPr>
      <w:spacing w:after="100"/>
      <w:ind w:left="440"/>
    </w:pPr>
  </w:style>
  <w:style w:type="paragraph" w:styleId="13">
    <w:name w:val="List Paragraph"/>
    <w:basedOn w:val="1"/>
    <w:qFormat/>
    <w:uiPriority w:val="34"/>
    <w:pPr>
      <w:ind w:left="720"/>
      <w:contextualSpacing/>
    </w:pPr>
  </w:style>
  <w:style w:type="character" w:customStyle="1" w:styleId="14">
    <w:name w:val="Heading 1 Char"/>
    <w:basedOn w:val="5"/>
    <w:link w:val="2"/>
    <w:qFormat/>
    <w:uiPriority w:val="9"/>
    <w:rPr>
      <w:rFonts w:ascii="Times New Roman" w:hAnsi="Times New Roman" w:cs="Times New Roman"/>
      <w:b/>
      <w:i/>
      <w:sz w:val="24"/>
      <w:szCs w:val="24"/>
    </w:rPr>
  </w:style>
  <w:style w:type="character" w:customStyle="1" w:styleId="15">
    <w:name w:val="Heading 2 Char"/>
    <w:basedOn w:val="5"/>
    <w:link w:val="3"/>
    <w:uiPriority w:val="9"/>
    <w:rPr>
      <w:rFonts w:ascii="Times New Roman" w:hAnsi="Times New Roman" w:cs="Times New Roman"/>
      <w:i/>
      <w:sz w:val="24"/>
      <w:szCs w:val="24"/>
    </w:rPr>
  </w:style>
  <w:style w:type="character" w:customStyle="1" w:styleId="16">
    <w:name w:val="Heading 3 Char"/>
    <w:basedOn w:val="5"/>
    <w:link w:val="4"/>
    <w:qFormat/>
    <w:uiPriority w:val="9"/>
    <w:rPr>
      <w:rFonts w:ascii="Times New Roman" w:hAnsi="Times New Roman" w:cs="Times New Roman"/>
      <w:sz w:val="24"/>
      <w:szCs w:val="24"/>
    </w:rPr>
  </w:style>
  <w:style w:type="paragraph" w:customStyle="1" w:styleId="17">
    <w:name w:val="TOC Heading"/>
    <w:basedOn w:val="2"/>
    <w:next w:val="1"/>
    <w:unhideWhenUsed/>
    <w:qFormat/>
    <w:uiPriority w:val="39"/>
    <w:pPr>
      <w:keepNext/>
      <w:keepLines/>
      <w:spacing w:before="240" w:line="259" w:lineRule="auto"/>
      <w:outlineLvl w:val="9"/>
    </w:pPr>
    <w:rPr>
      <w:rFonts w:asciiTheme="majorHAnsi" w:hAnsiTheme="majorHAnsi" w:eastAsiaTheme="majorEastAsia" w:cstheme="majorBidi"/>
      <w:b w:val="0"/>
      <w:i w:val="0"/>
      <w:color w:val="2E75B6" w:themeColor="accent1" w:themeShade="BF"/>
      <w:sz w:val="32"/>
      <w:szCs w:val="32"/>
    </w:rPr>
  </w:style>
  <w:style w:type="character" w:customStyle="1" w:styleId="18">
    <w:name w:val="Header Char"/>
    <w:basedOn w:val="5"/>
    <w:link w:val="8"/>
    <w:qFormat/>
    <w:uiPriority w:val="99"/>
  </w:style>
  <w:style w:type="character" w:customStyle="1" w:styleId="19">
    <w:name w:val="Footer Char"/>
    <w:basedOn w:val="5"/>
    <w:link w:val="7"/>
    <w:qFormat/>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ACF78-BE91-4EBA-9A7B-38141324B57C}">
  <ds:schemaRefs/>
</ds:datastoreItem>
</file>

<file path=docProps/app.xml><?xml version="1.0" encoding="utf-8"?>
<Properties xmlns="http://schemas.openxmlformats.org/officeDocument/2006/extended-properties" xmlns:vt="http://schemas.openxmlformats.org/officeDocument/2006/docPropsVTypes">
  <Template>Normal</Template>
  <Pages>12</Pages>
  <Words>2525</Words>
  <Characters>14395</Characters>
  <Lines>119</Lines>
  <Paragraphs>33</Paragraphs>
  <TotalTime>36</TotalTime>
  <ScaleCrop>false</ScaleCrop>
  <LinksUpToDate>false</LinksUpToDate>
  <CharactersWithSpaces>16887</CharactersWithSpaces>
  <Application>WPS Office_12.2.0.18607_F1E327BC-269C-435d-A152-05C5408002CA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2024-10-25T08:58:00Z</dcterms:created>
  <dc:creator>ok</dc:creator>
  <cp:lastModifiedBy>Natalia Cojocaru</cp:lastModifiedBy>
  <dcterms:modified xsi:type="dcterms:W3CDTF">2024-11-16T10:57:04Z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077D1D66DE69485B835F88B30BCBE1A2_13</vt:lpwstr>
  </property>
</Properties>
</file>