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07AFFA" w14:textId="10F08122" w:rsidR="00545D53" w:rsidRDefault="00545D53" w:rsidP="00EC3DE7">
      <w:pPr>
        <w:jc w:val="center"/>
      </w:pPr>
      <w:bookmarkStart w:id="0" w:name="_Hlk40017549"/>
      <w:bookmarkStart w:id="1" w:name="_GoBack"/>
      <w:bookmarkEnd w:id="0"/>
      <w:bookmarkEnd w:id="1"/>
      <w:r>
        <w:rPr>
          <w:noProof/>
          <w:lang w:eastAsia="en-GB"/>
        </w:rPr>
        <w:drawing>
          <wp:anchor distT="0" distB="0" distL="114300" distR="114300" simplePos="0" relativeHeight="251659264" behindDoc="1" locked="0" layoutInCell="1" allowOverlap="1" wp14:anchorId="5ECFEEFD" wp14:editId="6A105459">
            <wp:simplePos x="0" y="0"/>
            <wp:positionH relativeFrom="column">
              <wp:posOffset>-524510</wp:posOffset>
            </wp:positionH>
            <wp:positionV relativeFrom="paragraph">
              <wp:posOffset>19050</wp:posOffset>
            </wp:positionV>
            <wp:extent cx="2733040" cy="994410"/>
            <wp:effectExtent l="19050" t="19050" r="10160" b="15240"/>
            <wp:wrapTight wrapText="bothSides">
              <wp:wrapPolygon edited="0">
                <wp:start x="-151" y="-414"/>
                <wp:lineTo x="-151" y="21517"/>
                <wp:lineTo x="21530" y="21517"/>
                <wp:lineTo x="21530" y="-414"/>
                <wp:lineTo x="-151" y="-414"/>
              </wp:wrapPolygon>
            </wp:wrapTight>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33040" cy="994410"/>
                    </a:xfrm>
                    <a:prstGeom prst="rect">
                      <a:avLst/>
                    </a:prstGeom>
                    <a:noFill/>
                    <a:ln w="19050" cmpd="sng">
                      <a:solidFill>
                        <a:srgbClr val="000000"/>
                      </a:solidFill>
                      <a:miter lim="800000"/>
                      <a:headEnd/>
                      <a:tailEnd/>
                    </a:ln>
                    <a:effectLst/>
                  </pic:spPr>
                </pic:pic>
              </a:graphicData>
            </a:graphic>
            <wp14:sizeRelH relativeFrom="margin">
              <wp14:pctWidth>0</wp14:pctWidth>
            </wp14:sizeRelH>
            <wp14:sizeRelV relativeFrom="margin">
              <wp14:pctHeight>0</wp14:pctHeight>
            </wp14:sizeRelV>
          </wp:anchor>
        </w:drawing>
      </w:r>
      <w:r>
        <w:t>Jessica Emily Plunkett</w:t>
      </w:r>
    </w:p>
    <w:p w14:paraId="72F6ED06" w14:textId="77777777" w:rsidR="00545D53" w:rsidRPr="0023704F" w:rsidRDefault="001E5240" w:rsidP="00545D53">
      <w:pPr>
        <w:jc w:val="center"/>
      </w:pPr>
      <w:hyperlink r:id="rId9" w:history="1">
        <w:r w:rsidR="00545D53" w:rsidRPr="0023704F">
          <w:rPr>
            <w:rStyle w:val="Hyperlink"/>
          </w:rPr>
          <w:t>1700273@student.uwtsd.ac.uk</w:t>
        </w:r>
      </w:hyperlink>
      <w:r w:rsidR="00545D53" w:rsidRPr="0023704F">
        <w:t xml:space="preserve"> </w:t>
      </w:r>
    </w:p>
    <w:p w14:paraId="05EFEBE8" w14:textId="77777777" w:rsidR="00545D53" w:rsidRDefault="00545D53" w:rsidP="00545D53">
      <w:pPr>
        <w:jc w:val="center"/>
      </w:pPr>
      <w:r>
        <w:t xml:space="preserve">HPAH6006 </w:t>
      </w:r>
    </w:p>
    <w:p w14:paraId="6039C5F9" w14:textId="77777777" w:rsidR="00545D53" w:rsidRDefault="00545D53" w:rsidP="00545D53">
      <w:pPr>
        <w:jc w:val="center"/>
      </w:pPr>
      <w:r>
        <w:t xml:space="preserve">Supervised by Dr Katharina Zinn </w:t>
      </w:r>
    </w:p>
    <w:p w14:paraId="236CBF1F" w14:textId="77777777" w:rsidR="00545D53" w:rsidRDefault="00545D53" w:rsidP="00545D53">
      <w:pPr>
        <w:jc w:val="center"/>
      </w:pPr>
    </w:p>
    <w:p w14:paraId="1DECBDB0" w14:textId="77777777" w:rsidR="00545D53" w:rsidRDefault="00545D53" w:rsidP="00545D53">
      <w:pPr>
        <w:pStyle w:val="Heading1"/>
        <w:jc w:val="center"/>
      </w:pPr>
      <w:r w:rsidRPr="0023704F">
        <w:t xml:space="preserve">Sadist, Seductress or Strong? </w:t>
      </w:r>
      <w:bookmarkStart w:id="2" w:name="_Hlk40013392"/>
      <w:r w:rsidRPr="0023704F">
        <w:t>An Analysis of how Ancient Egyptian Women are Presented by Western Filmmakers.</w:t>
      </w:r>
      <w:bookmarkEnd w:id="2"/>
    </w:p>
    <w:p w14:paraId="1E35CFF9" w14:textId="77777777" w:rsidR="00545D53" w:rsidRDefault="00545D53" w:rsidP="00545D53">
      <w:pPr>
        <w:jc w:val="center"/>
      </w:pPr>
    </w:p>
    <w:p w14:paraId="11783E6E" w14:textId="77777777" w:rsidR="00545D53" w:rsidRDefault="00545D53" w:rsidP="00545D53">
      <w:pPr>
        <w:jc w:val="center"/>
      </w:pPr>
      <w:r>
        <w:t xml:space="preserve">I can confirm that this is all my own original work and any use of other people’s work has been acknowledged correctly in the references and bibliography.  </w:t>
      </w:r>
    </w:p>
    <w:p w14:paraId="4CFFB390" w14:textId="77777777" w:rsidR="00545D53" w:rsidRDefault="00545D53" w:rsidP="00545D53">
      <w:pPr>
        <w:jc w:val="center"/>
      </w:pPr>
    </w:p>
    <w:p w14:paraId="08987E99" w14:textId="77777777" w:rsidR="00545D53" w:rsidRDefault="00545D53" w:rsidP="00545D53">
      <w:pPr>
        <w:jc w:val="center"/>
      </w:pPr>
      <w:r>
        <w:t>9140 words.</w:t>
      </w:r>
    </w:p>
    <w:p w14:paraId="5D3D5A8B" w14:textId="77777777" w:rsidR="00545D53" w:rsidRDefault="00545D53" w:rsidP="00545D53">
      <w:pPr>
        <w:pStyle w:val="Heading1"/>
      </w:pPr>
      <w:r>
        <w:t>Abstract</w:t>
      </w:r>
    </w:p>
    <w:p w14:paraId="15C771B9" w14:textId="77777777" w:rsidR="00545D53" w:rsidRDefault="00545D53" w:rsidP="00545D53">
      <w:r>
        <w:t>This dissertation explores how Ancient Egyptian women are presented through the lenses of modern filmmaking, specifically in the western civilisation. There are X number of films explored in this piece, specifically chosen to represent a range of years, genres and characters while some have certain factors or characters in common in order to be comparable. The dissertation is split into three chapters, chapter one explores the costume designs and visual choices made in order to represent Ancient Egyptian women, discovering the sexualisation of ancient women through use of costume and comparing that to the clothes actually worn by the Egyptians, in some cases discovering that due to factors such as the climate and the fact that breasts weren’t sexualised as they are now, some costumes may be more accurate than they appear. Chapter two explores how Ancient Egyptian women are written in films, are they active or passive? This chapter also looks into the Bechdel-Wallace test to discover that not many films featuring Ancient Egyptian women actually pass all three criteria. Chapter three is concerned with acting, who is playing these Ancient Egyptian women and how are they ultimately represented due to factors such as actors interpretation of the script, directors inputs and final editing. This chapter explores the dehumanisation of Ancient Egyptian women through sexualisation and use of western gender roles. The overall conclusion of the piece looks at all three chapter’s conclusions and discusses harmful repercussions of these on western society. If we keep enforcing these stereotypes onto Ancient Women, it isn’t too long before people believe this was how it was and therefore how it should be.</w:t>
      </w:r>
    </w:p>
    <w:p w14:paraId="1F6276EA" w14:textId="77777777" w:rsidR="00545D53" w:rsidRDefault="00545D53" w:rsidP="00545D53">
      <w:pPr>
        <w:pStyle w:val="Title"/>
      </w:pPr>
    </w:p>
    <w:p w14:paraId="1F78A509" w14:textId="77777777" w:rsidR="00545D53" w:rsidRDefault="00545D53" w:rsidP="00545D53">
      <w:pPr>
        <w:pStyle w:val="Heading1"/>
      </w:pPr>
      <w:r>
        <w:t xml:space="preserve">Acknowledgements </w:t>
      </w:r>
    </w:p>
    <w:p w14:paraId="725FFC52" w14:textId="77777777" w:rsidR="00545D53" w:rsidRPr="008D7017" w:rsidRDefault="00545D53" w:rsidP="00545D53">
      <w:r>
        <w:t xml:space="preserve">I would like to thank Dr Katharina Zinn for reigniting my love for Ancient Egypt and for offering invaluable advice if not for which this dissertation would not have been written.  Also Dr Louise Steel for all her support and teaching my different ways to look at things throughout my three years of study. </w:t>
      </w:r>
    </w:p>
    <w:p w14:paraId="546CD15D" w14:textId="675FBC84" w:rsidR="00545D53" w:rsidRDefault="00545D53">
      <w:pPr>
        <w:spacing w:line="259" w:lineRule="auto"/>
        <w:rPr>
          <w:rFonts w:ascii="Trebuchet MS" w:eastAsia="SimSun" w:hAnsi="Trebuchet MS" w:cs="Tahoma"/>
          <w:bCs/>
          <w:color w:val="000000"/>
          <w:sz w:val="24"/>
          <w:szCs w:val="24"/>
          <w:lang w:eastAsia="zh-CN"/>
        </w:rPr>
      </w:pPr>
    </w:p>
    <w:p w14:paraId="1385D514" w14:textId="77777777" w:rsidR="00B86E29" w:rsidRPr="00D67BF8" w:rsidRDefault="00B86E29" w:rsidP="00B86E29">
      <w:pPr>
        <w:pStyle w:val="NormalWeb"/>
        <w:spacing w:before="0" w:beforeAutospacing="0" w:after="0" w:afterAutospacing="0"/>
        <w:ind w:right="-334"/>
        <w:rPr>
          <w:rFonts w:ascii="Trebuchet MS" w:hAnsi="Trebuchet MS" w:cs="Tahoma"/>
          <w:bCs/>
          <w:sz w:val="24"/>
          <w:szCs w:val="24"/>
        </w:rPr>
      </w:pPr>
    </w:p>
    <w:p w14:paraId="37D4117D" w14:textId="77777777" w:rsidR="00B86E29" w:rsidRDefault="00B86E29" w:rsidP="00B86E29"/>
    <w:p w14:paraId="799F82C2" w14:textId="77777777" w:rsidR="00FD5E8E" w:rsidRDefault="00FD5E8E" w:rsidP="004675D6">
      <w:pPr>
        <w:pStyle w:val="Heading1"/>
      </w:pPr>
    </w:p>
    <w:p w14:paraId="7804B8F0" w14:textId="77777777" w:rsidR="00FD5E8E" w:rsidRDefault="00FD5E8E" w:rsidP="004675D6">
      <w:pPr>
        <w:pStyle w:val="Heading1"/>
      </w:pPr>
    </w:p>
    <w:p w14:paraId="3D4D6168" w14:textId="77777777" w:rsidR="00FD5E8E" w:rsidRDefault="00FD5E8E" w:rsidP="004675D6">
      <w:pPr>
        <w:pStyle w:val="Heading1"/>
      </w:pPr>
    </w:p>
    <w:p w14:paraId="67AE66A7" w14:textId="4D8D8FBB" w:rsidR="004675D6" w:rsidRPr="00545D53" w:rsidRDefault="004675D6" w:rsidP="00545D53">
      <w:pPr>
        <w:pStyle w:val="Heading1"/>
        <w:jc w:val="center"/>
        <w:rPr>
          <w:sz w:val="52"/>
          <w:szCs w:val="52"/>
        </w:rPr>
      </w:pPr>
      <w:r w:rsidRPr="00545D53">
        <w:rPr>
          <w:sz w:val="52"/>
          <w:szCs w:val="52"/>
        </w:rPr>
        <w:t>Contents</w:t>
      </w:r>
    </w:p>
    <w:p w14:paraId="4E767FC0" w14:textId="77777777" w:rsidR="00FD5E8E" w:rsidRPr="00545D53" w:rsidRDefault="00FD5E8E" w:rsidP="00545D53">
      <w:pPr>
        <w:jc w:val="center"/>
        <w:rPr>
          <w:sz w:val="40"/>
          <w:szCs w:val="40"/>
          <w:lang w:eastAsia="zh-CN"/>
        </w:rPr>
      </w:pPr>
    </w:p>
    <w:p w14:paraId="06D86F4C" w14:textId="4D1EC6E2" w:rsidR="004675D6" w:rsidRPr="00713514" w:rsidRDefault="004675D6" w:rsidP="00545D53">
      <w:pPr>
        <w:jc w:val="center"/>
        <w:rPr>
          <w:sz w:val="36"/>
          <w:szCs w:val="36"/>
          <w:lang w:eastAsia="zh-CN"/>
        </w:rPr>
      </w:pPr>
      <w:r w:rsidRPr="00713514">
        <w:rPr>
          <w:sz w:val="36"/>
          <w:szCs w:val="36"/>
          <w:lang w:eastAsia="zh-CN"/>
        </w:rPr>
        <w:t>Introduction</w:t>
      </w:r>
      <w:r w:rsidR="00FD5E8E" w:rsidRPr="00713514">
        <w:rPr>
          <w:sz w:val="36"/>
          <w:szCs w:val="36"/>
          <w:lang w:eastAsia="zh-CN"/>
        </w:rPr>
        <w:t xml:space="preserve">- Page </w:t>
      </w:r>
      <w:r w:rsidR="00266CFB" w:rsidRPr="00713514">
        <w:rPr>
          <w:sz w:val="36"/>
          <w:szCs w:val="36"/>
          <w:lang w:eastAsia="zh-CN"/>
        </w:rPr>
        <w:t>3</w:t>
      </w:r>
    </w:p>
    <w:p w14:paraId="28CA75E0" w14:textId="6A6C5A11" w:rsidR="004675D6" w:rsidRPr="00713514" w:rsidRDefault="00F879E4" w:rsidP="00545D53">
      <w:pPr>
        <w:jc w:val="center"/>
        <w:rPr>
          <w:sz w:val="36"/>
          <w:szCs w:val="36"/>
          <w:lang w:eastAsia="zh-CN"/>
        </w:rPr>
      </w:pPr>
      <w:r w:rsidRPr="00713514">
        <w:rPr>
          <w:sz w:val="36"/>
          <w:szCs w:val="36"/>
          <w:lang w:eastAsia="zh-CN"/>
        </w:rPr>
        <w:t xml:space="preserve">Chapter One: Costume </w:t>
      </w:r>
      <w:r w:rsidR="00FD5E8E" w:rsidRPr="00713514">
        <w:rPr>
          <w:sz w:val="36"/>
          <w:szCs w:val="36"/>
          <w:lang w:eastAsia="zh-CN"/>
        </w:rPr>
        <w:t xml:space="preserve">– Page </w:t>
      </w:r>
      <w:r w:rsidR="00266CFB" w:rsidRPr="00713514">
        <w:rPr>
          <w:sz w:val="36"/>
          <w:szCs w:val="36"/>
          <w:lang w:eastAsia="zh-CN"/>
        </w:rPr>
        <w:t>3</w:t>
      </w:r>
      <w:r w:rsidRPr="00713514">
        <w:rPr>
          <w:sz w:val="36"/>
          <w:szCs w:val="36"/>
          <w:lang w:eastAsia="zh-CN"/>
        </w:rPr>
        <w:br/>
        <w:t xml:space="preserve">Chapter Two: Writings </w:t>
      </w:r>
      <w:r w:rsidR="00FD5E8E" w:rsidRPr="00713514">
        <w:rPr>
          <w:sz w:val="36"/>
          <w:szCs w:val="36"/>
          <w:lang w:eastAsia="zh-CN"/>
        </w:rPr>
        <w:t xml:space="preserve">– Page </w:t>
      </w:r>
      <w:r w:rsidR="00266CFB" w:rsidRPr="00713514">
        <w:rPr>
          <w:sz w:val="36"/>
          <w:szCs w:val="36"/>
          <w:lang w:eastAsia="zh-CN"/>
        </w:rPr>
        <w:t>8</w:t>
      </w:r>
      <w:r w:rsidRPr="00713514">
        <w:rPr>
          <w:sz w:val="36"/>
          <w:szCs w:val="36"/>
          <w:lang w:eastAsia="zh-CN"/>
        </w:rPr>
        <w:br/>
        <w:t xml:space="preserve">Chapter Three: Acting </w:t>
      </w:r>
      <w:r w:rsidR="00FD5E8E" w:rsidRPr="00713514">
        <w:rPr>
          <w:sz w:val="36"/>
          <w:szCs w:val="36"/>
          <w:lang w:eastAsia="zh-CN"/>
        </w:rPr>
        <w:t>– Page 1</w:t>
      </w:r>
      <w:r w:rsidR="00266CFB" w:rsidRPr="00713514">
        <w:rPr>
          <w:sz w:val="36"/>
          <w:szCs w:val="36"/>
          <w:lang w:eastAsia="zh-CN"/>
        </w:rPr>
        <w:t>2</w:t>
      </w:r>
    </w:p>
    <w:p w14:paraId="49A4CE9D" w14:textId="723EBEB5" w:rsidR="00F879E4" w:rsidRPr="00713514" w:rsidRDefault="00F879E4" w:rsidP="00545D53">
      <w:pPr>
        <w:jc w:val="center"/>
        <w:rPr>
          <w:sz w:val="36"/>
          <w:szCs w:val="36"/>
          <w:lang w:eastAsia="zh-CN"/>
        </w:rPr>
      </w:pPr>
      <w:r w:rsidRPr="00713514">
        <w:rPr>
          <w:sz w:val="36"/>
          <w:szCs w:val="36"/>
          <w:lang w:eastAsia="zh-CN"/>
        </w:rPr>
        <w:t xml:space="preserve">Conclusion </w:t>
      </w:r>
      <w:r w:rsidR="00FD5E8E" w:rsidRPr="00713514">
        <w:rPr>
          <w:sz w:val="36"/>
          <w:szCs w:val="36"/>
          <w:lang w:eastAsia="zh-CN"/>
        </w:rPr>
        <w:t>– Page 1</w:t>
      </w:r>
      <w:r w:rsidR="00266CFB" w:rsidRPr="00713514">
        <w:rPr>
          <w:sz w:val="36"/>
          <w:szCs w:val="36"/>
          <w:lang w:eastAsia="zh-CN"/>
        </w:rPr>
        <w:t>6</w:t>
      </w:r>
    </w:p>
    <w:p w14:paraId="04A914CD" w14:textId="3BD515DE" w:rsidR="00F879E4" w:rsidRPr="00713514" w:rsidRDefault="00F879E4" w:rsidP="00545D53">
      <w:pPr>
        <w:jc w:val="center"/>
        <w:rPr>
          <w:sz w:val="36"/>
          <w:szCs w:val="36"/>
          <w:lang w:eastAsia="zh-CN"/>
        </w:rPr>
      </w:pPr>
      <w:r w:rsidRPr="00713514">
        <w:rPr>
          <w:sz w:val="36"/>
          <w:szCs w:val="36"/>
          <w:lang w:eastAsia="zh-CN"/>
        </w:rPr>
        <w:t>Bibliography</w:t>
      </w:r>
      <w:r w:rsidR="00FD5E8E" w:rsidRPr="00713514">
        <w:rPr>
          <w:sz w:val="36"/>
          <w:szCs w:val="36"/>
          <w:lang w:eastAsia="zh-CN"/>
        </w:rPr>
        <w:t>- Page 1</w:t>
      </w:r>
      <w:r w:rsidR="00266CFB" w:rsidRPr="00713514">
        <w:rPr>
          <w:sz w:val="36"/>
          <w:szCs w:val="36"/>
          <w:lang w:eastAsia="zh-CN"/>
        </w:rPr>
        <w:t>6</w:t>
      </w:r>
      <w:r w:rsidR="00FD5E8E" w:rsidRPr="00713514">
        <w:rPr>
          <w:sz w:val="36"/>
          <w:szCs w:val="36"/>
          <w:lang w:eastAsia="zh-CN"/>
        </w:rPr>
        <w:t xml:space="preserve"> </w:t>
      </w:r>
      <w:r w:rsidRPr="00713514">
        <w:rPr>
          <w:sz w:val="36"/>
          <w:szCs w:val="36"/>
          <w:lang w:eastAsia="zh-CN"/>
        </w:rPr>
        <w:br/>
        <w:t>Film List</w:t>
      </w:r>
      <w:r w:rsidR="00FD5E8E" w:rsidRPr="00713514">
        <w:rPr>
          <w:sz w:val="36"/>
          <w:szCs w:val="36"/>
          <w:lang w:eastAsia="zh-CN"/>
        </w:rPr>
        <w:t>- Page 1</w:t>
      </w:r>
      <w:r w:rsidR="00266CFB" w:rsidRPr="00713514">
        <w:rPr>
          <w:sz w:val="36"/>
          <w:szCs w:val="36"/>
          <w:lang w:eastAsia="zh-CN"/>
        </w:rPr>
        <w:t>7</w:t>
      </w:r>
    </w:p>
    <w:p w14:paraId="73C652B4" w14:textId="77777777" w:rsidR="00B86E29" w:rsidRPr="00B86E29" w:rsidRDefault="00B86E29" w:rsidP="00B86E29"/>
    <w:p w14:paraId="07B197AC" w14:textId="77777777" w:rsidR="00FD5E8E" w:rsidRDefault="00FD5E8E" w:rsidP="00AE1C5B">
      <w:pPr>
        <w:pStyle w:val="Heading1"/>
      </w:pPr>
    </w:p>
    <w:p w14:paraId="7CC761A6" w14:textId="77777777" w:rsidR="00FD5E8E" w:rsidRDefault="00FD5E8E">
      <w:pPr>
        <w:spacing w:line="259" w:lineRule="auto"/>
        <w:rPr>
          <w:rFonts w:ascii="Arial" w:eastAsia="SimSun" w:hAnsi="Arial" w:cs="Arial"/>
          <w:b/>
          <w:bCs/>
          <w:kern w:val="32"/>
          <w:sz w:val="32"/>
          <w:szCs w:val="32"/>
          <w:lang w:eastAsia="zh-CN"/>
        </w:rPr>
      </w:pPr>
      <w:r>
        <w:br w:type="page"/>
      </w:r>
    </w:p>
    <w:p w14:paraId="2205AD7F" w14:textId="77777777" w:rsidR="00FD5E8E" w:rsidRDefault="00FD5E8E" w:rsidP="00AE1C5B">
      <w:pPr>
        <w:pStyle w:val="Heading1"/>
      </w:pPr>
    </w:p>
    <w:p w14:paraId="7136C46C" w14:textId="5FE7BB46" w:rsidR="008B45E8" w:rsidRPr="00FD5E8E" w:rsidRDefault="00AE1C5B" w:rsidP="00FD5E8E">
      <w:pPr>
        <w:pStyle w:val="Heading1"/>
      </w:pPr>
      <w:r>
        <w:t xml:space="preserve">Introduction </w:t>
      </w:r>
    </w:p>
    <w:p w14:paraId="5D1A5413" w14:textId="77777777" w:rsidR="008B45E8" w:rsidRDefault="008B45E8" w:rsidP="008B45E8">
      <w:r>
        <w:t xml:space="preserve">Our modern world is full of normative gender roles and a lot of focus is placed on stereotyping, especially in the media. Think of something as simple as children’s toys, there is absolutely nothing in our biology that states children with vaginas will enjoy playing with makeup sets and children with penises will enjoy playing with race-cars, yet those are the sort of things we see everyday in advertisements or shows themselves. We live in a highly gendered society in which men and women can still be paid an unequal amount for performing the same job and young boys get ridiculed for coming to school wearing nail polish. This is just how western society is today, but the same things cannot be said in other societies. Although Ancient Egypt was also a highly gendered society, their idea of gender roles comes a lot farther than ‘blue is for boys and pink is for girls’ and focusses more on the idea that certain jobs are male or female, it doesn’t matter whether the person performing them has a vagina or a penis. The role of Pharaoh is a male office but has been held by a female on multiple occasions, for example Hatshepsut is portrayed in art as female, female with male characteristics, androgynous and with a male body as while she acts as Pharaoh, she is acting as a male. </w:t>
      </w:r>
      <w:r>
        <w:rPr>
          <w:rStyle w:val="FootnoteReference"/>
        </w:rPr>
        <w:footnoteReference w:id="1"/>
      </w:r>
      <w:r>
        <w:t xml:space="preserve"> Professor Joann Fletcher states that in Egypt ‘women had more rights than anywhere else in the Ancient World’ so why then, do films often, apply modern gender stereotypes to these ancient women? This work will analyse how Ancient Egyptian women are presented in film, look for possible reasons why they are presented in that way and discuss any knock-on effects this has on modern society. </w:t>
      </w:r>
    </w:p>
    <w:p w14:paraId="56184C05" w14:textId="7A555367" w:rsidR="008B45E8" w:rsidRDefault="008B45E8" w:rsidP="008B45E8">
      <w:r>
        <w:t>Western Civilisation has always been fascinated with pharaonic Egypt, dating all the way back to fifth century BC author Herodotus who dedicated the second book of his ‘histories’ towards a description of Egyptian society. The fascination with Ancient Egypt has led to things like mummies being used for medicinal purposes thanks to the supposed ‘magic that they contained and even used for entertainment in the form of unwrapping parties popular with businessmen of the nineteenth century, so it should come to no surprise that they have also been featured in many, many films over the past 100 years.</w:t>
      </w:r>
      <w:r>
        <w:rPr>
          <w:rStyle w:val="FootnoteReference"/>
        </w:rPr>
        <w:footnoteReference w:id="2"/>
      </w:r>
      <w:r>
        <w:t xml:space="preserve"> The films discussed in this dissertation have been chosen to represent a range of genres, target audiences and years in which they were made to be able to provide an overview as it would be impossible to analyse every single film in detail. The analysis itself will be split into three chapters, each taking a key element of filmmaking and character building; costume, writing and acting. </w:t>
      </w:r>
    </w:p>
    <w:p w14:paraId="3C9E283A" w14:textId="5014F807" w:rsidR="008B45E8" w:rsidRDefault="008B45E8" w:rsidP="00AE1C5B">
      <w:pPr>
        <w:pStyle w:val="Heading1"/>
      </w:pPr>
      <w:r>
        <w:t xml:space="preserve">Chapter </w:t>
      </w:r>
      <w:r w:rsidR="00FD5E8E">
        <w:t>One</w:t>
      </w:r>
      <w:r>
        <w:t xml:space="preserve">: Costume </w:t>
      </w:r>
    </w:p>
    <w:p w14:paraId="1A7A1216" w14:textId="77777777" w:rsidR="008B45E8" w:rsidRDefault="008B45E8" w:rsidP="008B45E8">
      <w:r>
        <w:t xml:space="preserve">One of the most obvious signs of sexualisation comes from costume. You don’t need to have seen an entire film to know immediately whether it is going to be more fiction than fact. The more innocent reasons come from lack of research, lack of available materials and budget. Costuming is such a huge part of films. There is multiple costume designers, creators, fitters, on set designers. When it comes to historical films there is lots more to take into consideration, especially to argument of historical accuracy vs characterisation. </w:t>
      </w:r>
    </w:p>
    <w:p w14:paraId="5814A7BD" w14:textId="77777777" w:rsidR="008B45E8" w:rsidRDefault="008B45E8" w:rsidP="008B45E8">
      <w:r>
        <w:t xml:space="preserve">This is an important argument to have when working on anything from books to stage to screen, if something is set in a certain time period, do you want to portray women as they actually were, or a westernised version so that their characters and personality can be more accessible to a modern audience. For example Ancient Greeks valued monobrows as a sign of beauty and intelligence,  </w:t>
      </w:r>
      <w:r>
        <w:lastRenderedPageBreak/>
        <w:t>women who didn’t naturally have one would colour them in using dark paint.</w:t>
      </w:r>
      <w:r>
        <w:rPr>
          <w:rStyle w:val="FootnoteReference"/>
        </w:rPr>
        <w:footnoteReference w:id="3"/>
      </w:r>
      <w:r>
        <w:t xml:space="preserve"> However, in modern movies set in Ancient Greece we rarely see this, possibly due to ignorance but realistically if you were trying to portray to an audience that this woman was very beautiful, it makes sense to use modern beauty standards instead of confusing an audience and possibly accidently creating humour due to the audiences ignorance.  </w:t>
      </w:r>
    </w:p>
    <w:p w14:paraId="2B73DE05" w14:textId="77777777" w:rsidR="008B45E8" w:rsidRDefault="008B45E8" w:rsidP="008B45E8">
      <w:r>
        <w:t>It is already quite easy to project modern beauty standards onto Ancient Egyptian women as we use quite a few of their techniques in the 21</w:t>
      </w:r>
      <w:r w:rsidRPr="007C539B">
        <w:rPr>
          <w:vertAlign w:val="superscript"/>
        </w:rPr>
        <w:t>st</w:t>
      </w:r>
      <w:r>
        <w:t xml:space="preserve"> century. For example, it is commonly expected in western civilisation for women to be clean shaven from the neck down and similarly Ancient Egyptian Women were often clean shaven.</w:t>
      </w:r>
      <w:r>
        <w:rPr>
          <w:rStyle w:val="FootnoteReference"/>
        </w:rPr>
        <w:footnoteReference w:id="4"/>
      </w:r>
      <w:r>
        <w:t xml:space="preserve"> However this is not for the aesthetic reasons of the 21</w:t>
      </w:r>
      <w:r w:rsidRPr="007C539B">
        <w:rPr>
          <w:vertAlign w:val="superscript"/>
        </w:rPr>
        <w:t>st</w:t>
      </w:r>
      <w:r>
        <w:t xml:space="preserve"> century, this was mostly due to the climate in Ancient Egypt, the high temperatures and humidity meaning most female and males were clean shaven from head to foot with wigs and headdresses popular (especially among the upper classes of society) to both cover the baldness and protect their heads from burning.  </w:t>
      </w:r>
      <w:r>
        <w:rPr>
          <w:rStyle w:val="FootnoteReference"/>
        </w:rPr>
        <w:footnoteReference w:id="5"/>
      </w:r>
    </w:p>
    <w:p w14:paraId="17192FEC" w14:textId="1F12FCF4" w:rsidR="008B45E8" w:rsidRDefault="008B45E8" w:rsidP="008B45E8">
      <w:r>
        <w:t xml:space="preserve">Another modern beauty trend that had a sensibly function in Ancient Egypt was the use of dark </w:t>
      </w:r>
      <w:r w:rsidR="00545D53">
        <w:t>kohl</w:t>
      </w:r>
      <w:r>
        <w:t xml:space="preserve"> eyeliners. These smudgy looks have been popular since the 1920s and eyeliner has only been getting bigger and better since with the popularisation of ‘winged’ in the 50s and 60s thanks to people like Audrey Hepburn and Brigette Bardot with her famous ‘cat-eyed’. Big eyeliner is one of the main thing you think of when picturing Ancient Egypt, their artwork often featuring massive dark eyes and brows, however this again wasn’t simply for aesthetic reasons but mainly to protect against the sun and also to ward off diseases. The dark lead based eyeliner is now known to be highly dangerous thanks to the poisonous properties associated with lead that often lead to miscarriages and brain damage, however scientists have now discovered that the Ancient Egyptians didn’t just use natural ingredients but rather synthesized it themselves. </w:t>
      </w:r>
      <w:r>
        <w:rPr>
          <w:rStyle w:val="FootnoteReference"/>
        </w:rPr>
        <w:footnoteReference w:id="6"/>
      </w:r>
      <w:r>
        <w:t xml:space="preserve">  They used lead based salts to help treat infections of the eye as well as discolouration and scars, never discovering the painful long-term effects due to their limited lifespan. </w:t>
      </w:r>
    </w:p>
    <w:p w14:paraId="3C503CDD" w14:textId="1EA9B7DE" w:rsidR="008B45E8" w:rsidRDefault="008B45E8" w:rsidP="008B45E8">
      <w:r>
        <w:t>For modern society, the way they present themselves, their hair and makeup, their clothes have a majority aesthetic value. Obviously we have things like wellington boots and cagoules that have a practical purpose, but even then we can get all sorts of differently shaped and patterned ones for various prices that have nothing to do with practical purpose. It is in the name of aesthetic beauty and how we present ourselves. We live in a highly beauty focussed society in which human beings themselves are both canvas and artist.</w:t>
      </w:r>
      <w:r w:rsidR="00F65673">
        <w:t xml:space="preserve"> </w:t>
      </w:r>
      <w:r>
        <w:t xml:space="preserve">An example of this is the fact that makeup professionals are called ‘artists’. There are lots of designers and artists working on a film with their jobs being not to decorate set or scenery, but rather the actors themselves. </w:t>
      </w:r>
    </w:p>
    <w:p w14:paraId="6D3BB2BD" w14:textId="77777777" w:rsidR="008B45E8" w:rsidRDefault="008B45E8" w:rsidP="008B45E8">
      <w:r>
        <w:t xml:space="preserve">A key thing to remember when analysing costumes for evidence of sexualisation is to not jump to conclusions, especially when discussing Ancient Egypt since- as we have already discussed- there was such a hot climate and therefore it is unrealistic to believe that these women would be dully covered up. Also key to remember is the fact that what might seem acceptable for a western audience for example, might be seen as indecent to another society.  Beauty standards as well as the idea of ‘fully covered’ or ‘indecent’ are just social constructs and differs between people, societies, genders, religions etc.  </w:t>
      </w:r>
    </w:p>
    <w:p w14:paraId="2644EF4D" w14:textId="5E45DD69" w:rsidR="008B45E8" w:rsidRDefault="008B45E8" w:rsidP="008B45E8">
      <w:r>
        <w:lastRenderedPageBreak/>
        <w:t>An example of where jumping to conclusions is the most obvious would come in the costume worn by Patricia Velasquez as Anck-Su-Namun in Stephen Sommers 1999 version of ‘The Mummy’. In the first scene she is seen wearing what looks like gold netting covering her breasts, with a necklace and a belt. Due to the fact that breasts have become highly sexualised for a modern audience in a way that they never were for ancient peoples (look to Greek and Roman statues) it is easy to see why uninformed people would instantly see this as a Hollywood sexualisation of a female character whereas there is actually some fact behind her costume. We have surviving examples of bead-net dresses, such as one currently in the Boston Museum, with very similar design on the top half- though it was thought that the dress was to be worn on top of linen or else sown into a linen dress.</w:t>
      </w:r>
      <w:r>
        <w:rPr>
          <w:rStyle w:val="FootnoteReference"/>
        </w:rPr>
        <w:footnoteReference w:id="7"/>
      </w:r>
      <w:r>
        <w:t xml:space="preserve"> However, there is evidence for inspiration in the form of ‘The Story of the Green Jewel’ in which King Snefru makes the prettiest girls in his harem dress in </w:t>
      </w:r>
      <w:r w:rsidR="00545D53">
        <w:t>fisherman’s</w:t>
      </w:r>
      <w:r>
        <w:t xml:space="preserve"> nets and row him across a river. This actually is a nice nod to Anck-Su-Namun’s status as mistress of the Pharaoh and is good inspiration for her costume, even if it is not completely accurate.  Dr Colleen Darnell also notes the similarity between the pectoral worn by Velasquez in the film and one worn by Princess Sithathoryunet which is currently held by the Met Museum (</w:t>
      </w:r>
      <w:r w:rsidR="00545D53">
        <w:t>ascension</w:t>
      </w:r>
      <w:r>
        <w:t xml:space="preserve"> number </w:t>
      </w:r>
      <w:r w:rsidRPr="004232C0">
        <w:t>16.1.3a, b</w:t>
      </w:r>
      <w:r>
        <w:t>) again proving that this costume was not just a classic case of sexualisation, but rather a well-researched design with real inspirations, granted the skirt is not classical design and her the Egyptians would have favoured a matte red lip but overall it is not the blind sexualised outfit it seems on first glance and it is not unreasonable to argue that this sexual presentation of Anack-Su-Namun was necessary to show her status to a modern audience who do not understand these social cues.</w:t>
      </w:r>
      <w:r>
        <w:rPr>
          <w:rStyle w:val="FootnoteReference"/>
        </w:rPr>
        <w:footnoteReference w:id="8"/>
      </w:r>
      <w:r>
        <w:rPr>
          <w:rStyle w:val="FootnoteReference"/>
        </w:rPr>
        <w:footnoteReference w:id="9"/>
      </w:r>
    </w:p>
    <w:p w14:paraId="3D9D3384" w14:textId="394C002D" w:rsidR="008B45E8" w:rsidRDefault="008B45E8" w:rsidP="008B45E8">
      <w:r>
        <w:t xml:space="preserve">The 1999 film based on Andrew Lloyd Webber’s ‘Joseph and the Amazing Technicolour Dreamcoat’ directed by David Mallet however has no such excuses.  The film stars Joan Collins in the role of ‘Potifer’s Wife’ an unnamed character, surprisingly considering her importance in the storyline. The story of Joseph in Egypt is generally traced somewhere between 2000 and 1600 BCE and therefore could take place in either the Middle Kingdom or the Second Intermediate Period. In an essay for BibleWise, </w:t>
      </w:r>
      <w:r w:rsidRPr="0081006D">
        <w:t>Mary Jane Chaignot</w:t>
      </w:r>
      <w:r>
        <w:t xml:space="preserve"> argues that due to hints in the bible (such as the pharaoh preferring his servants clean shaven and the price that Joseph was sold for) it is most likely that Joseph served under King  </w:t>
      </w:r>
      <w:r w:rsidRPr="0081006D">
        <w:t>Sesostris II</w:t>
      </w:r>
      <w:r>
        <w:t>, placing him in Egypt during the Middle Kingdom.</w:t>
      </w:r>
      <w:r>
        <w:rPr>
          <w:rStyle w:val="FootnoteReference"/>
        </w:rPr>
        <w:footnoteReference w:id="10"/>
      </w:r>
      <w:r>
        <w:t xml:space="preserve"> If we go by that reasoning that means that the fashions in Egypt at that time consisted of shoulder length hair/wigs as well as cotton sheet dresses ornamented with a belt and a plunging neckline. There is also evidence of dresses that began at the waist and were held up by straps covering the breasts. The costume worn by Collins in the film is very different. She wears a sparkly black dress that goes beyond ankle length but has a large slit from the floor to the upper thigh giving the illusion of a much shorter length. The dress</w:t>
      </w:r>
      <w:r w:rsidR="00545D53">
        <w:t xml:space="preserve"> </w:t>
      </w:r>
      <w:r>
        <w:t xml:space="preserve">ends just below her breasts, framing them in a corset like fashion. Around her neck she wears a traditionally large necklace of black with a white stripe through it, this sweeps down past her neckline and resting just above her nipples. Her breasts are accented by the contrasting dark colours of the necklace and the dress and are ‘covered’ in the sense that they are make white and glittery and the nipples dark and glittery drawing our attention to them in a way that the Ancient Egyptians never did. Although dresses that started below the waist was common, there is no clear evidence that shows the ancient Egyptians purposely showing off a woman’s breasts, due to the aforementioned lack of sexualisation and sensualisation that exists today. </w:t>
      </w:r>
    </w:p>
    <w:p w14:paraId="52CE20ED" w14:textId="3865C94A" w:rsidR="008B45E8" w:rsidRDefault="008B45E8" w:rsidP="008B45E8">
      <w:r>
        <w:t xml:space="preserve">The character of Potiphar’s wife is a seductress. She exists in the story for the one purpose of drawing Joseph away from Potiphar and eventually getting him imprisoned, therefore you can see </w:t>
      </w:r>
      <w:r>
        <w:lastRenderedPageBreak/>
        <w:t xml:space="preserve">why the costume designer decided on the black and white colour theme as a contrast to Joseph’s coloured coat and showing her instantly as the villain of the piece, and you could argue that her over sexualised costume and lack of accuracy pertaining Ancient Egyptian outerwear is due to the genre of the piece being that of a bible story turned musical translated to film and therefore there was no real need for a historian on set. However it does raise questions when considering the fact that the premise of the film is that of a ‘school assembly’ and therefore making the target audience school children so why would the blatant sexualisation be necessary? Why take the effort to emphasize a woman’s breasts and her role as seductress to an audience that is not old enough to appreciate a woman’s breasts as anything other than its primary function of breastfeeding? It is worth noting that during this song she rips Joseph’s top off and he remains topless for the rest of the film as well, but unlike the </w:t>
      </w:r>
      <w:r w:rsidR="00545D53">
        <w:t>Potiphar’s</w:t>
      </w:r>
      <w:r>
        <w:t xml:space="preserve"> wife and the other ‘Egyptian’ Women, no effort is made to draw attention to any part of his body, such as the slit that draws attention to Collin’s bare legs or the way her ‘attendants’ are dressed in sheer tops and miniskirts with glitter around the nipples.  It is only the Ancient Egyptian Women shown in this manner. </w:t>
      </w:r>
    </w:p>
    <w:p w14:paraId="4D16BA46" w14:textId="5B6CE823" w:rsidR="008B45E8" w:rsidRDefault="008B45E8" w:rsidP="008B45E8">
      <w:r>
        <w:t xml:space="preserve">Another film where an Ancient Egyptian woman is presented as a seductress comes in the form of </w:t>
      </w:r>
      <w:r w:rsidRPr="00F84A1A">
        <w:t>Joseph L. Mankiewicz</w:t>
      </w:r>
      <w:r>
        <w:t>’ epic 1963 film ‘Cleopatra’. This big Hollywood epic was one of the most expensive films ever made with a whopping $194,000 being dedicated to Elisabeth Taylor’s (the actress of the titular character) wardrobe alone.</w:t>
      </w:r>
      <w:r>
        <w:rPr>
          <w:rStyle w:val="FootnoteReference"/>
        </w:rPr>
        <w:footnoteReference w:id="11"/>
      </w:r>
      <w:r>
        <w:t xml:space="preserve"> This combined with the fact that the costume designer </w:t>
      </w:r>
      <w:r w:rsidRPr="004579FF">
        <w:t>Renié Conle</w:t>
      </w:r>
      <w:r>
        <w:t>y’s name features quite prominently in the opening credits means that we can assume that costume, hair, makeup and Cleopatra’s general appearance was of massive importance in this film. Cleopatra alone had 65 different costumes, and they all seem to have one feature in common, they all try to draw attention to her face and neckline. It would be impossible to analyse all 65 different costumes and look to their inspirations and the reasons for this generalised statement as have been done with the previous two films mentioned in this chapter, however it is reported that the designers themselves wanted to emphasize Taylor’s ‘</w:t>
      </w:r>
      <w:r w:rsidRPr="000F4B71">
        <w:t>beauty and sexuality over historical accuracy</w:t>
      </w:r>
      <w:r>
        <w:t>’.</w:t>
      </w:r>
      <w:r>
        <w:rPr>
          <w:rStyle w:val="FootnoteReference"/>
        </w:rPr>
        <w:footnoteReference w:id="12"/>
      </w:r>
      <w:r>
        <w:t xml:space="preserve"> Her most famous costume comes in the form of the 24carat gold outfit she wore upon Cleopatra’s triumphant entry into Rome and again in her iconic death scene. </w:t>
      </w:r>
    </w:p>
    <w:p w14:paraId="7BF4F3AE" w14:textId="1D1A658F" w:rsidR="008B45E8" w:rsidRDefault="008B45E8" w:rsidP="008B45E8">
      <w:r>
        <w:t>Cleopatra’s connection to Isis is established earlier in the film, therefore it makes sense that when making an entrance she would choose to represent herself as a goddess rather than simply a queen and this connection is actually based on historical fact. Plutarch’s ‘Life of Antony’ stated that Cleopatra dressed like Isis during the Donations at Alexandria and she and he son Caesarian are often pictured in a godlike manner when represented in art from this time.</w:t>
      </w:r>
      <w:r>
        <w:rPr>
          <w:rStyle w:val="FootnoteReference"/>
        </w:rPr>
        <w:footnoteReference w:id="13"/>
      </w:r>
      <w:r>
        <w:t xml:space="preserve">  She wears a fully god outfit including a tall divine headdress featuring the feathers, horns and solar disk that are only seen on goddesses, mainly on the goddess Isis though often seen on representations of other mother goddesses as well, such as Hathor the cow goddess (hence the horns). In this case however going by the ideas already established in the film as Cleopatra as Isis on earth it is clear she means to emulate her. This is reinforced by the repeated wing iconography in the rest of her outfit such as the wing like pattern of her wig and the golden cape that serves as wings. Isis is often pictured as a falcon or as humanoid with the wings of a falcon. This is due to the way these birds mantle (wrap their wings around their food while they eat to protect it for getting snatched up by scavengers/other predators). Similarly Isis is seen as a protector and a mother goddess.  The fact that the costume designers decided to include these elements shows a great level of research and understanding of the historical queen Cleopatra VII and her influences… or does it? In 2012 the very cape Taylor wore in these scenes was put up for auction with this label; “</w:t>
      </w:r>
      <w:r w:rsidRPr="000706C5">
        <w:t xml:space="preserve">Crafted to resemble the wings of a </w:t>
      </w:r>
      <w:r w:rsidRPr="000706C5">
        <w:lastRenderedPageBreak/>
        <w:t>Phoenix</w:t>
      </w:r>
      <w:r>
        <w:t>…”.</w:t>
      </w:r>
      <w:r>
        <w:rPr>
          <w:rStyle w:val="FootnoteReference"/>
        </w:rPr>
        <w:footnoteReference w:id="14"/>
      </w:r>
      <w:r>
        <w:t xml:space="preserve"> A Phoenix was the inspiration, not the falcon? The Phoenix was an mythological bird of the Ancient Greeks, not the Ancient Egyptians and although the symbology rebirth is very fitting with Cleopatra’s character, the ancient Egyptians believed strongly in the concept of rebirth into the afterlife and therefore had there own symbolic animals and features that could have been employed here (e.g. the Nile rivers were thought of as waters of rebirth thanks to the annual floods and the plant and animal life it provided).</w:t>
      </w:r>
      <w:r>
        <w:rPr>
          <w:rStyle w:val="FootnoteReference"/>
        </w:rPr>
        <w:footnoteReference w:id="15"/>
      </w:r>
      <w:r>
        <w:t xml:space="preserve"> The neckline of her dress is also a lot closer to a western woman’s ‘</w:t>
      </w:r>
      <w:r w:rsidR="00CF3AFC">
        <w:t>cleavage</w:t>
      </w:r>
      <w:r>
        <w:t xml:space="preserve"> revealing’ style, seductive and giving a sneak peak whereas as already stated, the Ancient Egyptians didn’t sexualise breasts in this way, they would have revealed a whole breast or nothing at all rather than a ‘sneak peak’. </w:t>
      </w:r>
    </w:p>
    <w:p w14:paraId="7F355BC2" w14:textId="4037FC24" w:rsidR="008B45E8" w:rsidRDefault="008B45E8" w:rsidP="008B45E8">
      <w:r>
        <w:t>In truth we know nothing about what Cleopatra VII looked like in history as she is portrayed in so many different ways. She is portrayed in Roman coins as a traditional Roman woman, with the large nose as praised by the Romans and her hair in a traditional Roman style of curls and pleats.</w:t>
      </w:r>
      <w:r>
        <w:rPr>
          <w:rStyle w:val="FootnoteReference"/>
        </w:rPr>
        <w:footnoteReference w:id="16"/>
      </w:r>
      <w:r>
        <w:t xml:space="preserve"> Newcastle University’s AD of Archaeological Museums Claire Pickersgill used this as evidence that Cleopatra wasn’t the beauty that  everyone claims she was, however that is just judging by modern beauty standards, for the Romans she displays qualities that they would have found attractive in a woman. </w:t>
      </w:r>
      <w:r>
        <w:rPr>
          <w:rStyle w:val="FootnoteReference"/>
        </w:rPr>
        <w:footnoteReference w:id="17"/>
      </w:r>
      <w:r>
        <w:t xml:space="preserve"> In Egypt however, statues of Cleopatra VII portray her as </w:t>
      </w:r>
      <w:r w:rsidR="00B13923">
        <w:t>classically</w:t>
      </w:r>
      <w:r>
        <w:t xml:space="preserve"> Egyptian such as one currently located in The State Hermitage Museum. This statue made of black basalt was identified as Cleopatra thanks to the Ptolemeic style clothes she wears and the three ureus that only she is seen wearing. </w:t>
      </w:r>
      <w:r>
        <w:rPr>
          <w:rStyle w:val="FootnoteReference"/>
        </w:rPr>
        <w:footnoteReference w:id="18"/>
      </w:r>
      <w:r>
        <w:t xml:space="preserve"> These two radically different portrayals of Cleopatra, as both Roman and Egyptian goes to show her amazing political mind, how she appeases both peoples and they both claim her as someone familiar to them, someone like them. This is another reason why it is ridiculous the amount of money that this film spent on costume budget and made sure to make her seem superficial by having her focussed on her makeup in scenes and showing her getting herself changed and made up with her attendants yet never showing anything like that for the male characters. </w:t>
      </w:r>
    </w:p>
    <w:p w14:paraId="3D0E23ED" w14:textId="5852962D" w:rsidR="008B45E8" w:rsidRDefault="008B45E8" w:rsidP="008B45E8">
      <w:r>
        <w:t xml:space="preserve">In conclusion, it is important to look discuss costume, hair and makeup as this determines an audiences first impression of the character, their personality and whether they will like them or not. The job of the costume designer is to decide how much research they are going to do and how much historical accuracy they want to include as apposed to cinematic flare and other contextual cues about the character’s personalities and even symbolism to reflect their character. Is is not a bad thing to adapt a costume slightly to make it understandable and relatable to a modern audience, however it can be a negative thing when this is just blatant sexualisation rather than thought through moves to reflect a personality. Unfortunately, due to other factors such as writing and editing Ancient Egyptian Women in films are often made to be reflection of tradition western views of a 2D ‘seductress’ and as a result their costumes reflect this. This has knock on effects in the real world such as these costumes being associated with real people such as cleopatra and through reinforcement in the form of things like Halloween costumes and makeup trends, these become </w:t>
      </w:r>
      <w:r>
        <w:lastRenderedPageBreak/>
        <w:t xml:space="preserve">more well known than actual fact and can be blamed for a lot of misinformation being spred about these women or Ancient Egyptian Women as a whole.   </w:t>
      </w:r>
    </w:p>
    <w:p w14:paraId="7A72A7A1" w14:textId="21FF24C5" w:rsidR="008B45E8" w:rsidRDefault="008B45E8" w:rsidP="00AE1C5B">
      <w:pPr>
        <w:pStyle w:val="Heading1"/>
      </w:pPr>
      <w:r>
        <w:t xml:space="preserve">Chapter </w:t>
      </w:r>
      <w:r w:rsidR="00FD5E8E">
        <w:t>Two</w:t>
      </w:r>
      <w:r>
        <w:t xml:space="preserve">: Writings </w:t>
      </w:r>
    </w:p>
    <w:p w14:paraId="1B95CF97" w14:textId="77777777" w:rsidR="008B45E8" w:rsidRDefault="008B45E8" w:rsidP="008B45E8">
      <w:r>
        <w:t xml:space="preserve">Writing is an important thing to bring into the discussion when talking about feminism thanks to the important feminist writers such as Virginia Woolf and Simone de Beauvoir who inspired waves with their words. It is also an important topic to discuss in relation to film as you can have the best actors in the world but without a good script you would not have a good film. The script controls the storyline, who lives and who dies, the characters words and interactions. But most importantly, it is important to discuss writings when talking about the Ancient Egyptians because it was so different to our modern understandings. </w:t>
      </w:r>
    </w:p>
    <w:p w14:paraId="5D499052" w14:textId="77777777" w:rsidR="008B45E8" w:rsidRDefault="008B45E8" w:rsidP="008B45E8">
      <w:r>
        <w:t xml:space="preserve">For the Ancient Egyptians, art and writings were one and the same. John Bains writes ‘writing is a system of visual communication as well as a linguistic one. It was invented as the former and became the latter’. </w:t>
      </w:r>
      <w:r>
        <w:rPr>
          <w:rStyle w:val="FootnoteReference"/>
        </w:rPr>
        <w:footnoteReference w:id="19"/>
      </w:r>
      <w:r>
        <w:t xml:space="preserve"> We can see this clearly in the case of Egyptian hieroglyphs used in pharaonic Egypt with their beautiful designs and multiple meanings both literal and abstract. Writing is such an import tool to us in the modern era, with education being seen as a path to freedom and self-improvement, that we can forget that it is not actually a crucial part of being human. For the ancient Egyptians, the writings themselves weren’t important, the oral readings and artistic designs were what made it accessible to everyone. Even if you count read, you could appreciate the artwork and use common sense to discover the general interpretations. some would even argue that it was more inclusive to others than some writings today, especially those found in academia as students are discovering published works are unnecessarily convoluted and need to be read multiple times in order to achieve understanding.    </w:t>
      </w:r>
    </w:p>
    <w:p w14:paraId="6A328A08" w14:textId="77777777" w:rsidR="008B45E8" w:rsidRDefault="008B45E8" w:rsidP="008B45E8">
      <w:r>
        <w:t>Thanks to the fact that in western history, only boys were allowed to go to school while girls were taught to keep house, there is often a misconception that this was the case amongst ancient societies as well. This idea is entirely false, Xenophon tells us that in Ancient Sparta, women were trained just as vigorously as the boys in order to create strong offspring, things like sowing and cooking were left to slaves.</w:t>
      </w:r>
      <w:r>
        <w:rPr>
          <w:rStyle w:val="FootnoteReference"/>
        </w:rPr>
        <w:footnoteReference w:id="20"/>
      </w:r>
      <w:r>
        <w:t xml:space="preserve"> While in Rome, although they didn’t attend school, young girls were literate enough to read and write through private tutors, in many ways receiving a better education than the boys as they avoided the toxic classroom environment and savage beatings that took place.</w:t>
      </w:r>
      <w:r>
        <w:rPr>
          <w:rStyle w:val="FootnoteReference"/>
        </w:rPr>
        <w:footnoteReference w:id="21"/>
      </w:r>
      <w:r>
        <w:t xml:space="preserve"> Ancient Egyptian women were no different. There is little record on anyone male or female being taught to write and as a result many Egyptologist believe the civilisation to be largely illiterate- whether this is true or not is a discussion for an entirely different dissertation, however we do have multiple accounts of literate women in Ancient Egypt for example a ‘gods wife’ in the 26</w:t>
      </w:r>
      <w:r w:rsidRPr="00525B36">
        <w:rPr>
          <w:vertAlign w:val="superscript"/>
        </w:rPr>
        <w:t>th</w:t>
      </w:r>
      <w:r>
        <w:t xml:space="preserve"> dynasty employed a female official and there is evidence of female scribes in the entourage of a queen of the 13</w:t>
      </w:r>
      <w:r w:rsidRPr="00024F6A">
        <w:rPr>
          <w:vertAlign w:val="superscript"/>
        </w:rPr>
        <w:t>th</w:t>
      </w:r>
      <w:r>
        <w:t xml:space="preserve"> dynasty. </w:t>
      </w:r>
    </w:p>
    <w:p w14:paraId="2FE6327E" w14:textId="77777777" w:rsidR="008B45E8" w:rsidRDefault="008B45E8" w:rsidP="008B45E8">
      <w:r>
        <w:t xml:space="preserve">Most, if not all of the films mentioned in this piece come from this western eye where we tend to write ancient civilisations according to our own experiences and teachings. While that can be a good thing from a movie makers perspective in the way that they are creating characters that the audience can relate to, It can also be damaging from a historian’s perspective as they are reducing these great people to 2D archetypal characters instead of fleshed out, real people with thoughts and feelings. This is a problem that most movies are very guilty of, not just in portraying real people but also in any book to movie conversion. The average movie is approximately 1 and a half hours long, </w:t>
      </w:r>
      <w:r>
        <w:lastRenderedPageBreak/>
        <w:t xml:space="preserve">with the longest getting up to 3 hours and the shortest reaching 45 minutes, this is realistically how long people can sit in a cinema for without needing to miss some of the action to visit the bathroom or get bored and restless. With this time restriction, it is hard to fit everything from a book in the movie and things need to be cut. This differs on the genre of the story/movie and the plot, however many directors wish to tell the whole story so a lot of the action gets left in and what gets cut are interactions between characters, tiny snippets that are meaningless in the face of the plot, but are so telling about a character’s mood, backstory, beliefs or even development. The main offender for things like this is in big action movies, which unfortunately most movies on Ancient Civilisations end up becoming. </w:t>
      </w:r>
    </w:p>
    <w:p w14:paraId="2D2BE098" w14:textId="480ADAAE" w:rsidR="008B45E8" w:rsidRDefault="008B45E8" w:rsidP="008B45E8">
      <w:r>
        <w:t>One example of a movie wherein the time limit severely impacts the characterisation can be found in one version of Shakespeare’s ‘</w:t>
      </w:r>
      <w:r w:rsidR="00456DE0">
        <w:t>Antony and Cleopatra</w:t>
      </w:r>
      <w:r>
        <w:t xml:space="preserve">’ directed by Charles Heston in 1972. Since this was originally written as a play, it was substantially longer than traditional film times due to the fact that they have intervals written in. An interval allows both audience and actors a break to visit the lavatory, get something to eat/ drink or to just digest and discuss the action so far. These are not present for cinema goers for whom the experience is more immersive with the dark room and loud sound being the only thing they see or hear and an interval would ruin the immersion and transport people back into ‘real life’. Where a film is immersive in this area, a play, especially a Shakespeare usually involves the audience through some form of participation. Due to the highly different nature of these two experiences, translating something from stage to screen is not the simple job it looks at first glance. Just looking at act 1 scene one of the play and comparing it to the first scene of the film we can see where the writing has clearly minimised the part of Cleopatra from confident queen to silent ‘love interest’. </w:t>
      </w:r>
    </w:p>
    <w:p w14:paraId="0753F260" w14:textId="07EC2D9C" w:rsidR="008B45E8" w:rsidRDefault="008B45E8" w:rsidP="008B45E8">
      <w:r>
        <w:t xml:space="preserve">In </w:t>
      </w:r>
      <w:r w:rsidR="00B13923">
        <w:t>Shakespeare’s</w:t>
      </w:r>
      <w:r>
        <w:t xml:space="preserve"> script, Cleopatra has long, poetic speeches in the first scene as she begs Antony to stop and hear what his messenger has to say, she knows the importance of it, stating “A</w:t>
      </w:r>
      <w:r w:rsidRPr="00B31C62">
        <w:t>s I am Egypt's queen</w:t>
      </w:r>
      <w:r>
        <w:t>”</w:t>
      </w:r>
      <w:r w:rsidR="00AF7F04">
        <w:t>(</w:t>
      </w:r>
      <w:r w:rsidR="00AF7F04">
        <w:rPr>
          <w:i/>
          <w:iCs/>
        </w:rPr>
        <w:t>Antony and Cleopatra</w:t>
      </w:r>
      <w:r w:rsidR="00456DE0">
        <w:rPr>
          <w:i/>
          <w:iCs/>
        </w:rPr>
        <w:t xml:space="preserve"> </w:t>
      </w:r>
      <w:r w:rsidR="00456DE0">
        <w:t>1972)</w:t>
      </w:r>
      <w:r>
        <w:t>. She is telling the audience as well as Antony that she is intelligent and capable, she understands palace life and the pressures and responsibilities of ruling and begs Antony to pay attention to the needs of his country. She also acknowledges Antony’s wife Fulvia, and in doing so shows herself not as a weak-willed women bewitched by Antony and being hidden away and lied to, she is fully aware of the fact that he is married and begs him to hear the messenger as she knows how close Rome is to war over this due to Fulvia’s pedigree and past achievements. She states this by saying ‘Why did he marry Fulvia, and not love her? I'll seem the fool I am not’.</w:t>
      </w:r>
      <w:r>
        <w:rPr>
          <w:rStyle w:val="FootnoteReference"/>
        </w:rPr>
        <w:footnoteReference w:id="22"/>
      </w:r>
      <w:r>
        <w:t xml:space="preserve"> Shakespeare writes Cleopatra IV of Egypt as a queen, an intelligent, powerful royal woman who knows what she</w:t>
      </w:r>
      <w:r w:rsidR="00545D53">
        <w:t>’</w:t>
      </w:r>
      <w:r>
        <w:t xml:space="preserve">s getting into and you can </w:t>
      </w:r>
      <w:r w:rsidR="00B13923">
        <w:t>glimpse</w:t>
      </w:r>
      <w:r>
        <w:t xml:space="preserve"> that from the very first scene, the film version however shows a very different Cleopatra. In the same scene, from the same original script her character is diminished. No longer does she have long elegant speeches arguing with Anthon on why he should do the responsible thing and hear the messenger, instead she has one line ‘what news from Rome?’ </w:t>
      </w:r>
      <w:r w:rsidR="00456DE0">
        <w:t>(</w:t>
      </w:r>
      <w:r w:rsidR="00456DE0">
        <w:rPr>
          <w:i/>
          <w:iCs/>
        </w:rPr>
        <w:t xml:space="preserve">Antony and Cleopatra </w:t>
      </w:r>
      <w:r w:rsidR="00456DE0">
        <w:t xml:space="preserve">1972) </w:t>
      </w:r>
      <w:r>
        <w:t xml:space="preserve">Which is quickly shut down by Antony as he answers “let Rome in Tiber melt…” </w:t>
      </w:r>
      <w:r>
        <w:rPr>
          <w:rStyle w:val="FootnoteReference"/>
        </w:rPr>
        <w:footnoteReference w:id="23"/>
      </w:r>
      <w:r>
        <w:t xml:space="preserve"> Although to some it may seem like a practical cut to get rid of the argument between them and skip to the end for brevities sake, it actually takes so much away concerning the character of Cleopatra and the nature of her relationship with Antony . Our first impression of her as an audience is now of a passive character instead of an active one written by Shakespeare for the play, characterisation taken away to allow for action later or just everyday sexism? Why was Antony allowed to keep one of his passionate speeches and why was he on top of her instead of walking side by side as Shakespeare’s stage directions dictate? When did this equal </w:t>
      </w:r>
      <w:r>
        <w:lastRenderedPageBreak/>
        <w:t xml:space="preserve">affair turn to him having all the power in the scene? These factors are clearly not just about brevity as it happens often to female characters. </w:t>
      </w:r>
    </w:p>
    <w:p w14:paraId="3A860778" w14:textId="0A079B06" w:rsidR="008B45E8" w:rsidRDefault="008B45E8" w:rsidP="008B45E8">
      <w:r>
        <w:t>Reese Witherspoon noted in her 2015 Glamour Women of the Year speech that this happens a lot, not just to ancient women but to female characters in general. Witherspoon bemoans the fact that in too many movies there is a part where the woman turns to the man and asks ‘what do we do now?’</w:t>
      </w:r>
      <w:r>
        <w:rPr>
          <w:rStyle w:val="FootnoteReference"/>
        </w:rPr>
        <w:footnoteReference w:id="24"/>
      </w:r>
      <w:r>
        <w:t xml:space="preserve"> Often these are smart capable women who have shown during the course of their movies that they are capable of independent thought and might even understand the situation more than the men, so why have they been written into this damsel in distress character? This is never more shown by the character of Evelyn from Stephen Sommers’ 1999 film ‘The Mummy’. She is shown to be an incredibly smart, capable young woman from her first scene (if a little clumsy) but the ability to read both hieroglyphs and </w:t>
      </w:r>
      <w:r w:rsidR="00B13923">
        <w:t>hieratic</w:t>
      </w:r>
      <w:r>
        <w:t xml:space="preserve"> is not an easy thing to do, must have taken years of hard work and studying so for someone to have accomplished this so young only shows the depth of her knowledge and dedication. Why then is she written constantly in as a ‘damsel in distress’? Why when it is she who asks him in the first place just for a map (not a guide and certainly not a bodyguard) does he become the big hero saving the day? Why is he the one with all the power in that relationship?</w:t>
      </w:r>
    </w:p>
    <w:p w14:paraId="42D96215" w14:textId="666E38FF" w:rsidR="008B45E8" w:rsidRDefault="008B45E8" w:rsidP="008B45E8">
      <w:r>
        <w:t xml:space="preserve"> A very interesting contrast however is to look at the differences between the ‘modern couple’ of Evelyn and Rick and the ‘ancient couple’ of Imhotep and Anck-Su-Namun. While the ‘damsel in distress’ trope is certainly present the ‘modern couple’s relationship, the same cannot be said of the ancient couple who actually seemed to have a very equally powerful relationship. Although he is the first to draw his sword on the pharaoh when he discovers their affair, she is the first to strike and then they seem to take it in turns, both contributing equally to the death of the pharaoh. </w:t>
      </w:r>
      <w:r>
        <w:rPr>
          <w:rStyle w:val="FootnoteReference"/>
        </w:rPr>
        <w:footnoteReference w:id="25"/>
      </w:r>
      <w:r>
        <w:t xml:space="preserve"> She then chooses to kill herself stating ‘my body is no longer his temple’ </w:t>
      </w:r>
      <w:r w:rsidR="00456DE0">
        <w:t>(</w:t>
      </w:r>
      <w:r w:rsidR="00456DE0">
        <w:rPr>
          <w:i/>
          <w:iCs/>
        </w:rPr>
        <w:t xml:space="preserve">The Mummy </w:t>
      </w:r>
      <w:r w:rsidR="00456DE0">
        <w:t xml:space="preserve">1999) </w:t>
      </w:r>
      <w:r>
        <w:t xml:space="preserve">she maintains her body autonomy and refuses to let the kings bodyguards even touch her, which is a sharp contrast to our ‘modern couple’ in which Rick grabs Evelyn and forcefully kisses her without her consent on their first meeting while he is in jail. This same contrast of relationships is shown towards the end of the film as well where Anck-Su-Namum is being resurrected, before the spell can be finished where the spell book is read from again and a fight breaks out. Where Evelyn is waiting to be rescued, granted she is tied down at the start and cannot do much more, however after that she stays cowered behind Rick and waits for his instruction whereas our Ancient woman takes initiative and tries to kill </w:t>
      </w:r>
      <w:r w:rsidR="00545D53">
        <w:t>Evelyn</w:t>
      </w:r>
      <w:r>
        <w:t xml:space="preserve"> herself, without waiting on Imhotep to do it or tell her to do it. She knows that in order for her to be resurrected then Evelyn must die, doesn’t matter at who’s hand. </w:t>
      </w:r>
    </w:p>
    <w:p w14:paraId="28949127" w14:textId="77777777" w:rsidR="008B45E8" w:rsidRDefault="008B45E8" w:rsidP="008B45E8">
      <w:r>
        <w:t>The contrast between the behaviour of these two couples in this film is particularly interesting because its not just a question of ancient behaviour vs modern behaviour, it’s a question of ‘good vs evil’ as well. Why do the ‘bad guys’ have a better relationship than the ‘good guys’? This is actually a good example of Judith Butler’s gender performativity theory.</w:t>
      </w:r>
      <w:r>
        <w:rPr>
          <w:rStyle w:val="FootnoteReference"/>
        </w:rPr>
        <w:footnoteReference w:id="26"/>
      </w:r>
      <w:r>
        <w:t xml:space="preserve"> In the case of Evelyn and Rick, their relationship is very much them performing their traditional gender roles, man=strong, protector; woman= beautiful, clumsy/cute but what does that say about the ancient characters? Is the fact that they don’t abide by traditional gender norms dehumanising them or could this be the writers acknowledging the fact that these ‘gender performances’ are just social constructs and that this western idea didn’t exist in ancient Egypt. </w:t>
      </w:r>
    </w:p>
    <w:p w14:paraId="6691509E" w14:textId="6B5EE1E2" w:rsidR="008B45E8" w:rsidRDefault="008B45E8" w:rsidP="008B45E8">
      <w:r>
        <w:lastRenderedPageBreak/>
        <w:t>As well as the ‘damsel in distress’ trope, there is another way writers have been lax in creating female characters and that shockingly lies in the question of ‘is there more than one in the film?’.  In 1986 Alison Bechdel published her cartoon strip book ‘Dykes to Watch Out For’ which inspired the commonly called ‘Bechdel Test’ or ‘Bechdel-Wallace Test’.</w:t>
      </w:r>
      <w:r>
        <w:rPr>
          <w:rStyle w:val="FootnoteReference"/>
        </w:rPr>
        <w:footnoteReference w:id="27"/>
      </w:r>
      <w:r>
        <w:t xml:space="preserve">  This is a test that </w:t>
      </w:r>
      <w:r w:rsidR="00B13923">
        <w:t>determines</w:t>
      </w:r>
      <w:r>
        <w:t xml:space="preserve"> the accuracy of female characters in film. These are that (A) There are more than 1 female </w:t>
      </w:r>
      <w:r w:rsidR="00B13923">
        <w:t>character</w:t>
      </w:r>
      <w:r>
        <w:t xml:space="preserve"> (B) that talk to one another (C) about something other than boys (D) these characters must be named. </w:t>
      </w:r>
      <w:r>
        <w:rPr>
          <w:rStyle w:val="FootnoteReference"/>
        </w:rPr>
        <w:footnoteReference w:id="28"/>
      </w:r>
      <w:r>
        <w:t xml:space="preserve"> Characteristic D (that these character’s must be named) was added by Liz Wallace who advocated the test being used in everyday life, especially for cinema goers. Of course this test is not very complex and we cant judge films by that exclusively, as Hickery claims ‘passage of the test does not ensure the quality of writing, or depth of female roles, but it is the best test on gender equity in film we have’.</w:t>
      </w:r>
      <w:r>
        <w:rPr>
          <w:rStyle w:val="FootnoteReference"/>
        </w:rPr>
        <w:footnoteReference w:id="29"/>
      </w:r>
      <w:r>
        <w:t xml:space="preserve"> </w:t>
      </w:r>
    </w:p>
    <w:p w14:paraId="6FCEBA3A" w14:textId="600D9C7D" w:rsidR="008B45E8" w:rsidRDefault="008B45E8" w:rsidP="008B45E8">
      <w:r>
        <w:t xml:space="preserve">The pure amount of films that fail this test is </w:t>
      </w:r>
      <w:r w:rsidR="00B13923">
        <w:t>phenomenal</w:t>
      </w:r>
      <w:r>
        <w:t xml:space="preserve"> and fairly shocking when you think about it. Most of the films mentioned in this writing fail the test or if they pass, do so only upon close analysis and for one tiny moment. An example of this is the film ‘The Prince of Egypt’ Produced by DreamWorks animation Studios in 1998. This film features lots of female characters both in leading roles and the background so surely it passes the test with flying colours? There is more than one leading female character, they are named (Queen Tuya, Miriam and Tzipporah) the only problem is finding them talking to each other about something other than a man. In the first scene, The queen is seen in the company of female slaves, however she does not acknowledge them than handing off her son Ramases to one and glaring at them for looking at baby Moses.  Tzipporah’s sisters talk to her and amongst themselves however it is about Moses trapped in a well and therefore is about a man. Miriam and Tzipporah have a duet about hope, faith and deliverance in the form of the song ‘When You Believe’</w:t>
      </w:r>
      <w:r w:rsidR="008D3FBE">
        <w:t xml:space="preserve"> (</w:t>
      </w:r>
      <w:r w:rsidR="008D3FBE" w:rsidRPr="008D3FBE">
        <w:rPr>
          <w:i/>
          <w:iCs/>
        </w:rPr>
        <w:t>The Prince of Egypt</w:t>
      </w:r>
      <w:r w:rsidR="008D3FBE">
        <w:t xml:space="preserve"> 1998)</w:t>
      </w:r>
      <w:r>
        <w:t xml:space="preserve"> however, as it is a song and they are not singing it to each other but rather to the gathered crowd on their journey it is very hard to judge whether this counts in the Bechdel test or not. There is however a blink-and-you’ll-miss it moment of conversation between Miriam and Tzipporah while the latter is escaping the palace. She stops by a well as asks Miriam for some water who gives her some and wishes her well on her journey.</w:t>
      </w:r>
    </w:p>
    <w:p w14:paraId="68CB346F" w14:textId="77777777" w:rsidR="008B45E8" w:rsidRDefault="008B45E8" w:rsidP="008B45E8">
      <w:r>
        <w:t xml:space="preserve">This is a great example of why the Bechdel test is not the be all and end all of testing how gender equal film scripts are, because this film also features women that could not be more different from one another, the three I have named are all from completely different societies, are drawn completely different and speak in different patterns. The relationship between Moses and Tzipporah is shown as being one of a very equal nature, she is not afraid to question him and laugh at him and vice versa. The same goes about the relationship between Miriam and her brother, she is the one seen gathering people not him, she also takes over when he seems emotionally drained. They both seem equally as protective over each other, not just him assuming the ‘protective’ gender conformity.  </w:t>
      </w:r>
    </w:p>
    <w:p w14:paraId="56A77FC8" w14:textId="31B62544" w:rsidR="008B45E8" w:rsidRDefault="008B45E8" w:rsidP="008B45E8">
      <w:r>
        <w:t xml:space="preserve">In conclusion, writing is a massively crucial tool, both to film creators and the Ancient Egyptians. It tells the story, not just through big action scenes but it captures an </w:t>
      </w:r>
      <w:r w:rsidR="00545D53">
        <w:t>audience’s</w:t>
      </w:r>
      <w:r>
        <w:t xml:space="preserve"> feelings by making characters relatable and realistic through their interactions with other people. Unfortunately this is something often lost when it comes to female characters as it is rare to find a film about the Ancient World that passes the Bechdel test, however that doesn’t mean we </w:t>
      </w:r>
      <w:r w:rsidR="00545D53">
        <w:t>can’t</w:t>
      </w:r>
      <w:r>
        <w:t xml:space="preserve"> have films with some </w:t>
      </w:r>
      <w:r>
        <w:lastRenderedPageBreak/>
        <w:t xml:space="preserve">fantastic well developed female characters and incredible writers who understand the difference in societies between the ancient world and our modern biases.  </w:t>
      </w:r>
    </w:p>
    <w:p w14:paraId="4004E7F0" w14:textId="5A7C9549" w:rsidR="00587DFF" w:rsidRDefault="00587DFF" w:rsidP="00AE1C5B">
      <w:pPr>
        <w:pStyle w:val="Heading1"/>
      </w:pPr>
      <w:r>
        <w:t xml:space="preserve">Chapter </w:t>
      </w:r>
      <w:r w:rsidR="00FD5E8E">
        <w:t>Three:</w:t>
      </w:r>
      <w:r>
        <w:t xml:space="preserve"> Acting</w:t>
      </w:r>
    </w:p>
    <w:p w14:paraId="1742C924" w14:textId="77777777" w:rsidR="00587DFF" w:rsidRDefault="00587DFF" w:rsidP="00587DFF">
      <w:r>
        <w:t xml:space="preserve">‘The script provides the text, the actor provides the subtext’ is a quote often attributed to Stanislavski and describes perfectly why it is important to differentiate the two and why they are two chapters. There is often a big difference to how a character is written and how they are inevitably portrayed. This chapter will discuss themes such as casting, body language and inflections, while baring in mind that the way these characters are portrayed are a combination of the actor’s prerogative, the director’s notes and the tech team’s eventual edit and cutting process. For example an actor could decide to portray her character as saying a line sadly, yet the director could ask her to do it angrily instead, and the editor could put a laugh track over it to change the atmosphere into a comedy. Every performance is a culmination of many factors and this chapter will aim to see how the final product ended up portraying these characters in certain ways and discuss possible reasons for these decisions. </w:t>
      </w:r>
    </w:p>
    <w:p w14:paraId="782B3394" w14:textId="77777777" w:rsidR="00587DFF" w:rsidRDefault="00587DFF" w:rsidP="00587DFF">
      <w:r>
        <w:t xml:space="preserve">Possibly one of the easiest to analyse is the 1972 version of Antony and Cleopatra, directed by Charlton Heston. This is considered easy to analyse due to the fact mentioned in the previous chapter, the fact that due to its direct correlation with the play Antony and Cleopatra, not only do we have lines to analyse the changes in writing, but we also have stage directions which shows us Shakespeare’s original intentions for how these characters should be portrayed, should be acted and therefore we can see any changes made not only to the writing but the acting itself and the consequences of that and try to define a reason for these changes. </w:t>
      </w:r>
    </w:p>
    <w:p w14:paraId="2C66BC3D" w14:textId="2C6A45A9" w:rsidR="00587DFF" w:rsidRDefault="00587DFF" w:rsidP="00587DFF">
      <w:r>
        <w:t>If we take the same example as mentioned in the previous chapter, of the very first scene of both the play and the book and our very first impression of Cleopatra as a person we see two very different images. The play dictates ‘</w:t>
      </w:r>
      <w:r w:rsidRPr="00C25DF2">
        <w:t>Flourish. Enter ANTONY, CLEOPATRA, her Ladies, the Train, with Eunuchs fanning her</w:t>
      </w:r>
      <w:r>
        <w:t>’.</w:t>
      </w:r>
      <w:r>
        <w:rPr>
          <w:rStyle w:val="FootnoteReference"/>
        </w:rPr>
        <w:footnoteReference w:id="30"/>
      </w:r>
      <w:r>
        <w:t xml:space="preserve"> Note the language used in this, HER ladies, Eunuchs fanning HER. Shakespeare makes it very clear in this opening direction that he wants the audience to see Cleopatra as the one with all the wealth and power, as a Queen. She doesn’t just walk on stage she walks with confidence, with a whole entourage following her to obey her every whim, she makes a grand entrance right from the start showing the audience her power not only in the relationship but also within the universe the play creates. Her position in the universe created by the film however seems very different. Rather than the lovers out for a stroll with Cleopatra’s entourage it takes place in a room with just the two of them, Antony and Cleopatra. She is positioned above him laid on a chaise-longue while he sits at the front of it. Our first image of Cleopatra, instead of in an active role surrounded by her wealth and power, is one of more a mischievous nature as she dips a brush into lip paint and lifts her arm towards her own mouth before giving a slight smile and instead reaching down to paint Antony’s lips instead of her own. This gives a very different image to the stage directions as written by Shakespeare and instead gives the audience’s first impressions of Cleopatra as someone quite mischievous. Other than the large size of the room there is no real sign of status in their performance, they do not make it instantly clear that one of these characters is a Queen and one is a General, rather just two people in love. This changes however as the scene progresses and while her body language and tone remain massive and his become active and aggressive. As the messenger enters with ‘News, my good lord, from Rome’ (</w:t>
      </w:r>
      <w:r w:rsidR="007D6A05" w:rsidRPr="007D6A05">
        <w:rPr>
          <w:i/>
          <w:iCs/>
        </w:rPr>
        <w:t>Antony and Cleopatra</w:t>
      </w:r>
      <w:r>
        <w:t xml:space="preserve"> 1972) Cleopatra remains laid down, with her hair spread out behind her as she grasps her pillow and speaks in a very uninterested tone ‘What news from Rome?’ </w:t>
      </w:r>
      <w:r w:rsidR="007D6A05">
        <w:t>(</w:t>
      </w:r>
      <w:r w:rsidR="007D6A05" w:rsidRPr="007D6A05">
        <w:rPr>
          <w:i/>
          <w:iCs/>
        </w:rPr>
        <w:t>Antony and Cleopatra</w:t>
      </w:r>
      <w:r w:rsidR="007D6A05">
        <w:t xml:space="preserve"> 1972)</w:t>
      </w:r>
      <w:r>
        <w:t xml:space="preserve">. She looks to the ceiling as </w:t>
      </w:r>
      <w:r>
        <w:lastRenderedPageBreak/>
        <w:t>she says this line, making eye contact with neither the messenger nor Antony, in doing this showing the audience how disinterested she is with the affair, especially as she doesn’t even move upon hearing Antony raise his voice and jump up, not even moving when he breaks his necklace and pearls rain down on her face. Upon making Cleopatra this passive character it makes it hard for the audience to form an opinion of her and she becomes a background character rather than someone actively involved with the conversation as Shakespeare intended as he wrote her great speeches on why she believed Antony should hear the messenger, using punctuation, question and exclamation marks are often stage directions in themselves and the pure amount of these shows that Shakespeare’s Cleopatra was anything but the passive character Heston shows us, so why show her like that? As Heston himself plays Mark Antony it would make sense why he would choose to make his character the powerful one, all actors are biased towards their characters, they all have ideas of who their characters should be, their thoughts their feelings, It is a director</w:t>
      </w:r>
      <w:r w:rsidR="00545D53">
        <w:t>’</w:t>
      </w:r>
      <w:r>
        <w:t xml:space="preserve">s job to bring these ideas all together and create a balance. As Heston is both character and director, he has a power imbalance over Hildegard Neil playing Cleopatra as he can tell her how to play her character, but she cannot do the same to him. It makes sense that this offscreen power imbalance would work itself into the scene itself, showing Antony more of a hero being manipulated by this ‘seductress’ who lays about and smiles to herself at Antony refusing important news. No matter whether this bias was conscious or unconscious, the fact remains the same and it would be wrong to ignore it as a main reason for the difference in portrayal to Shakespeare’s initial characterisation of Cleopatra. </w:t>
      </w:r>
    </w:p>
    <w:p w14:paraId="7C503338" w14:textId="77777777" w:rsidR="00587DFF" w:rsidRDefault="00587DFF" w:rsidP="00587DFF">
      <w:r>
        <w:t>Of course, this isn’t the only version of Cleopatra we see on film, she has appeared many times in many different genres and as portrayed by many different actresses yet one thing remains the same, in many her political mind is ignored in favour of directors choosing to highlight her beauty as her main character trait instead. This is shown even in possibly the most famous versions of Cleopatra’s story, the Hollywood Epic titled ‘Cleopatra’ and starring Elisabeth Taylor in the title role. In order to protect her right to the throne, Cleopatra decided to present herself as divine rather than Pharaoh as previous female rules had, a goddess sent down to protect her son, the rightful king.</w:t>
      </w:r>
      <w:r>
        <w:rPr>
          <w:rStyle w:val="FootnoteReference"/>
        </w:rPr>
        <w:footnoteReference w:id="31"/>
      </w:r>
      <w:r>
        <w:t xml:space="preserve"> A very tactical political move as she is then not only solidifying her own right to the throne (under contention because of her gender) but her son’s as well (under contention due to his status as Caesar’s heir, a Roman). However in the film, Caesar treats this powerful, political move as nothing more than a runaway joke, his body language relaxed and his tone playful. Taylor as Cleopatra gets enraged and insists that she is the goddess Isis, portraying in her performance that she actually believes it, rather than treating it as a thought out plan. In doing this the actors are choosing to belittle the historical Cleopatra’s brains and planning, however It is worth noting that Taylor herself wasn’t pleased when she saw the final cut of the movie, claiming that  “</w:t>
      </w:r>
      <w:r w:rsidRPr="00561324">
        <w:t>They had cut out the heart, the essence, the motivations, the very core, and tacked on all those battle scenes. It should have been about three large people, but it lacked reality and passion. I found it vulgar</w:t>
      </w:r>
      <w:r>
        <w:t>”.</w:t>
      </w:r>
      <w:r>
        <w:rPr>
          <w:rStyle w:val="FootnoteReference"/>
        </w:rPr>
        <w:footnoteReference w:id="32"/>
      </w:r>
      <w:r>
        <w:t xml:space="preserve"> In this she is implying that the Cleoptra she played was originally a very different character than the one which made the final cut. This only goes to prove the power of editing, no matter the skill of the actress nor the character they create, the directors and producers have the final say and in this male dominated field that Hollywood has proved itself, especially in the 60s but still relevant today, it is no wonder female characters get cut, ignored or reduced to nothing more than ‘seductress’ or ‘love interest’ and why so many films still fail the Bechdel test today. </w:t>
      </w:r>
    </w:p>
    <w:p w14:paraId="2BC9DAFD" w14:textId="77777777" w:rsidR="00587DFF" w:rsidRDefault="00587DFF" w:rsidP="00587DFF">
      <w:r>
        <w:t xml:space="preserve">While some debate over the feminist arguments concerning the portrayal of Cleopatra, there is also a debate among scholars and in public domain over the casting of Cleopatra and the racial issues </w:t>
      </w:r>
      <w:r>
        <w:lastRenderedPageBreak/>
        <w:t>raised there, was the historical Cleopatra black? This is an ongoing debate with still no clear answer as we have no idea what Cleopatra herself looked like thanks to the contrasting images of her as explained in a previous chapter and also it is very hard to track her lineage thanks to the sheer amount of Ptolemaic princesses named ‘Cleopatra’ (the one discussed in this chapter being Cleopatra VII). We know that she was a direct descendant of Ptolemy I who we know was Macedonian, but whether her mother was Cleopatra V as many historians believe, or some foreign princess married for an alliance we don’t know and will likely never know. There is also the problem of what ‘an Egyptian’ looked like at the time, we know that light skinned red headed people lived alongside dark skinned black haired people and many racially different people lived along the Nile.</w:t>
      </w:r>
      <w:r>
        <w:rPr>
          <w:rStyle w:val="FootnoteReference"/>
        </w:rPr>
        <w:footnoteReference w:id="33"/>
      </w:r>
      <w:r>
        <w:t xml:space="preserve"> So why then, when we have no clue what the historical Cleopatra looked like, has she been ‘typecast’? Why when you hear the name ‘Cleopatra’ do you already have an image in your head of what she looks like? We see images of Cleopatra everywhere, not just in films and TV but also in advertising, in games and even in costume shops. Everything presents a similar image, a slim, classically beautiful, dark haired white woman. This is the power of the media, through different mediums copying and adapting this character that she’s become, it is easy to forget the real person that existed underneath. This is why discussing casting is important, because by having this character continuously played by the same type of woman, we not only forget the racially diverse place that Egypt was but also harms BAME actors today as there is already more roles for white people available in western media than there is for BAME actors, why not take advantage of the fact that we don’t know what Cleopatra looked like and open the part up to anyone? </w:t>
      </w:r>
      <w:r>
        <w:rPr>
          <w:rStyle w:val="FootnoteReference"/>
        </w:rPr>
        <w:footnoteReference w:id="34"/>
      </w:r>
      <w:r>
        <w:t xml:space="preserve"> </w:t>
      </w:r>
    </w:p>
    <w:p w14:paraId="79E2E842" w14:textId="6276BA83" w:rsidR="00587DFF" w:rsidRDefault="00587DFF" w:rsidP="00587DFF">
      <w:r>
        <w:t>Of course, although Cleopatra is the biggest name when it comes to western images of Egyptian women there are in fact more women portrayed in films, though she is defiantly we the most significant. A highly contrasting character to that of Cleopatra can be found in the film ‘Night at the Museum: Secret of the Tomb’ (Levy 2014). This film is the third in a trilogy about an Ancient Egyptian tablet that causes museum exhibits to come to life and although the main character of the individual films is night guard Larry Daley (played by Ben Stiller) it can easily be argued that the most important character across the trilogy  is young Pharaoh Ahkmenrah (Played by Rami Malek) as the story pans out more into his past, family and the tablet itself. In the third movie we our finally introduced to an ancient Egyptian woman in the form of his mother Shepseheret (Played by Anjali Jay) who is played in a very different way to many of the women previously analysed in this piece. Rather than taking on the stereotypical function of ‘seductress’ she takes on a more motherly role. She stands tall, side by side with the Pharaoh, although the night guard only speaks to her husband she is clearly actively listening and not afraid to join the conversation, showing the audience the equality and trust within their relationship.  She is openly affectionate towards her son, rushing to him when he almost falls over with clear panic in her voice as she says ‘my son, what is wrong?’ (</w:t>
      </w:r>
      <w:r w:rsidR="007D6A05" w:rsidRPr="007D6A05">
        <w:rPr>
          <w:i/>
          <w:iCs/>
        </w:rPr>
        <w:t>Night at the Museum: Secret of the Tomb</w:t>
      </w:r>
      <w:r w:rsidRPr="007D6A05">
        <w:rPr>
          <w:i/>
          <w:iCs/>
        </w:rPr>
        <w:t xml:space="preserve"> 2014</w:t>
      </w:r>
      <w:r>
        <w:t xml:space="preserve">). Although it is not a sexualised role, some may argue that it is just as bad, to put it in terms of Judith Butler’s gender performativity theory, she is still performing a highly gendered role, just that of a mother – caring and gentle- rather than the role of ‘seductress’. Given the nature of the film however and the fact that she stands alongside the Pharaoh, it is not unrealistic for him to take charge and her to take a step back, rather it is quite feminist that the Pharaoh himself also shows open affection towards his son, something often thought in our gendered society as not ‘manly’.  </w:t>
      </w:r>
    </w:p>
    <w:p w14:paraId="10F52FB4" w14:textId="690F19D8" w:rsidR="00587DFF" w:rsidRDefault="00587DFF" w:rsidP="00587DFF">
      <w:r>
        <w:t xml:space="preserve">Another interesting comparison to make comes not in the form of pharaoh vs queen but rather in mummy vs mummy. In the 1999 version of popular horror film ‘The Mummy’ we are introduced to </w:t>
      </w:r>
      <w:r>
        <w:lastRenderedPageBreak/>
        <w:t>Imhotep, an Ancient Egyptian priest mummified alive who is awakened centuries later (</w:t>
      </w:r>
      <w:r w:rsidR="007D6A05">
        <w:rPr>
          <w:i/>
          <w:iCs/>
        </w:rPr>
        <w:t xml:space="preserve">The Mummy </w:t>
      </w:r>
      <w:r>
        <w:t>1999), In the 2017 film of the same title but altered storylines we are introduced to Ahmanet, an Ancient Egyptian princess who was mummified alive and released decades later (</w:t>
      </w:r>
      <w:r w:rsidR="007D6A05">
        <w:rPr>
          <w:i/>
          <w:iCs/>
        </w:rPr>
        <w:t>The Mummy</w:t>
      </w:r>
      <w:r>
        <w:t xml:space="preserve"> 2017). Both the villains of their film as well as the ‘horror’ element themselves, it is interesting to look at how differently they present themselves in body language and movement. Imhotep walks strong an</w:t>
      </w:r>
      <w:r w:rsidR="002D1437">
        <w:t>d</w:t>
      </w:r>
      <w:r>
        <w:t xml:space="preserve"> sure, even before he has gathered his body, when he first sees Evelyn he walks slowly, confidently with his shoulders set, chin up and his back straight. This is consistent in nearly all his appearances, he promotes fear in the audience because he is confident and clear in his actions, the straight back making him seem bigger and the set shoulders and lifted chin make him seem intimidatingly confident in his actions. He is scary because he himself is not scared, he knows what he needs to do and he gets it done- one might even say robotic. This promotes fear in the audience as it is presenting him as more than human, not just through looks but body language itself. Interestingly this is also the technique employed with Princess Ahmanet, though her non-human characteristics present themselves in a more animalistic way than robotic. She moves quickly and precisely, creating fear through unpredictability rather than intimidation, she is often seen making big, catlike leaps to get from one place to another. She shows further inhuman like qualities as she has no regard for personal space and seems to get very close to even her victims, for example when she attempts to choke Jenny and leans in too close or when she breaks free from her chains she straddles the guard attempting to stop her (</w:t>
      </w:r>
      <w:r w:rsidR="00C3763D">
        <w:rPr>
          <w:i/>
          <w:iCs/>
        </w:rPr>
        <w:t>The Mummy</w:t>
      </w:r>
      <w:r>
        <w:t xml:space="preserve"> 2017). This contrast between how the two mummies are played is really interesting how, even in this genre, even when they are the villains of their piece, meant to scare an audience through non-human characteristics, they still take on very gendered positions. Why is this Princess who’s entire ambition was to be granted her birth right, to become a living god, the Pharaoh, more sexualised than a Priest who’s entire ambition was to save his lover? His backstory is one of a romanticised, sexual nature- his punishment was for falling in love, she just wanted power. Surely it would make most sense for the opposite to be true?  The most probable cause for these representations being as they are could probably come down to the fact that the aim for these characters is to be frightening for an audience upon viewing, and the easiest way to do that is to take a stereotype that audiences are familiar with and twist it. In the case of the 1999 film, a male stereotype is for him to be strong and protective, something scary is if you are on the other end of that strength rather than being protected by it. In the case of the 2017 film, a female stereotype is that of being small and quiet, something scary is if you twist that to something you can’t see or hear until its too late. As the aim is to scare the audience not educate them, sometimes it is easier for a filmmaker to give them what they expect to see, rather than risk confusing your audience instead of scaring them. This is a really dangerous way of thinking as it only goes to reinforce </w:t>
      </w:r>
      <w:r w:rsidR="00545D53">
        <w:t>stereotypes</w:t>
      </w:r>
      <w:r>
        <w:t xml:space="preserve"> and subconsciously promotes images of gender that simply aren’t true in general, never mind for a people such as the Ancient Egyptians. </w:t>
      </w:r>
    </w:p>
    <w:p w14:paraId="2933CC75" w14:textId="13A08F49" w:rsidR="00587DFF" w:rsidRDefault="00587DFF" w:rsidP="00587DFF">
      <w:r>
        <w:t>In conclusion, many things effect how a character is portrayed, be it the actor, the director, the editor or influencing elements such as genre and target audience. However it is not hard to spot generalisations occurring in these representations of women as the result of western bias either conscious or unconsciously. The sexualisation of Ancient Egyptian women is something that can be traced back through the ages and is nothing new, however it is harmful the way it is still repeated in today</w:t>
      </w:r>
      <w:r w:rsidR="00545D53">
        <w:t>’</w:t>
      </w:r>
      <w:r>
        <w:t xml:space="preserve">s media, not just the sexualisation but the similar representations of Ancient Egyptian women as white women with dark hair which we know from scientific evidence that these aren’t true. These generalisations dehumanise these Ancient women and makes it difficult for modern women to relate to them as characters or could even lead to harmful body images for modern women trying to emulate these much thought of women. </w:t>
      </w:r>
    </w:p>
    <w:p w14:paraId="73581A9B" w14:textId="79815B60" w:rsidR="008B45E8" w:rsidRDefault="00587DFF" w:rsidP="00E07A43">
      <w:pPr>
        <w:pStyle w:val="Heading1"/>
      </w:pPr>
      <w:r>
        <w:lastRenderedPageBreak/>
        <w:t xml:space="preserve">Conclusion </w:t>
      </w:r>
    </w:p>
    <w:p w14:paraId="4CDF4431" w14:textId="77777777" w:rsidR="00587DFF" w:rsidRDefault="00587DFF" w:rsidP="00587DFF">
      <w:r>
        <w:t xml:space="preserve">To summarise, upon examining many films featuring Ancient Egyptian women either in the title role or in the background, there is definitely a disturbing trend emerging in the sexualisation of Ancient Egyptian women in film, more often than not portraying them as seductresses. It is understandable that filmmakers would want to make these characters seem relatable to a modern audience, but by doing this by applying harmful stereotypes to an Ancient woman then they are insinuating that these ‘gender roles’ existed back then which is not only untrue but emphasizing the longevity of these stereotypes makes a subliminal statement that these are natural rather than social constructs and has a knock on effect of normalising misogyny. Whether this is purposeful or completely unintentional, it would be remiss to ignore it. </w:t>
      </w:r>
    </w:p>
    <w:p w14:paraId="366D853D" w14:textId="77777777" w:rsidR="008B45E8" w:rsidRDefault="008B45E8" w:rsidP="008B45E8"/>
    <w:p w14:paraId="3AA44626" w14:textId="55E16A21" w:rsidR="009F5BD4" w:rsidRDefault="009F5BD4" w:rsidP="00E07A43">
      <w:pPr>
        <w:pStyle w:val="Heading1"/>
      </w:pPr>
      <w:r>
        <w:t>Bibliography</w:t>
      </w:r>
    </w:p>
    <w:p w14:paraId="4B240542" w14:textId="77777777" w:rsidR="009F5BD4" w:rsidRPr="009C110A" w:rsidRDefault="009F5BD4" w:rsidP="009F5BD4">
      <w:pPr>
        <w:pStyle w:val="ListParagraph"/>
        <w:numPr>
          <w:ilvl w:val="0"/>
          <w:numId w:val="1"/>
        </w:numPr>
        <w:rPr>
          <w:rFonts w:asciiTheme="majorHAnsi" w:hAnsiTheme="majorHAnsi" w:cstheme="majorHAnsi"/>
          <w:sz w:val="20"/>
          <w:szCs w:val="20"/>
        </w:rPr>
      </w:pPr>
      <w:r w:rsidRPr="009C110A">
        <w:rPr>
          <w:rFonts w:asciiTheme="majorHAnsi" w:hAnsiTheme="majorHAnsi" w:cstheme="majorHAnsi"/>
          <w:sz w:val="20"/>
          <w:szCs w:val="20"/>
        </w:rPr>
        <w:t xml:space="preserve">AAAS. (2010) </w:t>
      </w:r>
      <w:r w:rsidRPr="009C110A">
        <w:rPr>
          <w:rFonts w:asciiTheme="majorHAnsi" w:hAnsiTheme="majorHAnsi" w:cstheme="majorHAnsi"/>
          <w:i/>
          <w:iCs/>
          <w:sz w:val="20"/>
          <w:szCs w:val="20"/>
        </w:rPr>
        <w:t xml:space="preserve">Egyptian Eyeliner May Have Warded Off Disease. </w:t>
      </w:r>
      <w:r w:rsidRPr="009C110A">
        <w:rPr>
          <w:rFonts w:asciiTheme="majorHAnsi" w:hAnsiTheme="majorHAnsi" w:cstheme="majorHAnsi"/>
          <w:sz w:val="20"/>
          <w:szCs w:val="20"/>
        </w:rPr>
        <w:t xml:space="preserve">Sciencemag. Available from </w:t>
      </w:r>
      <w:hyperlink r:id="rId10" w:history="1">
        <w:r w:rsidRPr="009C110A">
          <w:rPr>
            <w:rStyle w:val="Hyperlink"/>
            <w:rFonts w:asciiTheme="majorHAnsi" w:hAnsiTheme="majorHAnsi" w:cstheme="majorHAnsi"/>
            <w:sz w:val="20"/>
            <w:szCs w:val="20"/>
          </w:rPr>
          <w:t>https://www.sciencemag.org/news/2010/01/egyptian-eyeliner-may-have-warded-disease</w:t>
        </w:r>
      </w:hyperlink>
      <w:r w:rsidRPr="009C110A">
        <w:rPr>
          <w:rFonts w:asciiTheme="majorHAnsi" w:hAnsiTheme="majorHAnsi" w:cstheme="majorHAnsi"/>
          <w:sz w:val="20"/>
          <w:szCs w:val="20"/>
        </w:rPr>
        <w:t xml:space="preserve"> [Accessed 14 February, 2020]</w:t>
      </w:r>
    </w:p>
    <w:p w14:paraId="3FEA8C91" w14:textId="77777777" w:rsidR="009F5BD4" w:rsidRPr="009C110A" w:rsidRDefault="009F5BD4" w:rsidP="009F5BD4">
      <w:pPr>
        <w:pStyle w:val="FootnoteText"/>
        <w:numPr>
          <w:ilvl w:val="0"/>
          <w:numId w:val="1"/>
        </w:numPr>
        <w:rPr>
          <w:rFonts w:asciiTheme="majorHAnsi" w:hAnsiTheme="majorHAnsi" w:cstheme="majorHAnsi"/>
        </w:rPr>
      </w:pPr>
      <w:r w:rsidRPr="009C110A">
        <w:rPr>
          <w:rFonts w:asciiTheme="majorHAnsi" w:hAnsiTheme="majorHAnsi" w:cstheme="majorHAnsi"/>
        </w:rPr>
        <w:t xml:space="preserve">Alison Bechdel (1986) </w:t>
      </w:r>
      <w:r w:rsidRPr="009C110A">
        <w:rPr>
          <w:rFonts w:asciiTheme="majorHAnsi" w:hAnsiTheme="majorHAnsi" w:cstheme="majorHAnsi"/>
          <w:i/>
          <w:iCs/>
        </w:rPr>
        <w:t>Dykes to Watch Out For</w:t>
      </w:r>
      <w:r w:rsidRPr="009C110A">
        <w:rPr>
          <w:rFonts w:asciiTheme="majorHAnsi" w:hAnsiTheme="majorHAnsi" w:cstheme="majorHAnsi"/>
        </w:rPr>
        <w:t xml:space="preserve">. Firebrand Books </w:t>
      </w:r>
    </w:p>
    <w:p w14:paraId="241F7D7B" w14:textId="77777777" w:rsidR="009F5BD4" w:rsidRPr="009C110A" w:rsidRDefault="009F5BD4" w:rsidP="009F5BD4">
      <w:pPr>
        <w:pStyle w:val="ListParagraph"/>
        <w:numPr>
          <w:ilvl w:val="0"/>
          <w:numId w:val="1"/>
        </w:numPr>
        <w:rPr>
          <w:rFonts w:asciiTheme="majorHAnsi" w:hAnsiTheme="majorHAnsi" w:cstheme="majorHAnsi"/>
          <w:sz w:val="20"/>
          <w:szCs w:val="20"/>
        </w:rPr>
      </w:pPr>
      <w:bookmarkStart w:id="5" w:name="_Hlk39944933"/>
      <w:r w:rsidRPr="009C110A">
        <w:rPr>
          <w:rFonts w:asciiTheme="majorHAnsi" w:hAnsiTheme="majorHAnsi" w:cstheme="majorHAnsi"/>
          <w:sz w:val="20"/>
          <w:szCs w:val="20"/>
        </w:rPr>
        <w:t xml:space="preserve">Arnold, D (1995). </w:t>
      </w:r>
      <w:bookmarkEnd w:id="5"/>
      <w:r w:rsidRPr="009C110A">
        <w:rPr>
          <w:rFonts w:asciiTheme="majorHAnsi" w:hAnsiTheme="majorHAnsi" w:cstheme="majorHAnsi"/>
          <w:i/>
          <w:iCs/>
          <w:sz w:val="20"/>
          <w:szCs w:val="20"/>
        </w:rPr>
        <w:t>An Egyptian Bestiary</w:t>
      </w:r>
      <w:r w:rsidRPr="009C110A">
        <w:rPr>
          <w:rFonts w:asciiTheme="majorHAnsi" w:hAnsiTheme="majorHAnsi" w:cstheme="majorHAnsi"/>
          <w:sz w:val="20"/>
          <w:szCs w:val="20"/>
        </w:rPr>
        <w:t xml:space="preserve">. The Metropolitan Museum of Art Bulletin, vol. 52, no. 4, pp. 1–64. Available from JSTOR, </w:t>
      </w:r>
      <w:hyperlink r:id="rId11" w:history="1">
        <w:r w:rsidRPr="009C110A">
          <w:rPr>
            <w:rStyle w:val="Hyperlink"/>
            <w:rFonts w:asciiTheme="majorHAnsi" w:hAnsiTheme="majorHAnsi" w:cstheme="majorHAnsi"/>
            <w:sz w:val="20"/>
            <w:szCs w:val="20"/>
          </w:rPr>
          <w:t>www.jstor.org/stable/3269051</w:t>
        </w:r>
      </w:hyperlink>
      <w:r w:rsidRPr="009C110A">
        <w:rPr>
          <w:rFonts w:asciiTheme="majorHAnsi" w:hAnsiTheme="majorHAnsi" w:cstheme="majorHAnsi"/>
          <w:sz w:val="20"/>
          <w:szCs w:val="20"/>
        </w:rPr>
        <w:t xml:space="preserve"> [Accessed 16/04/20]   </w:t>
      </w:r>
    </w:p>
    <w:p w14:paraId="671D9340" w14:textId="77777777" w:rsidR="009F5BD4" w:rsidRPr="009C110A" w:rsidRDefault="009F5BD4" w:rsidP="009F5BD4">
      <w:pPr>
        <w:pStyle w:val="ListParagraph"/>
        <w:numPr>
          <w:ilvl w:val="0"/>
          <w:numId w:val="1"/>
        </w:numPr>
        <w:rPr>
          <w:rFonts w:asciiTheme="majorHAnsi" w:hAnsiTheme="majorHAnsi" w:cstheme="majorHAnsi"/>
          <w:sz w:val="20"/>
          <w:szCs w:val="20"/>
        </w:rPr>
      </w:pPr>
      <w:r w:rsidRPr="009C110A">
        <w:rPr>
          <w:rFonts w:asciiTheme="majorHAnsi" w:hAnsiTheme="majorHAnsi" w:cstheme="majorHAnsi"/>
          <w:color w:val="333333"/>
          <w:sz w:val="20"/>
          <w:szCs w:val="20"/>
          <w:shd w:val="clear" w:color="auto" w:fill="FFFFFF"/>
        </w:rPr>
        <w:t>Ashton, S. (2011). Cleopatra, Queen of Egypt. In Miles M. (Ed.), </w:t>
      </w:r>
      <w:r w:rsidRPr="009C110A">
        <w:rPr>
          <w:rFonts w:asciiTheme="majorHAnsi" w:hAnsiTheme="majorHAnsi" w:cstheme="majorHAnsi"/>
          <w:i/>
          <w:iCs/>
          <w:color w:val="333333"/>
          <w:sz w:val="20"/>
          <w:szCs w:val="20"/>
          <w:shd w:val="clear" w:color="auto" w:fill="FFFFFF"/>
        </w:rPr>
        <w:t>Cleopatra: A Sphinx Revisited</w:t>
      </w:r>
      <w:r w:rsidRPr="009C110A">
        <w:rPr>
          <w:rFonts w:asciiTheme="majorHAnsi" w:hAnsiTheme="majorHAnsi" w:cstheme="majorHAnsi"/>
          <w:color w:val="333333"/>
          <w:sz w:val="20"/>
          <w:szCs w:val="20"/>
          <w:shd w:val="clear" w:color="auto" w:fill="FFFFFF"/>
        </w:rPr>
        <w:t xml:space="preserve"> (pp. 21-36). University of California Press. Retrieved May 6, 2020, from </w:t>
      </w:r>
      <w:hyperlink r:id="rId12" w:history="1">
        <w:r w:rsidRPr="009C110A">
          <w:rPr>
            <w:rStyle w:val="Hyperlink"/>
            <w:rFonts w:asciiTheme="majorHAnsi" w:hAnsiTheme="majorHAnsi" w:cstheme="majorHAnsi"/>
            <w:sz w:val="20"/>
            <w:szCs w:val="20"/>
            <w:shd w:val="clear" w:color="auto" w:fill="FFFFFF"/>
          </w:rPr>
          <w:t>www.jstor.org/stable/10.1525/j.ctt1pnvmm.6</w:t>
        </w:r>
      </w:hyperlink>
      <w:r w:rsidRPr="009C110A">
        <w:rPr>
          <w:rFonts w:asciiTheme="majorHAnsi" w:hAnsiTheme="majorHAnsi" w:cstheme="majorHAnsi"/>
          <w:color w:val="333333"/>
          <w:sz w:val="20"/>
          <w:szCs w:val="20"/>
          <w:shd w:val="clear" w:color="auto" w:fill="FFFFFF"/>
        </w:rPr>
        <w:t xml:space="preserve"> </w:t>
      </w:r>
    </w:p>
    <w:p w14:paraId="74A6E799" w14:textId="77777777" w:rsidR="009F5BD4" w:rsidRPr="009C110A" w:rsidRDefault="009F5BD4" w:rsidP="009F5BD4">
      <w:pPr>
        <w:pStyle w:val="FootnoteText"/>
        <w:numPr>
          <w:ilvl w:val="0"/>
          <w:numId w:val="1"/>
        </w:numPr>
        <w:rPr>
          <w:rFonts w:asciiTheme="majorHAnsi" w:hAnsiTheme="majorHAnsi" w:cstheme="majorHAnsi"/>
        </w:rPr>
      </w:pPr>
      <w:r w:rsidRPr="009C110A">
        <w:rPr>
          <w:rFonts w:asciiTheme="majorHAnsi" w:hAnsiTheme="majorHAnsi" w:cstheme="majorHAnsi"/>
        </w:rPr>
        <w:t xml:space="preserve">Baines, J. (2007) </w:t>
      </w:r>
      <w:r w:rsidRPr="009C110A">
        <w:rPr>
          <w:rFonts w:asciiTheme="majorHAnsi" w:hAnsiTheme="majorHAnsi" w:cstheme="majorHAnsi"/>
          <w:i/>
          <w:iCs/>
        </w:rPr>
        <w:t>Visual and Written Culture in Ancient Egypt</w:t>
      </w:r>
      <w:r w:rsidRPr="009C110A">
        <w:rPr>
          <w:rFonts w:asciiTheme="majorHAnsi" w:hAnsiTheme="majorHAnsi" w:cstheme="majorHAnsi"/>
        </w:rPr>
        <w:t>. Oxford: Oxford University Press</w:t>
      </w:r>
    </w:p>
    <w:p w14:paraId="7804B41C" w14:textId="77777777" w:rsidR="009C110A" w:rsidRPr="009C110A" w:rsidRDefault="009F5BD4" w:rsidP="009C110A">
      <w:pPr>
        <w:pStyle w:val="ListParagraph"/>
        <w:numPr>
          <w:ilvl w:val="0"/>
          <w:numId w:val="1"/>
        </w:numPr>
        <w:rPr>
          <w:rFonts w:asciiTheme="majorHAnsi" w:hAnsiTheme="majorHAnsi" w:cstheme="majorHAnsi"/>
          <w:sz w:val="20"/>
          <w:szCs w:val="20"/>
        </w:rPr>
      </w:pPr>
      <w:r w:rsidRPr="009C110A">
        <w:rPr>
          <w:rFonts w:asciiTheme="majorHAnsi" w:hAnsiTheme="majorHAnsi" w:cstheme="majorHAnsi"/>
          <w:sz w:val="20"/>
          <w:szCs w:val="20"/>
        </w:rPr>
        <w:t xml:space="preserve">Bartman, E. (2001) </w:t>
      </w:r>
      <w:r w:rsidRPr="009C110A">
        <w:rPr>
          <w:rFonts w:asciiTheme="majorHAnsi" w:hAnsiTheme="majorHAnsi" w:cstheme="majorHAnsi"/>
          <w:i/>
          <w:iCs/>
          <w:sz w:val="20"/>
          <w:szCs w:val="20"/>
        </w:rPr>
        <w:t>Hair and the Artifice of Roman Female Adornment</w:t>
      </w:r>
      <w:r w:rsidRPr="009C110A">
        <w:rPr>
          <w:rFonts w:asciiTheme="majorHAnsi" w:hAnsiTheme="majorHAnsi" w:cstheme="majorHAnsi"/>
          <w:sz w:val="20"/>
          <w:szCs w:val="20"/>
        </w:rPr>
        <w:t>. American Journal of Archaeology, vol. 105, no. 1, 2001, pp. 1–25. JSTOR, www.jstor.org/stable/507324. [Accessed 9 May 2020]</w:t>
      </w:r>
    </w:p>
    <w:p w14:paraId="54F39ECE" w14:textId="77777777" w:rsidR="009C110A" w:rsidRPr="009C110A" w:rsidRDefault="009F5BD4" w:rsidP="009C110A">
      <w:pPr>
        <w:pStyle w:val="ListParagraph"/>
        <w:numPr>
          <w:ilvl w:val="0"/>
          <w:numId w:val="1"/>
        </w:numPr>
        <w:rPr>
          <w:rStyle w:val="Hyperlink"/>
          <w:rFonts w:asciiTheme="majorHAnsi" w:hAnsiTheme="majorHAnsi" w:cstheme="majorHAnsi"/>
          <w:color w:val="auto"/>
          <w:sz w:val="20"/>
          <w:szCs w:val="20"/>
          <w:u w:val="none"/>
        </w:rPr>
      </w:pPr>
      <w:r w:rsidRPr="009C110A">
        <w:rPr>
          <w:rStyle w:val="Hyperlink"/>
          <w:rFonts w:asciiTheme="majorHAnsi" w:hAnsiTheme="majorHAnsi" w:cstheme="majorHAnsi"/>
          <w:color w:val="auto"/>
          <w:sz w:val="20"/>
          <w:szCs w:val="20"/>
          <w:u w:val="none"/>
        </w:rPr>
        <w:t>Butler (1999)</w:t>
      </w:r>
      <w:r w:rsidRPr="009C110A">
        <w:rPr>
          <w:rStyle w:val="Hyperlink"/>
          <w:rFonts w:asciiTheme="majorHAnsi" w:hAnsiTheme="majorHAnsi" w:cstheme="majorHAnsi"/>
          <w:color w:val="auto"/>
          <w:sz w:val="20"/>
          <w:szCs w:val="20"/>
        </w:rPr>
        <w:t xml:space="preserve"> </w:t>
      </w:r>
      <w:r w:rsidRPr="009C110A">
        <w:rPr>
          <w:rStyle w:val="Hyperlink"/>
          <w:rFonts w:asciiTheme="majorHAnsi" w:hAnsiTheme="majorHAnsi" w:cstheme="majorHAnsi"/>
          <w:i/>
          <w:iCs/>
          <w:color w:val="auto"/>
          <w:sz w:val="20"/>
          <w:szCs w:val="20"/>
          <w:u w:val="none"/>
        </w:rPr>
        <w:t>GENDER TROUBLE</w:t>
      </w:r>
      <w:r w:rsidRPr="009C110A">
        <w:rPr>
          <w:rStyle w:val="Hyperlink"/>
          <w:rFonts w:asciiTheme="majorHAnsi" w:hAnsiTheme="majorHAnsi" w:cstheme="majorHAnsi"/>
          <w:i/>
          <w:iCs/>
          <w:sz w:val="20"/>
          <w:szCs w:val="20"/>
        </w:rPr>
        <w:t xml:space="preserve">: </w:t>
      </w:r>
      <w:r w:rsidRPr="009C110A">
        <w:rPr>
          <w:rStyle w:val="Hyperlink"/>
          <w:rFonts w:asciiTheme="majorHAnsi" w:hAnsiTheme="majorHAnsi" w:cstheme="majorHAnsi"/>
          <w:i/>
          <w:iCs/>
          <w:color w:val="auto"/>
          <w:sz w:val="20"/>
          <w:szCs w:val="20"/>
          <w:u w:val="none"/>
        </w:rPr>
        <w:t>Feminism and the</w:t>
      </w:r>
      <w:r w:rsidRPr="009C110A">
        <w:rPr>
          <w:rStyle w:val="Hyperlink"/>
          <w:rFonts w:asciiTheme="majorHAnsi" w:hAnsiTheme="majorHAnsi" w:cstheme="majorHAnsi"/>
          <w:i/>
          <w:iCs/>
          <w:sz w:val="20"/>
          <w:szCs w:val="20"/>
        </w:rPr>
        <w:t xml:space="preserve"> </w:t>
      </w:r>
      <w:r w:rsidRPr="009C110A">
        <w:rPr>
          <w:rStyle w:val="Hyperlink"/>
          <w:rFonts w:asciiTheme="majorHAnsi" w:hAnsiTheme="majorHAnsi" w:cstheme="majorHAnsi"/>
          <w:i/>
          <w:iCs/>
          <w:color w:val="auto"/>
          <w:sz w:val="20"/>
          <w:szCs w:val="20"/>
          <w:u w:val="none"/>
        </w:rPr>
        <w:t>Subversion of Identity</w:t>
      </w:r>
      <w:r w:rsidRPr="009C110A">
        <w:rPr>
          <w:rStyle w:val="Hyperlink"/>
          <w:rFonts w:asciiTheme="majorHAnsi" w:hAnsiTheme="majorHAnsi" w:cstheme="majorHAnsi"/>
          <w:i/>
          <w:iCs/>
          <w:sz w:val="20"/>
          <w:szCs w:val="20"/>
        </w:rPr>
        <w:t xml:space="preserve">. </w:t>
      </w:r>
      <w:r w:rsidRPr="009C110A">
        <w:rPr>
          <w:rStyle w:val="Hyperlink"/>
          <w:rFonts w:asciiTheme="majorHAnsi" w:hAnsiTheme="majorHAnsi" w:cstheme="majorHAnsi"/>
          <w:sz w:val="20"/>
          <w:szCs w:val="20"/>
        </w:rPr>
        <w:t>London: Routledge</w:t>
      </w:r>
    </w:p>
    <w:p w14:paraId="4FEE25E4" w14:textId="41A0E811" w:rsidR="009F5BD4" w:rsidRPr="009C110A" w:rsidRDefault="009F5BD4" w:rsidP="009C110A">
      <w:pPr>
        <w:pStyle w:val="ListParagraph"/>
        <w:numPr>
          <w:ilvl w:val="0"/>
          <w:numId w:val="1"/>
        </w:numPr>
        <w:rPr>
          <w:rFonts w:asciiTheme="majorHAnsi" w:hAnsiTheme="majorHAnsi" w:cstheme="majorHAnsi"/>
          <w:sz w:val="20"/>
          <w:szCs w:val="20"/>
        </w:rPr>
      </w:pPr>
      <w:r w:rsidRPr="009C110A">
        <w:rPr>
          <w:rFonts w:asciiTheme="majorHAnsi" w:hAnsiTheme="majorHAnsi" w:cstheme="majorHAnsi"/>
          <w:sz w:val="20"/>
          <w:szCs w:val="20"/>
        </w:rPr>
        <w:t>Chaignot, M, J.</w:t>
      </w:r>
      <w:r w:rsidRPr="009C110A">
        <w:rPr>
          <w:rFonts w:asciiTheme="majorHAnsi" w:hAnsiTheme="majorHAnsi" w:cstheme="majorHAnsi"/>
          <w:i/>
          <w:iCs/>
          <w:sz w:val="20"/>
          <w:szCs w:val="20"/>
        </w:rPr>
        <w:t xml:space="preserve"> The Egyptian Pharaohs with Joseph. BibleWise. Available from </w:t>
      </w:r>
      <w:hyperlink r:id="rId13" w:history="1">
        <w:r w:rsidRPr="009C110A">
          <w:rPr>
            <w:rStyle w:val="Hyperlink"/>
            <w:rFonts w:asciiTheme="majorHAnsi" w:hAnsiTheme="majorHAnsi" w:cstheme="majorHAnsi"/>
            <w:sz w:val="20"/>
            <w:szCs w:val="20"/>
          </w:rPr>
          <w:t>https://www.biblewise.com/bible_study/characters/egyptian-pharaohs.php</w:t>
        </w:r>
      </w:hyperlink>
      <w:r w:rsidRPr="009C110A">
        <w:rPr>
          <w:rFonts w:asciiTheme="majorHAnsi" w:hAnsiTheme="majorHAnsi" w:cstheme="majorHAnsi"/>
          <w:sz w:val="20"/>
          <w:szCs w:val="20"/>
        </w:rPr>
        <w:t xml:space="preserve"> [Accessed 10/02/20] </w:t>
      </w:r>
    </w:p>
    <w:p w14:paraId="7E3089BF" w14:textId="77777777" w:rsidR="009F5BD4" w:rsidRPr="009C110A" w:rsidRDefault="009F5BD4" w:rsidP="009F5BD4">
      <w:pPr>
        <w:pStyle w:val="ListParagraph"/>
        <w:numPr>
          <w:ilvl w:val="0"/>
          <w:numId w:val="1"/>
        </w:numPr>
        <w:rPr>
          <w:rFonts w:asciiTheme="majorHAnsi" w:hAnsiTheme="majorHAnsi" w:cstheme="majorHAnsi"/>
          <w:sz w:val="20"/>
          <w:szCs w:val="20"/>
        </w:rPr>
      </w:pPr>
      <w:r w:rsidRPr="009C110A">
        <w:rPr>
          <w:rFonts w:asciiTheme="majorHAnsi" w:hAnsiTheme="majorHAnsi" w:cstheme="majorHAnsi"/>
          <w:color w:val="333333"/>
          <w:sz w:val="20"/>
          <w:szCs w:val="20"/>
          <w:shd w:val="clear" w:color="auto" w:fill="FFFFFF"/>
        </w:rPr>
        <w:t xml:space="preserve">Chrystal, P. (2017). </w:t>
      </w:r>
      <w:r w:rsidRPr="009C110A">
        <w:rPr>
          <w:rFonts w:asciiTheme="majorHAnsi" w:hAnsiTheme="majorHAnsi" w:cstheme="majorHAnsi"/>
          <w:i/>
          <w:iCs/>
          <w:color w:val="333333"/>
          <w:sz w:val="20"/>
          <w:szCs w:val="20"/>
          <w:shd w:val="clear" w:color="auto" w:fill="FFFFFF"/>
        </w:rPr>
        <w:t xml:space="preserve">Women In Ancient Greece. </w:t>
      </w:r>
      <w:r w:rsidRPr="009C110A">
        <w:rPr>
          <w:rFonts w:asciiTheme="majorHAnsi" w:hAnsiTheme="majorHAnsi" w:cstheme="majorHAnsi"/>
          <w:color w:val="333333"/>
          <w:sz w:val="20"/>
          <w:szCs w:val="20"/>
          <w:shd w:val="clear" w:color="auto" w:fill="FFFFFF"/>
        </w:rPr>
        <w:t xml:space="preserve">Fonthill Media.  </w:t>
      </w:r>
    </w:p>
    <w:p w14:paraId="1FD85C0F" w14:textId="77777777" w:rsidR="009C110A" w:rsidRPr="009C110A" w:rsidRDefault="009F5BD4" w:rsidP="009C110A">
      <w:pPr>
        <w:pStyle w:val="ListParagraph"/>
        <w:numPr>
          <w:ilvl w:val="0"/>
          <w:numId w:val="1"/>
        </w:numPr>
        <w:rPr>
          <w:rFonts w:asciiTheme="majorHAnsi" w:hAnsiTheme="majorHAnsi" w:cstheme="majorHAnsi"/>
          <w:sz w:val="20"/>
          <w:szCs w:val="20"/>
        </w:rPr>
      </w:pPr>
      <w:r w:rsidRPr="009C110A">
        <w:rPr>
          <w:rFonts w:asciiTheme="majorHAnsi" w:hAnsiTheme="majorHAnsi" w:cstheme="majorHAnsi"/>
          <w:sz w:val="20"/>
          <w:szCs w:val="20"/>
        </w:rPr>
        <w:t xml:space="preserve">CWA. (2007) </w:t>
      </w:r>
      <w:r w:rsidRPr="009C110A">
        <w:rPr>
          <w:rFonts w:asciiTheme="majorHAnsi" w:hAnsiTheme="majorHAnsi" w:cstheme="majorHAnsi"/>
          <w:i/>
          <w:iCs/>
          <w:sz w:val="20"/>
          <w:szCs w:val="20"/>
        </w:rPr>
        <w:t xml:space="preserve">Cleopatra was no Beauty, Coins Shows. </w:t>
      </w:r>
      <w:r w:rsidRPr="009C110A">
        <w:rPr>
          <w:rFonts w:asciiTheme="majorHAnsi" w:hAnsiTheme="majorHAnsi" w:cstheme="majorHAnsi"/>
          <w:sz w:val="20"/>
          <w:szCs w:val="20"/>
        </w:rPr>
        <w:t xml:space="preserve">Current World Archeology. Available at </w:t>
      </w:r>
      <w:hyperlink r:id="rId14" w:history="1">
        <w:r w:rsidRPr="009C110A">
          <w:rPr>
            <w:rStyle w:val="Hyperlink"/>
            <w:rFonts w:asciiTheme="majorHAnsi" w:hAnsiTheme="majorHAnsi" w:cstheme="majorHAnsi"/>
            <w:sz w:val="20"/>
            <w:szCs w:val="20"/>
          </w:rPr>
          <w:t>https://www.world-archaeology.com/world/africa/egypt/cleopatra-was-no-beauty-coins-shows/</w:t>
        </w:r>
      </w:hyperlink>
      <w:r w:rsidRPr="009C110A">
        <w:rPr>
          <w:rFonts w:asciiTheme="majorHAnsi" w:hAnsiTheme="majorHAnsi" w:cstheme="majorHAnsi"/>
          <w:sz w:val="20"/>
          <w:szCs w:val="20"/>
        </w:rPr>
        <w:t xml:space="preserve"> . [Accessed 15/03/20] </w:t>
      </w:r>
    </w:p>
    <w:p w14:paraId="25BBD58B" w14:textId="77777777" w:rsidR="009C110A" w:rsidRPr="009C110A" w:rsidRDefault="009F5BD4" w:rsidP="009C110A">
      <w:pPr>
        <w:pStyle w:val="ListParagraph"/>
        <w:numPr>
          <w:ilvl w:val="0"/>
          <w:numId w:val="1"/>
        </w:numPr>
        <w:rPr>
          <w:rStyle w:val="Hyperlink"/>
          <w:rFonts w:asciiTheme="majorHAnsi" w:hAnsiTheme="majorHAnsi" w:cstheme="majorHAnsi"/>
          <w:color w:val="auto"/>
          <w:sz w:val="20"/>
          <w:szCs w:val="20"/>
          <w:u w:val="none"/>
        </w:rPr>
      </w:pPr>
      <w:r w:rsidRPr="009C110A">
        <w:rPr>
          <w:rStyle w:val="Hyperlink"/>
          <w:rFonts w:asciiTheme="majorHAnsi" w:hAnsiTheme="majorHAnsi" w:cstheme="majorHAnsi"/>
          <w:color w:val="auto"/>
          <w:sz w:val="20"/>
          <w:szCs w:val="20"/>
          <w:u w:val="none"/>
        </w:rPr>
        <w:t xml:space="preserve">Duma, D. (2019). </w:t>
      </w:r>
      <w:r w:rsidRPr="009C110A">
        <w:rPr>
          <w:rStyle w:val="Hyperlink"/>
          <w:rFonts w:asciiTheme="majorHAnsi" w:hAnsiTheme="majorHAnsi" w:cstheme="majorHAnsi"/>
          <w:i/>
          <w:iCs/>
          <w:color w:val="auto"/>
          <w:sz w:val="20"/>
          <w:szCs w:val="20"/>
          <w:u w:val="none"/>
        </w:rPr>
        <w:t>WOMAN FILMS: BODY AND WILL</w:t>
      </w:r>
      <w:r w:rsidRPr="009C110A">
        <w:rPr>
          <w:rStyle w:val="Hyperlink"/>
          <w:rFonts w:asciiTheme="majorHAnsi" w:hAnsiTheme="majorHAnsi" w:cstheme="majorHAnsi"/>
          <w:color w:val="auto"/>
          <w:sz w:val="20"/>
          <w:szCs w:val="20"/>
          <w:u w:val="none"/>
        </w:rPr>
        <w:t xml:space="preserve">. In Duma D. &amp; Stojanova C. (Eds.), The New Romanian Cinema (pp. 167-179). Edinburgh: Edinburgh University Press. </w:t>
      </w:r>
      <w:r w:rsidRPr="009C110A">
        <w:rPr>
          <w:rStyle w:val="Hyperlink"/>
          <w:rFonts w:asciiTheme="majorHAnsi" w:hAnsiTheme="majorHAnsi" w:cstheme="majorHAnsi"/>
          <w:sz w:val="20"/>
          <w:szCs w:val="20"/>
        </w:rPr>
        <w:t>[</w:t>
      </w:r>
      <w:r w:rsidRPr="009C110A">
        <w:rPr>
          <w:rStyle w:val="Hyperlink"/>
          <w:rFonts w:asciiTheme="majorHAnsi" w:hAnsiTheme="majorHAnsi" w:cstheme="majorHAnsi"/>
          <w:color w:val="auto"/>
          <w:sz w:val="20"/>
          <w:szCs w:val="20"/>
          <w:u w:val="none"/>
        </w:rPr>
        <w:t xml:space="preserve">Retrieved May 9, 2020, from </w:t>
      </w:r>
      <w:hyperlink r:id="rId15" w:history="1">
        <w:r w:rsidRPr="009C110A">
          <w:rPr>
            <w:rStyle w:val="Hyperlink"/>
            <w:rFonts w:asciiTheme="majorHAnsi" w:hAnsiTheme="majorHAnsi" w:cstheme="majorHAnsi"/>
            <w:sz w:val="20"/>
            <w:szCs w:val="20"/>
          </w:rPr>
          <w:t>www.jstor.org/stable/10.3366/j.ctvggx41t.18</w:t>
        </w:r>
      </w:hyperlink>
      <w:r w:rsidRPr="009C110A">
        <w:rPr>
          <w:rStyle w:val="Hyperlink"/>
          <w:rFonts w:asciiTheme="majorHAnsi" w:hAnsiTheme="majorHAnsi" w:cstheme="majorHAnsi"/>
          <w:sz w:val="20"/>
          <w:szCs w:val="20"/>
        </w:rPr>
        <w:t xml:space="preserve">] </w:t>
      </w:r>
    </w:p>
    <w:p w14:paraId="1CE7D606" w14:textId="14BCB015" w:rsidR="009F5BD4" w:rsidRPr="009C110A" w:rsidRDefault="009F5BD4" w:rsidP="009C110A">
      <w:pPr>
        <w:pStyle w:val="ListParagraph"/>
        <w:numPr>
          <w:ilvl w:val="0"/>
          <w:numId w:val="1"/>
        </w:numPr>
        <w:rPr>
          <w:rStyle w:val="Hyperlink"/>
          <w:rFonts w:asciiTheme="majorHAnsi" w:hAnsiTheme="majorHAnsi" w:cstheme="majorHAnsi"/>
          <w:color w:val="auto"/>
          <w:sz w:val="20"/>
          <w:szCs w:val="20"/>
          <w:u w:val="none"/>
        </w:rPr>
      </w:pPr>
      <w:r w:rsidRPr="009C110A">
        <w:rPr>
          <w:rFonts w:asciiTheme="majorHAnsi" w:hAnsiTheme="majorHAnsi" w:cstheme="majorHAnsi"/>
          <w:sz w:val="20"/>
          <w:szCs w:val="20"/>
        </w:rPr>
        <w:t xml:space="preserve">Glamour Magazine (2015) </w:t>
      </w:r>
      <w:r w:rsidRPr="009C110A">
        <w:rPr>
          <w:rFonts w:asciiTheme="majorHAnsi" w:hAnsiTheme="majorHAnsi" w:cstheme="majorHAnsi"/>
          <w:i/>
          <w:iCs/>
          <w:sz w:val="20"/>
          <w:szCs w:val="20"/>
        </w:rPr>
        <w:t xml:space="preserve">Reece Witherspoon Woman of the Year full speech - Ambition is not a dirty word! </w:t>
      </w:r>
      <w:r w:rsidRPr="009C110A">
        <w:rPr>
          <w:rFonts w:asciiTheme="majorHAnsi" w:hAnsiTheme="majorHAnsi" w:cstheme="majorHAnsi"/>
          <w:sz w:val="20"/>
          <w:szCs w:val="20"/>
        </w:rPr>
        <w:t>Glamour Woman of the Year 2015, Available from ‘Cat Meow’</w:t>
      </w:r>
      <w:r w:rsidRPr="009C110A">
        <w:rPr>
          <w:rFonts w:asciiTheme="majorHAnsi" w:hAnsiTheme="majorHAnsi" w:cstheme="majorHAnsi"/>
          <w:i/>
          <w:iCs/>
          <w:sz w:val="20"/>
          <w:szCs w:val="20"/>
        </w:rPr>
        <w:t xml:space="preserve"> </w:t>
      </w:r>
      <w:hyperlink r:id="rId16" w:history="1">
        <w:r w:rsidRPr="009C110A">
          <w:rPr>
            <w:rStyle w:val="Hyperlink"/>
            <w:rFonts w:asciiTheme="majorHAnsi" w:hAnsiTheme="majorHAnsi" w:cstheme="majorHAnsi"/>
            <w:sz w:val="20"/>
            <w:szCs w:val="20"/>
          </w:rPr>
          <w:t>https://www.youtube.com/watch?v=JKKRBnpDpBY&amp;t=242s</w:t>
        </w:r>
      </w:hyperlink>
      <w:r w:rsidRPr="009C110A">
        <w:rPr>
          <w:rStyle w:val="Hyperlink"/>
          <w:rFonts w:asciiTheme="majorHAnsi" w:hAnsiTheme="majorHAnsi" w:cstheme="majorHAnsi"/>
          <w:sz w:val="20"/>
          <w:szCs w:val="20"/>
        </w:rPr>
        <w:t>. [Accessed 06/04/2020]</w:t>
      </w:r>
    </w:p>
    <w:p w14:paraId="1D31D159" w14:textId="77777777" w:rsidR="009C110A" w:rsidRPr="009C110A" w:rsidRDefault="009F5BD4" w:rsidP="009C110A">
      <w:pPr>
        <w:pStyle w:val="ListParagraph"/>
        <w:numPr>
          <w:ilvl w:val="0"/>
          <w:numId w:val="1"/>
        </w:numPr>
        <w:rPr>
          <w:rFonts w:asciiTheme="majorHAnsi" w:hAnsiTheme="majorHAnsi" w:cstheme="majorHAnsi"/>
          <w:sz w:val="20"/>
          <w:szCs w:val="20"/>
        </w:rPr>
      </w:pPr>
      <w:r w:rsidRPr="009C110A">
        <w:rPr>
          <w:rFonts w:asciiTheme="majorHAnsi" w:hAnsiTheme="majorHAnsi" w:cstheme="majorHAnsi"/>
          <w:sz w:val="20"/>
          <w:szCs w:val="20"/>
        </w:rPr>
        <w:t xml:space="preserve">Harris, E and Ellis, N (2016) </w:t>
      </w:r>
      <w:r w:rsidRPr="009C110A">
        <w:rPr>
          <w:rFonts w:asciiTheme="majorHAnsi" w:hAnsiTheme="majorHAnsi" w:cstheme="majorHAnsi"/>
          <w:i/>
          <w:iCs/>
          <w:sz w:val="20"/>
          <w:szCs w:val="20"/>
        </w:rPr>
        <w:t xml:space="preserve">Ancient Egyptian Magic. </w:t>
      </w:r>
      <w:r w:rsidRPr="009C110A">
        <w:rPr>
          <w:rFonts w:asciiTheme="majorHAnsi" w:hAnsiTheme="majorHAnsi" w:cstheme="majorHAnsi"/>
          <w:sz w:val="20"/>
          <w:szCs w:val="20"/>
        </w:rPr>
        <w:t xml:space="preserve">Weiser Books </w:t>
      </w:r>
    </w:p>
    <w:p w14:paraId="7D8323A4" w14:textId="6057A3BF" w:rsidR="009F5BD4" w:rsidRPr="009C110A" w:rsidRDefault="009F5BD4" w:rsidP="009C110A">
      <w:pPr>
        <w:pStyle w:val="ListParagraph"/>
        <w:numPr>
          <w:ilvl w:val="0"/>
          <w:numId w:val="1"/>
        </w:numPr>
        <w:rPr>
          <w:rStyle w:val="Hyperlink"/>
          <w:rFonts w:asciiTheme="majorHAnsi" w:hAnsiTheme="majorHAnsi" w:cstheme="majorHAnsi"/>
          <w:color w:val="auto"/>
          <w:sz w:val="20"/>
          <w:szCs w:val="20"/>
          <w:u w:val="none"/>
        </w:rPr>
      </w:pPr>
      <w:r w:rsidRPr="009C110A">
        <w:rPr>
          <w:rFonts w:asciiTheme="majorHAnsi" w:hAnsiTheme="majorHAnsi" w:cstheme="majorHAnsi"/>
          <w:sz w:val="20"/>
          <w:szCs w:val="20"/>
        </w:rPr>
        <w:t xml:space="preserve">Hickey (2014) in </w:t>
      </w:r>
      <w:r w:rsidRPr="009C110A">
        <w:rPr>
          <w:rStyle w:val="Hyperlink"/>
          <w:rFonts w:asciiTheme="majorHAnsi" w:hAnsiTheme="majorHAnsi" w:cstheme="majorHAnsi"/>
          <w:color w:val="auto"/>
          <w:sz w:val="20"/>
          <w:szCs w:val="20"/>
          <w:u w:val="none"/>
        </w:rPr>
        <w:t xml:space="preserve">Duma, D. (2019). </w:t>
      </w:r>
      <w:r w:rsidRPr="009C110A">
        <w:rPr>
          <w:rStyle w:val="Hyperlink"/>
          <w:rFonts w:asciiTheme="majorHAnsi" w:hAnsiTheme="majorHAnsi" w:cstheme="majorHAnsi"/>
          <w:i/>
          <w:iCs/>
          <w:color w:val="auto"/>
          <w:sz w:val="20"/>
          <w:szCs w:val="20"/>
          <w:u w:val="none"/>
        </w:rPr>
        <w:t>WOMAN FILMS: BODY AND WILL</w:t>
      </w:r>
      <w:r w:rsidRPr="009C110A">
        <w:rPr>
          <w:rStyle w:val="Hyperlink"/>
          <w:rFonts w:asciiTheme="majorHAnsi" w:hAnsiTheme="majorHAnsi" w:cstheme="majorHAnsi"/>
          <w:color w:val="auto"/>
          <w:sz w:val="20"/>
          <w:szCs w:val="20"/>
          <w:u w:val="none"/>
        </w:rPr>
        <w:t xml:space="preserve">. In Duma D. &amp; Stojanova C. (Eds.), The New Romanian Cinema (pp. 167-179). Edinburgh: Edinburgh University Press. </w:t>
      </w:r>
      <w:r w:rsidRPr="009C110A">
        <w:rPr>
          <w:rStyle w:val="Hyperlink"/>
          <w:rFonts w:asciiTheme="majorHAnsi" w:hAnsiTheme="majorHAnsi" w:cstheme="majorHAnsi"/>
          <w:sz w:val="20"/>
          <w:szCs w:val="20"/>
        </w:rPr>
        <w:t>[</w:t>
      </w:r>
      <w:r w:rsidRPr="009C110A">
        <w:rPr>
          <w:rStyle w:val="Hyperlink"/>
          <w:rFonts w:asciiTheme="majorHAnsi" w:hAnsiTheme="majorHAnsi" w:cstheme="majorHAnsi"/>
          <w:color w:val="auto"/>
          <w:sz w:val="20"/>
          <w:szCs w:val="20"/>
          <w:u w:val="none"/>
        </w:rPr>
        <w:t xml:space="preserve">Retrieved May 9, 2020, from </w:t>
      </w:r>
      <w:hyperlink r:id="rId17" w:history="1">
        <w:r w:rsidRPr="009C110A">
          <w:rPr>
            <w:rStyle w:val="Hyperlink"/>
            <w:rFonts w:asciiTheme="majorHAnsi" w:hAnsiTheme="majorHAnsi" w:cstheme="majorHAnsi"/>
            <w:sz w:val="20"/>
            <w:szCs w:val="20"/>
          </w:rPr>
          <w:t>www.jstor.org/stable/10.3366/j.ctvggx41t.18</w:t>
        </w:r>
      </w:hyperlink>
      <w:r w:rsidRPr="009C110A">
        <w:rPr>
          <w:rStyle w:val="Hyperlink"/>
          <w:rFonts w:asciiTheme="majorHAnsi" w:hAnsiTheme="majorHAnsi" w:cstheme="majorHAnsi"/>
          <w:sz w:val="20"/>
          <w:szCs w:val="20"/>
        </w:rPr>
        <w:t xml:space="preserve">] </w:t>
      </w:r>
    </w:p>
    <w:p w14:paraId="2AFB4E14" w14:textId="77777777" w:rsidR="009F5BD4" w:rsidRPr="009C110A" w:rsidRDefault="009F5BD4" w:rsidP="009F5BD4">
      <w:pPr>
        <w:pStyle w:val="FootnoteText"/>
        <w:numPr>
          <w:ilvl w:val="0"/>
          <w:numId w:val="1"/>
        </w:numPr>
        <w:rPr>
          <w:rFonts w:asciiTheme="majorHAnsi" w:hAnsiTheme="majorHAnsi" w:cstheme="majorHAnsi"/>
        </w:rPr>
      </w:pPr>
      <w:r w:rsidRPr="009C110A">
        <w:rPr>
          <w:rFonts w:asciiTheme="majorHAnsi" w:hAnsiTheme="majorHAnsi" w:cstheme="majorHAnsi"/>
        </w:rPr>
        <w:t xml:space="preserve">History Extra (2019) </w:t>
      </w:r>
      <w:r w:rsidRPr="009C110A">
        <w:rPr>
          <w:rFonts w:asciiTheme="majorHAnsi" w:hAnsiTheme="majorHAnsi" w:cstheme="majorHAnsi"/>
          <w:i/>
          <w:iCs/>
        </w:rPr>
        <w:t>Were girls educated in ancient Rome?</w:t>
      </w:r>
      <w:r w:rsidRPr="009C110A">
        <w:rPr>
          <w:rFonts w:asciiTheme="majorHAnsi" w:hAnsiTheme="majorHAnsi" w:cstheme="majorHAnsi"/>
        </w:rPr>
        <w:t xml:space="preserve"> Available from </w:t>
      </w:r>
      <w:hyperlink r:id="rId18" w:history="1">
        <w:r w:rsidRPr="009C110A">
          <w:rPr>
            <w:rStyle w:val="Hyperlink"/>
            <w:rFonts w:asciiTheme="majorHAnsi" w:hAnsiTheme="majorHAnsi" w:cstheme="majorHAnsi"/>
          </w:rPr>
          <w:t>https://www.historyextra.com/period/roman/were-girls-educated-ancient-rome-what-taught-read/</w:t>
        </w:r>
      </w:hyperlink>
      <w:r w:rsidRPr="009C110A">
        <w:rPr>
          <w:rFonts w:asciiTheme="majorHAnsi" w:hAnsiTheme="majorHAnsi" w:cstheme="majorHAnsi"/>
        </w:rPr>
        <w:t xml:space="preserve"> . [Accessed 24/03/20] </w:t>
      </w:r>
    </w:p>
    <w:p w14:paraId="7B58CE0F" w14:textId="77777777" w:rsidR="009C110A" w:rsidRPr="009C110A" w:rsidRDefault="009F5BD4" w:rsidP="009C110A">
      <w:pPr>
        <w:pStyle w:val="ListParagraph"/>
        <w:numPr>
          <w:ilvl w:val="0"/>
          <w:numId w:val="1"/>
        </w:numPr>
        <w:rPr>
          <w:rFonts w:asciiTheme="majorHAnsi" w:hAnsiTheme="majorHAnsi" w:cstheme="majorHAnsi"/>
          <w:sz w:val="20"/>
          <w:szCs w:val="20"/>
        </w:rPr>
      </w:pPr>
      <w:r w:rsidRPr="009C110A">
        <w:rPr>
          <w:rFonts w:asciiTheme="majorHAnsi" w:hAnsiTheme="majorHAnsi" w:cstheme="majorHAnsi"/>
          <w:color w:val="333333"/>
          <w:sz w:val="20"/>
          <w:szCs w:val="20"/>
          <w:shd w:val="clear" w:color="auto" w:fill="FFFFFF"/>
        </w:rPr>
        <w:t xml:space="preserve">Holt, F. (1986). </w:t>
      </w:r>
      <w:r w:rsidRPr="009C110A">
        <w:rPr>
          <w:rFonts w:asciiTheme="majorHAnsi" w:hAnsiTheme="majorHAnsi" w:cstheme="majorHAnsi"/>
          <w:i/>
          <w:iCs/>
          <w:color w:val="333333"/>
          <w:sz w:val="20"/>
          <w:szCs w:val="20"/>
          <w:shd w:val="clear" w:color="auto" w:fill="FFFFFF"/>
        </w:rPr>
        <w:t>Egyptomania: Have We Cursed the Pharaohs?</w:t>
      </w:r>
      <w:r w:rsidRPr="009C110A">
        <w:rPr>
          <w:rFonts w:asciiTheme="majorHAnsi" w:hAnsiTheme="majorHAnsi" w:cstheme="majorHAnsi"/>
          <w:color w:val="333333"/>
          <w:sz w:val="20"/>
          <w:szCs w:val="20"/>
          <w:shd w:val="clear" w:color="auto" w:fill="FFFFFF"/>
        </w:rPr>
        <w:t> Archaeology</w:t>
      </w:r>
      <w:r w:rsidRPr="009C110A">
        <w:rPr>
          <w:rFonts w:asciiTheme="majorHAnsi" w:hAnsiTheme="majorHAnsi" w:cstheme="majorHAnsi"/>
          <w:i/>
          <w:iCs/>
          <w:color w:val="333333"/>
          <w:sz w:val="20"/>
          <w:szCs w:val="20"/>
          <w:shd w:val="clear" w:color="auto" w:fill="FFFFFF"/>
        </w:rPr>
        <w:t>,</w:t>
      </w:r>
      <w:r w:rsidRPr="009C110A">
        <w:rPr>
          <w:rFonts w:asciiTheme="majorHAnsi" w:hAnsiTheme="majorHAnsi" w:cstheme="majorHAnsi"/>
          <w:color w:val="333333"/>
          <w:sz w:val="20"/>
          <w:szCs w:val="20"/>
          <w:shd w:val="clear" w:color="auto" w:fill="FFFFFF"/>
        </w:rPr>
        <w:t> </w:t>
      </w:r>
      <w:r w:rsidRPr="009C110A">
        <w:rPr>
          <w:rFonts w:asciiTheme="majorHAnsi" w:hAnsiTheme="majorHAnsi" w:cstheme="majorHAnsi"/>
          <w:i/>
          <w:iCs/>
          <w:color w:val="333333"/>
          <w:sz w:val="20"/>
          <w:szCs w:val="20"/>
          <w:shd w:val="clear" w:color="auto" w:fill="FFFFFF"/>
        </w:rPr>
        <w:t>39</w:t>
      </w:r>
      <w:r w:rsidRPr="009C110A">
        <w:rPr>
          <w:rFonts w:asciiTheme="majorHAnsi" w:hAnsiTheme="majorHAnsi" w:cstheme="majorHAnsi"/>
          <w:color w:val="333333"/>
          <w:sz w:val="20"/>
          <w:szCs w:val="20"/>
          <w:shd w:val="clear" w:color="auto" w:fill="FFFFFF"/>
        </w:rPr>
        <w:t xml:space="preserve">(2), 60-63. Retrieved May 7, 2020, from </w:t>
      </w:r>
      <w:hyperlink r:id="rId19" w:history="1">
        <w:r w:rsidRPr="009C110A">
          <w:rPr>
            <w:rStyle w:val="Hyperlink"/>
            <w:rFonts w:asciiTheme="majorHAnsi" w:hAnsiTheme="majorHAnsi" w:cstheme="majorHAnsi"/>
            <w:sz w:val="20"/>
            <w:szCs w:val="20"/>
            <w:shd w:val="clear" w:color="auto" w:fill="FFFFFF"/>
          </w:rPr>
          <w:t>www.jstor.org/stable/41731744</w:t>
        </w:r>
      </w:hyperlink>
      <w:r w:rsidRPr="009C110A">
        <w:rPr>
          <w:rFonts w:asciiTheme="majorHAnsi" w:hAnsiTheme="majorHAnsi" w:cstheme="majorHAnsi"/>
          <w:color w:val="333333"/>
          <w:sz w:val="20"/>
          <w:szCs w:val="20"/>
          <w:shd w:val="clear" w:color="auto" w:fill="FFFFFF"/>
        </w:rPr>
        <w:t xml:space="preserve"> </w:t>
      </w:r>
    </w:p>
    <w:p w14:paraId="42ACFEF7" w14:textId="1B147853" w:rsidR="009F5BD4" w:rsidRPr="009C110A" w:rsidRDefault="009F5BD4" w:rsidP="009C110A">
      <w:pPr>
        <w:pStyle w:val="ListParagraph"/>
        <w:numPr>
          <w:ilvl w:val="0"/>
          <w:numId w:val="1"/>
        </w:numPr>
        <w:rPr>
          <w:rFonts w:asciiTheme="majorHAnsi" w:hAnsiTheme="majorHAnsi" w:cstheme="majorHAnsi"/>
          <w:sz w:val="20"/>
          <w:szCs w:val="20"/>
        </w:rPr>
      </w:pPr>
      <w:r w:rsidRPr="009C110A">
        <w:rPr>
          <w:rFonts w:asciiTheme="majorHAnsi" w:hAnsiTheme="majorHAnsi" w:cstheme="majorHAnsi"/>
          <w:sz w:val="20"/>
          <w:szCs w:val="20"/>
        </w:rPr>
        <w:lastRenderedPageBreak/>
        <w:t xml:space="preserve">Kang, B (2019) </w:t>
      </w:r>
      <w:r w:rsidRPr="009C110A">
        <w:rPr>
          <w:rFonts w:asciiTheme="majorHAnsi" w:hAnsiTheme="majorHAnsi" w:cstheme="majorHAnsi"/>
          <w:i/>
          <w:iCs/>
          <w:sz w:val="20"/>
          <w:szCs w:val="20"/>
        </w:rPr>
        <w:t xml:space="preserve">Cleopatra should be played by a black actor – but not just because it might be more historically accurate. </w:t>
      </w:r>
      <w:r w:rsidRPr="009C110A">
        <w:rPr>
          <w:rFonts w:asciiTheme="majorHAnsi" w:hAnsiTheme="majorHAnsi" w:cstheme="majorHAnsi"/>
          <w:sz w:val="20"/>
          <w:szCs w:val="20"/>
        </w:rPr>
        <w:t xml:space="preserve">The Independent. Available from  </w:t>
      </w:r>
      <w:hyperlink r:id="rId20" w:history="1">
        <w:r w:rsidRPr="009C110A">
          <w:rPr>
            <w:rStyle w:val="Hyperlink"/>
            <w:rFonts w:asciiTheme="majorHAnsi" w:hAnsiTheme="majorHAnsi" w:cstheme="majorHAnsi"/>
            <w:sz w:val="20"/>
            <w:szCs w:val="20"/>
          </w:rPr>
          <w:t>https://www.independent.co.uk/voices/cleopatra-film-sony-black-actor-lady-gaga-angelina-jolie-whitewashing-a8728721.html</w:t>
        </w:r>
      </w:hyperlink>
      <w:r w:rsidRPr="009C110A">
        <w:rPr>
          <w:rFonts w:asciiTheme="majorHAnsi" w:hAnsiTheme="majorHAnsi" w:cstheme="majorHAnsi"/>
          <w:sz w:val="20"/>
          <w:szCs w:val="20"/>
        </w:rPr>
        <w:t xml:space="preserve"> [Accessed 07/05/20] </w:t>
      </w:r>
    </w:p>
    <w:p w14:paraId="01BE2453" w14:textId="77777777" w:rsidR="009F5BD4" w:rsidRPr="009C110A" w:rsidRDefault="009F5BD4" w:rsidP="009F5BD4">
      <w:pPr>
        <w:pStyle w:val="FootnoteText"/>
        <w:numPr>
          <w:ilvl w:val="0"/>
          <w:numId w:val="1"/>
        </w:numPr>
        <w:rPr>
          <w:rFonts w:asciiTheme="majorHAnsi" w:hAnsiTheme="majorHAnsi" w:cstheme="majorHAnsi"/>
        </w:rPr>
      </w:pPr>
      <w:r w:rsidRPr="009C110A">
        <w:rPr>
          <w:rFonts w:asciiTheme="majorHAnsi" w:hAnsiTheme="majorHAnsi" w:cstheme="majorHAnsi"/>
          <w:shd w:val="clear" w:color="auto" w:fill="FFFFFF"/>
        </w:rPr>
        <w:t xml:space="preserve">Kucharski, J (2013) </w:t>
      </w:r>
      <w:r w:rsidRPr="009C110A">
        <w:rPr>
          <w:rFonts w:asciiTheme="majorHAnsi" w:hAnsiTheme="majorHAnsi" w:cstheme="majorHAnsi"/>
          <w:i/>
          <w:iCs/>
          <w:shd w:val="clear" w:color="auto" w:fill="FFFFFF"/>
        </w:rPr>
        <w:t>Cleopatra- Royal From Head To Toe</w:t>
      </w:r>
      <w:r w:rsidRPr="009C110A">
        <w:rPr>
          <w:rFonts w:asciiTheme="majorHAnsi" w:hAnsiTheme="majorHAnsi" w:cstheme="majorHAnsi"/>
          <w:shd w:val="clear" w:color="auto" w:fill="FFFFFF"/>
        </w:rPr>
        <w:t xml:space="preserve">. Tyranny of Style Available from </w:t>
      </w:r>
      <w:hyperlink r:id="rId21" w:history="1">
        <w:r w:rsidRPr="009C110A">
          <w:rPr>
            <w:rStyle w:val="Hyperlink"/>
            <w:rFonts w:asciiTheme="majorHAnsi" w:hAnsiTheme="majorHAnsi" w:cstheme="majorHAnsi"/>
          </w:rPr>
          <w:t>http://tyrannyofstyle.com/home/tag/Cleopatra</w:t>
        </w:r>
      </w:hyperlink>
      <w:r w:rsidRPr="009C110A">
        <w:rPr>
          <w:rFonts w:asciiTheme="majorHAnsi" w:hAnsiTheme="majorHAnsi" w:cstheme="majorHAnsi"/>
        </w:rPr>
        <w:t xml:space="preserve"> [Accessed 01/05/20] </w:t>
      </w:r>
    </w:p>
    <w:p w14:paraId="7684286A" w14:textId="77777777" w:rsidR="009F5BD4" w:rsidRPr="009C110A" w:rsidRDefault="009F5BD4" w:rsidP="009F5BD4">
      <w:pPr>
        <w:pStyle w:val="ListParagraph"/>
        <w:numPr>
          <w:ilvl w:val="0"/>
          <w:numId w:val="1"/>
        </w:numPr>
        <w:rPr>
          <w:rFonts w:asciiTheme="majorHAnsi" w:hAnsiTheme="majorHAnsi" w:cstheme="majorHAnsi"/>
          <w:sz w:val="20"/>
          <w:szCs w:val="20"/>
        </w:rPr>
      </w:pPr>
      <w:r w:rsidRPr="009C110A">
        <w:rPr>
          <w:rFonts w:asciiTheme="majorHAnsi" w:hAnsiTheme="majorHAnsi" w:cstheme="majorHAnsi"/>
          <w:sz w:val="20"/>
          <w:szCs w:val="20"/>
        </w:rPr>
        <w:t xml:space="preserve">Maksy, R and Darnell, C (2020) </w:t>
      </w:r>
      <w:r w:rsidRPr="009C110A">
        <w:rPr>
          <w:rFonts w:asciiTheme="majorHAnsi" w:hAnsiTheme="majorHAnsi" w:cstheme="majorHAnsi"/>
          <w:i/>
          <w:iCs/>
          <w:sz w:val="20"/>
          <w:szCs w:val="20"/>
        </w:rPr>
        <w:t xml:space="preserve">Watching ‘The Mummy’ With An Actual Egyptologist. </w:t>
      </w:r>
      <w:r w:rsidRPr="009C110A">
        <w:rPr>
          <w:rFonts w:asciiTheme="majorHAnsi" w:hAnsiTheme="majorHAnsi" w:cstheme="majorHAnsi"/>
          <w:sz w:val="20"/>
          <w:szCs w:val="20"/>
        </w:rPr>
        <w:t>Youtube, Available from</w:t>
      </w:r>
      <w:r w:rsidRPr="009C110A">
        <w:rPr>
          <w:rFonts w:asciiTheme="majorHAnsi" w:hAnsiTheme="majorHAnsi" w:cstheme="majorHAnsi"/>
          <w:i/>
          <w:iCs/>
          <w:sz w:val="20"/>
          <w:szCs w:val="20"/>
        </w:rPr>
        <w:t xml:space="preserve"> </w:t>
      </w:r>
      <w:hyperlink r:id="rId22" w:history="1">
        <w:r w:rsidRPr="009C110A">
          <w:rPr>
            <w:rStyle w:val="Hyperlink"/>
            <w:rFonts w:asciiTheme="majorHAnsi" w:hAnsiTheme="majorHAnsi" w:cstheme="majorHAnsi"/>
            <w:sz w:val="20"/>
            <w:szCs w:val="20"/>
          </w:rPr>
          <w:t>https://www.youtube.com/watch?v=VjFFrYEZsAQ</w:t>
        </w:r>
      </w:hyperlink>
      <w:r w:rsidRPr="009C110A">
        <w:rPr>
          <w:rFonts w:asciiTheme="majorHAnsi" w:hAnsiTheme="majorHAnsi" w:cstheme="majorHAnsi"/>
          <w:sz w:val="20"/>
          <w:szCs w:val="20"/>
        </w:rPr>
        <w:t xml:space="preserve">. [Accessed 29/02/20] </w:t>
      </w:r>
    </w:p>
    <w:p w14:paraId="470F676A" w14:textId="77777777" w:rsidR="009F5BD4" w:rsidRPr="009C110A" w:rsidRDefault="009F5BD4" w:rsidP="009F5BD4">
      <w:pPr>
        <w:pStyle w:val="ListParagraph"/>
        <w:numPr>
          <w:ilvl w:val="0"/>
          <w:numId w:val="1"/>
        </w:numPr>
        <w:rPr>
          <w:rFonts w:asciiTheme="majorHAnsi" w:hAnsiTheme="majorHAnsi" w:cstheme="majorHAnsi"/>
          <w:sz w:val="20"/>
          <w:szCs w:val="20"/>
        </w:rPr>
      </w:pPr>
      <w:r w:rsidRPr="009C110A">
        <w:rPr>
          <w:rFonts w:asciiTheme="majorHAnsi" w:hAnsiTheme="majorHAnsi" w:cstheme="majorHAnsi"/>
          <w:color w:val="333333"/>
          <w:sz w:val="20"/>
          <w:szCs w:val="20"/>
          <w:shd w:val="clear" w:color="auto" w:fill="FFFFFF"/>
        </w:rPr>
        <w:t>Matić, U. (2016). (</w:t>
      </w:r>
      <w:r w:rsidRPr="009C110A">
        <w:rPr>
          <w:rFonts w:asciiTheme="majorHAnsi" w:hAnsiTheme="majorHAnsi" w:cstheme="majorHAnsi"/>
          <w:i/>
          <w:iCs/>
          <w:color w:val="333333"/>
          <w:sz w:val="20"/>
          <w:szCs w:val="20"/>
          <w:shd w:val="clear" w:color="auto" w:fill="FFFFFF"/>
        </w:rPr>
        <w:t>De)queering Hatshepsut: Binary Bind in Archaeology of Egypt and Kingship Beyond the Corporeal</w:t>
      </w:r>
      <w:r w:rsidRPr="009C110A">
        <w:rPr>
          <w:rFonts w:asciiTheme="majorHAnsi" w:hAnsiTheme="majorHAnsi" w:cstheme="majorHAnsi"/>
          <w:color w:val="333333"/>
          <w:sz w:val="20"/>
          <w:szCs w:val="20"/>
          <w:shd w:val="clear" w:color="auto" w:fill="FFFFFF"/>
        </w:rPr>
        <w:t>. Journal of Archaeological Method and Theory, </w:t>
      </w:r>
      <w:r w:rsidRPr="009C110A">
        <w:rPr>
          <w:rFonts w:asciiTheme="majorHAnsi" w:hAnsiTheme="majorHAnsi" w:cstheme="majorHAnsi"/>
          <w:i/>
          <w:iCs/>
          <w:color w:val="333333"/>
          <w:sz w:val="20"/>
          <w:szCs w:val="20"/>
          <w:shd w:val="clear" w:color="auto" w:fill="FFFFFF"/>
        </w:rPr>
        <w:t>23</w:t>
      </w:r>
      <w:r w:rsidRPr="009C110A">
        <w:rPr>
          <w:rFonts w:asciiTheme="majorHAnsi" w:hAnsiTheme="majorHAnsi" w:cstheme="majorHAnsi"/>
          <w:color w:val="333333"/>
          <w:sz w:val="20"/>
          <w:szCs w:val="20"/>
          <w:shd w:val="clear" w:color="auto" w:fill="FFFFFF"/>
        </w:rPr>
        <w:t xml:space="preserve">(3), 810-831. Retrieved May 7, 2020, from </w:t>
      </w:r>
      <w:hyperlink r:id="rId23" w:history="1">
        <w:r w:rsidRPr="009C110A">
          <w:rPr>
            <w:rStyle w:val="Hyperlink"/>
            <w:rFonts w:asciiTheme="majorHAnsi" w:hAnsiTheme="majorHAnsi" w:cstheme="majorHAnsi"/>
            <w:sz w:val="20"/>
            <w:szCs w:val="20"/>
            <w:shd w:val="clear" w:color="auto" w:fill="FFFFFF"/>
          </w:rPr>
          <w:t>www.jstor.org/stable/43967042</w:t>
        </w:r>
      </w:hyperlink>
      <w:r w:rsidRPr="009C110A">
        <w:rPr>
          <w:rFonts w:asciiTheme="majorHAnsi" w:hAnsiTheme="majorHAnsi" w:cstheme="majorHAnsi"/>
          <w:color w:val="333333"/>
          <w:sz w:val="20"/>
          <w:szCs w:val="20"/>
          <w:shd w:val="clear" w:color="auto" w:fill="FFFFFF"/>
        </w:rPr>
        <w:t xml:space="preserve"> </w:t>
      </w:r>
    </w:p>
    <w:p w14:paraId="34FF367C" w14:textId="77777777" w:rsidR="009F5BD4" w:rsidRPr="009C110A" w:rsidRDefault="009F5BD4" w:rsidP="009F5BD4">
      <w:pPr>
        <w:pStyle w:val="ListParagraph"/>
        <w:numPr>
          <w:ilvl w:val="0"/>
          <w:numId w:val="1"/>
        </w:numPr>
        <w:rPr>
          <w:rFonts w:asciiTheme="majorHAnsi" w:hAnsiTheme="majorHAnsi" w:cstheme="majorHAnsi"/>
          <w:sz w:val="20"/>
          <w:szCs w:val="20"/>
        </w:rPr>
      </w:pPr>
      <w:r w:rsidRPr="009C110A">
        <w:rPr>
          <w:rFonts w:asciiTheme="majorHAnsi" w:hAnsiTheme="majorHAnsi" w:cstheme="majorHAnsi"/>
          <w:sz w:val="20"/>
          <w:szCs w:val="20"/>
        </w:rPr>
        <w:t xml:space="preserve">MFA. </w:t>
      </w:r>
      <w:r w:rsidRPr="009C110A">
        <w:rPr>
          <w:rFonts w:asciiTheme="majorHAnsi" w:hAnsiTheme="majorHAnsi" w:cstheme="majorHAnsi"/>
          <w:i/>
          <w:iCs/>
          <w:sz w:val="20"/>
          <w:szCs w:val="20"/>
        </w:rPr>
        <w:t>Beadnet Dress</w:t>
      </w:r>
      <w:r w:rsidRPr="009C110A">
        <w:rPr>
          <w:rFonts w:asciiTheme="majorHAnsi" w:hAnsiTheme="majorHAnsi" w:cstheme="majorHAnsi"/>
          <w:sz w:val="20"/>
          <w:szCs w:val="20"/>
        </w:rPr>
        <w:t xml:space="preserve">. Museum of Fine Arts, Boston. Available from  </w:t>
      </w:r>
      <w:hyperlink r:id="rId24" w:history="1">
        <w:r w:rsidRPr="009C110A">
          <w:rPr>
            <w:rStyle w:val="Hyperlink"/>
            <w:rFonts w:asciiTheme="majorHAnsi" w:hAnsiTheme="majorHAnsi" w:cstheme="majorHAnsi"/>
            <w:sz w:val="20"/>
            <w:szCs w:val="20"/>
          </w:rPr>
          <w:t>https://collections.mfa.org/objects/146531</w:t>
        </w:r>
      </w:hyperlink>
      <w:r w:rsidRPr="009C110A">
        <w:rPr>
          <w:rFonts w:asciiTheme="majorHAnsi" w:hAnsiTheme="majorHAnsi" w:cstheme="majorHAnsi"/>
          <w:sz w:val="20"/>
          <w:szCs w:val="20"/>
        </w:rPr>
        <w:t xml:space="preserve"> [Accessed 09/05/20]</w:t>
      </w:r>
    </w:p>
    <w:p w14:paraId="3DD9F8E1" w14:textId="77777777" w:rsidR="009F5BD4" w:rsidRPr="009C110A" w:rsidRDefault="009F5BD4" w:rsidP="009F5BD4">
      <w:pPr>
        <w:pStyle w:val="ListParagraph"/>
        <w:numPr>
          <w:ilvl w:val="0"/>
          <w:numId w:val="1"/>
        </w:numPr>
        <w:rPr>
          <w:rFonts w:asciiTheme="majorHAnsi" w:hAnsiTheme="majorHAnsi" w:cstheme="majorHAnsi"/>
          <w:sz w:val="20"/>
          <w:szCs w:val="20"/>
        </w:rPr>
      </w:pPr>
      <w:r w:rsidRPr="009C110A">
        <w:rPr>
          <w:rFonts w:asciiTheme="majorHAnsi" w:hAnsiTheme="majorHAnsi" w:cstheme="majorHAnsi"/>
          <w:sz w:val="20"/>
          <w:szCs w:val="20"/>
        </w:rPr>
        <w:t xml:space="preserve">MMA. </w:t>
      </w:r>
      <w:r w:rsidRPr="009C110A">
        <w:rPr>
          <w:rFonts w:asciiTheme="majorHAnsi" w:hAnsiTheme="majorHAnsi" w:cstheme="majorHAnsi"/>
          <w:i/>
          <w:iCs/>
          <w:color w:val="333333"/>
          <w:sz w:val="20"/>
          <w:szCs w:val="20"/>
          <w:shd w:val="clear" w:color="auto" w:fill="FFFFFF"/>
        </w:rPr>
        <w:t xml:space="preserve">Pectoral and Necklace of Sithathoryunet with the Name of Senwosret II. </w:t>
      </w:r>
      <w:r w:rsidRPr="009C110A">
        <w:rPr>
          <w:rFonts w:asciiTheme="majorHAnsi" w:hAnsiTheme="majorHAnsi" w:cstheme="majorHAnsi"/>
          <w:color w:val="333333"/>
          <w:sz w:val="20"/>
          <w:szCs w:val="20"/>
          <w:shd w:val="clear" w:color="auto" w:fill="FFFFFF"/>
        </w:rPr>
        <w:t xml:space="preserve">The Metropolitan Museum of Art. Available from </w:t>
      </w:r>
      <w:hyperlink r:id="rId25" w:history="1">
        <w:r w:rsidRPr="009C110A">
          <w:rPr>
            <w:rStyle w:val="Hyperlink"/>
            <w:rFonts w:asciiTheme="majorHAnsi" w:hAnsiTheme="majorHAnsi" w:cstheme="majorHAnsi"/>
            <w:sz w:val="20"/>
            <w:szCs w:val="20"/>
          </w:rPr>
          <w:t>https://www.metmuseum.org/en/art/collection/search/544232</w:t>
        </w:r>
      </w:hyperlink>
      <w:r w:rsidRPr="009C110A">
        <w:rPr>
          <w:rFonts w:asciiTheme="majorHAnsi" w:hAnsiTheme="majorHAnsi" w:cstheme="majorHAnsi"/>
          <w:sz w:val="20"/>
          <w:szCs w:val="20"/>
        </w:rPr>
        <w:t xml:space="preserve"> [Accessed on 02/05/20]</w:t>
      </w:r>
    </w:p>
    <w:p w14:paraId="6E2DB4AA" w14:textId="77777777" w:rsidR="009F5BD4" w:rsidRPr="009C110A" w:rsidRDefault="009F5BD4" w:rsidP="009F5BD4">
      <w:pPr>
        <w:pStyle w:val="ListParagraph"/>
        <w:numPr>
          <w:ilvl w:val="0"/>
          <w:numId w:val="1"/>
        </w:numPr>
        <w:rPr>
          <w:rFonts w:asciiTheme="majorHAnsi" w:hAnsiTheme="majorHAnsi" w:cstheme="majorHAnsi"/>
          <w:sz w:val="20"/>
          <w:szCs w:val="20"/>
        </w:rPr>
      </w:pPr>
      <w:r w:rsidRPr="009C110A">
        <w:rPr>
          <w:rFonts w:asciiTheme="majorHAnsi" w:hAnsiTheme="majorHAnsi" w:cstheme="majorHAnsi"/>
          <w:sz w:val="20"/>
          <w:szCs w:val="20"/>
        </w:rPr>
        <w:t xml:space="preserve">Moore, E and Woodward,D (2013) </w:t>
      </w:r>
      <w:r w:rsidRPr="009C110A">
        <w:rPr>
          <w:rFonts w:asciiTheme="majorHAnsi" w:hAnsiTheme="majorHAnsi" w:cstheme="majorHAnsi"/>
          <w:i/>
          <w:iCs/>
          <w:sz w:val="20"/>
          <w:szCs w:val="20"/>
        </w:rPr>
        <w:t xml:space="preserve">Top Ten Facts about Cleopatra’s Costumes. </w:t>
      </w:r>
      <w:r w:rsidRPr="009C110A">
        <w:rPr>
          <w:rFonts w:asciiTheme="majorHAnsi" w:hAnsiTheme="majorHAnsi" w:cstheme="majorHAnsi"/>
          <w:sz w:val="20"/>
          <w:szCs w:val="20"/>
        </w:rPr>
        <w:t xml:space="preserve">AnOther Magazine. Available from </w:t>
      </w:r>
      <w:hyperlink r:id="rId26" w:history="1">
        <w:r w:rsidRPr="009C110A">
          <w:rPr>
            <w:rStyle w:val="Hyperlink"/>
            <w:rFonts w:asciiTheme="majorHAnsi" w:hAnsiTheme="majorHAnsi" w:cstheme="majorHAnsi"/>
            <w:sz w:val="20"/>
            <w:szCs w:val="20"/>
          </w:rPr>
          <w:t>https://www.anothermag.com/art-photography/2865/top-10-facts-about-cleopatras-costumes</w:t>
        </w:r>
      </w:hyperlink>
      <w:r w:rsidRPr="009C110A">
        <w:rPr>
          <w:rFonts w:asciiTheme="majorHAnsi" w:hAnsiTheme="majorHAnsi" w:cstheme="majorHAnsi"/>
          <w:sz w:val="20"/>
          <w:szCs w:val="20"/>
        </w:rPr>
        <w:t xml:space="preserve"> [Accessed 09/05/20] </w:t>
      </w:r>
    </w:p>
    <w:p w14:paraId="6A78D14C" w14:textId="77777777" w:rsidR="009F5BD4" w:rsidRPr="009C110A" w:rsidRDefault="009F5BD4" w:rsidP="009F5BD4">
      <w:pPr>
        <w:pStyle w:val="ListParagraph"/>
        <w:numPr>
          <w:ilvl w:val="0"/>
          <w:numId w:val="1"/>
        </w:numPr>
        <w:rPr>
          <w:rFonts w:asciiTheme="majorHAnsi" w:hAnsiTheme="majorHAnsi" w:cstheme="majorHAnsi"/>
          <w:sz w:val="20"/>
          <w:szCs w:val="20"/>
        </w:rPr>
      </w:pPr>
      <w:r w:rsidRPr="009C110A">
        <w:rPr>
          <w:rFonts w:asciiTheme="majorHAnsi" w:hAnsiTheme="majorHAnsi" w:cstheme="majorHAnsi"/>
          <w:sz w:val="20"/>
          <w:szCs w:val="20"/>
        </w:rPr>
        <w:t xml:space="preserve">Plutach (1988) Life of Antony. In Pelling, B (trans.) Cambridge. Cambridge University </w:t>
      </w:r>
    </w:p>
    <w:p w14:paraId="38022E0C" w14:textId="77777777" w:rsidR="009F5BD4" w:rsidRPr="009C110A" w:rsidRDefault="009F5BD4" w:rsidP="009F5BD4">
      <w:pPr>
        <w:pStyle w:val="ListParagraph"/>
        <w:numPr>
          <w:ilvl w:val="0"/>
          <w:numId w:val="1"/>
        </w:numPr>
        <w:rPr>
          <w:rFonts w:asciiTheme="majorHAnsi" w:hAnsiTheme="majorHAnsi" w:cstheme="majorHAnsi"/>
          <w:sz w:val="20"/>
          <w:szCs w:val="20"/>
        </w:rPr>
      </w:pPr>
      <w:r w:rsidRPr="009C110A">
        <w:rPr>
          <w:rFonts w:asciiTheme="majorHAnsi" w:hAnsiTheme="majorHAnsi" w:cstheme="majorHAnsi"/>
          <w:sz w:val="20"/>
          <w:szCs w:val="20"/>
        </w:rPr>
        <w:t xml:space="preserve">Rice, E. Lacey. "Cleopatra (1963)". Turner Classic Movies. </w:t>
      </w:r>
    </w:p>
    <w:p w14:paraId="46AD493E" w14:textId="77777777" w:rsidR="009F5BD4" w:rsidRPr="009C110A" w:rsidRDefault="009F5BD4" w:rsidP="009F5BD4">
      <w:pPr>
        <w:pStyle w:val="ListParagraph"/>
        <w:numPr>
          <w:ilvl w:val="0"/>
          <w:numId w:val="1"/>
        </w:numPr>
        <w:rPr>
          <w:rFonts w:asciiTheme="majorHAnsi" w:hAnsiTheme="majorHAnsi" w:cstheme="majorHAnsi"/>
          <w:sz w:val="20"/>
          <w:szCs w:val="20"/>
        </w:rPr>
      </w:pPr>
      <w:r w:rsidRPr="009C110A">
        <w:rPr>
          <w:rFonts w:asciiTheme="majorHAnsi" w:hAnsiTheme="majorHAnsi" w:cstheme="majorHAnsi"/>
          <w:color w:val="333333"/>
          <w:sz w:val="20"/>
          <w:szCs w:val="20"/>
          <w:shd w:val="clear" w:color="auto" w:fill="FFFFFF"/>
        </w:rPr>
        <w:t xml:space="preserve">Salisbury, J. E. (2001) </w:t>
      </w:r>
      <w:r w:rsidRPr="009C110A">
        <w:rPr>
          <w:rFonts w:asciiTheme="majorHAnsi" w:hAnsiTheme="majorHAnsi" w:cstheme="majorHAnsi"/>
          <w:i/>
          <w:iCs/>
          <w:color w:val="333333"/>
          <w:sz w:val="20"/>
          <w:szCs w:val="20"/>
          <w:shd w:val="clear" w:color="auto" w:fill="FFFFFF"/>
        </w:rPr>
        <w:t xml:space="preserve">Encyclopedia of Women in the Ancient World. </w:t>
      </w:r>
      <w:r w:rsidRPr="009C110A">
        <w:rPr>
          <w:rFonts w:asciiTheme="majorHAnsi" w:hAnsiTheme="majorHAnsi" w:cstheme="majorHAnsi"/>
          <w:color w:val="333333"/>
          <w:sz w:val="20"/>
          <w:szCs w:val="20"/>
          <w:shd w:val="clear" w:color="auto" w:fill="FFFFFF"/>
        </w:rPr>
        <w:t>Santa Barbara, Calif: ABC-CLIO</w:t>
      </w:r>
    </w:p>
    <w:p w14:paraId="00DFA2EC" w14:textId="77777777" w:rsidR="009F5BD4" w:rsidRPr="009C110A" w:rsidRDefault="009F5BD4" w:rsidP="009F5BD4">
      <w:pPr>
        <w:pStyle w:val="ListParagraph"/>
        <w:numPr>
          <w:ilvl w:val="0"/>
          <w:numId w:val="1"/>
        </w:numPr>
        <w:rPr>
          <w:rFonts w:asciiTheme="majorHAnsi" w:hAnsiTheme="majorHAnsi" w:cstheme="majorHAnsi"/>
          <w:sz w:val="20"/>
          <w:szCs w:val="20"/>
        </w:rPr>
      </w:pPr>
      <w:r w:rsidRPr="009C110A">
        <w:rPr>
          <w:rFonts w:asciiTheme="majorHAnsi" w:hAnsiTheme="majorHAnsi" w:cstheme="majorHAnsi"/>
          <w:color w:val="000000"/>
          <w:sz w:val="20"/>
          <w:szCs w:val="20"/>
          <w:shd w:val="clear" w:color="auto" w:fill="FFFFFF"/>
        </w:rPr>
        <w:t>Shakespeare, W., 2020. </w:t>
      </w:r>
      <w:r w:rsidRPr="009C110A">
        <w:rPr>
          <w:rFonts w:asciiTheme="majorHAnsi" w:hAnsiTheme="majorHAnsi" w:cstheme="majorHAnsi"/>
          <w:i/>
          <w:iCs/>
          <w:color w:val="000000"/>
          <w:sz w:val="20"/>
          <w:szCs w:val="20"/>
          <w:shd w:val="clear" w:color="auto" w:fill="FFFFFF"/>
        </w:rPr>
        <w:t>Antony And Cleopatra: Entire Play</w:t>
      </w:r>
      <w:r w:rsidRPr="009C110A">
        <w:rPr>
          <w:rFonts w:asciiTheme="majorHAnsi" w:hAnsiTheme="majorHAnsi" w:cstheme="majorHAnsi"/>
          <w:color w:val="000000"/>
          <w:sz w:val="20"/>
          <w:szCs w:val="20"/>
          <w:shd w:val="clear" w:color="auto" w:fill="FFFFFF"/>
        </w:rPr>
        <w:t xml:space="preserve">. [online] Shakespeare.mit.edu. Available at: &lt;http://shakespeare.mit.edu/cleopatra/full.html&gt; [Accessed 6 May 2020]. </w:t>
      </w:r>
    </w:p>
    <w:p w14:paraId="1E79F195" w14:textId="77777777" w:rsidR="009F5BD4" w:rsidRPr="009C110A" w:rsidRDefault="009F5BD4" w:rsidP="009F5BD4">
      <w:pPr>
        <w:pStyle w:val="ListParagraph"/>
        <w:numPr>
          <w:ilvl w:val="0"/>
          <w:numId w:val="1"/>
        </w:numPr>
        <w:rPr>
          <w:rStyle w:val="Hyperlink"/>
          <w:rFonts w:asciiTheme="majorHAnsi" w:hAnsiTheme="majorHAnsi" w:cstheme="majorHAnsi"/>
          <w:sz w:val="20"/>
          <w:szCs w:val="20"/>
        </w:rPr>
      </w:pPr>
      <w:r w:rsidRPr="009C110A">
        <w:rPr>
          <w:rFonts w:asciiTheme="majorHAnsi" w:hAnsiTheme="majorHAnsi" w:cstheme="majorHAnsi"/>
          <w:sz w:val="20"/>
          <w:szCs w:val="20"/>
        </w:rPr>
        <w:t xml:space="preserve">SHM. (2004) </w:t>
      </w:r>
      <w:r w:rsidRPr="009C110A">
        <w:rPr>
          <w:rFonts w:asciiTheme="majorHAnsi" w:hAnsiTheme="majorHAnsi" w:cstheme="majorHAnsi"/>
          <w:i/>
          <w:iCs/>
          <w:sz w:val="20"/>
          <w:szCs w:val="20"/>
        </w:rPr>
        <w:t>New attribution: a statue of Cleopatra VII.</w:t>
      </w:r>
      <w:r w:rsidRPr="009C110A">
        <w:rPr>
          <w:rFonts w:asciiTheme="majorHAnsi" w:hAnsiTheme="majorHAnsi" w:cstheme="majorHAnsi"/>
          <w:sz w:val="20"/>
          <w:szCs w:val="20"/>
        </w:rPr>
        <w:t xml:space="preserve">  The State Hermitage Museum. Available from </w:t>
      </w:r>
      <w:hyperlink r:id="rId27" w:history="1">
        <w:r w:rsidRPr="009C110A">
          <w:rPr>
            <w:rStyle w:val="Hyperlink"/>
            <w:rFonts w:asciiTheme="majorHAnsi" w:hAnsiTheme="majorHAnsi" w:cstheme="majorHAnsi"/>
            <w:sz w:val="20"/>
            <w:szCs w:val="20"/>
          </w:rPr>
          <w:t>https://www.hermitagemuseum.org/wps/portal/hermitage/news/news-item/news/1999_2013/hm11_3_13/!ut/p/z1/jZFNT4QwEIZ_iweOdoby7a2Spe4HqQd1ay-E3bCAAUoAl8Rfb7PxslHROc0kz_vOOxlQIEF1-bku86nWXd6Y-VX5mWDMt50YN3yLPjKOVLCUOnzlw_4C4C_FENR_9AuAWrbf_LXAXECHNE5LUH0-Vbd1d9Igu2IeQdpRFGUUbQdk1dp25mSm3YO69hRiRZEJnriPCbd5EnwD1tvAAE_egxAvMY3dL2A5dn1oyXxsCRKPeiZDhBgGNHDDS2bWHZzQZB6KUzEUA3kfzDOqaerHOwstnOeZlFqXTUGOurXwJ0mlxwnkNQl9-yw_dvfR-s1rzjt28wnUFL6m/dz/d5/L2dBISEvZ0FBIS9nQSEh/?lng=en&amp;lng=</w:t>
        </w:r>
      </w:hyperlink>
      <w:r w:rsidRPr="009C110A">
        <w:rPr>
          <w:rFonts w:asciiTheme="majorHAnsi" w:hAnsiTheme="majorHAnsi" w:cstheme="majorHAnsi"/>
          <w:sz w:val="20"/>
          <w:szCs w:val="20"/>
        </w:rPr>
        <w:t xml:space="preserve">. [Accessed 20/04/20]   </w:t>
      </w:r>
    </w:p>
    <w:p w14:paraId="47359D4C" w14:textId="77777777" w:rsidR="009F5BD4" w:rsidRPr="009C110A" w:rsidRDefault="009F5BD4" w:rsidP="009F5BD4">
      <w:pPr>
        <w:pStyle w:val="ListParagraph"/>
        <w:numPr>
          <w:ilvl w:val="0"/>
          <w:numId w:val="1"/>
        </w:numPr>
        <w:rPr>
          <w:rFonts w:asciiTheme="majorHAnsi" w:hAnsiTheme="majorHAnsi" w:cstheme="majorHAnsi"/>
          <w:sz w:val="20"/>
          <w:szCs w:val="20"/>
        </w:rPr>
      </w:pPr>
      <w:r w:rsidRPr="009C110A">
        <w:rPr>
          <w:rFonts w:asciiTheme="majorHAnsi" w:hAnsiTheme="majorHAnsi" w:cstheme="majorHAnsi"/>
          <w:sz w:val="20"/>
          <w:szCs w:val="20"/>
        </w:rPr>
        <w:t xml:space="preserve">Tyldesley, J (2008) </w:t>
      </w:r>
      <w:r w:rsidRPr="009C110A">
        <w:rPr>
          <w:rFonts w:asciiTheme="majorHAnsi" w:hAnsiTheme="majorHAnsi" w:cstheme="majorHAnsi"/>
          <w:i/>
          <w:iCs/>
          <w:sz w:val="20"/>
          <w:szCs w:val="20"/>
        </w:rPr>
        <w:t xml:space="preserve">Cleopatra: Last Queen of Egypt </w:t>
      </w:r>
      <w:r w:rsidRPr="009C110A">
        <w:rPr>
          <w:rFonts w:asciiTheme="majorHAnsi" w:hAnsiTheme="majorHAnsi" w:cstheme="majorHAnsi"/>
          <w:sz w:val="20"/>
          <w:szCs w:val="20"/>
        </w:rPr>
        <w:t>Basic Books, Arizona</w:t>
      </w:r>
    </w:p>
    <w:p w14:paraId="6EE04C7A" w14:textId="77777777" w:rsidR="009F5BD4" w:rsidRPr="009C110A" w:rsidRDefault="009F5BD4" w:rsidP="009F5BD4">
      <w:pPr>
        <w:pStyle w:val="ListParagraph"/>
        <w:numPr>
          <w:ilvl w:val="0"/>
          <w:numId w:val="1"/>
        </w:numPr>
        <w:rPr>
          <w:rFonts w:asciiTheme="majorHAnsi" w:hAnsiTheme="majorHAnsi" w:cstheme="majorHAnsi"/>
          <w:sz w:val="20"/>
          <w:szCs w:val="20"/>
        </w:rPr>
      </w:pPr>
      <w:r w:rsidRPr="009C110A">
        <w:rPr>
          <w:rFonts w:asciiTheme="majorHAnsi" w:hAnsiTheme="majorHAnsi" w:cstheme="majorHAnsi"/>
          <w:sz w:val="20"/>
          <w:szCs w:val="20"/>
        </w:rPr>
        <w:t xml:space="preserve">Xenophon. (1925) </w:t>
      </w:r>
      <w:r w:rsidRPr="009C110A">
        <w:rPr>
          <w:rFonts w:asciiTheme="majorHAnsi" w:hAnsiTheme="majorHAnsi" w:cstheme="majorHAnsi"/>
          <w:i/>
          <w:iCs/>
          <w:sz w:val="20"/>
          <w:szCs w:val="20"/>
        </w:rPr>
        <w:t xml:space="preserve">Xenophon in Seven Volumes, </w:t>
      </w:r>
      <w:r w:rsidRPr="009C110A">
        <w:rPr>
          <w:rFonts w:asciiTheme="majorHAnsi" w:hAnsiTheme="majorHAnsi" w:cstheme="majorHAnsi"/>
          <w:sz w:val="20"/>
          <w:szCs w:val="20"/>
        </w:rPr>
        <w:t>7. E. C. Marchant, G. W. Bowersock, tr. Constitution of the Athenians. Harvard University Press, Cambridge, MA; William Heinemann, Ltd., London.</w:t>
      </w:r>
    </w:p>
    <w:p w14:paraId="2DE2E101" w14:textId="77777777" w:rsidR="009F5BD4" w:rsidRDefault="009F5BD4" w:rsidP="00E07A43">
      <w:pPr>
        <w:pStyle w:val="Heading1"/>
      </w:pPr>
      <w:r>
        <w:t>Films Referenced</w:t>
      </w:r>
    </w:p>
    <w:p w14:paraId="73DEA06D" w14:textId="77777777" w:rsidR="009F5BD4" w:rsidRPr="009B4E72" w:rsidRDefault="009F5BD4" w:rsidP="009F5BD4">
      <w:pPr>
        <w:pStyle w:val="ListParagraph"/>
        <w:numPr>
          <w:ilvl w:val="0"/>
          <w:numId w:val="2"/>
        </w:numPr>
        <w:rPr>
          <w:rFonts w:asciiTheme="majorHAnsi" w:hAnsiTheme="majorHAnsi" w:cstheme="majorHAnsi"/>
          <w:i/>
          <w:iCs/>
          <w:sz w:val="20"/>
          <w:szCs w:val="20"/>
        </w:rPr>
      </w:pPr>
      <w:r w:rsidRPr="009B4E72">
        <w:rPr>
          <w:rFonts w:asciiTheme="majorHAnsi" w:hAnsiTheme="majorHAnsi" w:cstheme="majorHAnsi"/>
          <w:i/>
          <w:iCs/>
          <w:sz w:val="20"/>
          <w:szCs w:val="20"/>
        </w:rPr>
        <w:t xml:space="preserve">Antony and Cleopatra. </w:t>
      </w:r>
      <w:r w:rsidRPr="009B4E72">
        <w:rPr>
          <w:rFonts w:asciiTheme="majorHAnsi" w:hAnsiTheme="majorHAnsi" w:cstheme="majorHAnsi"/>
          <w:sz w:val="20"/>
          <w:szCs w:val="20"/>
        </w:rPr>
        <w:t>18</w:t>
      </w:r>
      <w:r w:rsidRPr="009B4E72">
        <w:rPr>
          <w:rFonts w:asciiTheme="majorHAnsi" w:hAnsiTheme="majorHAnsi" w:cstheme="majorHAnsi"/>
          <w:sz w:val="20"/>
          <w:szCs w:val="20"/>
          <w:vertAlign w:val="superscript"/>
        </w:rPr>
        <w:t>th</w:t>
      </w:r>
      <w:r w:rsidRPr="009B4E72">
        <w:rPr>
          <w:rFonts w:asciiTheme="majorHAnsi" w:hAnsiTheme="majorHAnsi" w:cstheme="majorHAnsi"/>
          <w:sz w:val="20"/>
          <w:szCs w:val="20"/>
        </w:rPr>
        <w:t xml:space="preserve"> March 1972. Directed by Charlton Heston. Produced by Peter Snell</w:t>
      </w:r>
      <w:r w:rsidRPr="009B4E72">
        <w:rPr>
          <w:rFonts w:asciiTheme="majorHAnsi" w:hAnsiTheme="majorHAnsi" w:cstheme="majorHAnsi"/>
          <w:i/>
          <w:iCs/>
          <w:sz w:val="20"/>
          <w:szCs w:val="20"/>
        </w:rPr>
        <w:t xml:space="preserve"> </w:t>
      </w:r>
      <w:r w:rsidRPr="009B4E72">
        <w:rPr>
          <w:rFonts w:asciiTheme="majorHAnsi" w:hAnsiTheme="majorHAnsi" w:cstheme="majorHAnsi"/>
          <w:sz w:val="20"/>
          <w:szCs w:val="20"/>
        </w:rPr>
        <w:t>[Film]</w:t>
      </w:r>
    </w:p>
    <w:p w14:paraId="3EBD7739" w14:textId="77777777" w:rsidR="009F5BD4" w:rsidRPr="009B4E72" w:rsidRDefault="009F5BD4" w:rsidP="009F5BD4">
      <w:pPr>
        <w:pStyle w:val="ListParagraph"/>
        <w:numPr>
          <w:ilvl w:val="0"/>
          <w:numId w:val="2"/>
        </w:numPr>
        <w:rPr>
          <w:rFonts w:asciiTheme="majorHAnsi" w:hAnsiTheme="majorHAnsi" w:cstheme="majorHAnsi"/>
          <w:sz w:val="20"/>
          <w:szCs w:val="20"/>
        </w:rPr>
      </w:pPr>
      <w:r w:rsidRPr="009B4E72">
        <w:rPr>
          <w:rFonts w:asciiTheme="majorHAnsi" w:hAnsiTheme="majorHAnsi" w:cstheme="majorHAnsi"/>
          <w:i/>
          <w:iCs/>
          <w:sz w:val="20"/>
          <w:szCs w:val="20"/>
        </w:rPr>
        <w:t>The Mummy</w:t>
      </w:r>
      <w:r w:rsidRPr="009B4E72">
        <w:rPr>
          <w:rFonts w:asciiTheme="majorHAnsi" w:hAnsiTheme="majorHAnsi" w:cstheme="majorHAnsi"/>
          <w:sz w:val="20"/>
          <w:szCs w:val="20"/>
        </w:rPr>
        <w:t>. 4</w:t>
      </w:r>
      <w:r w:rsidRPr="009B4E72">
        <w:rPr>
          <w:rFonts w:asciiTheme="majorHAnsi" w:hAnsiTheme="majorHAnsi" w:cstheme="majorHAnsi"/>
          <w:sz w:val="20"/>
          <w:szCs w:val="20"/>
          <w:vertAlign w:val="superscript"/>
        </w:rPr>
        <w:t>th</w:t>
      </w:r>
      <w:r w:rsidRPr="009B4E72">
        <w:rPr>
          <w:rFonts w:asciiTheme="majorHAnsi" w:hAnsiTheme="majorHAnsi" w:cstheme="majorHAnsi"/>
          <w:sz w:val="20"/>
          <w:szCs w:val="20"/>
        </w:rPr>
        <w:t xml:space="preserve"> May 1999. Directed by Stephen Sommers. Universal Pictures [Film]</w:t>
      </w:r>
    </w:p>
    <w:p w14:paraId="0593A8D7" w14:textId="77777777" w:rsidR="009F5BD4" w:rsidRPr="009B4E72" w:rsidRDefault="009F5BD4" w:rsidP="009F5BD4">
      <w:pPr>
        <w:pStyle w:val="ListParagraph"/>
        <w:numPr>
          <w:ilvl w:val="0"/>
          <w:numId w:val="2"/>
        </w:numPr>
        <w:rPr>
          <w:rFonts w:asciiTheme="majorHAnsi" w:hAnsiTheme="majorHAnsi" w:cstheme="majorHAnsi"/>
          <w:sz w:val="20"/>
          <w:szCs w:val="20"/>
        </w:rPr>
      </w:pPr>
      <w:r w:rsidRPr="009B4E72">
        <w:rPr>
          <w:rFonts w:asciiTheme="majorHAnsi" w:hAnsiTheme="majorHAnsi" w:cstheme="majorHAnsi"/>
          <w:i/>
          <w:iCs/>
          <w:sz w:val="20"/>
          <w:szCs w:val="20"/>
        </w:rPr>
        <w:t>The Mummy</w:t>
      </w:r>
      <w:r w:rsidRPr="009B4E72">
        <w:rPr>
          <w:rFonts w:asciiTheme="majorHAnsi" w:hAnsiTheme="majorHAnsi" w:cstheme="majorHAnsi"/>
          <w:sz w:val="20"/>
          <w:szCs w:val="20"/>
        </w:rPr>
        <w:t>. 9</w:t>
      </w:r>
      <w:r w:rsidRPr="009B4E72">
        <w:rPr>
          <w:rFonts w:asciiTheme="majorHAnsi" w:hAnsiTheme="majorHAnsi" w:cstheme="majorHAnsi"/>
          <w:sz w:val="20"/>
          <w:szCs w:val="20"/>
          <w:vertAlign w:val="superscript"/>
        </w:rPr>
        <w:t>th</w:t>
      </w:r>
      <w:r w:rsidRPr="009B4E72">
        <w:rPr>
          <w:rFonts w:asciiTheme="majorHAnsi" w:hAnsiTheme="majorHAnsi" w:cstheme="majorHAnsi"/>
          <w:sz w:val="20"/>
          <w:szCs w:val="20"/>
        </w:rPr>
        <w:t xml:space="preserve"> June 2017. Directed by Alex Kurtzman. Universal Pictures [Film]</w:t>
      </w:r>
    </w:p>
    <w:p w14:paraId="0CC0FF80" w14:textId="77777777" w:rsidR="009F5BD4" w:rsidRPr="009B4E72" w:rsidRDefault="009F5BD4" w:rsidP="009F5BD4">
      <w:pPr>
        <w:pStyle w:val="ListParagraph"/>
        <w:numPr>
          <w:ilvl w:val="0"/>
          <w:numId w:val="2"/>
        </w:numPr>
        <w:rPr>
          <w:rFonts w:asciiTheme="majorHAnsi" w:hAnsiTheme="majorHAnsi" w:cstheme="majorHAnsi"/>
          <w:i/>
          <w:iCs/>
          <w:sz w:val="20"/>
          <w:szCs w:val="20"/>
        </w:rPr>
      </w:pPr>
      <w:r w:rsidRPr="009B4E72">
        <w:rPr>
          <w:rFonts w:asciiTheme="majorHAnsi" w:hAnsiTheme="majorHAnsi" w:cstheme="majorHAnsi"/>
          <w:i/>
          <w:iCs/>
          <w:sz w:val="20"/>
          <w:szCs w:val="20"/>
        </w:rPr>
        <w:t xml:space="preserve">Cleopatra . </w:t>
      </w:r>
      <w:r w:rsidRPr="009B4E72">
        <w:rPr>
          <w:rFonts w:asciiTheme="majorHAnsi" w:hAnsiTheme="majorHAnsi" w:cstheme="majorHAnsi"/>
          <w:sz w:val="20"/>
          <w:szCs w:val="20"/>
        </w:rPr>
        <w:t>12</w:t>
      </w:r>
      <w:r w:rsidRPr="009B4E72">
        <w:rPr>
          <w:rFonts w:asciiTheme="majorHAnsi" w:hAnsiTheme="majorHAnsi" w:cstheme="majorHAnsi"/>
          <w:sz w:val="20"/>
          <w:szCs w:val="20"/>
          <w:vertAlign w:val="superscript"/>
        </w:rPr>
        <w:t>th</w:t>
      </w:r>
      <w:r w:rsidRPr="009B4E72">
        <w:rPr>
          <w:rFonts w:asciiTheme="majorHAnsi" w:hAnsiTheme="majorHAnsi" w:cstheme="majorHAnsi"/>
          <w:sz w:val="20"/>
          <w:szCs w:val="20"/>
        </w:rPr>
        <w:t xml:space="preserve"> June 1963. Directed by Joseph L. Mankiewicz. Twentieth Century Fox [Film] </w:t>
      </w:r>
    </w:p>
    <w:p w14:paraId="6316783C" w14:textId="77777777" w:rsidR="009F5BD4" w:rsidRPr="009B4E72" w:rsidRDefault="009F5BD4" w:rsidP="009F5BD4">
      <w:pPr>
        <w:pStyle w:val="ListParagraph"/>
        <w:numPr>
          <w:ilvl w:val="0"/>
          <w:numId w:val="2"/>
        </w:numPr>
        <w:rPr>
          <w:rFonts w:asciiTheme="majorHAnsi" w:hAnsiTheme="majorHAnsi" w:cstheme="majorHAnsi"/>
          <w:sz w:val="20"/>
          <w:szCs w:val="20"/>
        </w:rPr>
      </w:pPr>
      <w:r w:rsidRPr="009B4E72">
        <w:rPr>
          <w:rFonts w:asciiTheme="majorHAnsi" w:hAnsiTheme="majorHAnsi" w:cstheme="majorHAnsi"/>
          <w:i/>
          <w:iCs/>
          <w:sz w:val="20"/>
          <w:szCs w:val="20"/>
        </w:rPr>
        <w:t>Night at the Museum: Secret of the Tomb.</w:t>
      </w:r>
      <w:r w:rsidRPr="009B4E72">
        <w:rPr>
          <w:rFonts w:asciiTheme="majorHAnsi" w:hAnsiTheme="majorHAnsi" w:cstheme="majorHAnsi"/>
          <w:sz w:val="20"/>
          <w:szCs w:val="20"/>
        </w:rPr>
        <w:t xml:space="preserve"> 19</w:t>
      </w:r>
      <w:r w:rsidRPr="009B4E72">
        <w:rPr>
          <w:rFonts w:asciiTheme="majorHAnsi" w:hAnsiTheme="majorHAnsi" w:cstheme="majorHAnsi"/>
          <w:sz w:val="20"/>
          <w:szCs w:val="20"/>
          <w:vertAlign w:val="superscript"/>
        </w:rPr>
        <w:t>th</w:t>
      </w:r>
      <w:r w:rsidRPr="009B4E72">
        <w:rPr>
          <w:rFonts w:asciiTheme="majorHAnsi" w:hAnsiTheme="majorHAnsi" w:cstheme="majorHAnsi"/>
          <w:sz w:val="20"/>
          <w:szCs w:val="20"/>
        </w:rPr>
        <w:t xml:space="preserve"> September 2014. Directed by Shawn Levy. 21 Laps Entertainment [Film] </w:t>
      </w:r>
    </w:p>
    <w:p w14:paraId="700F927A" w14:textId="77777777" w:rsidR="009F5BD4" w:rsidRPr="009B4E72" w:rsidRDefault="009F5BD4" w:rsidP="009F5BD4">
      <w:pPr>
        <w:pStyle w:val="ListParagraph"/>
        <w:numPr>
          <w:ilvl w:val="0"/>
          <w:numId w:val="2"/>
        </w:numPr>
        <w:rPr>
          <w:rFonts w:asciiTheme="majorHAnsi" w:hAnsiTheme="majorHAnsi" w:cstheme="majorHAnsi"/>
          <w:sz w:val="20"/>
          <w:szCs w:val="20"/>
        </w:rPr>
      </w:pPr>
      <w:r w:rsidRPr="009B4E72">
        <w:rPr>
          <w:rFonts w:asciiTheme="majorHAnsi" w:hAnsiTheme="majorHAnsi" w:cstheme="majorHAnsi"/>
          <w:i/>
          <w:iCs/>
          <w:sz w:val="20"/>
          <w:szCs w:val="20"/>
        </w:rPr>
        <w:t>The Prince of Egypt</w:t>
      </w:r>
      <w:r w:rsidRPr="009B4E72">
        <w:rPr>
          <w:rFonts w:asciiTheme="majorHAnsi" w:hAnsiTheme="majorHAnsi" w:cstheme="majorHAnsi"/>
          <w:sz w:val="20"/>
          <w:szCs w:val="20"/>
        </w:rPr>
        <w:t>. 18</w:t>
      </w:r>
      <w:r w:rsidRPr="009B4E72">
        <w:rPr>
          <w:rFonts w:asciiTheme="majorHAnsi" w:hAnsiTheme="majorHAnsi" w:cstheme="majorHAnsi"/>
          <w:sz w:val="20"/>
          <w:szCs w:val="20"/>
          <w:vertAlign w:val="superscript"/>
        </w:rPr>
        <w:t>th</w:t>
      </w:r>
      <w:r w:rsidRPr="009B4E72">
        <w:rPr>
          <w:rFonts w:asciiTheme="majorHAnsi" w:hAnsiTheme="majorHAnsi" w:cstheme="majorHAnsi"/>
          <w:sz w:val="20"/>
          <w:szCs w:val="20"/>
        </w:rPr>
        <w:t xml:space="preserve"> December 1998. Directed by Brenda Chapman, Simon Wells and Steve Hickner. DreamWorks Animation Studios [Film]</w:t>
      </w:r>
    </w:p>
    <w:p w14:paraId="4F00B173" w14:textId="2077F449" w:rsidR="00DD579C" w:rsidRPr="009C110A" w:rsidRDefault="009F5BD4" w:rsidP="009C110A">
      <w:pPr>
        <w:pStyle w:val="ListParagraph"/>
        <w:numPr>
          <w:ilvl w:val="0"/>
          <w:numId w:val="2"/>
        </w:numPr>
        <w:rPr>
          <w:rFonts w:asciiTheme="majorHAnsi" w:hAnsiTheme="majorHAnsi" w:cstheme="majorHAnsi"/>
          <w:i/>
          <w:iCs/>
          <w:sz w:val="20"/>
          <w:szCs w:val="20"/>
        </w:rPr>
      </w:pPr>
      <w:r w:rsidRPr="009B4E72">
        <w:rPr>
          <w:rFonts w:asciiTheme="majorHAnsi" w:hAnsiTheme="majorHAnsi" w:cstheme="majorHAnsi"/>
          <w:i/>
          <w:iCs/>
          <w:sz w:val="20"/>
          <w:szCs w:val="20"/>
        </w:rPr>
        <w:t xml:space="preserve">Joseph and his Amazing Technicolour Dreamcoat. </w:t>
      </w:r>
      <w:r w:rsidRPr="009B4E72">
        <w:rPr>
          <w:rFonts w:asciiTheme="majorHAnsi" w:hAnsiTheme="majorHAnsi" w:cstheme="majorHAnsi"/>
          <w:sz w:val="20"/>
          <w:szCs w:val="20"/>
        </w:rPr>
        <w:t>8</w:t>
      </w:r>
      <w:r w:rsidRPr="009B4E72">
        <w:rPr>
          <w:rFonts w:asciiTheme="majorHAnsi" w:hAnsiTheme="majorHAnsi" w:cstheme="majorHAnsi"/>
          <w:sz w:val="20"/>
          <w:szCs w:val="20"/>
          <w:vertAlign w:val="superscript"/>
        </w:rPr>
        <w:t>th</w:t>
      </w:r>
      <w:r w:rsidRPr="009B4E72">
        <w:rPr>
          <w:rFonts w:asciiTheme="majorHAnsi" w:hAnsiTheme="majorHAnsi" w:cstheme="majorHAnsi"/>
          <w:sz w:val="20"/>
          <w:szCs w:val="20"/>
        </w:rPr>
        <w:t xml:space="preserve"> November 1999. Directed by David Mallet. PolyGram Video [Film] </w:t>
      </w:r>
    </w:p>
    <w:sectPr w:rsidR="00DD579C" w:rsidRPr="009C110A">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B18A63" w14:textId="77777777" w:rsidR="001E5240" w:rsidRDefault="001E5240" w:rsidP="008B45E8">
      <w:pPr>
        <w:spacing w:after="0" w:line="240" w:lineRule="auto"/>
      </w:pPr>
      <w:r>
        <w:separator/>
      </w:r>
    </w:p>
  </w:endnote>
  <w:endnote w:type="continuationSeparator" w:id="0">
    <w:p w14:paraId="05E318DB" w14:textId="77777777" w:rsidR="001E5240" w:rsidRDefault="001E5240" w:rsidP="008B45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92343249"/>
      <w:docPartObj>
        <w:docPartGallery w:val="Page Numbers (Bottom of Page)"/>
        <w:docPartUnique/>
      </w:docPartObj>
    </w:sdtPr>
    <w:sdtEndPr>
      <w:rPr>
        <w:noProof/>
      </w:rPr>
    </w:sdtEndPr>
    <w:sdtContent>
      <w:p w14:paraId="4B7ABDE1" w14:textId="46DD240F" w:rsidR="00F879E4" w:rsidRDefault="00F879E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41E9C9" w14:textId="77777777" w:rsidR="00F879E4" w:rsidRDefault="00F879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3A8993" w14:textId="77777777" w:rsidR="001E5240" w:rsidRDefault="001E5240" w:rsidP="008B45E8">
      <w:pPr>
        <w:spacing w:after="0" w:line="240" w:lineRule="auto"/>
      </w:pPr>
      <w:r>
        <w:separator/>
      </w:r>
    </w:p>
  </w:footnote>
  <w:footnote w:type="continuationSeparator" w:id="0">
    <w:p w14:paraId="3B5994AC" w14:textId="77777777" w:rsidR="001E5240" w:rsidRDefault="001E5240" w:rsidP="008B45E8">
      <w:pPr>
        <w:spacing w:after="0" w:line="240" w:lineRule="auto"/>
      </w:pPr>
      <w:r>
        <w:continuationSeparator/>
      </w:r>
    </w:p>
  </w:footnote>
  <w:footnote w:id="1">
    <w:p w14:paraId="791A1933" w14:textId="77777777" w:rsidR="008B45E8" w:rsidRDefault="008B45E8" w:rsidP="008B45E8">
      <w:pPr>
        <w:pStyle w:val="FootnoteText"/>
      </w:pPr>
      <w:r>
        <w:rPr>
          <w:rStyle w:val="FootnoteReference"/>
        </w:rPr>
        <w:footnoteRef/>
      </w:r>
      <w:r>
        <w:t xml:space="preserve"> Matić (2016) p814-15</w:t>
      </w:r>
    </w:p>
  </w:footnote>
  <w:footnote w:id="2">
    <w:p w14:paraId="7945A772" w14:textId="77777777" w:rsidR="008B45E8" w:rsidRDefault="008B45E8" w:rsidP="008B45E8">
      <w:pPr>
        <w:pStyle w:val="FootnoteText"/>
      </w:pPr>
      <w:r>
        <w:rPr>
          <w:rStyle w:val="FootnoteReference"/>
        </w:rPr>
        <w:footnoteRef/>
      </w:r>
      <w:r>
        <w:t xml:space="preserve"> Holt (1986) p60  </w:t>
      </w:r>
    </w:p>
  </w:footnote>
  <w:footnote w:id="3">
    <w:p w14:paraId="62851E13" w14:textId="6E92CB95" w:rsidR="008B45E8" w:rsidRDefault="008B45E8" w:rsidP="008B45E8">
      <w:pPr>
        <w:pStyle w:val="FootnoteText"/>
      </w:pPr>
      <w:r>
        <w:rPr>
          <w:rStyle w:val="FootnoteReference"/>
        </w:rPr>
        <w:footnoteRef/>
      </w:r>
      <w:r>
        <w:t xml:space="preserve"> </w:t>
      </w:r>
      <w:r w:rsidR="00D97C6E">
        <w:t>Chrystal (2017)</w:t>
      </w:r>
      <w:r w:rsidR="00592AB2">
        <w:t xml:space="preserve"> chapter 10 </w:t>
      </w:r>
    </w:p>
  </w:footnote>
  <w:footnote w:id="4">
    <w:p w14:paraId="27DFBD15" w14:textId="4B6320D1" w:rsidR="008B45E8" w:rsidRDefault="008B45E8" w:rsidP="008B45E8">
      <w:pPr>
        <w:pStyle w:val="FootnoteText"/>
      </w:pPr>
      <w:r>
        <w:rPr>
          <w:rStyle w:val="FootnoteReference"/>
        </w:rPr>
        <w:footnoteRef/>
      </w:r>
      <w:r>
        <w:t xml:space="preserve"> </w:t>
      </w:r>
      <w:r w:rsidR="001F7103">
        <w:t>Salisbury (</w:t>
      </w:r>
      <w:r w:rsidR="00222B42">
        <w:t>2001) p95</w:t>
      </w:r>
    </w:p>
  </w:footnote>
  <w:footnote w:id="5">
    <w:p w14:paraId="4D65A3F9" w14:textId="448571F5" w:rsidR="008B45E8" w:rsidRDefault="008B45E8" w:rsidP="008B45E8">
      <w:pPr>
        <w:pStyle w:val="FootnoteText"/>
      </w:pPr>
      <w:r>
        <w:rPr>
          <w:rStyle w:val="FootnoteReference"/>
        </w:rPr>
        <w:footnoteRef/>
      </w:r>
      <w:r>
        <w:t xml:space="preserve"> </w:t>
      </w:r>
      <w:r w:rsidR="007D7B0E">
        <w:t xml:space="preserve"> Harris (2016) P32</w:t>
      </w:r>
    </w:p>
  </w:footnote>
  <w:footnote w:id="6">
    <w:p w14:paraId="4F505D06" w14:textId="77777777" w:rsidR="008B45E8" w:rsidRDefault="008B45E8" w:rsidP="008B45E8">
      <w:pPr>
        <w:pStyle w:val="FootnoteText"/>
      </w:pPr>
      <w:r>
        <w:rPr>
          <w:rStyle w:val="FootnoteReference"/>
        </w:rPr>
        <w:footnoteRef/>
      </w:r>
      <w:r>
        <w:t xml:space="preserve"> </w:t>
      </w:r>
      <w:hyperlink r:id="rId1" w:history="1">
        <w:r>
          <w:rPr>
            <w:rStyle w:val="Hyperlink"/>
          </w:rPr>
          <w:t>https://www.sciencemag.org/news/2010/01/egyptian-eyeliner-may-have-warded-disease</w:t>
        </w:r>
      </w:hyperlink>
      <w:r>
        <w:t xml:space="preserve"> </w:t>
      </w:r>
    </w:p>
  </w:footnote>
  <w:footnote w:id="7">
    <w:p w14:paraId="79CC79C6" w14:textId="77777777" w:rsidR="008B45E8" w:rsidRDefault="008B45E8" w:rsidP="008B45E8">
      <w:pPr>
        <w:pStyle w:val="FootnoteText"/>
      </w:pPr>
      <w:r>
        <w:rPr>
          <w:rStyle w:val="FootnoteReference"/>
        </w:rPr>
        <w:footnoteRef/>
      </w:r>
      <w:r>
        <w:t xml:space="preserve"> </w:t>
      </w:r>
      <w:hyperlink r:id="rId2" w:history="1">
        <w:r>
          <w:rPr>
            <w:rStyle w:val="Hyperlink"/>
          </w:rPr>
          <w:t>https://collections.mfa.org/objects/146531</w:t>
        </w:r>
      </w:hyperlink>
      <w:r>
        <w:t xml:space="preserve"> </w:t>
      </w:r>
    </w:p>
  </w:footnote>
  <w:footnote w:id="8">
    <w:p w14:paraId="3468A687" w14:textId="77777777" w:rsidR="008B45E8" w:rsidRDefault="008B45E8" w:rsidP="008B45E8">
      <w:pPr>
        <w:pStyle w:val="FootnoteText"/>
      </w:pPr>
      <w:r>
        <w:rPr>
          <w:rStyle w:val="FootnoteReference"/>
        </w:rPr>
        <w:footnoteRef/>
      </w:r>
      <w:r>
        <w:t xml:space="preserve"> </w:t>
      </w:r>
      <w:hyperlink r:id="rId3" w:history="1">
        <w:r>
          <w:rPr>
            <w:rStyle w:val="Hyperlink"/>
          </w:rPr>
          <w:t>https://www.metmuseum.org/en/art/collection/search/544232</w:t>
        </w:r>
      </w:hyperlink>
    </w:p>
  </w:footnote>
  <w:footnote w:id="9">
    <w:p w14:paraId="2DC95DCA" w14:textId="77777777" w:rsidR="008B45E8" w:rsidRDefault="008B45E8" w:rsidP="008B45E8">
      <w:pPr>
        <w:pStyle w:val="FootnoteText"/>
      </w:pPr>
      <w:r>
        <w:rPr>
          <w:rStyle w:val="FootnoteReference"/>
        </w:rPr>
        <w:footnoteRef/>
      </w:r>
      <w:r>
        <w:t xml:space="preserve"> </w:t>
      </w:r>
      <w:hyperlink r:id="rId4" w:history="1">
        <w:r>
          <w:rPr>
            <w:rStyle w:val="Hyperlink"/>
          </w:rPr>
          <w:t>https://www.youtube.com/watch?v=VjFFrYEZsAQ</w:t>
        </w:r>
      </w:hyperlink>
    </w:p>
  </w:footnote>
  <w:footnote w:id="10">
    <w:p w14:paraId="211FD292" w14:textId="77777777" w:rsidR="008B45E8" w:rsidRDefault="008B45E8" w:rsidP="008B45E8">
      <w:pPr>
        <w:pStyle w:val="FootnoteText"/>
      </w:pPr>
      <w:r>
        <w:rPr>
          <w:rStyle w:val="FootnoteReference"/>
        </w:rPr>
        <w:footnoteRef/>
      </w:r>
      <w:r>
        <w:t xml:space="preserve"> </w:t>
      </w:r>
      <w:hyperlink r:id="rId5" w:history="1">
        <w:r>
          <w:rPr>
            <w:rStyle w:val="Hyperlink"/>
          </w:rPr>
          <w:t>https://www.biblewise.com/bible_study/characters/egyptian-pharaohs.php</w:t>
        </w:r>
      </w:hyperlink>
      <w:r>
        <w:t xml:space="preserve"> </w:t>
      </w:r>
    </w:p>
  </w:footnote>
  <w:footnote w:id="11">
    <w:p w14:paraId="5CDDE9C1" w14:textId="77777777" w:rsidR="008B45E8" w:rsidRDefault="008B45E8" w:rsidP="008B45E8">
      <w:pPr>
        <w:pStyle w:val="FootnoteText"/>
      </w:pPr>
      <w:r>
        <w:rPr>
          <w:rStyle w:val="FootnoteReference"/>
        </w:rPr>
        <w:footnoteRef/>
      </w:r>
      <w:r>
        <w:t xml:space="preserve"> </w:t>
      </w:r>
      <w:hyperlink r:id="rId6" w:history="1">
        <w:r>
          <w:rPr>
            <w:rStyle w:val="Hyperlink"/>
          </w:rPr>
          <w:t>http://tyrannyofstyle.com/home/tag/Cleopatra</w:t>
        </w:r>
      </w:hyperlink>
      <w:r>
        <w:t xml:space="preserve"> </w:t>
      </w:r>
    </w:p>
  </w:footnote>
  <w:footnote w:id="12">
    <w:p w14:paraId="485D6C3A" w14:textId="77777777" w:rsidR="008B45E8" w:rsidRDefault="008B45E8" w:rsidP="008B45E8">
      <w:pPr>
        <w:pStyle w:val="FootnoteText"/>
      </w:pPr>
      <w:r>
        <w:rPr>
          <w:rStyle w:val="FootnoteReference"/>
        </w:rPr>
        <w:footnoteRef/>
      </w:r>
      <w:r>
        <w:t xml:space="preserve"> </w:t>
      </w:r>
      <w:hyperlink r:id="rId7" w:history="1">
        <w:r>
          <w:rPr>
            <w:rStyle w:val="Hyperlink"/>
          </w:rPr>
          <w:t>https://www.anothermag.com/art-photography/2865/top-10-facts-about-cleopatras-costumes</w:t>
        </w:r>
      </w:hyperlink>
    </w:p>
  </w:footnote>
  <w:footnote w:id="13">
    <w:p w14:paraId="430DC21D" w14:textId="77777777" w:rsidR="008B45E8" w:rsidRDefault="008B45E8" w:rsidP="008B45E8">
      <w:pPr>
        <w:pStyle w:val="FootnoteText"/>
      </w:pPr>
      <w:r>
        <w:rPr>
          <w:rStyle w:val="FootnoteReference"/>
        </w:rPr>
        <w:footnoteRef/>
      </w:r>
      <w:r>
        <w:t xml:space="preserve"> Plut.Ant.54 </w:t>
      </w:r>
    </w:p>
  </w:footnote>
  <w:footnote w:id="14">
    <w:p w14:paraId="01DCB299" w14:textId="77777777" w:rsidR="008B45E8" w:rsidRDefault="008B45E8" w:rsidP="008B45E8">
      <w:pPr>
        <w:pStyle w:val="FootnoteText"/>
      </w:pPr>
      <w:r>
        <w:rPr>
          <w:rStyle w:val="FootnoteReference"/>
        </w:rPr>
        <w:footnoteRef/>
      </w:r>
      <w:r>
        <w:t xml:space="preserve"> </w:t>
      </w:r>
      <w:hyperlink r:id="rId8" w:history="1">
        <w:r>
          <w:rPr>
            <w:rStyle w:val="Hyperlink"/>
          </w:rPr>
          <w:t>http://tyrannyofstyle.com/home/tag/Cleopatra</w:t>
        </w:r>
      </w:hyperlink>
      <w:r>
        <w:t xml:space="preserve"> </w:t>
      </w:r>
    </w:p>
  </w:footnote>
  <w:footnote w:id="15">
    <w:p w14:paraId="0ABC45D1" w14:textId="73AFDF7A" w:rsidR="008B45E8" w:rsidRDefault="008B45E8" w:rsidP="008B45E8">
      <w:pPr>
        <w:pStyle w:val="FootnoteText"/>
      </w:pPr>
      <w:r>
        <w:rPr>
          <w:rStyle w:val="FootnoteReference"/>
        </w:rPr>
        <w:footnoteRef/>
      </w:r>
      <w:r>
        <w:t xml:space="preserve"> </w:t>
      </w:r>
      <w:r w:rsidR="00597676" w:rsidRPr="006D245F">
        <w:rPr>
          <w:rFonts w:asciiTheme="majorHAnsi" w:hAnsiTheme="majorHAnsi" w:cstheme="majorHAnsi"/>
        </w:rPr>
        <w:t>Arnold, D</w:t>
      </w:r>
      <w:r w:rsidR="00597676">
        <w:rPr>
          <w:rFonts w:asciiTheme="majorHAnsi" w:hAnsiTheme="majorHAnsi" w:cstheme="majorHAnsi"/>
        </w:rPr>
        <w:t xml:space="preserve"> (1995) p1-64</w:t>
      </w:r>
    </w:p>
  </w:footnote>
  <w:footnote w:id="16">
    <w:p w14:paraId="73CF192C" w14:textId="77777777" w:rsidR="008B45E8" w:rsidRDefault="008B45E8" w:rsidP="008B45E8">
      <w:pPr>
        <w:pStyle w:val="FootnoteText"/>
      </w:pPr>
      <w:r>
        <w:rPr>
          <w:rStyle w:val="FootnoteReference"/>
        </w:rPr>
        <w:footnoteRef/>
      </w:r>
      <w:r>
        <w:t xml:space="preserve"> Bartman (2001) p9  </w:t>
      </w:r>
    </w:p>
  </w:footnote>
  <w:footnote w:id="17">
    <w:p w14:paraId="6B05B14C" w14:textId="77777777" w:rsidR="008B45E8" w:rsidRDefault="008B45E8" w:rsidP="008B45E8">
      <w:pPr>
        <w:pStyle w:val="FootnoteText"/>
      </w:pPr>
      <w:r>
        <w:rPr>
          <w:rStyle w:val="FootnoteReference"/>
        </w:rPr>
        <w:footnoteRef/>
      </w:r>
      <w:r>
        <w:t xml:space="preserve"> </w:t>
      </w:r>
      <w:hyperlink r:id="rId9" w:history="1">
        <w:r>
          <w:rPr>
            <w:rStyle w:val="Hyperlink"/>
          </w:rPr>
          <w:t>https://www.world-archaeology.com/world/africa/egypt/cleopatra-was-no-beauty-coins-shows/</w:t>
        </w:r>
      </w:hyperlink>
      <w:r>
        <w:t xml:space="preserve"> </w:t>
      </w:r>
    </w:p>
  </w:footnote>
  <w:footnote w:id="18">
    <w:p w14:paraId="546F9922" w14:textId="77777777" w:rsidR="008B45E8" w:rsidRDefault="008B45E8" w:rsidP="008B45E8">
      <w:pPr>
        <w:pStyle w:val="FootnoteText"/>
      </w:pPr>
      <w:r>
        <w:rPr>
          <w:rStyle w:val="FootnoteReference"/>
        </w:rPr>
        <w:footnoteRef/>
      </w:r>
      <w:r>
        <w:t xml:space="preserve"> </w:t>
      </w:r>
      <w:hyperlink r:id="rId10" w:history="1">
        <w:r>
          <w:rPr>
            <w:rStyle w:val="Hyperlink"/>
          </w:rPr>
          <w:t>https://www.hermitagemuseum.org/wps/portal/hermitage/news/news-item/news/1999_2013/hm11_3_13/!ut/p/z1/jZFNT4QwEIZ_iweOdoby7a2Spe4HqQd1ay-E3bCAAUoAl8Rfb7PxslHROc0kz_vOOxlQIEF1-bku86nWXd6Y-VX5mWDMt50YN3yLPjKOVLCUOnzlw_4C4C_FENR_9AuAWrbf_LXAXECHNE5LUH0-Vbd1d9Igu2IeQdpRFGUUbQdk1dp25mSm3YO69hRiRZEJnriPCbd5EnwD1tvAAE_egxAvMY3dL2A5dn1oyXxsCRKPeiZDhBgGNHDDS2bWHZzQZB6KUzEUA3kfzDOqaerHOwstnOeZlFqXTUGOurXwJ0mlxwnkNQl9-yw_dvfR-s1rzjt28wnUFL6m/dz/d5/L2dBISEvZ0FBIS9nQSEh/?lng=en&amp;lng=</w:t>
        </w:r>
      </w:hyperlink>
    </w:p>
  </w:footnote>
  <w:footnote w:id="19">
    <w:p w14:paraId="72DE065A" w14:textId="77777777" w:rsidR="008B45E8" w:rsidRDefault="008B45E8" w:rsidP="008B45E8">
      <w:pPr>
        <w:pStyle w:val="FootnoteText"/>
      </w:pPr>
      <w:r>
        <w:rPr>
          <w:rStyle w:val="FootnoteReference"/>
        </w:rPr>
        <w:footnoteRef/>
      </w:r>
      <w:r>
        <w:t xml:space="preserve"> Baines (2007) p6</w:t>
      </w:r>
    </w:p>
  </w:footnote>
  <w:footnote w:id="20">
    <w:p w14:paraId="4AA69DB6" w14:textId="77777777" w:rsidR="008B45E8" w:rsidRDefault="008B45E8" w:rsidP="008B45E8">
      <w:pPr>
        <w:pStyle w:val="FootnoteText"/>
      </w:pPr>
      <w:r>
        <w:rPr>
          <w:rStyle w:val="FootnoteReference"/>
        </w:rPr>
        <w:footnoteRef/>
      </w:r>
      <w:r>
        <w:t xml:space="preserve"> </w:t>
      </w:r>
      <w:r w:rsidRPr="002B1EEC">
        <w:t>Xen. Const. Lac. 1</w:t>
      </w:r>
    </w:p>
  </w:footnote>
  <w:footnote w:id="21">
    <w:p w14:paraId="74FD220F" w14:textId="77777777" w:rsidR="008B45E8" w:rsidRDefault="008B45E8" w:rsidP="008B45E8">
      <w:pPr>
        <w:pStyle w:val="FootnoteText"/>
      </w:pPr>
      <w:r>
        <w:rPr>
          <w:rStyle w:val="FootnoteReference"/>
        </w:rPr>
        <w:footnoteRef/>
      </w:r>
      <w:r>
        <w:t xml:space="preserve"> </w:t>
      </w:r>
      <w:hyperlink r:id="rId11" w:history="1">
        <w:r>
          <w:rPr>
            <w:rStyle w:val="Hyperlink"/>
          </w:rPr>
          <w:t>https://www.historyextra.com/period/roman/were-girls-educated-ancient-rome-what-taught-read/</w:t>
        </w:r>
      </w:hyperlink>
      <w:r>
        <w:t xml:space="preserve"> </w:t>
      </w:r>
    </w:p>
  </w:footnote>
  <w:footnote w:id="22">
    <w:p w14:paraId="2E109C93" w14:textId="46CCA34D" w:rsidR="008B45E8" w:rsidRDefault="008B45E8" w:rsidP="008B45E8">
      <w:pPr>
        <w:pStyle w:val="FootnoteText"/>
      </w:pPr>
      <w:r>
        <w:rPr>
          <w:rStyle w:val="FootnoteReference"/>
        </w:rPr>
        <w:footnoteRef/>
      </w:r>
      <w:bookmarkStart w:id="3" w:name="_Hlk39946398"/>
      <w:r w:rsidR="009A7BA1">
        <w:fldChar w:fldCharType="begin"/>
      </w:r>
      <w:r w:rsidR="009A7BA1">
        <w:instrText xml:space="preserve"> HYPERLINK "</w:instrText>
      </w:r>
      <w:r w:rsidR="009A7BA1" w:rsidRPr="009A7BA1">
        <w:instrText>https://www.opensourceshakespeare.org/views/plays/play_view.php?WorkID=antonycleo&amp;Act=1&amp;Scene=1&amp;Scope=scene</w:instrText>
      </w:r>
      <w:r w:rsidR="009A7BA1">
        <w:instrText xml:space="preserve">" </w:instrText>
      </w:r>
      <w:r w:rsidR="009A7BA1">
        <w:fldChar w:fldCharType="separate"/>
      </w:r>
      <w:r w:rsidR="009A7BA1" w:rsidRPr="00A545A7">
        <w:rPr>
          <w:rStyle w:val="Hyperlink"/>
        </w:rPr>
        <w:t>https://www.opensourceshakespeare.org/views/plays/play_view.php?WorkID=antonycleo&amp;Act=1&amp;Scene=1&amp;Scope=scene</w:t>
      </w:r>
      <w:r w:rsidR="009A7BA1">
        <w:fldChar w:fldCharType="end"/>
      </w:r>
      <w:r>
        <w:t xml:space="preserve">  </w:t>
      </w:r>
      <w:bookmarkEnd w:id="3"/>
    </w:p>
  </w:footnote>
  <w:footnote w:id="23">
    <w:p w14:paraId="4E538872" w14:textId="77777777" w:rsidR="008B45E8" w:rsidRDefault="008B45E8" w:rsidP="008B45E8">
      <w:pPr>
        <w:pStyle w:val="FootnoteText"/>
      </w:pPr>
      <w:r>
        <w:rPr>
          <w:rStyle w:val="FootnoteReference"/>
        </w:rPr>
        <w:footnoteRef/>
      </w:r>
      <w:r>
        <w:t xml:space="preserve"> Heston (1972) </w:t>
      </w:r>
    </w:p>
  </w:footnote>
  <w:footnote w:id="24">
    <w:p w14:paraId="75A65D78" w14:textId="77777777" w:rsidR="008B45E8" w:rsidRDefault="008B45E8" w:rsidP="008B45E8">
      <w:pPr>
        <w:pStyle w:val="FootnoteText"/>
      </w:pPr>
      <w:r>
        <w:rPr>
          <w:rStyle w:val="FootnoteReference"/>
        </w:rPr>
        <w:footnoteRef/>
      </w:r>
      <w:r>
        <w:t xml:space="preserve"> </w:t>
      </w:r>
      <w:hyperlink r:id="rId12" w:history="1">
        <w:r>
          <w:rPr>
            <w:rStyle w:val="Hyperlink"/>
          </w:rPr>
          <w:t>https://www.youtube.com/watch?v=JKKRBnpDpBY&amp;t=242s</w:t>
        </w:r>
      </w:hyperlink>
    </w:p>
  </w:footnote>
  <w:footnote w:id="25">
    <w:p w14:paraId="0A5CBF8E" w14:textId="77777777" w:rsidR="008B45E8" w:rsidRDefault="008B45E8" w:rsidP="008B45E8">
      <w:pPr>
        <w:pStyle w:val="FootnoteText"/>
      </w:pPr>
      <w:r>
        <w:rPr>
          <w:rStyle w:val="FootnoteReference"/>
        </w:rPr>
        <w:footnoteRef/>
      </w:r>
      <w:r>
        <w:t xml:space="preserve"> Sommers (1999) </w:t>
      </w:r>
    </w:p>
  </w:footnote>
  <w:footnote w:id="26">
    <w:p w14:paraId="232D60E9" w14:textId="58128F7A" w:rsidR="008B45E8" w:rsidRDefault="008B45E8" w:rsidP="008B45E8">
      <w:pPr>
        <w:pStyle w:val="FootnoteText"/>
      </w:pPr>
      <w:r>
        <w:rPr>
          <w:rStyle w:val="FootnoteReference"/>
        </w:rPr>
        <w:footnoteRef/>
      </w:r>
      <w:r>
        <w:t xml:space="preserve"> Butler </w:t>
      </w:r>
      <w:r w:rsidR="008D3FBE">
        <w:t>(1999)</w:t>
      </w:r>
    </w:p>
  </w:footnote>
  <w:footnote w:id="27">
    <w:p w14:paraId="1EEB9893" w14:textId="77777777" w:rsidR="008B45E8" w:rsidRDefault="008B45E8" w:rsidP="008B45E8">
      <w:pPr>
        <w:pStyle w:val="FootnoteText"/>
      </w:pPr>
      <w:r>
        <w:rPr>
          <w:rStyle w:val="FootnoteReference"/>
        </w:rPr>
        <w:footnoteRef/>
      </w:r>
      <w:r>
        <w:t xml:space="preserve"> Duma (2019) p178</w:t>
      </w:r>
    </w:p>
  </w:footnote>
  <w:footnote w:id="28">
    <w:p w14:paraId="4F48EF48" w14:textId="7452FDA7" w:rsidR="008B45E8" w:rsidRDefault="008B45E8" w:rsidP="008B45E8">
      <w:pPr>
        <w:pStyle w:val="FootnoteText"/>
      </w:pPr>
      <w:r>
        <w:rPr>
          <w:rStyle w:val="FootnoteReference"/>
        </w:rPr>
        <w:footnoteRef/>
      </w:r>
      <w:r>
        <w:t xml:space="preserve"> </w:t>
      </w:r>
      <w:r w:rsidR="00A70F3C">
        <w:t>Bechdel (1986)</w:t>
      </w:r>
    </w:p>
  </w:footnote>
  <w:footnote w:id="29">
    <w:p w14:paraId="3C10799E" w14:textId="77777777" w:rsidR="008B45E8" w:rsidRDefault="008B45E8" w:rsidP="008B45E8">
      <w:pPr>
        <w:pStyle w:val="FootnoteText"/>
      </w:pPr>
      <w:r>
        <w:rPr>
          <w:rStyle w:val="FootnoteReference"/>
        </w:rPr>
        <w:footnoteRef/>
      </w:r>
      <w:r>
        <w:t xml:space="preserve"> Hickery (2014)</w:t>
      </w:r>
    </w:p>
  </w:footnote>
  <w:footnote w:id="30">
    <w:p w14:paraId="43376398" w14:textId="77777777" w:rsidR="00587DFF" w:rsidRDefault="00587DFF" w:rsidP="00587DFF">
      <w:pPr>
        <w:pStyle w:val="FootnoteText"/>
      </w:pPr>
      <w:r>
        <w:rPr>
          <w:rStyle w:val="FootnoteReference"/>
        </w:rPr>
        <w:footnoteRef/>
      </w:r>
      <w:r>
        <w:t xml:space="preserve"> </w:t>
      </w:r>
      <w:hyperlink r:id="rId13" w:history="1">
        <w:r>
          <w:rPr>
            <w:rStyle w:val="Hyperlink"/>
          </w:rPr>
          <w:t>http://shakespeare.mit.edu/cleopatra/full.html</w:t>
        </w:r>
      </w:hyperlink>
      <w:r>
        <w:t xml:space="preserve"> </w:t>
      </w:r>
    </w:p>
  </w:footnote>
  <w:footnote w:id="31">
    <w:p w14:paraId="3EF495CF" w14:textId="77777777" w:rsidR="00587DFF" w:rsidRDefault="00587DFF" w:rsidP="00587DFF">
      <w:pPr>
        <w:pStyle w:val="FootnoteText"/>
      </w:pPr>
      <w:r>
        <w:rPr>
          <w:rStyle w:val="FootnoteReference"/>
        </w:rPr>
        <w:footnoteRef/>
      </w:r>
      <w:r>
        <w:t xml:space="preserve"> Ashton (2011) p32  </w:t>
      </w:r>
    </w:p>
  </w:footnote>
  <w:footnote w:id="32">
    <w:p w14:paraId="48240D00" w14:textId="77777777" w:rsidR="00587DFF" w:rsidRDefault="00587DFF" w:rsidP="00587DFF">
      <w:pPr>
        <w:pStyle w:val="FootnoteText"/>
      </w:pPr>
      <w:r>
        <w:rPr>
          <w:rStyle w:val="FootnoteReference"/>
        </w:rPr>
        <w:footnoteRef/>
      </w:r>
      <w:r>
        <w:t xml:space="preserve"> </w:t>
      </w:r>
      <w:bookmarkStart w:id="4" w:name="_Hlk39626874"/>
      <w:r w:rsidRPr="00561324">
        <w:t>Rice, E. Lacey. "Cleopatra (1963)". Turner Classic Movies.</w:t>
      </w:r>
      <w:bookmarkEnd w:id="4"/>
    </w:p>
  </w:footnote>
  <w:footnote w:id="33">
    <w:p w14:paraId="2A139AEF" w14:textId="77777777" w:rsidR="00587DFF" w:rsidRDefault="00587DFF" w:rsidP="00587DFF">
      <w:pPr>
        <w:pStyle w:val="FootnoteText"/>
      </w:pPr>
      <w:r>
        <w:rPr>
          <w:rStyle w:val="FootnoteReference"/>
        </w:rPr>
        <w:footnoteRef/>
      </w:r>
      <w:r>
        <w:t xml:space="preserve"> Tyldesley (2008) p31-32 </w:t>
      </w:r>
    </w:p>
  </w:footnote>
  <w:footnote w:id="34">
    <w:p w14:paraId="4D2B85CF" w14:textId="77777777" w:rsidR="00587DFF" w:rsidRDefault="00587DFF" w:rsidP="00587DFF">
      <w:pPr>
        <w:pStyle w:val="FootnoteText"/>
      </w:pPr>
      <w:r>
        <w:rPr>
          <w:rStyle w:val="FootnoteReference"/>
        </w:rPr>
        <w:footnoteRef/>
      </w:r>
      <w:r>
        <w:t xml:space="preserve"> </w:t>
      </w:r>
      <w:hyperlink r:id="rId14" w:history="1">
        <w:r>
          <w:rPr>
            <w:rStyle w:val="Hyperlink"/>
          </w:rPr>
          <w:t>https://www.independent.co.uk/voices/cleopatra-film-sony-black-actor-lady-gaga-angelina-jolie-whitewashing-a8728721.html</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24515"/>
    <w:multiLevelType w:val="hybridMultilevel"/>
    <w:tmpl w:val="7C7C0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9645A8"/>
    <w:multiLevelType w:val="hybridMultilevel"/>
    <w:tmpl w:val="15000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5E8"/>
    <w:rsid w:val="00012620"/>
    <w:rsid w:val="000733A3"/>
    <w:rsid w:val="001011AC"/>
    <w:rsid w:val="001C71C4"/>
    <w:rsid w:val="001E5240"/>
    <w:rsid w:val="001F7103"/>
    <w:rsid w:val="00220324"/>
    <w:rsid w:val="00222B42"/>
    <w:rsid w:val="002576BC"/>
    <w:rsid w:val="00266CFB"/>
    <w:rsid w:val="002732B3"/>
    <w:rsid w:val="002926DD"/>
    <w:rsid w:val="002A207E"/>
    <w:rsid w:val="002B7959"/>
    <w:rsid w:val="002D1437"/>
    <w:rsid w:val="002F2BFE"/>
    <w:rsid w:val="003A35E3"/>
    <w:rsid w:val="00456DE0"/>
    <w:rsid w:val="004675D6"/>
    <w:rsid w:val="00545D53"/>
    <w:rsid w:val="00575ABE"/>
    <w:rsid w:val="00587DFF"/>
    <w:rsid w:val="00592AB2"/>
    <w:rsid w:val="00597676"/>
    <w:rsid w:val="005B0238"/>
    <w:rsid w:val="005E31B9"/>
    <w:rsid w:val="006077F4"/>
    <w:rsid w:val="006B0075"/>
    <w:rsid w:val="00713514"/>
    <w:rsid w:val="007202AB"/>
    <w:rsid w:val="00756D2B"/>
    <w:rsid w:val="00775DC1"/>
    <w:rsid w:val="007D6A05"/>
    <w:rsid w:val="007D7B0E"/>
    <w:rsid w:val="008B45E8"/>
    <w:rsid w:val="008D3FBE"/>
    <w:rsid w:val="0091325F"/>
    <w:rsid w:val="009A7BA1"/>
    <w:rsid w:val="009B3751"/>
    <w:rsid w:val="009C110A"/>
    <w:rsid w:val="009C692D"/>
    <w:rsid w:val="009F5BD4"/>
    <w:rsid w:val="00A70F3C"/>
    <w:rsid w:val="00AA5381"/>
    <w:rsid w:val="00AE1C5B"/>
    <w:rsid w:val="00AF1F0B"/>
    <w:rsid w:val="00AF7F04"/>
    <w:rsid w:val="00B13923"/>
    <w:rsid w:val="00B521D3"/>
    <w:rsid w:val="00B86E29"/>
    <w:rsid w:val="00B94827"/>
    <w:rsid w:val="00BC4B4A"/>
    <w:rsid w:val="00BE401D"/>
    <w:rsid w:val="00C32DB4"/>
    <w:rsid w:val="00C3763D"/>
    <w:rsid w:val="00CF3AFC"/>
    <w:rsid w:val="00D17C58"/>
    <w:rsid w:val="00D2348C"/>
    <w:rsid w:val="00D44492"/>
    <w:rsid w:val="00D97C6E"/>
    <w:rsid w:val="00DD579C"/>
    <w:rsid w:val="00E07A43"/>
    <w:rsid w:val="00EC3DE7"/>
    <w:rsid w:val="00F236F1"/>
    <w:rsid w:val="00F65673"/>
    <w:rsid w:val="00F879E4"/>
    <w:rsid w:val="00F95538"/>
    <w:rsid w:val="00FD5E8E"/>
    <w:rsid w:val="00FD7391"/>
    <w:rsid w:val="00FF3F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8C1F3"/>
  <w15:chartTrackingRefBased/>
  <w15:docId w15:val="{78FA44C4-8CC8-42B8-9FF2-58FE02888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45E8"/>
    <w:pPr>
      <w:spacing w:line="256" w:lineRule="auto"/>
    </w:pPr>
  </w:style>
  <w:style w:type="paragraph" w:styleId="Heading1">
    <w:name w:val="heading 1"/>
    <w:basedOn w:val="Normal"/>
    <w:next w:val="Normal"/>
    <w:link w:val="Heading1Char"/>
    <w:qFormat/>
    <w:rsid w:val="00B86E29"/>
    <w:pPr>
      <w:keepNext/>
      <w:spacing w:before="240" w:after="60" w:line="240" w:lineRule="auto"/>
      <w:outlineLvl w:val="0"/>
    </w:pPr>
    <w:rPr>
      <w:rFonts w:ascii="Arial" w:eastAsia="SimSun" w:hAnsi="Arial" w:cs="Arial"/>
      <w:b/>
      <w:bCs/>
      <w:kern w:val="32"/>
      <w:sz w:val="32"/>
      <w:szCs w:val="32"/>
      <w:lang w:eastAsia="zh-CN"/>
    </w:rPr>
  </w:style>
  <w:style w:type="paragraph" w:styleId="Heading3">
    <w:name w:val="heading 3"/>
    <w:basedOn w:val="Normal"/>
    <w:link w:val="Heading3Char"/>
    <w:qFormat/>
    <w:rsid w:val="00B86E29"/>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B45E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B45E8"/>
    <w:rPr>
      <w:sz w:val="20"/>
      <w:szCs w:val="20"/>
    </w:rPr>
  </w:style>
  <w:style w:type="paragraph" w:styleId="Title">
    <w:name w:val="Title"/>
    <w:basedOn w:val="Normal"/>
    <w:next w:val="Normal"/>
    <w:link w:val="TitleChar"/>
    <w:uiPriority w:val="10"/>
    <w:qFormat/>
    <w:rsid w:val="008B45E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45E8"/>
    <w:rPr>
      <w:rFonts w:asciiTheme="majorHAnsi" w:eastAsiaTheme="majorEastAsia" w:hAnsiTheme="majorHAnsi" w:cstheme="majorBidi"/>
      <w:spacing w:val="-10"/>
      <w:kern w:val="28"/>
      <w:sz w:val="56"/>
      <w:szCs w:val="56"/>
    </w:rPr>
  </w:style>
  <w:style w:type="character" w:styleId="FootnoteReference">
    <w:name w:val="footnote reference"/>
    <w:basedOn w:val="DefaultParagraphFont"/>
    <w:uiPriority w:val="99"/>
    <w:semiHidden/>
    <w:unhideWhenUsed/>
    <w:rsid w:val="008B45E8"/>
    <w:rPr>
      <w:vertAlign w:val="superscript"/>
    </w:rPr>
  </w:style>
  <w:style w:type="character" w:styleId="Hyperlink">
    <w:name w:val="Hyperlink"/>
    <w:basedOn w:val="DefaultParagraphFont"/>
    <w:uiPriority w:val="99"/>
    <w:unhideWhenUsed/>
    <w:rsid w:val="008B45E8"/>
    <w:rPr>
      <w:color w:val="0000FF"/>
      <w:u w:val="single"/>
    </w:rPr>
  </w:style>
  <w:style w:type="character" w:styleId="UnresolvedMention">
    <w:name w:val="Unresolved Mention"/>
    <w:basedOn w:val="DefaultParagraphFont"/>
    <w:uiPriority w:val="99"/>
    <w:semiHidden/>
    <w:unhideWhenUsed/>
    <w:rsid w:val="009A7BA1"/>
    <w:rPr>
      <w:color w:val="605E5C"/>
      <w:shd w:val="clear" w:color="auto" w:fill="E1DFDD"/>
    </w:rPr>
  </w:style>
  <w:style w:type="paragraph" w:styleId="ListParagraph">
    <w:name w:val="List Paragraph"/>
    <w:basedOn w:val="Normal"/>
    <w:uiPriority w:val="34"/>
    <w:qFormat/>
    <w:rsid w:val="009F5BD4"/>
    <w:pPr>
      <w:spacing w:line="259" w:lineRule="auto"/>
      <w:ind w:left="720"/>
      <w:contextualSpacing/>
    </w:pPr>
  </w:style>
  <w:style w:type="character" w:styleId="FollowedHyperlink">
    <w:name w:val="FollowedHyperlink"/>
    <w:basedOn w:val="DefaultParagraphFont"/>
    <w:uiPriority w:val="99"/>
    <w:semiHidden/>
    <w:unhideWhenUsed/>
    <w:rsid w:val="009F5BD4"/>
    <w:rPr>
      <w:color w:val="954F72" w:themeColor="followedHyperlink"/>
      <w:u w:val="single"/>
    </w:rPr>
  </w:style>
  <w:style w:type="character" w:customStyle="1" w:styleId="Heading1Char">
    <w:name w:val="Heading 1 Char"/>
    <w:basedOn w:val="DefaultParagraphFont"/>
    <w:link w:val="Heading1"/>
    <w:rsid w:val="00B86E29"/>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B86E29"/>
    <w:rPr>
      <w:rFonts w:ascii="Tahoma" w:eastAsia="SimSun" w:hAnsi="Tahoma" w:cs="Tahoma"/>
      <w:b/>
      <w:bCs/>
      <w:sz w:val="20"/>
      <w:szCs w:val="20"/>
      <w:lang w:eastAsia="zh-CN"/>
    </w:rPr>
  </w:style>
  <w:style w:type="paragraph" w:styleId="NormalWeb">
    <w:name w:val="Normal (Web)"/>
    <w:basedOn w:val="Normal"/>
    <w:rsid w:val="00B86E29"/>
    <w:pPr>
      <w:spacing w:before="100" w:beforeAutospacing="1" w:after="100" w:afterAutospacing="1" w:line="240" w:lineRule="auto"/>
    </w:pPr>
    <w:rPr>
      <w:rFonts w:ascii="Georgia" w:eastAsia="SimSun" w:hAnsi="Georgia" w:cs="Times New Roman"/>
      <w:color w:val="000000"/>
      <w:sz w:val="21"/>
      <w:szCs w:val="21"/>
      <w:lang w:eastAsia="zh-CN"/>
    </w:rPr>
  </w:style>
  <w:style w:type="paragraph" w:styleId="Header">
    <w:name w:val="header"/>
    <w:basedOn w:val="Normal"/>
    <w:link w:val="HeaderChar"/>
    <w:uiPriority w:val="99"/>
    <w:unhideWhenUsed/>
    <w:rsid w:val="00F879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79E4"/>
  </w:style>
  <w:style w:type="paragraph" w:styleId="Footer">
    <w:name w:val="footer"/>
    <w:basedOn w:val="Normal"/>
    <w:link w:val="FooterChar"/>
    <w:uiPriority w:val="99"/>
    <w:unhideWhenUsed/>
    <w:rsid w:val="00F879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79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505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iblewise.com/bible_study/characters/egyptian-pharaohs.php" TargetMode="External"/><Relationship Id="rId18" Type="http://schemas.openxmlformats.org/officeDocument/2006/relationships/hyperlink" Target="https://www.historyextra.com/period/roman/were-girls-educated-ancient-rome-what-taught-read/" TargetMode="External"/><Relationship Id="rId26" Type="http://schemas.openxmlformats.org/officeDocument/2006/relationships/hyperlink" Target="https://www.anothermag.com/art-photography/2865/top-10-facts-about-cleopatras-costumes" TargetMode="External"/><Relationship Id="rId3" Type="http://schemas.openxmlformats.org/officeDocument/2006/relationships/styles" Target="styles.xml"/><Relationship Id="rId21" Type="http://schemas.openxmlformats.org/officeDocument/2006/relationships/hyperlink" Target="http://tyrannyofstyle.com/home/tag/Cleopatra" TargetMode="External"/><Relationship Id="rId7" Type="http://schemas.openxmlformats.org/officeDocument/2006/relationships/endnotes" Target="endnotes.xml"/><Relationship Id="rId12" Type="http://schemas.openxmlformats.org/officeDocument/2006/relationships/hyperlink" Target="http://www.jstor.org/stable/10.1525/j.ctt1pnvmm.6" TargetMode="External"/><Relationship Id="rId17" Type="http://schemas.openxmlformats.org/officeDocument/2006/relationships/hyperlink" Target="http://www.jstor.org/stable/10.3366/j.ctvggx41t.18" TargetMode="External"/><Relationship Id="rId25" Type="http://schemas.openxmlformats.org/officeDocument/2006/relationships/hyperlink" Target="https://www.metmuseum.org/en/art/collection/search/544232" TargetMode="External"/><Relationship Id="rId2" Type="http://schemas.openxmlformats.org/officeDocument/2006/relationships/numbering" Target="numbering.xml"/><Relationship Id="rId16" Type="http://schemas.openxmlformats.org/officeDocument/2006/relationships/hyperlink" Target="https://www.youtube.com/watch?v=JKKRBnpDpBY&amp;t=242s" TargetMode="External"/><Relationship Id="rId20" Type="http://schemas.openxmlformats.org/officeDocument/2006/relationships/hyperlink" Target="https://www.independent.co.uk/voices/cleopatra-film-sony-black-actor-lady-gaga-angelina-jolie-whitewashing-a8728721.htm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jstor.org/stable/3269051" TargetMode="External"/><Relationship Id="rId24" Type="http://schemas.openxmlformats.org/officeDocument/2006/relationships/hyperlink" Target="https://collections.mfa.org/objects/146531" TargetMode="External"/><Relationship Id="rId5" Type="http://schemas.openxmlformats.org/officeDocument/2006/relationships/webSettings" Target="webSettings.xml"/><Relationship Id="rId15" Type="http://schemas.openxmlformats.org/officeDocument/2006/relationships/hyperlink" Target="http://www.jstor.org/stable/10.3366/j.ctvggx41t.18" TargetMode="External"/><Relationship Id="rId23" Type="http://schemas.openxmlformats.org/officeDocument/2006/relationships/hyperlink" Target="http://www.jstor.org/stable/43967042" TargetMode="External"/><Relationship Id="rId28" Type="http://schemas.openxmlformats.org/officeDocument/2006/relationships/footer" Target="footer1.xml"/><Relationship Id="rId10" Type="http://schemas.openxmlformats.org/officeDocument/2006/relationships/hyperlink" Target="https://www.sciencemag.org/news/2010/01/egyptian-eyeliner-may-have-warded-disease" TargetMode="External"/><Relationship Id="rId19" Type="http://schemas.openxmlformats.org/officeDocument/2006/relationships/hyperlink" Target="http://www.jstor.org/stable/41731744" TargetMode="External"/><Relationship Id="rId4" Type="http://schemas.openxmlformats.org/officeDocument/2006/relationships/settings" Target="settings.xml"/><Relationship Id="rId9" Type="http://schemas.openxmlformats.org/officeDocument/2006/relationships/hyperlink" Target="mailto:1700273@student.uwtsd.ac.uk" TargetMode="External"/><Relationship Id="rId14" Type="http://schemas.openxmlformats.org/officeDocument/2006/relationships/hyperlink" Target="https://www.world-archaeology.com/world/africa/egypt/cleopatra-was-no-beauty-coins-shows/" TargetMode="External"/><Relationship Id="rId22" Type="http://schemas.openxmlformats.org/officeDocument/2006/relationships/hyperlink" Target="https://www.youtube.com/watch?v=VjFFrYEZsAQ" TargetMode="External"/><Relationship Id="rId27" Type="http://schemas.openxmlformats.org/officeDocument/2006/relationships/hyperlink" Target="https://www.hermitagemuseum.org/wps/portal/hermitage/news/news-item/news/1999_2013/hm11_3_13/!ut/p/z1/jZFNT4QwEIZ_iweOdoby7a2Spe4HqQd1ay-E3bCAAUoAl8Rfb7PxslHROc0kz_vOOxlQIEF1-bku86nWXd6Y-VX5mWDMt50YN3yLPjKOVLCUOnzlw_4C4C_FENR_9AuAWrbf_LXAXECHNE5LUH0-Vbd1d9Igu2IeQdpRFGUUbQdk1dp25mSm3YO69hRiRZEJnriPCbd5EnwD1tvAAE_egxAvMY3dL2A5dn1oyXxsCRKPeiZDhBgGNHDDS2bWHZzQZB6KUzEUA3kfzDOqaerHOwstnOeZlFqXTUGOurXwJ0mlxwnkNQl9-yw_dvfR-s1rzjt28wnUFL6m/dz/d5/L2dBISEvZ0FBIS9nQSEh/?lng=en&amp;lng=" TargetMode="Externa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tyrannyofstyle.com/home/tag/Cleopatra" TargetMode="External"/><Relationship Id="rId13" Type="http://schemas.openxmlformats.org/officeDocument/2006/relationships/hyperlink" Target="http://shakespeare.mit.edu/cleopatra/full.html" TargetMode="External"/><Relationship Id="rId3" Type="http://schemas.openxmlformats.org/officeDocument/2006/relationships/hyperlink" Target="https://www.metmuseum.org/en/art/collection/search/544232" TargetMode="External"/><Relationship Id="rId7" Type="http://schemas.openxmlformats.org/officeDocument/2006/relationships/hyperlink" Target="https://www.anothermag.com/art-photography/2865/top-10-facts-about-cleopatras-costumes" TargetMode="External"/><Relationship Id="rId12" Type="http://schemas.openxmlformats.org/officeDocument/2006/relationships/hyperlink" Target="https://www.youtube.com/watch?v=JKKRBnpDpBY&amp;t=242s" TargetMode="External"/><Relationship Id="rId2" Type="http://schemas.openxmlformats.org/officeDocument/2006/relationships/hyperlink" Target="https://collections.mfa.org/objects/146531" TargetMode="External"/><Relationship Id="rId1" Type="http://schemas.openxmlformats.org/officeDocument/2006/relationships/hyperlink" Target="https://www.sciencemag.org/news/2010/01/egyptian-eyeliner-may-have-warded-disease" TargetMode="External"/><Relationship Id="rId6" Type="http://schemas.openxmlformats.org/officeDocument/2006/relationships/hyperlink" Target="http://tyrannyofstyle.com/home/tag/Cleopatra" TargetMode="External"/><Relationship Id="rId11" Type="http://schemas.openxmlformats.org/officeDocument/2006/relationships/hyperlink" Target="https://www.historyextra.com/period/roman/were-girls-educated-ancient-rome-what-taught-read/" TargetMode="External"/><Relationship Id="rId5" Type="http://schemas.openxmlformats.org/officeDocument/2006/relationships/hyperlink" Target="https://www.biblewise.com/bible_study/characters/egyptian-pharaohs.php" TargetMode="External"/><Relationship Id="rId10" Type="http://schemas.openxmlformats.org/officeDocument/2006/relationships/hyperlink" Target="https://www.hermitagemuseum.org/wps/portal/hermitage/news/news-item/news/1999_2013/hm11_3_13/!ut/p/z1/jZFNT4QwEIZ_iweOdoby7a2Spe4HqQd1ay-E3bCAAUoAl8Rfb7PxslHROc0kz_vOOxlQIEF1-bku86nWXd6Y-VX5mWDMt50YN3yLPjKOVLCUOnzlw_4C4C_FENR_9AuAWrbf_LXAXECHNE5LUH0-Vbd1d9Igu2IeQdpRFGUUbQdk1dp25mSm3YO69hRiRZEJnriPCbd5EnwD1tvAAE_egxAvMY3dL2A5dn1oyXxsCRKPeiZDhBgGNHDDS2bWHZzQZB6KUzEUA3kfzDOqaerHOwstnOeZlFqXTUGOurXwJ0mlxwnkNQl9-yw_dvfR-s1rzjt28wnUFL6m/dz/d5/L2dBISEvZ0FBIS9nQSEh/?lng=en&amp;lng=" TargetMode="External"/><Relationship Id="rId4" Type="http://schemas.openxmlformats.org/officeDocument/2006/relationships/hyperlink" Target="https://www.youtube.com/watch?v=VjFFrYEZsAQ" TargetMode="External"/><Relationship Id="rId9" Type="http://schemas.openxmlformats.org/officeDocument/2006/relationships/hyperlink" Target="https://www.world-archaeology.com/world/africa/egypt/cleopatra-was-no-beauty-coins-shows/" TargetMode="External"/><Relationship Id="rId14" Type="http://schemas.openxmlformats.org/officeDocument/2006/relationships/hyperlink" Target="https://www.independent.co.uk/voices/cleopatra-film-sony-black-actor-lady-gaga-angelina-jolie-whitewashing-a872872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125925-B903-4BD6-93E7-B96F702A88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17</Pages>
  <Words>9435</Words>
  <Characters>53782</Characters>
  <Application>Microsoft Office Word</Application>
  <DocSecurity>0</DocSecurity>
  <Lines>448</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 Plunkett</dc:creator>
  <cp:keywords/>
  <dc:description/>
  <cp:lastModifiedBy>Jess Plunkett</cp:lastModifiedBy>
  <cp:revision>35</cp:revision>
  <dcterms:created xsi:type="dcterms:W3CDTF">2020-05-08T16:09:00Z</dcterms:created>
  <dcterms:modified xsi:type="dcterms:W3CDTF">2020-05-10T15:29:00Z</dcterms:modified>
</cp:coreProperties>
</file>