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C3EEE" w14:textId="77777777" w:rsidR="009B7840" w:rsidRDefault="009B7840">
      <w:pPr>
        <w:pStyle w:val="p1"/>
        <w:rPr>
          <w:rStyle w:val="s1"/>
          <w:b/>
          <w:bCs/>
          <w:u w:val="single"/>
        </w:rPr>
      </w:pPr>
      <w:r>
        <w:rPr>
          <w:rStyle w:val="s1"/>
          <w:b/>
          <w:bCs/>
          <w:u w:val="single"/>
        </w:rPr>
        <w:t xml:space="preserve">Section 1 </w:t>
      </w:r>
    </w:p>
    <w:p w14:paraId="42110C4D" w14:textId="7BD0F4CC" w:rsidR="00710CD4" w:rsidRDefault="00710CD4">
      <w:pPr>
        <w:pStyle w:val="p1"/>
      </w:pPr>
      <w:r>
        <w:rPr>
          <w:rStyle w:val="s1"/>
        </w:rPr>
        <w:t xml:space="preserve">As a reflective practitioner, I critically evaluated my experience of acting as an inclusive leader during a transition programme designed to support children with additional needs moving from nursery to primary school. Inclusive leadership is not simply a professional requirement or a procedural tick box; for me, it has become a deeply held ethical, relational, and human commitment to creating spaces where each child and family feels genuinely seen, heard, respected, and valued (Ainscow &amp; </w:t>
      </w:r>
      <w:proofErr w:type="spellStart"/>
      <w:r>
        <w:rPr>
          <w:rStyle w:val="s1"/>
        </w:rPr>
        <w:t>Sandill</w:t>
      </w:r>
      <w:proofErr w:type="spellEnd"/>
      <w:r>
        <w:rPr>
          <w:rStyle w:val="s1"/>
        </w:rPr>
        <w:t>, 2010). It means holding a mirror up to myself constantly, questioning my assumptions, and having the courage to acknowledge and challenge the systems and biases that can undermine true inclusion. When working directly with children, I found that the smallest, often overlooked moments carried the most meaning — the cautious yet hopeful glances as they explored new classrooms, the soft whispers asking if their friend would be there too, the hesitant smiles as they recognised a familiar book or toy in a new setting. I designed individualised transition plans that included visual timetables, repeated short visits to the primary school environment, personalised social stories using their own photos and symbols, and buddy systems with older peers to gently scaffold social connections. I also created calm-down corners and quiet sensory spaces, acknowledging that the sensory overload of new environments can be overwhelming for many children, especially those who are neurodivergent. Yet, it was not only the formal strategies that helped; it was often the informal, relational interactions — like kneeling down to tie a shoelace while chatting about their favourite cartoon or joining them in pretend play to act out the “big school” experience — that truly built trust and alleviated fears. I actively worked to embed child voice at the heart of every decision, using creative tools such as emotion check-ins with facial expression cards, storytelling sessions where they could narrate their transition journey, and drawing activities to capture their feelings in ways words sometimes cannot (UNCRC, 1989). This child-centred approach allowed me to see their unique perspectives and adjust my strategies accordingly, ensuring they felt part of the process rather than passive recipients of adult plans. However, a tension emerged between this ideal of authentic child voice and the reality of institutional demands for “school readiness,” where there was often pressure to prepare children to fit a predetermined mould of what a “ready” child should look like, potentially silencing their individual identities and natural developmental trajectories (Moss, 2016). I found myself advocating persistently for play-based, developmentally appropriate practices, even when external assessments and readiness checklists pressured staff to prioritise academic indicators over emotional preparedness. These experiences reaffirmed my belief that readiness is not a fixed standard but an evolving, relational state co-constructed with each child.</w:t>
      </w:r>
    </w:p>
    <w:p w14:paraId="2311AD15" w14:textId="77777777" w:rsidR="00710CD4" w:rsidRDefault="00710CD4">
      <w:pPr>
        <w:pStyle w:val="p2"/>
      </w:pPr>
    </w:p>
    <w:p w14:paraId="7829C090" w14:textId="77777777" w:rsidR="00710CD4" w:rsidRDefault="00710CD4">
      <w:pPr>
        <w:pStyle w:val="p1"/>
      </w:pPr>
      <w:r>
        <w:rPr>
          <w:rStyle w:val="s1"/>
        </w:rPr>
        <w:t>Working with families was equally layered, emotional, and at times deeply challenging. I remember the tears in a mother’s eyes as she described her fears of her non-verbal child being isolated or misunderstood, and the father who expressed his guilt over working long hours and feeling disconnected from his child’s educational journey. To address these concerns, I initiated culturally responsive workshops co-facilitated with community leaders and interpreters to ensure accessibility and relevance. I also offered flexible meeting times, including evening sessions and home visits, to accommodate diverse working schedules and cultural preferences. Coffee mornings in informal community spaces allowed for more relaxed, open conversations where parents felt safer to share their true worries and hopes. In these spaces, I saw relief wash over parents’ faces when they felt genuinely listened to and not judged, reminding me that inclusive leadership requires not just technical competence but deep empathy and relational warmth. Despite these efforts, some families remained distant, shaped by previous negative encounters with education systems, language barriers, fears of judgment, and a broader societal narrative that often marginalises and stigmatises them. This reality forced me to reflect deeply on my own practice and the systemic structures around me, recognising that true inclusion means challenging these historical and structural injustices, not just inviting families into pre-set frameworks (Booth &amp; Ainscow, 2011). Using Gibbs’ Reflective Cycle (Gibbs, 1988), I processed my emotional responses — feelings of frustration when families pulled away, guilt for not reaching every single parent as fully as I wished, and moments of joy when small breakthroughs occurred — and considered how to better adapt, communicate, and build trust. This iterative process helped me remain grounded, humble, and open to continuous growth, turning moments of discomfort into powerful learning opportunities. I also came to understand that each family’s story is shaped by generational trauma, cultural narratives, and wider systemic discrimination. For example, a mother from a refugee background shared her past experiences of schooling, revealing why she felt reluctant to engage; this moment reminded me that each interaction must be approached with deep respect for lived experiences and histories that may be invisible at first glance. I began to see my role as not only facilitating transitions but empowering parents to become advocates for their children’s rights, to believe in their children’s potential beyond what dominant narratives suggest, and to reclaim their voices within educational spaces often dominated by professional jargon and power hierarchies.</w:t>
      </w:r>
    </w:p>
    <w:p w14:paraId="74CD4E85" w14:textId="77777777" w:rsidR="00710CD4" w:rsidRDefault="00710CD4">
      <w:pPr>
        <w:pStyle w:val="p2"/>
      </w:pPr>
    </w:p>
    <w:p w14:paraId="034A280D" w14:textId="77777777" w:rsidR="00710CD4" w:rsidRDefault="00710CD4">
      <w:pPr>
        <w:pStyle w:val="p1"/>
      </w:pPr>
      <w:r>
        <w:rPr>
          <w:rStyle w:val="s1"/>
        </w:rPr>
        <w:t>Collaboration with professionals, including nursery practitioners, primary school teachers, SENCOs, and external therapists, added another dimension of complexity and learning. While many colleagues shared my passion for inclusion and equity, others expressed hesitation, often rooted in deficit-based views of children’s abilities or discomfort with changing entrenched practices (Florian &amp; Black-Hawkins, 2011). I frequently found myself acting as a mediator and advocate, facilitating reflective dialogues that encouraged colleagues to surface and examine their implicit biases and assumptions. During joint training sessions, I introduced case studies, reflective prompts, and role-play scenarios to help colleagues imagine the world through a child’s eyes and understand the impact of seemingly small actions or words. Some moments were difficult — such as when a practitioner insisted a child “wasn’t ready” for mainstream learning environments or when resistance to adaptations was framed as “lack of resources” rather than an opportunity for creative problem-solving. These experiences reinforced the critical importance of fostering a culture of continuous professional reflection and shared responsibility, rooted in the principles of distributed leadership (Harris, 2004). I learned that leading inclusively required not only strategic thinking but emotional resilience, patience, and the ability to hold space for difficult, sometimes painful, conversations. The dissonance between policy guidelines such as the SEND Code of Practice (DfE, 2015) and on-the-ground practice further illustrated the gap between aspirational policy language and lived realities, reminding me that written frameworks are only as effective as the attitudes and values of those enacting them. I noticed that staff buy-in improved most when they felt emotionally invested — when they heard children’s stories directly, saw their smiles, and shared moments of growth firsthand. Reflective practice circles became an important tool; sharing feelings and doubts in safe spaces helped humanise the abstract policy concepts and build collective empathy.</w:t>
      </w:r>
    </w:p>
    <w:p w14:paraId="4EEF2535" w14:textId="77777777" w:rsidR="00710CD4" w:rsidRDefault="00710CD4">
      <w:pPr>
        <w:pStyle w:val="p2"/>
      </w:pPr>
    </w:p>
    <w:p w14:paraId="47733BB8" w14:textId="77777777" w:rsidR="00710CD4" w:rsidRDefault="00710CD4">
      <w:pPr>
        <w:pStyle w:val="p1"/>
      </w:pPr>
      <w:r>
        <w:rPr>
          <w:rStyle w:val="s1"/>
        </w:rPr>
        <w:t>Engaging with the wider community was both inspiring and revealing of broader systemic inequities. Partnerships with local disability organisations, cultural centres, faith groups, and community mental health services provided essential networks of support that extended beyond the school gates. Initiatives such as inclusive community art projects, family gardening days, and culturally specific storytelling events helped to break down barriers, celebrate diversity, and foster a sense of collective belonging. However, practical obstacles such as lack of transport, inflexible work hours, or cultural misunderstandings often limited some families’ participation, highlighting the real-world impact of social and economic inequalities (Crenshaw, 1991). Witnessing the resilience of families who, despite these barriers, continued to advocate fiercely for their children, moved me deeply and underscored my role not just as an educator but as an ally and advocate. Intersectionality became a critical lens for me, recognising that a child might simultaneously face multiple forms of marginalisation — for example, being a recent immigrant, living with a disability, and coming from a low-income household — each compounding the other and demanding tailored, nuanced approaches rather than blanket solutions. Empowering the community involved co-designing events and initiatives with families rather than for them, creating shared ownership and genuine collaboration. This approach required humility, a willingness to relinquish control, and an openness to being led by community voices. I found myself reflecting on what it means to be truly accountable to the communities I serve; it meant listening deeply, admitting when I got things wrong, and continuously advocating for systemic change rather than individual fixes alone.</w:t>
      </w:r>
    </w:p>
    <w:p w14:paraId="2AC6EE0B" w14:textId="77777777" w:rsidR="00710CD4" w:rsidRDefault="00710CD4">
      <w:pPr>
        <w:pStyle w:val="p2"/>
      </w:pPr>
    </w:p>
    <w:p w14:paraId="2CA6DA90" w14:textId="140A3EEB" w:rsidR="00710CD4" w:rsidRDefault="00710CD4">
      <w:pPr>
        <w:pStyle w:val="p1"/>
        <w:rPr>
          <w:rStyle w:val="s1"/>
        </w:rPr>
      </w:pPr>
      <w:r>
        <w:rPr>
          <w:rStyle w:val="s1"/>
        </w:rPr>
        <w:t>Critically reflecting on these experiences, I came to understand that inclusive leadership is an ongoing, dynamic, and deeply human practice, not a static role or a one-off project. It involves continual self-examination, emotional vulnerability, and the courage to navigate discomfort, conflict, and systemic resistance (</w:t>
      </w:r>
      <w:proofErr w:type="spellStart"/>
      <w:r>
        <w:rPr>
          <w:rStyle w:val="s1"/>
        </w:rPr>
        <w:t>MacNaughton</w:t>
      </w:r>
      <w:proofErr w:type="spellEnd"/>
      <w:r>
        <w:rPr>
          <w:rStyle w:val="s1"/>
        </w:rPr>
        <w:t xml:space="preserve">, 2006; </w:t>
      </w:r>
      <w:proofErr w:type="spellStart"/>
      <w:r>
        <w:rPr>
          <w:rStyle w:val="s1"/>
        </w:rPr>
        <w:t>Schön</w:t>
      </w:r>
      <w:proofErr w:type="spellEnd"/>
      <w:r>
        <w:rPr>
          <w:rStyle w:val="s1"/>
        </w:rPr>
        <w:t>, 1983). It means celebrating small victories — a child confidently stepping into their new classroom, a parent feeling empowered to voice their needs, a colleague questioning their own biases — while also acknowledging the broader, often painful realities of systemic inequality that still need dismantling. As Moss (2016) argues, moving beyond technical or managerial solutions towards reimagining education as a space of shared humanity and democratic participation is crucial for genuine inclusion. My journey reminded me daily that inclusive leadership is about being present, relational, and responsive; it is about seeing the individual stories and the collective struggles, and holding space for both joy and pain. It means stepping into each conversation with empathy, holding children’s hands — literally and metaphorically — as they navigate new and unfamiliar spaces, standing beside families as they advocate for their children’s rights and dreams, and working alongside colleagues to collectively transform practice. True inclusive leadership requires seeing beyond labels and policies to the rich, complex humanity of each child and family, and being willing to stand up and speak out when systems fall short. Ultimately, being an inclusive leader as I experienced it is about fostering spaces where every child, every family, and every practitioner feels not just included but truly belonging; where differences are celebrated, voices are amplified, and every individual feels they matter. It is about embracing the messiness of real life, the imperfections of our systems, and the profound beauty of human connection. In doing so, we move closer to creating educational communities that are not only inclusive in name but inclusive in spirit and action — living, breathing spaces of equity, love, and hope for all.</w:t>
      </w:r>
    </w:p>
    <w:p w14:paraId="1B444789" w14:textId="77777777" w:rsidR="00F65303" w:rsidRDefault="00F65303">
      <w:pPr>
        <w:pStyle w:val="p1"/>
        <w:divId w:val="1540245381"/>
      </w:pPr>
      <w:r>
        <w:rPr>
          <w:rStyle w:val="s1"/>
        </w:rPr>
        <w:t xml:space="preserve">In extending my reflection, I began to understand that inclusive leadership also involves a commitment to </w:t>
      </w:r>
      <w:r>
        <w:rPr>
          <w:rStyle w:val="s2"/>
        </w:rPr>
        <w:t>reconstructing</w:t>
      </w:r>
      <w:r>
        <w:rPr>
          <w:rStyle w:val="s1"/>
        </w:rPr>
        <w:t xml:space="preserve"> professional power dynamics and making space for multiple knowledges within educational practice. The knowledge that families and children bring, often informed by lived experience, is too often marginalised or framed as secondary to professional expertise. As Rinaldi (2006) argues, when educators become researchers of their own practice and co-learners with families and children, leadership becomes more democratic, participatory, and empowering. Through this lens, I re-evaluated how I positioned myself during meetings, workshops, and transitions — not as the “expert” handing down information, but as a facilitator of shared understanding. This mindset shift changed how I communicated: I moved from simply informing to genuinely listening and co-constructing, from interpreting behaviour through diagnostic language to exploring meaning through relationships.</w:t>
      </w:r>
    </w:p>
    <w:p w14:paraId="257923C5" w14:textId="77777777" w:rsidR="00F65303" w:rsidRDefault="00F65303">
      <w:pPr>
        <w:pStyle w:val="p2"/>
        <w:divId w:val="1540245381"/>
      </w:pPr>
    </w:p>
    <w:p w14:paraId="335DFD9B" w14:textId="77777777" w:rsidR="00F65303" w:rsidRDefault="00F65303">
      <w:pPr>
        <w:pStyle w:val="p1"/>
        <w:divId w:val="1540245381"/>
      </w:pPr>
      <w:r>
        <w:rPr>
          <w:rStyle w:val="s1"/>
        </w:rPr>
        <w:t xml:space="preserve">Moreover, I became more attuned to how ableism subtly operates in early years transitions. The tendency to measure success against normative developmental benchmarks can result in children with additional needs being viewed as “behind” or “not yet ready” for formal education. This deficit framing, as </w:t>
      </w:r>
      <w:proofErr w:type="spellStart"/>
      <w:r>
        <w:rPr>
          <w:rStyle w:val="s1"/>
        </w:rPr>
        <w:t>Slee</w:t>
      </w:r>
      <w:proofErr w:type="spellEnd"/>
      <w:r>
        <w:rPr>
          <w:rStyle w:val="s1"/>
        </w:rPr>
        <w:t xml:space="preserve"> (2011) critiques, reinforces exclusionary practices under the guise of support. I found myself pushing back against narratives that equated readiness with conformity and began advocating for a broader understanding of competence — one that included alternative communication styles, sensory ways of knowing, and non-linear development. For example, when a child expressed their emotions by flapping or spinning, I encouraged staff to see this not as a disruption but as a legitimate way of self-regulating and communicating. Drawing on the neurodiversity paradigm (</w:t>
      </w:r>
      <w:proofErr w:type="spellStart"/>
      <w:r>
        <w:rPr>
          <w:rStyle w:val="s1"/>
        </w:rPr>
        <w:t>Kapp</w:t>
      </w:r>
      <w:proofErr w:type="spellEnd"/>
      <w:r>
        <w:rPr>
          <w:rStyle w:val="s1"/>
        </w:rPr>
        <w:t>, 2020), I supported the team in reinterpreting behaviours from a strengths-based perspective and adjusting environments rather than attempting to “fix” the child.</w:t>
      </w:r>
    </w:p>
    <w:p w14:paraId="37D6F043" w14:textId="77777777" w:rsidR="00F65303" w:rsidRDefault="00F65303">
      <w:pPr>
        <w:pStyle w:val="p2"/>
        <w:divId w:val="1540245381"/>
      </w:pPr>
    </w:p>
    <w:p w14:paraId="4BCC02B8" w14:textId="77777777" w:rsidR="00F65303" w:rsidRDefault="00F65303">
      <w:pPr>
        <w:pStyle w:val="p1"/>
        <w:divId w:val="1540245381"/>
      </w:pPr>
      <w:r>
        <w:rPr>
          <w:rStyle w:val="s1"/>
        </w:rPr>
        <w:t>This deeper understanding of systemic bias also led me to consider the importance of anti-oppressive frameworks in inclusive leadership. I became more aware of how intersecting factors such as race, disability, language, and socioeconomic status compound disadvantage in early years settings (</w:t>
      </w:r>
      <w:proofErr w:type="spellStart"/>
      <w:r>
        <w:rPr>
          <w:rStyle w:val="s1"/>
        </w:rPr>
        <w:t>Gillborn</w:t>
      </w:r>
      <w:proofErr w:type="spellEnd"/>
      <w:r>
        <w:rPr>
          <w:rStyle w:val="s1"/>
        </w:rPr>
        <w:t>, 2008). One family I worked with — Somali refugees navigating trauma, poverty, and linguistic barriers — reminded me that true inclusion cannot exist without social justice. I began drawing upon critical race theory and intersectionality to question not only how we support individual children, but how we challenge the institutional structures that produce exclusion in the first place (Crenshaw, 1991). This meant taking action beyond my setting — advocating for changes in local authority transition procedures, questioning rigid assessment timelines, and challenging policies that failed to account for diverse lived realities.</w:t>
      </w:r>
    </w:p>
    <w:p w14:paraId="6C913883" w14:textId="77777777" w:rsidR="00F65303" w:rsidRDefault="00F65303">
      <w:pPr>
        <w:pStyle w:val="p2"/>
        <w:divId w:val="1540245381"/>
      </w:pPr>
    </w:p>
    <w:p w14:paraId="1A31FA78" w14:textId="77777777" w:rsidR="00F65303" w:rsidRDefault="00F65303">
      <w:pPr>
        <w:pStyle w:val="p1"/>
        <w:divId w:val="1540245381"/>
      </w:pPr>
      <w:r>
        <w:rPr>
          <w:rStyle w:val="s1"/>
        </w:rPr>
        <w:t>As I progressed through this process, I realised that inclusive leadership also requires a long-term vision. It is not limited to transitions or individual success stories, but about building sustainable cultures of inclusion where belonging is embedded in everyday practice. To sustain this, I initiated ongoing professional learning communities (PLCs) within my setting, where staff engaged in regular inquiry cycles, interrogated their own biases, and co-developed inclusive strategies. This approach echoes Wenger’s (1998) theory of communities of practice, where learning and leadership emerge through shared dialogue, critical reflection, and collective action.</w:t>
      </w:r>
    </w:p>
    <w:p w14:paraId="24CBF5E5" w14:textId="77777777" w:rsidR="00F65303" w:rsidRDefault="00F65303">
      <w:pPr>
        <w:pStyle w:val="p1"/>
        <w:rPr>
          <w:rStyle w:val="s1"/>
        </w:rPr>
      </w:pPr>
    </w:p>
    <w:p w14:paraId="3D46AFB6" w14:textId="77777777" w:rsidR="00F65303" w:rsidRDefault="00F65303">
      <w:pPr>
        <w:pStyle w:val="p1"/>
        <w:rPr>
          <w:rStyle w:val="s1"/>
        </w:rPr>
      </w:pPr>
    </w:p>
    <w:p w14:paraId="2AC5FCA9" w14:textId="3CEBD9D1" w:rsidR="000A1178" w:rsidRPr="001C6B46" w:rsidRDefault="001C6B46">
      <w:pPr>
        <w:pStyle w:val="p1"/>
        <w:rPr>
          <w:rStyle w:val="s1"/>
          <w:b/>
          <w:bCs/>
          <w:u w:val="single"/>
        </w:rPr>
      </w:pPr>
      <w:r>
        <w:rPr>
          <w:rStyle w:val="s1"/>
          <w:b/>
          <w:bCs/>
          <w:u w:val="single"/>
        </w:rPr>
        <w:t xml:space="preserve">Section 2 </w:t>
      </w:r>
    </w:p>
    <w:p w14:paraId="2860CE17" w14:textId="77777777" w:rsidR="000A1178" w:rsidRDefault="000A1178">
      <w:pPr>
        <w:pStyle w:val="p1"/>
        <w:divId w:val="821504159"/>
      </w:pPr>
      <w:r>
        <w:rPr>
          <w:rStyle w:val="s1"/>
        </w:rPr>
        <w:t xml:space="preserve">Inclusive leadership in early years settings across the UK is deeply intertwined with guiding policies like the </w:t>
      </w:r>
      <w:r>
        <w:rPr>
          <w:rStyle w:val="s2"/>
        </w:rPr>
        <w:t>Special Educational Needs and Disability (SEND) Code of Practice: 0 to 25 years (DfE &amp; DoH, 2015)</w:t>
      </w:r>
      <w:r>
        <w:rPr>
          <w:rStyle w:val="s1"/>
        </w:rPr>
        <w:t xml:space="preserve"> and the </w:t>
      </w:r>
      <w:r>
        <w:rPr>
          <w:rStyle w:val="s2"/>
        </w:rPr>
        <w:t>Early Years Foundation Stage (EYFS) statutory framework (DfE, 2024)</w:t>
      </w:r>
      <w:r>
        <w:rPr>
          <w:rStyle w:val="s1"/>
        </w:rPr>
        <w:t>. These documents lay out a vision of equitable, child-centred education that values every child as a unique individual with rights, needs, and immense potential. As an early years leader and practitioner, I have often held these policies close like a compass, especially during moments of uncertainty or systemic pushback. Yet, while they provide an important moral and legal foundation, the journey to actualise them is complex, emotional, and deeply relational.</w:t>
      </w:r>
    </w:p>
    <w:p w14:paraId="24CF03ED" w14:textId="77777777" w:rsidR="000A1178" w:rsidRDefault="000A1178">
      <w:pPr>
        <w:pStyle w:val="p2"/>
        <w:divId w:val="821504159"/>
      </w:pPr>
    </w:p>
    <w:p w14:paraId="34D65E16" w14:textId="77777777" w:rsidR="000A1178" w:rsidRDefault="000A1178">
      <w:pPr>
        <w:pStyle w:val="p1"/>
        <w:divId w:val="821504159"/>
      </w:pPr>
      <w:r>
        <w:rPr>
          <w:rStyle w:val="s1"/>
        </w:rPr>
        <w:t>The SEND Code of Practice advocates for early identification, family-centred approaches, and the principle that children should be educated in mainstream settings wherever possible. This mirrors inclusive pedagogy’s emphasis on creating supportive environments rather than changing the child (Florian &amp; Black-Hawkins, 2011). However, the inclusion of qualifiers such as “reasonable adjustments” and “as far as is reasonably practicable” can subtly shift the focus from rights to conditional support. In practice, I have seen these words used as shields against providing costly or challenging support — for example, when a child with complex sensory needs was denied a one-to-one support worker because the provision was deemed “unreasonable” in the context of the setting’s budget. In that moment, the policy’s beautiful language about participation and inclusion felt painfully hollow, revealing the fragility of inclusive promises when they collide with economic realities (Booth &amp; Ainscow, 2011).</w:t>
      </w:r>
    </w:p>
    <w:p w14:paraId="1EE4344E" w14:textId="77777777" w:rsidR="000A1178" w:rsidRDefault="000A1178">
      <w:pPr>
        <w:pStyle w:val="p2"/>
        <w:divId w:val="821504159"/>
      </w:pPr>
    </w:p>
    <w:p w14:paraId="33B764A9" w14:textId="77777777" w:rsidR="000A1178" w:rsidRDefault="000A1178">
      <w:pPr>
        <w:pStyle w:val="p1"/>
        <w:divId w:val="821504159"/>
      </w:pPr>
      <w:r>
        <w:rPr>
          <w:rStyle w:val="s1"/>
        </w:rPr>
        <w:t>Similarly, the EYFS statutory framework emphasises the importance of enabling environments and strong relationships, encouraging practitioners to celebrate children’s interests and individuality. While these ideas resonate with progressive, child-led philosophies (Moss, 2016), they can be diluted by ambiguous phrases like “where appropriate” and “as needed,” leaving room for wide disparities in implementation. I remember the resistance I encountered when proposing a calm sensory retreat space in our nursery; some staff viewed it as a luxury rather than a necessity, especially in a climate of resource scarcity. In these moments, inclusive leadership becomes not just about interpreting policy but about advocating fiercely for what is morally right, often in the face of deeply ingrained deficit mindsets and institutional inertia (</w:t>
      </w:r>
      <w:proofErr w:type="spellStart"/>
      <w:r>
        <w:rPr>
          <w:rStyle w:val="s1"/>
        </w:rPr>
        <w:t>Schön</w:t>
      </w:r>
      <w:proofErr w:type="spellEnd"/>
      <w:r>
        <w:rPr>
          <w:rStyle w:val="s1"/>
        </w:rPr>
        <w:t>, 1983).</w:t>
      </w:r>
    </w:p>
    <w:p w14:paraId="1D9D7672" w14:textId="77777777" w:rsidR="000A1178" w:rsidRDefault="000A1178">
      <w:pPr>
        <w:pStyle w:val="p2"/>
        <w:divId w:val="821504159"/>
      </w:pPr>
    </w:p>
    <w:p w14:paraId="3CD5BF18" w14:textId="77777777" w:rsidR="000A1178" w:rsidRDefault="000A1178">
      <w:pPr>
        <w:pStyle w:val="p1"/>
        <w:divId w:val="821504159"/>
      </w:pPr>
      <w:r>
        <w:rPr>
          <w:rStyle w:val="s1"/>
        </w:rPr>
        <w:t>The broader system challenges further complicate the landscape. Underfunding and workforce shortages frequently push settings into survival mode, focusing on immediate operational demands rather than long-term relational work (House of Commons Education Committee, 2019). As a leader, I have often found myself grappling with impossible choices: do we allocate limited funds to specialist training for staff, or do we purchase urgently needed sensory equipment? These decisions weigh heavily, revealing the ethical tension between policy ideals and resource constraints. The emotional burden of making such choices can lead to feelings of guilt, frustration, and even helplessness — emotions rarely acknowledged in policy documents but deeply felt in daily practice.</w:t>
      </w:r>
    </w:p>
    <w:p w14:paraId="6F10C0BA" w14:textId="77777777" w:rsidR="000A1178" w:rsidRDefault="000A1178">
      <w:pPr>
        <w:pStyle w:val="p2"/>
        <w:divId w:val="821504159"/>
      </w:pPr>
    </w:p>
    <w:p w14:paraId="70BE8492" w14:textId="77777777" w:rsidR="000A1178" w:rsidRDefault="000A1178">
      <w:pPr>
        <w:pStyle w:val="p1"/>
        <w:divId w:val="821504159"/>
      </w:pPr>
      <w:r>
        <w:rPr>
          <w:rStyle w:val="s1"/>
        </w:rPr>
        <w:t>Moreover, the societal emphasis on “school readiness” intensifies these challenges. While readiness is framed as a neutral goal, it often carries an implicit bias towards academic and behavioural conformity (Bradbury, 2019). I remember supporting a child who loved storytelling through movement and sound rather than sitting still at circle time. While the EYFS promotes following children’s interests, the looming pressure to show “expected progress” pushed colleagues to insist on more traditional, sedentary activities. This tension highlights how inclusion is often at odds with rigid, outcome-driven accountability systems, forcing practitioners to choose between authentic child-led learning and external expectations (Moss, 2016).</w:t>
      </w:r>
    </w:p>
    <w:p w14:paraId="57F0CF8C" w14:textId="77777777" w:rsidR="000A1178" w:rsidRDefault="000A1178">
      <w:pPr>
        <w:pStyle w:val="p2"/>
        <w:divId w:val="821504159"/>
      </w:pPr>
    </w:p>
    <w:p w14:paraId="4C570719" w14:textId="77777777" w:rsidR="000A1178" w:rsidRDefault="000A1178">
      <w:pPr>
        <w:pStyle w:val="p1"/>
        <w:divId w:val="821504159"/>
      </w:pPr>
      <w:r>
        <w:rPr>
          <w:rStyle w:val="s1"/>
        </w:rPr>
        <w:t>Partnership with families — so central in both the SEND Code and EYFS — also reveals gaps between policy aspirations and lived realities. Authentic partnership demands time, trust, and deep cultural humility (Goodall &amp; Montgomery, 2014). In my experience, many families enter early years settings carrying the weight of past traumas, systemic discrimination, and cultural misunderstandings. I recall a father from a Bangladeshi background who initially avoided meetings because he assumed his contributions would be dismissed, echoing his negative schooling experiences. Building his trust took months of patient conversations over tea, sharing stories about his child’s strengths rather than deficits, and inviting him to observe play sessions without pressure to “perform” as a parent. These small relational gestures, which create genuine connection, are the true embodiment of inclusive policy — yet they require emotional labour, time, and a supportive organisational culture that values relationships as much as measurable outcomes.</w:t>
      </w:r>
    </w:p>
    <w:p w14:paraId="41B830BC" w14:textId="77777777" w:rsidR="000A1178" w:rsidRDefault="000A1178">
      <w:pPr>
        <w:pStyle w:val="p2"/>
        <w:divId w:val="821504159"/>
      </w:pPr>
    </w:p>
    <w:p w14:paraId="5232704A" w14:textId="77777777" w:rsidR="000A1178" w:rsidRDefault="000A1178">
      <w:pPr>
        <w:pStyle w:val="p1"/>
        <w:divId w:val="821504159"/>
      </w:pPr>
      <w:r>
        <w:rPr>
          <w:rStyle w:val="s1"/>
        </w:rPr>
        <w:t>Furthermore, inclusive leadership demands confronting personal and collective biases. It is about asking uncomfortable questions: Who feels seen in our spaces? Whose voices are missing? Who decides what “reasonable” support looks like? Reflecting on these questions can be painful, as it often reveals our own complicity in upholding exclusionary norms (</w:t>
      </w:r>
      <w:proofErr w:type="spellStart"/>
      <w:r>
        <w:rPr>
          <w:rStyle w:val="s1"/>
        </w:rPr>
        <w:t>MacNaughton</w:t>
      </w:r>
      <w:proofErr w:type="spellEnd"/>
      <w:r>
        <w:rPr>
          <w:rStyle w:val="s1"/>
        </w:rPr>
        <w:t xml:space="preserve">, 2006; </w:t>
      </w:r>
      <w:proofErr w:type="spellStart"/>
      <w:r>
        <w:rPr>
          <w:rStyle w:val="s1"/>
        </w:rPr>
        <w:t>Schön</w:t>
      </w:r>
      <w:proofErr w:type="spellEnd"/>
      <w:r>
        <w:rPr>
          <w:rStyle w:val="s1"/>
        </w:rPr>
        <w:t>, 1983). I have experienced moments of discomfort when realising that even well-intentioned practices, like standardised behaviour charts or “quiet voices” policies, may silence children with communication differences or those from cultures where expressive communication is the norm. These realisations require courage to act — to redesign systems, challenge colleagues, and sometimes push back against leadership structures.</w:t>
      </w:r>
    </w:p>
    <w:p w14:paraId="740AB879" w14:textId="77777777" w:rsidR="000A1178" w:rsidRDefault="000A1178">
      <w:pPr>
        <w:pStyle w:val="p2"/>
        <w:divId w:val="821504159"/>
      </w:pPr>
    </w:p>
    <w:p w14:paraId="5A53E1E2" w14:textId="77777777" w:rsidR="000A1178" w:rsidRDefault="000A1178">
      <w:pPr>
        <w:pStyle w:val="p1"/>
        <w:divId w:val="821504159"/>
      </w:pPr>
      <w:r>
        <w:rPr>
          <w:rStyle w:val="s1"/>
        </w:rPr>
        <w:t xml:space="preserve">The policies also do not fully acknowledge the importance of practitioner well-being. Inclusive leadership involves absorbing and holding the complex emotional realities of children, families, and staff. It means being the person colleagues confide in when they feel overwhelmed, supporting families during crises, and holding children’s pain and joy with equal care. Without systemic support for reflective supervision, professional development focused on anti-bias and trauma-informed care, and proper resourcing, the risk of emotional exhaustion is high (Ainscow &amp; </w:t>
      </w:r>
      <w:proofErr w:type="spellStart"/>
      <w:r>
        <w:rPr>
          <w:rStyle w:val="s1"/>
        </w:rPr>
        <w:t>Sandill</w:t>
      </w:r>
      <w:proofErr w:type="spellEnd"/>
      <w:r>
        <w:rPr>
          <w:rStyle w:val="s1"/>
        </w:rPr>
        <w:t>, 2010; House of Commons Education Committee, 2019). This emotional dimension is largely absent from policy language, yet it is precisely this relational, affective labour that sustains genuine inclusion.</w:t>
      </w:r>
    </w:p>
    <w:p w14:paraId="5F0D728B" w14:textId="77777777" w:rsidR="000A1178" w:rsidRDefault="000A1178">
      <w:pPr>
        <w:pStyle w:val="p2"/>
        <w:divId w:val="821504159"/>
      </w:pPr>
    </w:p>
    <w:p w14:paraId="21F0175D" w14:textId="77777777" w:rsidR="000A1178" w:rsidRDefault="000A1178">
      <w:pPr>
        <w:pStyle w:val="p1"/>
        <w:divId w:val="821504159"/>
      </w:pPr>
      <w:r>
        <w:rPr>
          <w:rStyle w:val="s1"/>
        </w:rPr>
        <w:t>Ultimately, policies like the SEND Code of Practice and EYFS framework provide essential scaffolds, but they are only as effective as the values and daily actions of the practitioners who bring them to life. As Booth and Ainscow (2011) argue, inclusion is not an endpoint but a continual, messy, and deeply human journey of dismantling barriers and celebrating difference. In my experience, true inclusive leadership feels less like following a checklist and more like tending a garden: nurturing each relationship carefully, adapting to changing needs, and creating an environment where every child and family can flourish on their own terms.</w:t>
      </w:r>
    </w:p>
    <w:p w14:paraId="12BD0E99" w14:textId="77777777" w:rsidR="000A1178" w:rsidRDefault="000A1178">
      <w:pPr>
        <w:pStyle w:val="p2"/>
        <w:divId w:val="821504159"/>
      </w:pPr>
    </w:p>
    <w:p w14:paraId="79E5C5D1" w14:textId="77777777" w:rsidR="000A1178" w:rsidRDefault="000A1178">
      <w:pPr>
        <w:pStyle w:val="p1"/>
        <w:divId w:val="821504159"/>
      </w:pPr>
      <w:r>
        <w:rPr>
          <w:rStyle w:val="s1"/>
        </w:rPr>
        <w:t>At its core, inclusive leadership is about love, courage, and radical empathy. It means daring to imagine educational spaces not as sites of compliance but as living, breathing communities of belonging. It means greeting each child as a whole person, listening deeply to families’ fears and hopes, and empowering colleagues to embrace vulnerability and growth. It is about recognising that inclusion is not a technical fix but a profound moral and relational commitment — one that requires us to be brave enough to challenge unjust systems and humble enough to learn alongside those we serve.</w:t>
      </w:r>
    </w:p>
    <w:p w14:paraId="7EE2D2A4" w14:textId="77777777" w:rsidR="000A1178" w:rsidRDefault="000A1178">
      <w:pPr>
        <w:pStyle w:val="p2"/>
        <w:divId w:val="821504159"/>
      </w:pPr>
    </w:p>
    <w:p w14:paraId="5EB7D72F" w14:textId="77777777" w:rsidR="000A1178" w:rsidRDefault="000A1178">
      <w:pPr>
        <w:pStyle w:val="p1"/>
        <w:divId w:val="821504159"/>
        <w:rPr>
          <w:rStyle w:val="s1"/>
        </w:rPr>
      </w:pPr>
      <w:r>
        <w:rPr>
          <w:rStyle w:val="s1"/>
        </w:rPr>
        <w:t>When I reflect on these policies now, I see them as both necessary and incomplete — important starting points that require human hearts and hands to realise their promise. Inclusion is not just about access or physical presence; it is about deep, authentic participation and the feeling of truly belonging. As leaders and practitioners, our task is to transform the words on the page into lived realities, creating spaces where every child is not just included but celebrated, where families feel not just consulted but genuinely valued, and where colleagues feel not just supported but inspired to grow together. Only then can we move towards an education system that embodies not just inclusion in name, but in spirit and in daily action — a system rooted in equity, joy, and shared humanity.</w:t>
      </w:r>
    </w:p>
    <w:p w14:paraId="4DAA7A1E" w14:textId="77777777" w:rsidR="004F46E0" w:rsidRDefault="004F46E0">
      <w:pPr>
        <w:pStyle w:val="p1"/>
        <w:divId w:val="833373410"/>
      </w:pPr>
      <w:r>
        <w:rPr>
          <w:rStyle w:val="s1"/>
        </w:rPr>
        <w:t xml:space="preserve">The policies also do not fully acknowledge the importance of practitioner well-being. Inclusive leadership involves absorbing and holding the complex emotional realities of children, families, and staff. It means being the person colleagues confide in when they feel overwhelmed, supporting families during crises, and holding children’s pain and joy with equal care. Without systemic support for reflective supervision, professional development focused on anti-bias and trauma-informed care, and proper resourcing, the risk of emotional exhaustion is high (Ainscow &amp; </w:t>
      </w:r>
      <w:proofErr w:type="spellStart"/>
      <w:r>
        <w:rPr>
          <w:rStyle w:val="s1"/>
        </w:rPr>
        <w:t>Sandill</w:t>
      </w:r>
      <w:proofErr w:type="spellEnd"/>
      <w:r>
        <w:rPr>
          <w:rStyle w:val="s1"/>
        </w:rPr>
        <w:t>, 2010; House of Commons Education Committee, 2019). This emotional dimension is largely absent from policy language, yet it is precisely this relational, affective labour that sustains genuine inclusion.</w:t>
      </w:r>
    </w:p>
    <w:p w14:paraId="201BB72E" w14:textId="77777777" w:rsidR="004F46E0" w:rsidRDefault="004F46E0">
      <w:pPr>
        <w:pStyle w:val="p2"/>
        <w:divId w:val="833373410"/>
      </w:pPr>
    </w:p>
    <w:p w14:paraId="624F10DD" w14:textId="77777777" w:rsidR="004F46E0" w:rsidRDefault="004F46E0">
      <w:pPr>
        <w:pStyle w:val="p1"/>
        <w:divId w:val="833373410"/>
      </w:pPr>
      <w:r>
        <w:rPr>
          <w:rStyle w:val="s1"/>
        </w:rPr>
        <w:t>Ultimately, policies like the SEND Code of Practice and EYFS framework provide essential scaffolds, but they are only as effective as the values and daily actions of the practitioners who bring them to life. As Booth and Ainscow (2011) argue, inclusion is not an endpoint but a continual, messy, and deeply human journey of dismantling barriers and celebrating difference. In my experience, true inclusive leadership feels less like following a checklist and more like tending a garden: nurturing each relationship carefully, adapting to changing needs, and creating an environment where every child and family can flourish on their own terms.</w:t>
      </w:r>
    </w:p>
    <w:p w14:paraId="0E46CE1F" w14:textId="77777777" w:rsidR="004F46E0" w:rsidRDefault="004F46E0">
      <w:pPr>
        <w:pStyle w:val="p2"/>
        <w:divId w:val="833373410"/>
      </w:pPr>
    </w:p>
    <w:p w14:paraId="4D5E3AF3" w14:textId="77777777" w:rsidR="004F46E0" w:rsidRDefault="004F46E0">
      <w:pPr>
        <w:pStyle w:val="p1"/>
        <w:divId w:val="833373410"/>
      </w:pPr>
      <w:r>
        <w:rPr>
          <w:rStyle w:val="s1"/>
        </w:rPr>
        <w:t>At its core, inclusive leadership is about love, courage, and radical empathy. It means daring to imagine educational spaces not as sites of compliance but as living, breathing communities of belonging. It means greeting each child as a whole person, listening deeply to families’ fears and hopes, and empowering colleagues to embrace vulnerability and growth. It is about recognising that inclusion is not a technical fix but a profound moral and relational commitment — one that requires us to be brave enough to challenge unjust systems and humble enough to learn alongside those we serve.</w:t>
      </w:r>
    </w:p>
    <w:p w14:paraId="33086541" w14:textId="77777777" w:rsidR="004F46E0" w:rsidRDefault="004F46E0">
      <w:pPr>
        <w:pStyle w:val="p2"/>
        <w:divId w:val="833373410"/>
      </w:pPr>
    </w:p>
    <w:p w14:paraId="64213472" w14:textId="77777777" w:rsidR="004F46E0" w:rsidRDefault="004F46E0">
      <w:pPr>
        <w:pStyle w:val="p1"/>
        <w:divId w:val="833373410"/>
      </w:pPr>
      <w:r>
        <w:rPr>
          <w:rStyle w:val="s1"/>
        </w:rPr>
        <w:t>When I reflect on these policies now, I see them as both necessary and incomplete — important starting points that require human hearts and hands to realise their promise. Inclusion is not just about access or physical presence; it is about deep, authentic participation and the feeling of truly belonging. As leaders and practitioners, our task is to transform the words on the page into lived realities, creating spaces where every child is not just included but celebrated, where families feel not just consulted but genuinely valued, and where colleagues feel not just supported but inspired to grow together. Only then can we move towards an education system that embodies not just inclusion in name, but in spirit and in daily action — a system rooted in equity, joy, and shared humanity.</w:t>
      </w:r>
    </w:p>
    <w:p w14:paraId="3BA12F9E" w14:textId="77777777" w:rsidR="004F46E0" w:rsidRDefault="004F46E0">
      <w:pPr>
        <w:pStyle w:val="p1"/>
        <w:divId w:val="821504159"/>
        <w:rPr>
          <w:rStyle w:val="s1"/>
        </w:rPr>
      </w:pPr>
    </w:p>
    <w:p w14:paraId="54EFD7A4" w14:textId="77777777" w:rsidR="001E7480" w:rsidRDefault="001E7480">
      <w:pPr>
        <w:pStyle w:val="p1"/>
        <w:divId w:val="821504159"/>
        <w:rPr>
          <w:rStyle w:val="s1"/>
        </w:rPr>
      </w:pPr>
    </w:p>
    <w:p w14:paraId="30392AB1" w14:textId="0E19CBF2" w:rsidR="001E7480" w:rsidRDefault="001E7480">
      <w:pPr>
        <w:pStyle w:val="p1"/>
        <w:divId w:val="821504159"/>
        <w:rPr>
          <w:rStyle w:val="s1"/>
          <w:b/>
          <w:bCs/>
          <w:u w:val="single"/>
        </w:rPr>
      </w:pPr>
      <w:r>
        <w:rPr>
          <w:rStyle w:val="s1"/>
          <w:b/>
          <w:bCs/>
          <w:u w:val="single"/>
        </w:rPr>
        <w:t xml:space="preserve">Reference list </w:t>
      </w:r>
    </w:p>
    <w:p w14:paraId="6EE4C1CA" w14:textId="77777777" w:rsidR="00BC0D30" w:rsidRDefault="00BC0D30">
      <w:pPr>
        <w:pStyle w:val="p1"/>
        <w:numPr>
          <w:ilvl w:val="0"/>
          <w:numId w:val="1"/>
        </w:numPr>
        <w:divId w:val="1899121864"/>
      </w:pPr>
      <w:r>
        <w:rPr>
          <w:rStyle w:val="s1"/>
        </w:rPr>
        <w:t xml:space="preserve">Ainscow, M., &amp; </w:t>
      </w:r>
      <w:proofErr w:type="spellStart"/>
      <w:r>
        <w:rPr>
          <w:rStyle w:val="s1"/>
        </w:rPr>
        <w:t>Sandill</w:t>
      </w:r>
      <w:proofErr w:type="spellEnd"/>
      <w:r>
        <w:rPr>
          <w:rStyle w:val="s1"/>
        </w:rPr>
        <w:t xml:space="preserve">, A. (2010). </w:t>
      </w:r>
      <w:hyperlink r:id="rId5" w:history="1">
        <w:r>
          <w:rPr>
            <w:rStyle w:val="Hyperlink"/>
          </w:rPr>
          <w:t>Developing inclusive education systems: The role of organisational cultures and leadership</w:t>
        </w:r>
      </w:hyperlink>
      <w:r>
        <w:rPr>
          <w:rStyle w:val="s1"/>
        </w:rPr>
        <w:t xml:space="preserve">. </w:t>
      </w:r>
      <w:r>
        <w:rPr>
          <w:rStyle w:val="s2"/>
        </w:rPr>
        <w:t>International Journal of Inclusive Education</w:t>
      </w:r>
      <w:r>
        <w:rPr>
          <w:rStyle w:val="s1"/>
        </w:rPr>
        <w:t>, 14(4), 401–416.</w:t>
      </w:r>
    </w:p>
    <w:p w14:paraId="58EB45F6" w14:textId="77777777" w:rsidR="00BC0D30" w:rsidRDefault="00BC0D30">
      <w:pPr>
        <w:pStyle w:val="p1"/>
        <w:numPr>
          <w:ilvl w:val="0"/>
          <w:numId w:val="1"/>
        </w:numPr>
        <w:divId w:val="1899121864"/>
      </w:pPr>
      <w:r>
        <w:rPr>
          <w:rStyle w:val="s1"/>
        </w:rPr>
        <w:t xml:space="preserve">Booth, T., &amp; Ainscow, M. (2011). </w:t>
      </w:r>
      <w:hyperlink r:id="rId6" w:history="1">
        <w:r>
          <w:rPr>
            <w:rStyle w:val="s2"/>
            <w:color w:val="0000FF"/>
            <w:u w:val="single"/>
          </w:rPr>
          <w:t>The Index for Inclusion: Developing learning and participation in schools</w:t>
        </w:r>
      </w:hyperlink>
      <w:r>
        <w:rPr>
          <w:rStyle w:val="s1"/>
        </w:rPr>
        <w:t>. Centre for Studies on Inclusive Education.</w:t>
      </w:r>
    </w:p>
    <w:p w14:paraId="54E7D7A4" w14:textId="77777777" w:rsidR="00BC0D30" w:rsidRDefault="00BC0D30">
      <w:pPr>
        <w:pStyle w:val="p1"/>
        <w:numPr>
          <w:ilvl w:val="0"/>
          <w:numId w:val="1"/>
        </w:numPr>
        <w:divId w:val="1899121864"/>
      </w:pPr>
      <w:r>
        <w:rPr>
          <w:rStyle w:val="s1"/>
        </w:rPr>
        <w:t xml:space="preserve">Crenshaw, K. (1991). </w:t>
      </w:r>
      <w:hyperlink r:id="rId7" w:history="1">
        <w:r>
          <w:rPr>
            <w:rStyle w:val="Hyperlink"/>
          </w:rPr>
          <w:t xml:space="preserve">Mapping the margins: Intersectionality, identity politics, and violence against women of </w:t>
        </w:r>
        <w:proofErr w:type="spellStart"/>
        <w:r>
          <w:rPr>
            <w:rStyle w:val="Hyperlink"/>
          </w:rPr>
          <w:t>color</w:t>
        </w:r>
        <w:proofErr w:type="spellEnd"/>
      </w:hyperlink>
      <w:r>
        <w:rPr>
          <w:rStyle w:val="s1"/>
        </w:rPr>
        <w:t xml:space="preserve">. </w:t>
      </w:r>
      <w:r>
        <w:rPr>
          <w:rStyle w:val="s2"/>
        </w:rPr>
        <w:t>Stanford Law Review</w:t>
      </w:r>
      <w:r>
        <w:rPr>
          <w:rStyle w:val="s1"/>
        </w:rPr>
        <w:t>, 43(6), 1241–1299.</w:t>
      </w:r>
    </w:p>
    <w:p w14:paraId="5D489048" w14:textId="77777777" w:rsidR="00BC0D30" w:rsidRDefault="00BC0D30">
      <w:pPr>
        <w:pStyle w:val="p1"/>
        <w:numPr>
          <w:ilvl w:val="0"/>
          <w:numId w:val="1"/>
        </w:numPr>
        <w:divId w:val="1899121864"/>
      </w:pPr>
      <w:r>
        <w:rPr>
          <w:rStyle w:val="s1"/>
        </w:rPr>
        <w:t xml:space="preserve">Department for Education. (2015). </w:t>
      </w:r>
      <w:hyperlink r:id="rId8" w:history="1">
        <w:r>
          <w:rPr>
            <w:rStyle w:val="s2"/>
            <w:color w:val="0000FF"/>
            <w:u w:val="single"/>
          </w:rPr>
          <w:t>Special educational needs and disability code of practice: 0 to 25 years</w:t>
        </w:r>
      </w:hyperlink>
      <w:r>
        <w:rPr>
          <w:rStyle w:val="s1"/>
        </w:rPr>
        <w:t>.</w:t>
      </w:r>
    </w:p>
    <w:p w14:paraId="43D414F7" w14:textId="77777777" w:rsidR="00BC0D30" w:rsidRDefault="00BC0D30">
      <w:pPr>
        <w:pStyle w:val="p1"/>
        <w:numPr>
          <w:ilvl w:val="0"/>
          <w:numId w:val="1"/>
        </w:numPr>
        <w:divId w:val="1899121864"/>
      </w:pPr>
      <w:r>
        <w:rPr>
          <w:rStyle w:val="s1"/>
        </w:rPr>
        <w:t xml:space="preserve">Florian, L., &amp; Black-Hawkins, K. (2011). </w:t>
      </w:r>
      <w:hyperlink r:id="rId9" w:history="1">
        <w:r>
          <w:rPr>
            <w:rStyle w:val="Hyperlink"/>
          </w:rPr>
          <w:t>Exploring inclusive pedagogy</w:t>
        </w:r>
      </w:hyperlink>
      <w:r>
        <w:rPr>
          <w:rStyle w:val="s1"/>
        </w:rPr>
        <w:t xml:space="preserve">. </w:t>
      </w:r>
      <w:r>
        <w:rPr>
          <w:rStyle w:val="s2"/>
        </w:rPr>
        <w:t>British Educational Research Journal</w:t>
      </w:r>
      <w:r>
        <w:rPr>
          <w:rStyle w:val="s1"/>
        </w:rPr>
        <w:t>, 37(5), 813–828.</w:t>
      </w:r>
    </w:p>
    <w:p w14:paraId="3A351668" w14:textId="77777777" w:rsidR="00BC0D30" w:rsidRDefault="00BC0D30">
      <w:pPr>
        <w:pStyle w:val="p1"/>
        <w:numPr>
          <w:ilvl w:val="0"/>
          <w:numId w:val="1"/>
        </w:numPr>
        <w:divId w:val="1899121864"/>
      </w:pPr>
      <w:r>
        <w:rPr>
          <w:rStyle w:val="s1"/>
        </w:rPr>
        <w:t xml:space="preserve">Gibbs, G. (1988). </w:t>
      </w:r>
      <w:hyperlink r:id="rId10" w:history="1">
        <w:r>
          <w:rPr>
            <w:rStyle w:val="s2"/>
            <w:color w:val="0000FF"/>
            <w:u w:val="single"/>
          </w:rPr>
          <w:t>Learning by doing: A guide to teaching and learning methods (summary PDF)</w:t>
        </w:r>
      </w:hyperlink>
      <w:r>
        <w:rPr>
          <w:rStyle w:val="s1"/>
        </w:rPr>
        <w:t>. Oxford Polytechnic.</w:t>
      </w:r>
    </w:p>
    <w:p w14:paraId="21A962FC" w14:textId="77777777" w:rsidR="00BC0D30" w:rsidRDefault="00BC0D30">
      <w:pPr>
        <w:pStyle w:val="p1"/>
        <w:numPr>
          <w:ilvl w:val="0"/>
          <w:numId w:val="1"/>
        </w:numPr>
        <w:divId w:val="1899121864"/>
      </w:pPr>
      <w:r>
        <w:rPr>
          <w:rStyle w:val="s1"/>
        </w:rPr>
        <w:t xml:space="preserve">Harris, A. (2004). </w:t>
      </w:r>
      <w:hyperlink r:id="rId11" w:history="1">
        <w:r>
          <w:rPr>
            <w:rStyle w:val="Hyperlink"/>
          </w:rPr>
          <w:t>Distributed leadership and school improvement: Leading or misleading?</w:t>
        </w:r>
      </w:hyperlink>
      <w:r>
        <w:rPr>
          <w:rStyle w:val="s1"/>
        </w:rPr>
        <w:t xml:space="preserve">. </w:t>
      </w:r>
      <w:r>
        <w:rPr>
          <w:rStyle w:val="s2"/>
        </w:rPr>
        <w:t>Educational Management Administration &amp; Leadership</w:t>
      </w:r>
      <w:r>
        <w:rPr>
          <w:rStyle w:val="s1"/>
        </w:rPr>
        <w:t>, 32(1), 11–24.</w:t>
      </w:r>
    </w:p>
    <w:p w14:paraId="7A4710CB" w14:textId="77777777" w:rsidR="00BC0D30" w:rsidRDefault="00BC0D30">
      <w:pPr>
        <w:pStyle w:val="p1"/>
        <w:numPr>
          <w:ilvl w:val="0"/>
          <w:numId w:val="1"/>
        </w:numPr>
        <w:divId w:val="1899121864"/>
      </w:pPr>
      <w:r>
        <w:rPr>
          <w:rStyle w:val="s1"/>
        </w:rPr>
        <w:t xml:space="preserve">MacNaughton, G. (2006). </w:t>
      </w:r>
      <w:hyperlink r:id="rId12" w:history="1">
        <w:r>
          <w:rPr>
            <w:rStyle w:val="Hyperlink"/>
          </w:rPr>
          <w:t>Constructing gender in early childhood education</w:t>
        </w:r>
      </w:hyperlink>
      <w:r>
        <w:rPr>
          <w:rStyle w:val="s1"/>
        </w:rPr>
        <w:t xml:space="preserve">. In G. MacNaughton &amp; K. Smith (Eds.), </w:t>
      </w:r>
      <w:r>
        <w:rPr>
          <w:rStyle w:val="s2"/>
        </w:rPr>
        <w:t>Children’s rights and early childhood education</w:t>
      </w:r>
      <w:r>
        <w:rPr>
          <w:rStyle w:val="s1"/>
        </w:rPr>
        <w:t xml:space="preserve"> (pp. 33–48). </w:t>
      </w:r>
      <w:proofErr w:type="spellStart"/>
      <w:r>
        <w:rPr>
          <w:rStyle w:val="s1"/>
        </w:rPr>
        <w:t>Routledge</w:t>
      </w:r>
      <w:proofErr w:type="spellEnd"/>
      <w:r>
        <w:rPr>
          <w:rStyle w:val="s1"/>
        </w:rPr>
        <w:t>.</w:t>
      </w:r>
    </w:p>
    <w:p w14:paraId="135C453E" w14:textId="77777777" w:rsidR="00BC0D30" w:rsidRDefault="00BC0D30">
      <w:pPr>
        <w:pStyle w:val="p1"/>
        <w:numPr>
          <w:ilvl w:val="0"/>
          <w:numId w:val="1"/>
        </w:numPr>
        <w:divId w:val="1899121864"/>
      </w:pPr>
      <w:r>
        <w:rPr>
          <w:rStyle w:val="s1"/>
        </w:rPr>
        <w:t xml:space="preserve">Moss, P. (2016). </w:t>
      </w:r>
      <w:hyperlink r:id="rId13" w:history="1">
        <w:r>
          <w:rPr>
            <w:rStyle w:val="Hyperlink"/>
          </w:rPr>
          <w:t>Why can’t we get beyond “quality”? The ECERS critique revisited</w:t>
        </w:r>
      </w:hyperlink>
      <w:r>
        <w:rPr>
          <w:rStyle w:val="s1"/>
        </w:rPr>
        <w:t xml:space="preserve">. </w:t>
      </w:r>
      <w:r>
        <w:rPr>
          <w:rStyle w:val="s2"/>
        </w:rPr>
        <w:t>Contemporary Issues in Early Childhood</w:t>
      </w:r>
      <w:r>
        <w:rPr>
          <w:rStyle w:val="s1"/>
        </w:rPr>
        <w:t>, 17(1), 8–15.</w:t>
      </w:r>
    </w:p>
    <w:p w14:paraId="55D91AFD" w14:textId="77777777" w:rsidR="00BC0D30" w:rsidRDefault="00BC0D30">
      <w:pPr>
        <w:pStyle w:val="p1"/>
        <w:numPr>
          <w:ilvl w:val="0"/>
          <w:numId w:val="1"/>
        </w:numPr>
        <w:divId w:val="1899121864"/>
      </w:pPr>
      <w:proofErr w:type="spellStart"/>
      <w:r>
        <w:rPr>
          <w:rStyle w:val="s1"/>
        </w:rPr>
        <w:t>Schön</w:t>
      </w:r>
      <w:proofErr w:type="spellEnd"/>
      <w:r>
        <w:rPr>
          <w:rStyle w:val="s1"/>
        </w:rPr>
        <w:t xml:space="preserve">, D. A. (1983). </w:t>
      </w:r>
      <w:hyperlink r:id="rId14" w:history="1">
        <w:r>
          <w:rPr>
            <w:rStyle w:val="s2"/>
            <w:color w:val="0000FF"/>
            <w:u w:val="single"/>
          </w:rPr>
          <w:t>The reflective practitioner: How professionals think in action</w:t>
        </w:r>
      </w:hyperlink>
      <w:r>
        <w:rPr>
          <w:rStyle w:val="s1"/>
        </w:rPr>
        <w:t>. Basic Books.</w:t>
      </w:r>
    </w:p>
    <w:p w14:paraId="04ED2FFC" w14:textId="77777777" w:rsidR="00BC0D30" w:rsidRDefault="00BC0D30">
      <w:pPr>
        <w:pStyle w:val="p1"/>
        <w:numPr>
          <w:ilvl w:val="0"/>
          <w:numId w:val="1"/>
        </w:numPr>
        <w:divId w:val="1899121864"/>
        <w:rPr>
          <w:rStyle w:val="s1"/>
        </w:rPr>
      </w:pPr>
      <w:r>
        <w:rPr>
          <w:rStyle w:val="s1"/>
        </w:rPr>
        <w:t xml:space="preserve">United Nations. (1989). </w:t>
      </w:r>
      <w:hyperlink r:id="rId15" w:history="1">
        <w:r>
          <w:rPr>
            <w:rStyle w:val="s2"/>
            <w:color w:val="0000FF"/>
            <w:u w:val="single"/>
          </w:rPr>
          <w:t>Convention on the Rights of the Child</w:t>
        </w:r>
      </w:hyperlink>
      <w:r>
        <w:rPr>
          <w:rStyle w:val="s1"/>
        </w:rPr>
        <w:t>.</w:t>
      </w:r>
    </w:p>
    <w:p w14:paraId="04F87608" w14:textId="77777777" w:rsidR="000A544D" w:rsidRDefault="000A544D" w:rsidP="000A544D">
      <w:pPr>
        <w:pStyle w:val="p1"/>
        <w:numPr>
          <w:ilvl w:val="0"/>
          <w:numId w:val="1"/>
        </w:numPr>
        <w:divId w:val="2004821364"/>
      </w:pPr>
      <w:r>
        <w:rPr>
          <w:rStyle w:val="s1"/>
        </w:rPr>
        <w:t xml:space="preserve">Booth, T., &amp; Ainscow, M. (2011). </w:t>
      </w:r>
      <w:r>
        <w:rPr>
          <w:rStyle w:val="s2"/>
        </w:rPr>
        <w:t>The Index for Inclusion: Developing learning and participation in schools</w:t>
      </w:r>
      <w:r>
        <w:rPr>
          <w:rStyle w:val="s1"/>
        </w:rPr>
        <w:t>. Centre for Studies on Inclusive Education.</w:t>
      </w:r>
    </w:p>
    <w:p w14:paraId="4AD4B40C" w14:textId="77777777" w:rsidR="000A544D" w:rsidRDefault="000A544D" w:rsidP="000A544D">
      <w:pPr>
        <w:pStyle w:val="p1"/>
        <w:numPr>
          <w:ilvl w:val="0"/>
          <w:numId w:val="1"/>
        </w:numPr>
        <w:divId w:val="2004821364"/>
      </w:pPr>
      <w:hyperlink r:id="rId16" w:history="1">
        <w:r>
          <w:rPr>
            <w:rStyle w:val="Hyperlink"/>
          </w:rPr>
          <w:t>https://www.csie.org.uk/resources/inclusion-index-explained.shtml</w:t>
        </w:r>
      </w:hyperlink>
    </w:p>
    <w:p w14:paraId="5D0C1177" w14:textId="77777777" w:rsidR="000A544D" w:rsidRDefault="000A544D" w:rsidP="000A544D">
      <w:pPr>
        <w:pStyle w:val="p2"/>
        <w:numPr>
          <w:ilvl w:val="0"/>
          <w:numId w:val="1"/>
        </w:numPr>
        <w:divId w:val="2004821364"/>
      </w:pPr>
    </w:p>
    <w:p w14:paraId="3306EBA8" w14:textId="77777777" w:rsidR="000A544D" w:rsidRDefault="000A544D" w:rsidP="000A544D">
      <w:pPr>
        <w:pStyle w:val="p1"/>
        <w:numPr>
          <w:ilvl w:val="0"/>
          <w:numId w:val="1"/>
        </w:numPr>
        <w:divId w:val="2004821364"/>
      </w:pPr>
      <w:r>
        <w:rPr>
          <w:rStyle w:val="s1"/>
        </w:rPr>
        <w:t xml:space="preserve">Bradbury, A. (2019). Children’s school readiness: A systematic review of intervention studies. </w:t>
      </w:r>
      <w:r>
        <w:rPr>
          <w:rStyle w:val="s2"/>
        </w:rPr>
        <w:t>Early Childhood Education Journal</w:t>
      </w:r>
      <w:r>
        <w:rPr>
          <w:rStyle w:val="s1"/>
        </w:rPr>
        <w:t>.</w:t>
      </w:r>
    </w:p>
    <w:p w14:paraId="2B8B5550" w14:textId="77777777" w:rsidR="000A544D" w:rsidRDefault="000A544D" w:rsidP="000A544D">
      <w:pPr>
        <w:pStyle w:val="p1"/>
        <w:numPr>
          <w:ilvl w:val="0"/>
          <w:numId w:val="1"/>
        </w:numPr>
        <w:divId w:val="2004821364"/>
      </w:pPr>
      <w:hyperlink r:id="rId17" w:history="1">
        <w:r>
          <w:rPr>
            <w:rStyle w:val="Hyperlink"/>
          </w:rPr>
          <w:t>https://www.researchgate.net/publication/335228616_Childrens_School_Readiness_A_Systematic_Review_of_Intervention_Studies</w:t>
        </w:r>
      </w:hyperlink>
    </w:p>
    <w:p w14:paraId="1B54AA44" w14:textId="77777777" w:rsidR="000A544D" w:rsidRDefault="000A544D" w:rsidP="000A544D">
      <w:pPr>
        <w:pStyle w:val="p2"/>
        <w:numPr>
          <w:ilvl w:val="0"/>
          <w:numId w:val="1"/>
        </w:numPr>
        <w:divId w:val="2004821364"/>
      </w:pPr>
    </w:p>
    <w:p w14:paraId="1A14C221" w14:textId="77777777" w:rsidR="000A544D" w:rsidRDefault="000A544D" w:rsidP="000A544D">
      <w:pPr>
        <w:pStyle w:val="p1"/>
        <w:numPr>
          <w:ilvl w:val="0"/>
          <w:numId w:val="1"/>
        </w:numPr>
        <w:divId w:val="2004821364"/>
      </w:pPr>
      <w:r>
        <w:rPr>
          <w:rStyle w:val="s1"/>
        </w:rPr>
        <w:t xml:space="preserve">Department for Education &amp; Department of Health. (2015). </w:t>
      </w:r>
      <w:r>
        <w:rPr>
          <w:rStyle w:val="s2"/>
        </w:rPr>
        <w:t>Special educational needs and disability code of practice: 0 to 25 years</w:t>
      </w:r>
      <w:r>
        <w:rPr>
          <w:rStyle w:val="s1"/>
        </w:rPr>
        <w:t>.</w:t>
      </w:r>
    </w:p>
    <w:p w14:paraId="29683425" w14:textId="77777777" w:rsidR="000A544D" w:rsidRDefault="000A544D" w:rsidP="000A544D">
      <w:pPr>
        <w:pStyle w:val="p1"/>
        <w:numPr>
          <w:ilvl w:val="0"/>
          <w:numId w:val="1"/>
        </w:numPr>
        <w:divId w:val="2004821364"/>
      </w:pPr>
      <w:hyperlink r:id="rId18" w:history="1">
        <w:r>
          <w:rPr>
            <w:rStyle w:val="Hyperlink"/>
          </w:rPr>
          <w:t>https://www.gov.uk/government/publications/send-code-of-practice-0-to-25</w:t>
        </w:r>
      </w:hyperlink>
    </w:p>
    <w:p w14:paraId="1DA54636" w14:textId="77777777" w:rsidR="000A544D" w:rsidRDefault="000A544D" w:rsidP="000A544D">
      <w:pPr>
        <w:pStyle w:val="p2"/>
        <w:numPr>
          <w:ilvl w:val="0"/>
          <w:numId w:val="1"/>
        </w:numPr>
        <w:divId w:val="2004821364"/>
      </w:pPr>
    </w:p>
    <w:p w14:paraId="68834621" w14:textId="77777777" w:rsidR="000A544D" w:rsidRDefault="000A544D" w:rsidP="000A544D">
      <w:pPr>
        <w:pStyle w:val="p1"/>
        <w:numPr>
          <w:ilvl w:val="0"/>
          <w:numId w:val="1"/>
        </w:numPr>
        <w:divId w:val="2004821364"/>
      </w:pPr>
      <w:r>
        <w:rPr>
          <w:rStyle w:val="s1"/>
        </w:rPr>
        <w:t xml:space="preserve">Department for Education. (2024). </w:t>
      </w:r>
      <w:r>
        <w:rPr>
          <w:rStyle w:val="s2"/>
        </w:rPr>
        <w:t>Early Years Foundation Stage (EYFS) statutory framework</w:t>
      </w:r>
      <w:r>
        <w:rPr>
          <w:rStyle w:val="s1"/>
        </w:rPr>
        <w:t>.</w:t>
      </w:r>
    </w:p>
    <w:p w14:paraId="0F2648E4" w14:textId="77777777" w:rsidR="000A544D" w:rsidRDefault="000A544D" w:rsidP="000A544D">
      <w:pPr>
        <w:pStyle w:val="p1"/>
        <w:numPr>
          <w:ilvl w:val="0"/>
          <w:numId w:val="1"/>
        </w:numPr>
        <w:divId w:val="2004821364"/>
      </w:pPr>
      <w:hyperlink r:id="rId19" w:history="1">
        <w:r>
          <w:rPr>
            <w:rStyle w:val="Hyperlink"/>
          </w:rPr>
          <w:t>https://www.gov.uk/government/publications/early-years-foundation-stage-framework–2</w:t>
        </w:r>
      </w:hyperlink>
    </w:p>
    <w:p w14:paraId="4AC711B1" w14:textId="77777777" w:rsidR="000A544D" w:rsidRDefault="000A544D" w:rsidP="000A544D">
      <w:pPr>
        <w:pStyle w:val="p2"/>
        <w:numPr>
          <w:ilvl w:val="0"/>
          <w:numId w:val="1"/>
        </w:numPr>
        <w:divId w:val="2004821364"/>
      </w:pPr>
    </w:p>
    <w:p w14:paraId="51FE9C59" w14:textId="77777777" w:rsidR="000A544D" w:rsidRDefault="000A544D" w:rsidP="000A544D">
      <w:pPr>
        <w:pStyle w:val="p1"/>
        <w:numPr>
          <w:ilvl w:val="0"/>
          <w:numId w:val="1"/>
        </w:numPr>
        <w:divId w:val="2004821364"/>
      </w:pPr>
      <w:r>
        <w:rPr>
          <w:rStyle w:val="s1"/>
        </w:rPr>
        <w:t xml:space="preserve">Florian, L., &amp; Black-Hawkins, K. (2011). Exploring inclusive pedagogy. </w:t>
      </w:r>
      <w:r>
        <w:rPr>
          <w:rStyle w:val="s2"/>
        </w:rPr>
        <w:t>British Educational Research Journal</w:t>
      </w:r>
      <w:r>
        <w:rPr>
          <w:rStyle w:val="s1"/>
        </w:rPr>
        <w:t>, 37(5), 813–828.</w:t>
      </w:r>
    </w:p>
    <w:p w14:paraId="2FC0F580" w14:textId="77777777" w:rsidR="000A544D" w:rsidRDefault="000A544D" w:rsidP="000A544D">
      <w:pPr>
        <w:pStyle w:val="p1"/>
        <w:numPr>
          <w:ilvl w:val="0"/>
          <w:numId w:val="1"/>
        </w:numPr>
        <w:divId w:val="2004821364"/>
      </w:pPr>
      <w:hyperlink r:id="rId20" w:history="1">
        <w:r>
          <w:rPr>
            <w:rStyle w:val="Hyperlink"/>
          </w:rPr>
          <w:t>https://doi.org/10.1080/01411926.2010.501096</w:t>
        </w:r>
      </w:hyperlink>
    </w:p>
    <w:p w14:paraId="1896E9F2" w14:textId="77777777" w:rsidR="000A544D" w:rsidRDefault="000A544D" w:rsidP="000A544D">
      <w:pPr>
        <w:pStyle w:val="p2"/>
        <w:numPr>
          <w:ilvl w:val="0"/>
          <w:numId w:val="1"/>
        </w:numPr>
        <w:divId w:val="2004821364"/>
      </w:pPr>
    </w:p>
    <w:p w14:paraId="7099B676" w14:textId="77777777" w:rsidR="000A544D" w:rsidRDefault="000A544D" w:rsidP="000A544D">
      <w:pPr>
        <w:pStyle w:val="p1"/>
        <w:numPr>
          <w:ilvl w:val="0"/>
          <w:numId w:val="1"/>
        </w:numPr>
        <w:divId w:val="2004821364"/>
      </w:pPr>
      <w:r>
        <w:rPr>
          <w:rStyle w:val="s1"/>
        </w:rPr>
        <w:t xml:space="preserve">Goodall, J., &amp; Montgomery, C. (2014). Parental involvement to parental engagement: A continuum. </w:t>
      </w:r>
      <w:r>
        <w:rPr>
          <w:rStyle w:val="s2"/>
        </w:rPr>
        <w:t>Educational Review</w:t>
      </w:r>
      <w:r>
        <w:rPr>
          <w:rStyle w:val="s1"/>
        </w:rPr>
        <w:t>, 66(4), 399–410.</w:t>
      </w:r>
    </w:p>
    <w:p w14:paraId="53F9CCFE" w14:textId="77777777" w:rsidR="000A544D" w:rsidRDefault="000A544D" w:rsidP="000A544D">
      <w:pPr>
        <w:pStyle w:val="p1"/>
        <w:numPr>
          <w:ilvl w:val="0"/>
          <w:numId w:val="1"/>
        </w:numPr>
        <w:divId w:val="2004821364"/>
      </w:pPr>
      <w:hyperlink r:id="rId21" w:history="1">
        <w:r>
          <w:rPr>
            <w:rStyle w:val="Hyperlink"/>
          </w:rPr>
          <w:t>https://doi.org/10.1080/00131911.2013.781576</w:t>
        </w:r>
      </w:hyperlink>
    </w:p>
    <w:p w14:paraId="313A1D57" w14:textId="77777777" w:rsidR="000A544D" w:rsidRDefault="000A544D" w:rsidP="000A544D">
      <w:pPr>
        <w:pStyle w:val="p2"/>
        <w:numPr>
          <w:ilvl w:val="0"/>
          <w:numId w:val="1"/>
        </w:numPr>
        <w:divId w:val="2004821364"/>
      </w:pPr>
    </w:p>
    <w:p w14:paraId="1D84701E" w14:textId="77777777" w:rsidR="000A544D" w:rsidRDefault="000A544D" w:rsidP="000A544D">
      <w:pPr>
        <w:pStyle w:val="p1"/>
        <w:numPr>
          <w:ilvl w:val="0"/>
          <w:numId w:val="1"/>
        </w:numPr>
        <w:divId w:val="2004821364"/>
      </w:pPr>
      <w:r>
        <w:rPr>
          <w:rStyle w:val="s1"/>
        </w:rPr>
        <w:t xml:space="preserve">House of Commons Education Committee. (2019). </w:t>
      </w:r>
      <w:r>
        <w:rPr>
          <w:rStyle w:val="s2"/>
        </w:rPr>
        <w:t>Workforce well-being and workload</w:t>
      </w:r>
      <w:r>
        <w:rPr>
          <w:rStyle w:val="s1"/>
        </w:rPr>
        <w:t>.</w:t>
      </w:r>
    </w:p>
    <w:p w14:paraId="7CCDFCBF" w14:textId="77777777" w:rsidR="000A544D" w:rsidRDefault="000A544D" w:rsidP="000A544D">
      <w:pPr>
        <w:pStyle w:val="p1"/>
        <w:numPr>
          <w:ilvl w:val="0"/>
          <w:numId w:val="1"/>
        </w:numPr>
        <w:divId w:val="2004821364"/>
      </w:pPr>
      <w:hyperlink r:id="rId22" w:history="1">
        <w:r>
          <w:rPr>
            <w:rStyle w:val="Hyperlink"/>
          </w:rPr>
          <w:t>https://committees.parliament.uk/publications/11581/documents/162916/default/</w:t>
        </w:r>
      </w:hyperlink>
    </w:p>
    <w:p w14:paraId="05662107" w14:textId="77777777" w:rsidR="000A544D" w:rsidRDefault="000A544D" w:rsidP="000A544D">
      <w:pPr>
        <w:pStyle w:val="p2"/>
        <w:numPr>
          <w:ilvl w:val="0"/>
          <w:numId w:val="1"/>
        </w:numPr>
        <w:divId w:val="2004821364"/>
      </w:pPr>
    </w:p>
    <w:p w14:paraId="3A0DC3C3" w14:textId="77777777" w:rsidR="000A544D" w:rsidRDefault="000A544D" w:rsidP="000A544D">
      <w:pPr>
        <w:pStyle w:val="p1"/>
        <w:numPr>
          <w:ilvl w:val="0"/>
          <w:numId w:val="1"/>
        </w:numPr>
        <w:divId w:val="2004821364"/>
      </w:pPr>
      <w:r>
        <w:rPr>
          <w:rStyle w:val="s1"/>
        </w:rPr>
        <w:t xml:space="preserve">MacNaughton, G. (2006). Constructing gender in early childhood education. In G. MacNaughton &amp; K. Smith (Eds.), </w:t>
      </w:r>
      <w:r>
        <w:rPr>
          <w:rStyle w:val="s2"/>
        </w:rPr>
        <w:t>Children’s rights and early childhood education</w:t>
      </w:r>
      <w:r>
        <w:rPr>
          <w:rStyle w:val="s1"/>
        </w:rPr>
        <w:t xml:space="preserve"> (pp. 33–48). </w:t>
      </w:r>
      <w:proofErr w:type="spellStart"/>
      <w:r>
        <w:rPr>
          <w:rStyle w:val="s1"/>
        </w:rPr>
        <w:t>Routledge</w:t>
      </w:r>
      <w:proofErr w:type="spellEnd"/>
      <w:r>
        <w:rPr>
          <w:rStyle w:val="s1"/>
        </w:rPr>
        <w:t>.</w:t>
      </w:r>
    </w:p>
    <w:p w14:paraId="3D1BEED9" w14:textId="77777777" w:rsidR="000A544D" w:rsidRDefault="000A544D" w:rsidP="000A544D">
      <w:pPr>
        <w:pStyle w:val="p1"/>
        <w:numPr>
          <w:ilvl w:val="0"/>
          <w:numId w:val="1"/>
        </w:numPr>
        <w:divId w:val="2004821364"/>
      </w:pPr>
      <w:hyperlink r:id="rId23" w:history="1">
        <w:r>
          <w:rPr>
            <w:rStyle w:val="Hyperlink"/>
          </w:rPr>
          <w:t>https://www.taylorfrancis.com/chapters/edit/10.4324/9780203967310-8/constructing-gender-early-childhood-education-glenda-macnaughton</w:t>
        </w:r>
      </w:hyperlink>
    </w:p>
    <w:p w14:paraId="73A6E0F5" w14:textId="77777777" w:rsidR="000A544D" w:rsidRDefault="000A544D" w:rsidP="000A544D">
      <w:pPr>
        <w:pStyle w:val="p2"/>
        <w:numPr>
          <w:ilvl w:val="0"/>
          <w:numId w:val="1"/>
        </w:numPr>
        <w:divId w:val="2004821364"/>
      </w:pPr>
    </w:p>
    <w:p w14:paraId="641106F2" w14:textId="77777777" w:rsidR="000A544D" w:rsidRDefault="000A544D" w:rsidP="000A544D">
      <w:pPr>
        <w:pStyle w:val="p1"/>
        <w:numPr>
          <w:ilvl w:val="0"/>
          <w:numId w:val="1"/>
        </w:numPr>
        <w:divId w:val="2004821364"/>
      </w:pPr>
      <w:r>
        <w:rPr>
          <w:rStyle w:val="s1"/>
        </w:rPr>
        <w:t xml:space="preserve">Moss, P. (2016). Why can’t we get beyond “quality”? The ECERS critique revisited. </w:t>
      </w:r>
      <w:r>
        <w:rPr>
          <w:rStyle w:val="s2"/>
        </w:rPr>
        <w:t>Contemporary Issues in Early Childhood</w:t>
      </w:r>
      <w:r>
        <w:rPr>
          <w:rStyle w:val="s1"/>
        </w:rPr>
        <w:t>, 17(1), 8–15.</w:t>
      </w:r>
    </w:p>
    <w:p w14:paraId="7C4459FC" w14:textId="77777777" w:rsidR="000A544D" w:rsidRDefault="000A544D" w:rsidP="000A544D">
      <w:pPr>
        <w:pStyle w:val="p1"/>
        <w:numPr>
          <w:ilvl w:val="0"/>
          <w:numId w:val="1"/>
        </w:numPr>
        <w:divId w:val="2004821364"/>
      </w:pPr>
      <w:hyperlink r:id="rId24" w:history="1">
        <w:r>
          <w:rPr>
            <w:rStyle w:val="Hyperlink"/>
          </w:rPr>
          <w:t>https://doi.org/10.1177/1463949115627895</w:t>
        </w:r>
      </w:hyperlink>
    </w:p>
    <w:p w14:paraId="653D2436" w14:textId="77777777" w:rsidR="000A544D" w:rsidRDefault="000A544D" w:rsidP="000A544D">
      <w:pPr>
        <w:pStyle w:val="p2"/>
        <w:numPr>
          <w:ilvl w:val="0"/>
          <w:numId w:val="1"/>
        </w:numPr>
        <w:divId w:val="2004821364"/>
      </w:pPr>
    </w:p>
    <w:p w14:paraId="75A31BA2" w14:textId="77777777" w:rsidR="000A544D" w:rsidRDefault="000A544D" w:rsidP="000A544D">
      <w:pPr>
        <w:pStyle w:val="p1"/>
        <w:numPr>
          <w:ilvl w:val="0"/>
          <w:numId w:val="1"/>
        </w:numPr>
        <w:divId w:val="2004821364"/>
      </w:pPr>
      <w:proofErr w:type="spellStart"/>
      <w:r>
        <w:rPr>
          <w:rStyle w:val="s1"/>
        </w:rPr>
        <w:t>Schön</w:t>
      </w:r>
      <w:proofErr w:type="spellEnd"/>
      <w:r>
        <w:rPr>
          <w:rStyle w:val="s1"/>
        </w:rPr>
        <w:t xml:space="preserve">, D. A. (1983). </w:t>
      </w:r>
      <w:r>
        <w:rPr>
          <w:rStyle w:val="s2"/>
        </w:rPr>
        <w:t>The reflective practitioner: How professionals think in action</w:t>
      </w:r>
      <w:r>
        <w:rPr>
          <w:rStyle w:val="s1"/>
        </w:rPr>
        <w:t>. Basic Books.</w:t>
      </w:r>
    </w:p>
    <w:p w14:paraId="0D6804E6" w14:textId="77777777" w:rsidR="000A544D" w:rsidRDefault="000A544D" w:rsidP="000A544D">
      <w:pPr>
        <w:pStyle w:val="p1"/>
        <w:numPr>
          <w:ilvl w:val="0"/>
          <w:numId w:val="1"/>
        </w:numPr>
        <w:divId w:val="2004821364"/>
      </w:pPr>
      <w:hyperlink r:id="rId25" w:history="1">
        <w:r>
          <w:rPr>
            <w:rStyle w:val="Hyperlink"/>
          </w:rPr>
          <w:t>https://www.basicbooks.com/titles/donald-a-schon/the-reflective-practitioner/9780465068784/</w:t>
        </w:r>
      </w:hyperlink>
    </w:p>
    <w:p w14:paraId="2D92E5A6" w14:textId="77777777" w:rsidR="000A544D" w:rsidRDefault="000A544D" w:rsidP="000A544D">
      <w:pPr>
        <w:pStyle w:val="p1"/>
        <w:divId w:val="1899121864"/>
      </w:pPr>
    </w:p>
    <w:p w14:paraId="75F0D17C" w14:textId="77777777" w:rsidR="00BC0D30" w:rsidRDefault="00BC0D30">
      <w:pPr>
        <w:pStyle w:val="p1"/>
        <w:divId w:val="821504159"/>
        <w:rPr>
          <w:rStyle w:val="s1"/>
          <w:b/>
          <w:bCs/>
          <w:u w:val="single"/>
        </w:rPr>
      </w:pPr>
    </w:p>
    <w:p w14:paraId="0969747D"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Ainscow, M., &amp; </w:t>
      </w:r>
      <w:proofErr w:type="spellStart"/>
      <w:r w:rsidRPr="008B4C44">
        <w:rPr>
          <w:rFonts w:ascii="Times New Roman" w:hAnsi="Times New Roman" w:cs="Times New Roman"/>
          <w:kern w:val="0"/>
          <w14:ligatures w14:val="none"/>
        </w:rPr>
        <w:t>Sandill</w:t>
      </w:r>
      <w:proofErr w:type="spellEnd"/>
      <w:r w:rsidRPr="008B4C44">
        <w:rPr>
          <w:rFonts w:ascii="Times New Roman" w:hAnsi="Times New Roman" w:cs="Times New Roman"/>
          <w:kern w:val="0"/>
          <w14:ligatures w14:val="none"/>
        </w:rPr>
        <w:t xml:space="preserve">, A. (2010). Developing inclusive education systems: The role of organisational cultures and leadership. International Journal of Inclusive Education, 14(4), 401–416. </w:t>
      </w:r>
      <w:hyperlink r:id="rId26" w:history="1">
        <w:r w:rsidRPr="008B4C44">
          <w:rPr>
            <w:rFonts w:ascii="Times New Roman" w:hAnsi="Times New Roman" w:cs="Times New Roman"/>
            <w:color w:val="0000FF"/>
            <w:kern w:val="0"/>
            <w:u w:val="single"/>
            <w14:ligatures w14:val="none"/>
          </w:rPr>
          <w:t>https://doi.org/10.1080/13603110802504903</w:t>
        </w:r>
      </w:hyperlink>
    </w:p>
    <w:p w14:paraId="2DA68F84"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69DC85F4"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Booth, T., &amp; Ainscow, M. (2011). The Index for Inclusion: Developing learning and participation in schools (3rd ed.). Centre for Studies on Inclusive Education (CSIE). </w:t>
      </w:r>
      <w:hyperlink r:id="rId27" w:history="1">
        <w:r w:rsidRPr="008B4C44">
          <w:rPr>
            <w:rFonts w:ascii="Times New Roman" w:hAnsi="Times New Roman" w:cs="Times New Roman"/>
            <w:color w:val="0000FF"/>
            <w:kern w:val="0"/>
            <w:u w:val="single"/>
            <w14:ligatures w14:val="none"/>
          </w:rPr>
          <w:t>https://www.csie.org.uk/resources/inclusion-index.shtml</w:t>
        </w:r>
      </w:hyperlink>
    </w:p>
    <w:p w14:paraId="4C0BDB06"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7DDE58E8"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Bradbury, A. (2019). School readiness: A critical perspective. Journal of Early Childhood Research, 17(2), 97–111. </w:t>
      </w:r>
      <w:hyperlink r:id="rId28" w:history="1">
        <w:r w:rsidRPr="008B4C44">
          <w:rPr>
            <w:rFonts w:ascii="Times New Roman" w:hAnsi="Times New Roman" w:cs="Times New Roman"/>
            <w:color w:val="0000FF"/>
            <w:kern w:val="0"/>
            <w:u w:val="single"/>
            <w14:ligatures w14:val="none"/>
          </w:rPr>
          <w:t>https://doi.org/10.1177/1476718X18811081</w:t>
        </w:r>
      </w:hyperlink>
    </w:p>
    <w:p w14:paraId="5605B36B"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33C0E25E"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Department for Education (DfE) &amp; Department of Health (DoH). (2015). Special Educational Needs and Disability Code of Practice: 0 to 25 years. </w:t>
      </w:r>
      <w:hyperlink r:id="rId29" w:history="1">
        <w:r w:rsidRPr="008B4C44">
          <w:rPr>
            <w:rFonts w:ascii="Times New Roman" w:hAnsi="Times New Roman" w:cs="Times New Roman"/>
            <w:color w:val="0000FF"/>
            <w:kern w:val="0"/>
            <w:u w:val="single"/>
            <w14:ligatures w14:val="none"/>
          </w:rPr>
          <w:t>https://www.gov.uk/government/publications/send-code-of-practice-0-to-25</w:t>
        </w:r>
      </w:hyperlink>
    </w:p>
    <w:p w14:paraId="09B90977"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1AACE17D"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Department for Education (DfE). (2024). Statutory framework for the early years foundation stage (EYFS). </w:t>
      </w:r>
      <w:hyperlink r:id="rId30" w:history="1">
        <w:r w:rsidRPr="008B4C44">
          <w:rPr>
            <w:rFonts w:ascii="Times New Roman" w:hAnsi="Times New Roman" w:cs="Times New Roman"/>
            <w:color w:val="0000FF"/>
            <w:kern w:val="0"/>
            <w:u w:val="single"/>
            <w14:ligatures w14:val="none"/>
          </w:rPr>
          <w:t>https://www.gov.uk/government/publications/early-years-foundation-stage-framework–2</w:t>
        </w:r>
      </w:hyperlink>
    </w:p>
    <w:p w14:paraId="75534848"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1708E420"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Florian, L., &amp; Black-Hawkins, K. (2011). Exploring inclusive pedagogy. British Educational Research Journal, 37(5), 813–828. </w:t>
      </w:r>
      <w:hyperlink r:id="rId31" w:history="1">
        <w:r w:rsidRPr="008B4C44">
          <w:rPr>
            <w:rFonts w:ascii="Times New Roman" w:hAnsi="Times New Roman" w:cs="Times New Roman"/>
            <w:color w:val="0000FF"/>
            <w:kern w:val="0"/>
            <w:u w:val="single"/>
            <w14:ligatures w14:val="none"/>
          </w:rPr>
          <w:t>https://doi.org/10.1080/01411926.2010.501096</w:t>
        </w:r>
      </w:hyperlink>
    </w:p>
    <w:p w14:paraId="4B245DBD"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4D2D0BC1"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Goodall, J., &amp; Montgomery, C. (2014). Parental involvement to parental engagement: A continuum. Educational Review, 66(4), 399–410. </w:t>
      </w:r>
      <w:hyperlink r:id="rId32" w:history="1">
        <w:r w:rsidRPr="008B4C44">
          <w:rPr>
            <w:rFonts w:ascii="Times New Roman" w:hAnsi="Times New Roman" w:cs="Times New Roman"/>
            <w:color w:val="0000FF"/>
            <w:kern w:val="0"/>
            <w:u w:val="single"/>
            <w14:ligatures w14:val="none"/>
          </w:rPr>
          <w:t>https://doi.org/10.1080/00131911.2013.781576</w:t>
        </w:r>
      </w:hyperlink>
    </w:p>
    <w:p w14:paraId="5428BAC3"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p>
    <w:p w14:paraId="3991A7E7" w14:textId="77777777" w:rsidR="008B4C44" w:rsidRPr="008B4C44" w:rsidRDefault="008B4C44" w:rsidP="008B4C44">
      <w:pPr>
        <w:pStyle w:val="ListParagraph"/>
        <w:numPr>
          <w:ilvl w:val="0"/>
          <w:numId w:val="2"/>
        </w:numPr>
        <w:spacing w:before="100" w:beforeAutospacing="1" w:after="100" w:afterAutospacing="1" w:line="240" w:lineRule="auto"/>
        <w:divId w:val="1068530661"/>
        <w:rPr>
          <w:rFonts w:ascii="Times New Roman" w:hAnsi="Times New Roman" w:cs="Times New Roman"/>
          <w:kern w:val="0"/>
          <w14:ligatures w14:val="none"/>
        </w:rPr>
      </w:pPr>
      <w:r w:rsidRPr="008B4C44">
        <w:rPr>
          <w:rFonts w:ascii="Times New Roman" w:hAnsi="Times New Roman" w:cs="Times New Roman"/>
          <w:kern w:val="0"/>
          <w14:ligatures w14:val="none"/>
        </w:rPr>
        <w:t xml:space="preserve">House of Commons Education Committee. (2019). Early years workforce: recruitment and retention. </w:t>
      </w:r>
      <w:hyperlink r:id="rId33" w:history="1">
        <w:r w:rsidRPr="008B4C44">
          <w:rPr>
            <w:rFonts w:ascii="Times New Roman" w:hAnsi="Times New Roman" w:cs="Times New Roman"/>
            <w:color w:val="0000FF"/>
            <w:kern w:val="0"/>
            <w:u w:val="single"/>
            <w14:ligatures w14:val="none"/>
          </w:rPr>
          <w:t>https://publications.parliament.uk/pa/cm201919/cmselect/cmeduc/1601/1601.pdf</w:t>
        </w:r>
      </w:hyperlink>
    </w:p>
    <w:p w14:paraId="53FC5CFF" w14:textId="77777777" w:rsidR="001E7480" w:rsidRPr="001E7480" w:rsidRDefault="001E7480" w:rsidP="008B4C44">
      <w:pPr>
        <w:pStyle w:val="p1"/>
        <w:numPr>
          <w:ilvl w:val="0"/>
          <w:numId w:val="2"/>
        </w:numPr>
        <w:divId w:val="821504159"/>
        <w:rPr>
          <w:b/>
          <w:bCs/>
          <w:u w:val="single"/>
        </w:rPr>
      </w:pPr>
    </w:p>
    <w:p w14:paraId="666BEC9D" w14:textId="77777777" w:rsidR="000A1178" w:rsidRDefault="000A1178">
      <w:pPr>
        <w:pStyle w:val="p1"/>
        <w:rPr>
          <w:rStyle w:val="s1"/>
        </w:rPr>
      </w:pPr>
    </w:p>
    <w:p w14:paraId="0DF5FD00" w14:textId="77777777" w:rsidR="000A1178" w:rsidRDefault="000A1178">
      <w:pPr>
        <w:pStyle w:val="p1"/>
      </w:pPr>
    </w:p>
    <w:p w14:paraId="793C8C32" w14:textId="77777777" w:rsidR="00710CD4" w:rsidRDefault="00710CD4"/>
    <w:sectPr w:rsidR="00710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92AC5"/>
    <w:multiLevelType w:val="hybridMultilevel"/>
    <w:tmpl w:val="E358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C264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806507">
    <w:abstractNumId w:val="1"/>
  </w:num>
  <w:num w:numId="2" w16cid:durableId="1189023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CD4"/>
    <w:rsid w:val="000A1178"/>
    <w:rsid w:val="000A544D"/>
    <w:rsid w:val="001C6B46"/>
    <w:rsid w:val="001E7480"/>
    <w:rsid w:val="004F46E0"/>
    <w:rsid w:val="0060774D"/>
    <w:rsid w:val="006C52C5"/>
    <w:rsid w:val="00710CD4"/>
    <w:rsid w:val="008B4C44"/>
    <w:rsid w:val="009B7840"/>
    <w:rsid w:val="00BC0D30"/>
    <w:rsid w:val="00F65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DA2A5C"/>
  <w15:chartTrackingRefBased/>
  <w15:docId w15:val="{EBF6D5B9-B501-9F4E-A628-F17E59777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C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C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C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C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C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C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C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C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C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C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C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CD4"/>
    <w:rPr>
      <w:rFonts w:eastAsiaTheme="majorEastAsia" w:cstheme="majorBidi"/>
      <w:color w:val="272727" w:themeColor="text1" w:themeTint="D8"/>
    </w:rPr>
  </w:style>
  <w:style w:type="paragraph" w:styleId="Title">
    <w:name w:val="Title"/>
    <w:basedOn w:val="Normal"/>
    <w:next w:val="Normal"/>
    <w:link w:val="TitleChar"/>
    <w:uiPriority w:val="10"/>
    <w:qFormat/>
    <w:rsid w:val="00710C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C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C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C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CD4"/>
    <w:pPr>
      <w:spacing w:before="160"/>
      <w:jc w:val="center"/>
    </w:pPr>
    <w:rPr>
      <w:i/>
      <w:iCs/>
      <w:color w:val="404040" w:themeColor="text1" w:themeTint="BF"/>
    </w:rPr>
  </w:style>
  <w:style w:type="character" w:customStyle="1" w:styleId="QuoteChar">
    <w:name w:val="Quote Char"/>
    <w:basedOn w:val="DefaultParagraphFont"/>
    <w:link w:val="Quote"/>
    <w:uiPriority w:val="29"/>
    <w:rsid w:val="00710CD4"/>
    <w:rPr>
      <w:i/>
      <w:iCs/>
      <w:color w:val="404040" w:themeColor="text1" w:themeTint="BF"/>
    </w:rPr>
  </w:style>
  <w:style w:type="paragraph" w:styleId="ListParagraph">
    <w:name w:val="List Paragraph"/>
    <w:basedOn w:val="Normal"/>
    <w:uiPriority w:val="34"/>
    <w:qFormat/>
    <w:rsid w:val="00710CD4"/>
    <w:pPr>
      <w:ind w:left="720"/>
      <w:contextualSpacing/>
    </w:pPr>
  </w:style>
  <w:style w:type="character" w:styleId="IntenseEmphasis">
    <w:name w:val="Intense Emphasis"/>
    <w:basedOn w:val="DefaultParagraphFont"/>
    <w:uiPriority w:val="21"/>
    <w:qFormat/>
    <w:rsid w:val="00710CD4"/>
    <w:rPr>
      <w:i/>
      <w:iCs/>
      <w:color w:val="0F4761" w:themeColor="accent1" w:themeShade="BF"/>
    </w:rPr>
  </w:style>
  <w:style w:type="paragraph" w:styleId="IntenseQuote">
    <w:name w:val="Intense Quote"/>
    <w:basedOn w:val="Normal"/>
    <w:next w:val="Normal"/>
    <w:link w:val="IntenseQuoteChar"/>
    <w:uiPriority w:val="30"/>
    <w:qFormat/>
    <w:rsid w:val="00710C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CD4"/>
    <w:rPr>
      <w:i/>
      <w:iCs/>
      <w:color w:val="0F4761" w:themeColor="accent1" w:themeShade="BF"/>
    </w:rPr>
  </w:style>
  <w:style w:type="character" w:styleId="IntenseReference">
    <w:name w:val="Intense Reference"/>
    <w:basedOn w:val="DefaultParagraphFont"/>
    <w:uiPriority w:val="32"/>
    <w:qFormat/>
    <w:rsid w:val="00710CD4"/>
    <w:rPr>
      <w:b/>
      <w:bCs/>
      <w:smallCaps/>
      <w:color w:val="0F4761" w:themeColor="accent1" w:themeShade="BF"/>
      <w:spacing w:val="5"/>
    </w:rPr>
  </w:style>
  <w:style w:type="paragraph" w:customStyle="1" w:styleId="p1">
    <w:name w:val="p1"/>
    <w:basedOn w:val="Normal"/>
    <w:rsid w:val="00710CD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10CD4"/>
  </w:style>
  <w:style w:type="paragraph" w:customStyle="1" w:styleId="p2">
    <w:name w:val="p2"/>
    <w:basedOn w:val="Normal"/>
    <w:rsid w:val="00710CD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A1178"/>
  </w:style>
  <w:style w:type="character" w:styleId="Hyperlink">
    <w:name w:val="Hyperlink"/>
    <w:basedOn w:val="DefaultParagraphFont"/>
    <w:uiPriority w:val="99"/>
    <w:semiHidden/>
    <w:unhideWhenUsed/>
    <w:rsid w:val="00BC0D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504159">
      <w:bodyDiv w:val="1"/>
      <w:marLeft w:val="0"/>
      <w:marRight w:val="0"/>
      <w:marTop w:val="0"/>
      <w:marBottom w:val="0"/>
      <w:divBdr>
        <w:top w:val="none" w:sz="0" w:space="0" w:color="auto"/>
        <w:left w:val="none" w:sz="0" w:space="0" w:color="auto"/>
        <w:bottom w:val="none" w:sz="0" w:space="0" w:color="auto"/>
        <w:right w:val="none" w:sz="0" w:space="0" w:color="auto"/>
      </w:divBdr>
      <w:divsChild>
        <w:div w:id="1899121864">
          <w:marLeft w:val="0"/>
          <w:marRight w:val="0"/>
          <w:marTop w:val="0"/>
          <w:marBottom w:val="0"/>
          <w:divBdr>
            <w:top w:val="none" w:sz="0" w:space="0" w:color="auto"/>
            <w:left w:val="none" w:sz="0" w:space="0" w:color="auto"/>
            <w:bottom w:val="none" w:sz="0" w:space="0" w:color="auto"/>
            <w:right w:val="none" w:sz="0" w:space="0" w:color="auto"/>
          </w:divBdr>
          <w:divsChild>
            <w:div w:id="2004821364">
              <w:marLeft w:val="0"/>
              <w:marRight w:val="0"/>
              <w:marTop w:val="0"/>
              <w:marBottom w:val="0"/>
              <w:divBdr>
                <w:top w:val="none" w:sz="0" w:space="0" w:color="auto"/>
                <w:left w:val="none" w:sz="0" w:space="0" w:color="auto"/>
                <w:bottom w:val="none" w:sz="0" w:space="0" w:color="auto"/>
                <w:right w:val="none" w:sz="0" w:space="0" w:color="auto"/>
              </w:divBdr>
            </w:div>
          </w:divsChild>
        </w:div>
        <w:div w:id="833373410">
          <w:marLeft w:val="0"/>
          <w:marRight w:val="0"/>
          <w:marTop w:val="0"/>
          <w:marBottom w:val="0"/>
          <w:divBdr>
            <w:top w:val="none" w:sz="0" w:space="0" w:color="auto"/>
            <w:left w:val="none" w:sz="0" w:space="0" w:color="auto"/>
            <w:bottom w:val="none" w:sz="0" w:space="0" w:color="auto"/>
            <w:right w:val="none" w:sz="0" w:space="0" w:color="auto"/>
          </w:divBdr>
        </w:div>
        <w:div w:id="1068530661">
          <w:marLeft w:val="0"/>
          <w:marRight w:val="0"/>
          <w:marTop w:val="0"/>
          <w:marBottom w:val="0"/>
          <w:divBdr>
            <w:top w:val="none" w:sz="0" w:space="0" w:color="auto"/>
            <w:left w:val="none" w:sz="0" w:space="0" w:color="auto"/>
            <w:bottom w:val="none" w:sz="0" w:space="0" w:color="auto"/>
            <w:right w:val="none" w:sz="0" w:space="0" w:color="auto"/>
          </w:divBdr>
        </w:div>
      </w:divsChild>
    </w:div>
    <w:div w:id="154024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3949115627895" TargetMode="External"/><Relationship Id="rId18" Type="http://schemas.openxmlformats.org/officeDocument/2006/relationships/hyperlink" Target="https://www.gov.uk/government/publications/send-code-of-practice-0-to-25" TargetMode="External"/><Relationship Id="rId26" Type="http://schemas.openxmlformats.org/officeDocument/2006/relationships/hyperlink" Target="https://doi.org/10.1080/13603110802504903" TargetMode="External"/><Relationship Id="rId3" Type="http://schemas.openxmlformats.org/officeDocument/2006/relationships/settings" Target="settings.xml"/><Relationship Id="rId21" Type="http://schemas.openxmlformats.org/officeDocument/2006/relationships/hyperlink" Target="https://doi.org/10.1080/00131911.2013.781576" TargetMode="External"/><Relationship Id="rId34" Type="http://schemas.openxmlformats.org/officeDocument/2006/relationships/fontTable" Target="fontTable.xml"/><Relationship Id="rId7" Type="http://schemas.openxmlformats.org/officeDocument/2006/relationships/hyperlink" Target="https://doi.org/10.2307/1229039" TargetMode="External"/><Relationship Id="rId12" Type="http://schemas.openxmlformats.org/officeDocument/2006/relationships/hyperlink" Target="https://www.taylorfrancis.com/chapters/edit/10.4324/9780203967310-8/constructing-gender-early-childhood-education-glenda-macnaughton" TargetMode="External"/><Relationship Id="rId17" Type="http://schemas.openxmlformats.org/officeDocument/2006/relationships/hyperlink" Target="https://www.researchgate.net/publication/335228616_Childrens_School_Readiness_A_Systematic_Review_of_Intervention_Studies" TargetMode="External"/><Relationship Id="rId25" Type="http://schemas.openxmlformats.org/officeDocument/2006/relationships/hyperlink" Target="https://www.basicbooks.com/titles/donald-a-schon/the-reflective-practitioner/9780465068784/" TargetMode="External"/><Relationship Id="rId33" Type="http://schemas.openxmlformats.org/officeDocument/2006/relationships/hyperlink" Target="https://publications.parliament.uk/pa/cm201919/cmselect/cmeduc/1601/1601.pdf" TargetMode="External"/><Relationship Id="rId2" Type="http://schemas.openxmlformats.org/officeDocument/2006/relationships/styles" Target="styles.xml"/><Relationship Id="rId16" Type="http://schemas.openxmlformats.org/officeDocument/2006/relationships/hyperlink" Target="https://www.csie.org.uk/resources/inclusion-index-explained.shtml" TargetMode="External"/><Relationship Id="rId20" Type="http://schemas.openxmlformats.org/officeDocument/2006/relationships/hyperlink" Target="https://doi.org/10.1080/01411926.2010.501096" TargetMode="External"/><Relationship Id="rId29" Type="http://schemas.openxmlformats.org/officeDocument/2006/relationships/hyperlink" Target="https://www.gov.uk/government/publications/send-code-of-practice-0-to-25" TargetMode="External"/><Relationship Id="rId1" Type="http://schemas.openxmlformats.org/officeDocument/2006/relationships/numbering" Target="numbering.xml"/><Relationship Id="rId6" Type="http://schemas.openxmlformats.org/officeDocument/2006/relationships/hyperlink" Target="https://www.csie.org.uk/resources/inclusion-index-explained.shtml" TargetMode="External"/><Relationship Id="rId11" Type="http://schemas.openxmlformats.org/officeDocument/2006/relationships/hyperlink" Target="https://doi.org/10.1177/1741143204039297" TargetMode="External"/><Relationship Id="rId24" Type="http://schemas.openxmlformats.org/officeDocument/2006/relationships/hyperlink" Target="https://doi.org/10.1177/1463949115627895" TargetMode="External"/><Relationship Id="rId32" Type="http://schemas.openxmlformats.org/officeDocument/2006/relationships/hyperlink" Target="https://doi.org/10.1080/00131911.2013.781576" TargetMode="External"/><Relationship Id="rId5" Type="http://schemas.openxmlformats.org/officeDocument/2006/relationships/hyperlink" Target="https://doi.org/10.1080/13603110802504903" TargetMode="External"/><Relationship Id="rId15" Type="http://schemas.openxmlformats.org/officeDocument/2006/relationships/hyperlink" Target="https://www.unicef.org.uk/what-we-do/un-convention-child-rights/" TargetMode="External"/><Relationship Id="rId23" Type="http://schemas.openxmlformats.org/officeDocument/2006/relationships/hyperlink" Target="https://www.taylorfrancis.com/chapters/edit/10.4324/9780203967310-8/constructing-gender-early-childhood-education-glenda-macnaughton" TargetMode="External"/><Relationship Id="rId28" Type="http://schemas.openxmlformats.org/officeDocument/2006/relationships/hyperlink" Target="https://doi.org/10.1177/1476718X18811081" TargetMode="External"/><Relationship Id="rId10" Type="http://schemas.openxmlformats.org/officeDocument/2006/relationships/hyperlink" Target="https://www.brookes.ac.uk/services/ocsld/resources/gibbs-reflective-cycle.pdf" TargetMode="External"/><Relationship Id="rId19" Type="http://schemas.openxmlformats.org/officeDocument/2006/relationships/hyperlink" Target="https://www.gov.uk/government/publications/early-years-foundation-stage-framework--2" TargetMode="External"/><Relationship Id="rId31" Type="http://schemas.openxmlformats.org/officeDocument/2006/relationships/hyperlink" Target="https://doi.org/10.1080/01411926.2010.501096" TargetMode="External"/><Relationship Id="rId4" Type="http://schemas.openxmlformats.org/officeDocument/2006/relationships/webSettings" Target="webSettings.xml"/><Relationship Id="rId9" Type="http://schemas.openxmlformats.org/officeDocument/2006/relationships/hyperlink" Target="https://doi.org/10.1080/01411926.2010.501096" TargetMode="External"/><Relationship Id="rId14" Type="http://schemas.openxmlformats.org/officeDocument/2006/relationships/hyperlink" Target="https://www.basicbooks.com/titles/donald-a-schon/the-reflective-practitioner/9780465068784/" TargetMode="External"/><Relationship Id="rId22" Type="http://schemas.openxmlformats.org/officeDocument/2006/relationships/hyperlink" Target="https://committees.parliament.uk/publications/11581/documents/162916/default/" TargetMode="External"/><Relationship Id="rId27" Type="http://schemas.openxmlformats.org/officeDocument/2006/relationships/hyperlink" Target="https://www.csie.org.uk/resources/inclusion-index.shtml" TargetMode="External"/><Relationship Id="rId30" Type="http://schemas.openxmlformats.org/officeDocument/2006/relationships/hyperlink" Target="https://www.gov.uk/government/publications/early-years-foundation-stage-framework--2" TargetMode="External"/><Relationship Id="rId35" Type="http://schemas.openxmlformats.org/officeDocument/2006/relationships/theme" Target="theme/theme1.xml"/><Relationship Id="rId8" Type="http://schemas.openxmlformats.org/officeDocument/2006/relationships/hyperlink" Target="https://www.gov.uk/government/publications/send-code-of-practice-0-to-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5178</Words>
  <Characters>29517</Characters>
  <Application>Microsoft Office Word</Application>
  <DocSecurity>0</DocSecurity>
  <Lines>245</Lines>
  <Paragraphs>69</Paragraphs>
  <ScaleCrop>false</ScaleCrop>
  <Company/>
  <LinksUpToDate>false</LinksUpToDate>
  <CharactersWithSpaces>34626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11</cp:revision>
  <dcterms:created xsi:type="dcterms:W3CDTF">2025-07-15T21:40:00Z</dcterms:created>
  <dcterms:modified xsi:type="dcterms:W3CDTF">2025-07-23T21:11:00Z</dcterms:modified>
</cp:coreProperties>
</file>