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97600" w14:textId="0E55E1A6" w:rsidR="00EA6FD7" w:rsidRPr="00EA6FD7" w:rsidRDefault="001234EB" w:rsidP="00600141">
      <w:pPr>
        <w:spacing w:after="0" w:line="240" w:lineRule="auto"/>
        <w:rPr>
          <w:rFonts w:ascii="Arial" w:eastAsia="Times New Roman" w:hAnsi="Arial" w:cs="Arial"/>
          <w:b/>
          <w:bCs/>
          <w:color w:val="7030A0"/>
          <w:kern w:val="0"/>
          <w:sz w:val="24"/>
          <w:szCs w:val="24"/>
          <w:u w:val="single"/>
          <w:lang w:eastAsia="en-GB"/>
          <w14:ligatures w14:val="none"/>
        </w:rPr>
      </w:pPr>
      <w:r>
        <w:rPr>
          <w:rFonts w:ascii="Arial" w:eastAsia="Times New Roman" w:hAnsi="Arial" w:cs="Arial"/>
          <w:b/>
          <w:bCs/>
          <w:color w:val="7030A0"/>
          <w:kern w:val="0"/>
          <w:sz w:val="24"/>
          <w:szCs w:val="24"/>
          <w:u w:val="single"/>
          <w:lang w:eastAsia="en-GB"/>
          <w14:ligatures w14:val="none"/>
        </w:rPr>
        <w:t>MSc Public health</w:t>
      </w:r>
      <w:r w:rsidR="00EA6FD7" w:rsidRPr="00EA6FD7">
        <w:rPr>
          <w:rFonts w:ascii="Arial" w:eastAsia="Times New Roman" w:hAnsi="Arial" w:cs="Arial"/>
          <w:b/>
          <w:bCs/>
          <w:color w:val="7030A0"/>
          <w:kern w:val="0"/>
          <w:sz w:val="24"/>
          <w:szCs w:val="24"/>
          <w:u w:val="single"/>
          <w:lang w:eastAsia="en-GB"/>
          <w14:ligatures w14:val="none"/>
        </w:rPr>
        <w:t xml:space="preserve"> – Asynchronous activity</w:t>
      </w:r>
    </w:p>
    <w:p w14:paraId="0CDD24F4" w14:textId="77777777" w:rsidR="00EA6FD7" w:rsidRDefault="00EA6FD7" w:rsidP="00600141">
      <w:pPr>
        <w:spacing w:after="0" w:line="240" w:lineRule="auto"/>
        <w:rPr>
          <w:rFonts w:ascii="Arial" w:eastAsia="Times New Roman" w:hAnsi="Arial" w:cs="Arial"/>
          <w:kern w:val="0"/>
          <w:sz w:val="24"/>
          <w:szCs w:val="24"/>
          <w:lang w:eastAsia="en-GB"/>
          <w14:ligatures w14:val="none"/>
        </w:rPr>
      </w:pPr>
    </w:p>
    <w:p w14:paraId="0894426C" w14:textId="4804478E" w:rsidR="00EA6FD7" w:rsidRDefault="00EA6FD7" w:rsidP="00600141">
      <w:pPr>
        <w:spacing w:after="0" w:line="240" w:lineRule="auto"/>
        <w:rPr>
          <w:rFonts w:ascii="Helvetica" w:hAnsi="Helvetica" w:cs="Helvetica"/>
          <w:i/>
          <w:iCs/>
          <w:color w:val="262626"/>
          <w:sz w:val="21"/>
          <w:szCs w:val="21"/>
          <w:shd w:val="clear" w:color="auto" w:fill="FFFFFF"/>
        </w:rPr>
      </w:pPr>
      <w:r w:rsidRPr="00EA6FD7">
        <w:rPr>
          <w:rFonts w:ascii="Helvetica" w:hAnsi="Helvetica" w:cs="Helvetica"/>
          <w:i/>
          <w:iCs/>
          <w:color w:val="262626"/>
          <w:sz w:val="21"/>
          <w:szCs w:val="21"/>
          <w:shd w:val="clear" w:color="auto" w:fill="FFFFFF"/>
        </w:rPr>
        <w:t>In your groups, select one case study from the four presented in the attached document, or you may select one of your own</w:t>
      </w:r>
      <w:r w:rsidR="001234EB">
        <w:rPr>
          <w:rFonts w:ascii="Helvetica" w:hAnsi="Helvetica" w:cs="Helvetica"/>
          <w:i/>
          <w:iCs/>
          <w:color w:val="262626"/>
          <w:sz w:val="21"/>
          <w:szCs w:val="21"/>
          <w:shd w:val="clear" w:color="auto" w:fill="FFFFFF"/>
        </w:rPr>
        <w:t xml:space="preserve"> and present it infront of the class</w:t>
      </w:r>
      <w:r w:rsidRPr="00EA6FD7">
        <w:rPr>
          <w:rFonts w:ascii="Helvetica" w:hAnsi="Helvetica" w:cs="Helvetica"/>
          <w:i/>
          <w:iCs/>
          <w:color w:val="262626"/>
          <w:sz w:val="21"/>
          <w:szCs w:val="21"/>
          <w:shd w:val="clear" w:color="auto" w:fill="FFFFFF"/>
        </w:rPr>
        <w:t>. Your presentation should last approximately 5-10 minutes to allow time for questions.</w:t>
      </w:r>
    </w:p>
    <w:p w14:paraId="2E9D138F" w14:textId="77777777" w:rsidR="00EA6FD7" w:rsidRPr="00EA6FD7" w:rsidRDefault="00EA6FD7" w:rsidP="00600141">
      <w:pPr>
        <w:spacing w:after="0" w:line="240" w:lineRule="auto"/>
        <w:rPr>
          <w:rFonts w:ascii="Arial" w:eastAsia="Times New Roman" w:hAnsi="Arial" w:cs="Arial"/>
          <w:i/>
          <w:iCs/>
          <w:kern w:val="0"/>
          <w:sz w:val="24"/>
          <w:szCs w:val="24"/>
          <w:lang w:eastAsia="en-GB"/>
          <w14:ligatures w14:val="none"/>
        </w:rPr>
      </w:pPr>
    </w:p>
    <w:p w14:paraId="53A64DE3" w14:textId="77777777" w:rsidR="00EA6FD7" w:rsidRDefault="00EA6FD7" w:rsidP="00600141">
      <w:pPr>
        <w:spacing w:after="0" w:line="240" w:lineRule="auto"/>
        <w:rPr>
          <w:rFonts w:ascii="Arial" w:eastAsia="Times New Roman" w:hAnsi="Arial" w:cs="Arial"/>
          <w:kern w:val="0"/>
          <w:sz w:val="24"/>
          <w:szCs w:val="24"/>
          <w:lang w:eastAsia="en-GB"/>
          <w14:ligatures w14:val="none"/>
        </w:rPr>
      </w:pPr>
    </w:p>
    <w:p w14:paraId="1EDDB472" w14:textId="0C14F03B" w:rsidR="00600141" w:rsidRPr="00EA6FD7" w:rsidRDefault="00600141" w:rsidP="00600141">
      <w:pPr>
        <w:spacing w:after="0" w:line="240" w:lineRule="auto"/>
        <w:rPr>
          <w:rFonts w:ascii="Arial" w:eastAsia="Times New Roman" w:hAnsi="Arial" w:cs="Arial"/>
          <w:color w:val="7030A0"/>
          <w:kern w:val="0"/>
          <w:sz w:val="24"/>
          <w:szCs w:val="24"/>
          <w:lang w:eastAsia="en-GB"/>
          <w14:ligatures w14:val="none"/>
        </w:rPr>
      </w:pPr>
      <w:r w:rsidRPr="00EA6FD7">
        <w:rPr>
          <w:rFonts w:ascii="Arial" w:eastAsia="Times New Roman" w:hAnsi="Arial" w:cs="Arial"/>
          <w:color w:val="7030A0"/>
          <w:kern w:val="0"/>
          <w:sz w:val="24"/>
          <w:szCs w:val="24"/>
          <w:lang w:eastAsia="en-GB"/>
          <w14:ligatures w14:val="none"/>
        </w:rPr>
        <w:t>You are required to prepare a presentation of</w:t>
      </w:r>
      <w:r w:rsidRPr="00EA6FD7">
        <w:rPr>
          <w:rFonts w:ascii="Arial" w:eastAsia="Times New Roman" w:hAnsi="Arial" w:cs="Arial"/>
          <w:b/>
          <w:bCs/>
          <w:color w:val="7030A0"/>
          <w:kern w:val="0"/>
          <w:sz w:val="24"/>
          <w:szCs w:val="24"/>
          <w:lang w:eastAsia="en-GB"/>
          <w14:ligatures w14:val="none"/>
        </w:rPr>
        <w:t> </w:t>
      </w:r>
      <w:r w:rsidR="00EA6FD7">
        <w:rPr>
          <w:rFonts w:ascii="Arial" w:eastAsia="Times New Roman" w:hAnsi="Arial" w:cs="Arial"/>
          <w:b/>
          <w:bCs/>
          <w:color w:val="7030A0"/>
          <w:kern w:val="0"/>
          <w:sz w:val="24"/>
          <w:szCs w:val="24"/>
          <w:lang w:eastAsia="en-GB"/>
          <w14:ligatures w14:val="none"/>
        </w:rPr>
        <w:t xml:space="preserve">a </w:t>
      </w:r>
      <w:r w:rsidRPr="00EA6FD7">
        <w:rPr>
          <w:rFonts w:ascii="Arial" w:eastAsia="Times New Roman" w:hAnsi="Arial" w:cs="Arial"/>
          <w:b/>
          <w:bCs/>
          <w:color w:val="7030A0"/>
          <w:kern w:val="0"/>
          <w:sz w:val="24"/>
          <w:szCs w:val="24"/>
          <w:lang w:eastAsia="en-GB"/>
          <w14:ligatures w14:val="none"/>
        </w:rPr>
        <w:t>Case report</w:t>
      </w:r>
      <w:r w:rsidRPr="00EA6FD7">
        <w:rPr>
          <w:rFonts w:ascii="Arial" w:eastAsia="Times New Roman" w:hAnsi="Arial" w:cs="Arial"/>
          <w:color w:val="7030A0"/>
          <w:kern w:val="0"/>
          <w:sz w:val="24"/>
          <w:szCs w:val="24"/>
          <w:lang w:eastAsia="en-GB"/>
          <w14:ligatures w14:val="none"/>
        </w:rPr>
        <w:t> on a transformation which took place within a health and social care organisation of your choice aiming at improving its performance.</w:t>
      </w:r>
    </w:p>
    <w:p w14:paraId="3A603F19" w14:textId="77777777" w:rsidR="00600141" w:rsidRPr="00EA6FD7" w:rsidRDefault="00600141" w:rsidP="00600141">
      <w:pPr>
        <w:spacing w:after="0" w:line="240" w:lineRule="auto"/>
        <w:rPr>
          <w:rFonts w:ascii="Arial" w:eastAsia="Times New Roman" w:hAnsi="Arial" w:cs="Arial"/>
          <w:color w:val="7030A0"/>
          <w:kern w:val="0"/>
          <w:sz w:val="24"/>
          <w:szCs w:val="24"/>
          <w:lang w:eastAsia="en-GB"/>
          <w14:ligatures w14:val="none"/>
        </w:rPr>
      </w:pPr>
    </w:p>
    <w:p w14:paraId="19617914" w14:textId="77777777" w:rsidR="00600141" w:rsidRPr="00EA6FD7" w:rsidRDefault="00600141" w:rsidP="00600141">
      <w:pPr>
        <w:spacing w:after="0" w:line="240" w:lineRule="auto"/>
        <w:rPr>
          <w:rFonts w:ascii="Arial" w:eastAsia="Times New Roman" w:hAnsi="Arial" w:cs="Arial"/>
          <w:color w:val="7030A0"/>
          <w:kern w:val="0"/>
          <w:sz w:val="24"/>
          <w:szCs w:val="24"/>
          <w:lang w:eastAsia="en-GB"/>
          <w14:ligatures w14:val="none"/>
        </w:rPr>
      </w:pPr>
      <w:r w:rsidRPr="00EA6FD7">
        <w:rPr>
          <w:rFonts w:ascii="Arial" w:eastAsia="Times New Roman" w:hAnsi="Arial" w:cs="Arial"/>
          <w:color w:val="7030A0"/>
          <w:kern w:val="0"/>
          <w:sz w:val="24"/>
          <w:szCs w:val="24"/>
          <w:lang w:eastAsia="en-GB"/>
          <w14:ligatures w14:val="none"/>
        </w:rPr>
        <w:t xml:space="preserve">You can either choose case study of your own choice </w:t>
      </w:r>
      <w:r w:rsidRPr="00EA6FD7">
        <w:rPr>
          <w:rFonts w:ascii="Arial" w:eastAsia="Times New Roman" w:hAnsi="Arial" w:cs="Arial"/>
          <w:b/>
          <w:bCs/>
          <w:color w:val="7030A0"/>
          <w:kern w:val="0"/>
          <w:sz w:val="24"/>
          <w:szCs w:val="24"/>
          <w:u w:val="single"/>
          <w:lang w:eastAsia="en-GB"/>
          <w14:ligatures w14:val="none"/>
        </w:rPr>
        <w:t>OR</w:t>
      </w:r>
      <w:r w:rsidRPr="00EA6FD7">
        <w:rPr>
          <w:rFonts w:ascii="Arial" w:eastAsia="Times New Roman" w:hAnsi="Arial" w:cs="Arial"/>
          <w:color w:val="7030A0"/>
          <w:kern w:val="0"/>
          <w:sz w:val="24"/>
          <w:szCs w:val="24"/>
          <w:lang w:eastAsia="en-GB"/>
          <w14:ligatures w14:val="none"/>
        </w:rPr>
        <w:t xml:space="preserve"> choose one from the following case studies (mentioned below) for your assignment: i.e </w:t>
      </w:r>
      <w:r w:rsidRPr="00EA6FD7">
        <w:rPr>
          <w:rFonts w:ascii="Arial" w:eastAsia="Times New Roman" w:hAnsi="Arial" w:cs="Arial"/>
          <w:i/>
          <w:iCs/>
          <w:color w:val="7030A0"/>
          <w:kern w:val="0"/>
          <w:sz w:val="24"/>
          <w:szCs w:val="24"/>
          <w:lang w:eastAsia="en-GB"/>
          <w14:ligatures w14:val="none"/>
        </w:rPr>
        <w:t>Lewis Blackman, Dennis Quaid twins heparin dosage</w:t>
      </w:r>
      <w:r w:rsidRPr="00EA6FD7">
        <w:rPr>
          <w:rFonts w:ascii="Arial" w:eastAsia="Times New Roman" w:hAnsi="Arial" w:cs="Arial"/>
          <w:color w:val="7030A0"/>
          <w:kern w:val="0"/>
          <w:sz w:val="24"/>
          <w:szCs w:val="24"/>
          <w:lang w:eastAsia="en-GB"/>
          <w14:ligatures w14:val="none"/>
        </w:rPr>
        <w:t xml:space="preserve"> etc.</w:t>
      </w:r>
    </w:p>
    <w:p w14:paraId="4B6EA352" w14:textId="77777777" w:rsidR="00600141" w:rsidRPr="00600141" w:rsidRDefault="00600141" w:rsidP="00600141">
      <w:pPr>
        <w:spacing w:after="0" w:line="240" w:lineRule="auto"/>
        <w:rPr>
          <w:rFonts w:ascii="Arial" w:eastAsia="Times New Roman" w:hAnsi="Arial" w:cs="Arial"/>
          <w:kern w:val="0"/>
          <w:sz w:val="24"/>
          <w:szCs w:val="24"/>
          <w:lang w:eastAsia="en-GB"/>
          <w14:ligatures w14:val="none"/>
        </w:rPr>
      </w:pPr>
    </w:p>
    <w:p w14:paraId="6E7C5D53" w14:textId="77777777" w:rsidR="00600141" w:rsidRPr="00EA6FD7" w:rsidRDefault="00600141" w:rsidP="00600141">
      <w:pPr>
        <w:spacing w:after="0" w:line="240" w:lineRule="auto"/>
        <w:rPr>
          <w:rFonts w:ascii="Arial" w:eastAsia="Times New Roman" w:hAnsi="Arial" w:cs="Arial"/>
          <w:i/>
          <w:iCs/>
          <w:color w:val="7030A0"/>
          <w:kern w:val="0"/>
          <w:sz w:val="24"/>
          <w:szCs w:val="24"/>
          <w:lang w:eastAsia="en-GB"/>
          <w14:ligatures w14:val="none"/>
        </w:rPr>
      </w:pPr>
      <w:r w:rsidRPr="00EA6FD7">
        <w:rPr>
          <w:rFonts w:ascii="Arial" w:eastAsia="Times New Roman" w:hAnsi="Arial" w:cs="Arial"/>
          <w:i/>
          <w:iCs/>
          <w:color w:val="7030A0"/>
          <w:kern w:val="0"/>
          <w:sz w:val="24"/>
          <w:szCs w:val="24"/>
          <w:u w:val="single"/>
          <w:lang w:eastAsia="en-GB"/>
          <w14:ligatures w14:val="none"/>
        </w:rPr>
        <w:t>Case Study Number 1:</w:t>
      </w:r>
    </w:p>
    <w:p w14:paraId="34151F81" w14:textId="77777777" w:rsidR="00600141" w:rsidRPr="00600141" w:rsidRDefault="00600141" w:rsidP="00600141">
      <w:pPr>
        <w:spacing w:after="0" w:line="240" w:lineRule="auto"/>
        <w:rPr>
          <w:rFonts w:ascii="Arial" w:eastAsia="Times New Roman" w:hAnsi="Arial" w:cs="Arial"/>
          <w:i/>
          <w:iCs/>
          <w:kern w:val="0"/>
          <w:sz w:val="24"/>
          <w:szCs w:val="24"/>
          <w:lang w:eastAsia="en-GB"/>
          <w14:ligatures w14:val="none"/>
        </w:rPr>
      </w:pPr>
      <w:r w:rsidRPr="00600141">
        <w:rPr>
          <w:rFonts w:ascii="Arial" w:eastAsia="Times New Roman" w:hAnsi="Arial" w:cs="Arial"/>
          <w:i/>
          <w:iCs/>
          <w:kern w:val="0"/>
          <w:sz w:val="24"/>
          <w:szCs w:val="24"/>
          <w:lang w:eastAsia="en-GB"/>
          <w14:ligatures w14:val="none"/>
        </w:rPr>
        <w:t>“The Lewis Blackman story is</w:t>
      </w:r>
      <w:r w:rsidRPr="00600141">
        <w:rPr>
          <w:rFonts w:ascii="Arial" w:eastAsia="Times New Roman" w:hAnsi="Arial" w:cs="Arial"/>
          <w:b/>
          <w:bCs/>
          <w:i/>
          <w:iCs/>
          <w:kern w:val="0"/>
          <w:sz w:val="24"/>
          <w:szCs w:val="24"/>
          <w:lang w:eastAsia="en-GB"/>
          <w14:ligatures w14:val="none"/>
        </w:rPr>
        <w:t> a case of medical malpractice and negligence that resulted in the death of a 15-year-old boy after surgery</w:t>
      </w:r>
      <w:r w:rsidRPr="00600141">
        <w:rPr>
          <w:rFonts w:ascii="Arial" w:eastAsia="Times New Roman" w:hAnsi="Arial" w:cs="Arial"/>
          <w:i/>
          <w:iCs/>
          <w:kern w:val="0"/>
          <w:sz w:val="24"/>
          <w:szCs w:val="24"/>
          <w:lang w:eastAsia="en-GB"/>
          <w14:ligatures w14:val="none"/>
        </w:rPr>
        <w:t xml:space="preserve">. His mother, Helen Haskell, has spoken publicly about the events that led to his death and the failures of the hospital system to prevent it. The story illustrates the effects of cognitive biases, power dynamics, and fragmented care delivery on patient safety and quality.” </w:t>
      </w:r>
    </w:p>
    <w:p w14:paraId="29667680" w14:textId="77777777" w:rsidR="00600141" w:rsidRPr="00600141" w:rsidRDefault="00600141" w:rsidP="00600141">
      <w:pPr>
        <w:spacing w:after="0" w:line="240" w:lineRule="auto"/>
        <w:rPr>
          <w:rFonts w:ascii="Arial" w:eastAsia="Times New Roman" w:hAnsi="Arial" w:cs="Arial"/>
          <w:i/>
          <w:iCs/>
          <w:kern w:val="0"/>
          <w:sz w:val="24"/>
          <w:szCs w:val="24"/>
          <w:lang w:eastAsia="en-GB"/>
          <w14:ligatures w14:val="none"/>
        </w:rPr>
      </w:pPr>
      <w:r w:rsidRPr="00600141">
        <w:rPr>
          <w:rFonts w:ascii="Arial" w:eastAsia="Times New Roman" w:hAnsi="Arial" w:cs="Arial"/>
          <w:i/>
          <w:iCs/>
          <w:kern w:val="0"/>
          <w:sz w:val="24"/>
          <w:szCs w:val="24"/>
          <w:lang w:eastAsia="en-GB"/>
          <w14:ligatures w14:val="none"/>
        </w:rPr>
        <w:t xml:space="preserve">For further details please refer to this link: </w:t>
      </w:r>
      <w:hyperlink r:id="rId4" w:history="1">
        <w:r w:rsidRPr="00600141">
          <w:rPr>
            <w:rFonts w:ascii="Arial" w:eastAsia="Times New Roman" w:hAnsi="Arial" w:cs="Arial"/>
            <w:i/>
            <w:iCs/>
            <w:color w:val="0000FF"/>
            <w:kern w:val="0"/>
            <w:sz w:val="24"/>
            <w:szCs w:val="24"/>
            <w:u w:val="single"/>
            <w:lang w:eastAsia="en-GB"/>
            <w14:ligatures w14:val="none"/>
          </w:rPr>
          <w:t>https://psmf.org/story/lewis-blackman/</w:t>
        </w:r>
      </w:hyperlink>
    </w:p>
    <w:p w14:paraId="5ADCCFC9" w14:textId="77777777" w:rsidR="00600141" w:rsidRPr="00600141" w:rsidRDefault="00600141" w:rsidP="00600141">
      <w:pPr>
        <w:spacing w:after="0" w:line="240" w:lineRule="auto"/>
        <w:rPr>
          <w:rFonts w:ascii="Arial" w:eastAsia="Times New Roman" w:hAnsi="Arial" w:cs="Arial"/>
          <w:i/>
          <w:iCs/>
          <w:kern w:val="0"/>
          <w:sz w:val="24"/>
          <w:szCs w:val="24"/>
          <w:lang w:eastAsia="en-GB"/>
          <w14:ligatures w14:val="none"/>
        </w:rPr>
      </w:pPr>
    </w:p>
    <w:p w14:paraId="641C3034" w14:textId="77777777" w:rsidR="00600141" w:rsidRPr="00EA6FD7" w:rsidRDefault="00600141" w:rsidP="00600141">
      <w:pPr>
        <w:spacing w:after="0" w:line="240" w:lineRule="auto"/>
        <w:rPr>
          <w:rFonts w:ascii="Arial" w:eastAsia="Times New Roman" w:hAnsi="Arial" w:cs="Arial"/>
          <w:i/>
          <w:iCs/>
          <w:color w:val="7030A0"/>
          <w:kern w:val="0"/>
          <w:sz w:val="24"/>
          <w:szCs w:val="24"/>
          <w:u w:val="single"/>
          <w:lang w:eastAsia="en-GB"/>
          <w14:ligatures w14:val="none"/>
        </w:rPr>
      </w:pPr>
      <w:r w:rsidRPr="00EA6FD7">
        <w:rPr>
          <w:rFonts w:ascii="Arial" w:eastAsia="Times New Roman" w:hAnsi="Arial" w:cs="Arial"/>
          <w:i/>
          <w:iCs/>
          <w:color w:val="7030A0"/>
          <w:kern w:val="0"/>
          <w:sz w:val="24"/>
          <w:szCs w:val="24"/>
          <w:u w:val="single"/>
          <w:lang w:eastAsia="en-GB"/>
          <w14:ligatures w14:val="none"/>
        </w:rPr>
        <w:t>Case Study Number 2:</w:t>
      </w:r>
    </w:p>
    <w:p w14:paraId="28722118" w14:textId="1270C290" w:rsidR="00600141" w:rsidRPr="00600141" w:rsidRDefault="00600141" w:rsidP="00600141">
      <w:pPr>
        <w:spacing w:after="0" w:line="240" w:lineRule="auto"/>
        <w:rPr>
          <w:rFonts w:ascii="Arial" w:eastAsia="Times New Roman" w:hAnsi="Arial" w:cs="Arial"/>
          <w:i/>
          <w:iCs/>
          <w:kern w:val="0"/>
          <w:sz w:val="24"/>
          <w:szCs w:val="24"/>
          <w:lang w:eastAsia="en-GB"/>
          <w14:ligatures w14:val="none"/>
        </w:rPr>
      </w:pPr>
      <w:r w:rsidRPr="00600141">
        <w:rPr>
          <w:rFonts w:ascii="Arial" w:eastAsia="Times New Roman" w:hAnsi="Arial" w:cs="Arial"/>
          <w:i/>
          <w:iCs/>
          <w:kern w:val="0"/>
          <w:sz w:val="24"/>
          <w:szCs w:val="24"/>
          <w:lang w:eastAsia="en-GB"/>
          <w14:ligatures w14:val="none"/>
        </w:rPr>
        <w:t>“Actor Dennis Quaid sued Baxter Healthcare for negligence over an accidental overdose of the blood-thinner Heparin that threatened the lives of his newborn twins in 2007. The twins,</w:t>
      </w:r>
      <w:r w:rsidRPr="00600141">
        <w:rPr>
          <w:rFonts w:ascii="Arial" w:eastAsia="Times New Roman" w:hAnsi="Arial" w:cs="Arial"/>
          <w:b/>
          <w:bCs/>
          <w:i/>
          <w:iCs/>
          <w:kern w:val="0"/>
          <w:sz w:val="24"/>
          <w:szCs w:val="24"/>
          <w:lang w:eastAsia="en-GB"/>
          <w14:ligatures w14:val="none"/>
        </w:rPr>
        <w:t> Thomas Boone and Zoe Grace</w:t>
      </w:r>
      <w:r w:rsidRPr="00600141">
        <w:rPr>
          <w:rFonts w:ascii="Arial" w:eastAsia="Times New Roman" w:hAnsi="Arial" w:cs="Arial"/>
          <w:i/>
          <w:iCs/>
          <w:kern w:val="0"/>
          <w:sz w:val="24"/>
          <w:szCs w:val="24"/>
          <w:lang w:eastAsia="en-GB"/>
          <w14:ligatures w14:val="none"/>
        </w:rPr>
        <w:t xml:space="preserve">, were hospitalized at Cedars-Sinai Medical Center in Los Angeles for a staph infection and were given 10,000 units of Heparin instead of the 10 units of Hep-Lock they were prescribed. The overdose made their blood the consistency of water and the long-term effects remain unknown. The lawsuit alleged that the overdose was due to a mix-up over similar </w:t>
      </w:r>
      <w:r w:rsidR="00EA6FD7" w:rsidRPr="00600141">
        <w:rPr>
          <w:rFonts w:ascii="Arial" w:eastAsia="Times New Roman" w:hAnsi="Arial" w:cs="Arial"/>
          <w:i/>
          <w:iCs/>
          <w:kern w:val="0"/>
          <w:sz w:val="24"/>
          <w:szCs w:val="24"/>
          <w:lang w:eastAsia="en-GB"/>
          <w14:ligatures w14:val="none"/>
        </w:rPr>
        <w:t>labelling</w:t>
      </w:r>
      <w:r w:rsidRPr="00600141">
        <w:rPr>
          <w:rFonts w:ascii="Arial" w:eastAsia="Times New Roman" w:hAnsi="Arial" w:cs="Arial"/>
          <w:i/>
          <w:iCs/>
          <w:kern w:val="0"/>
          <w:sz w:val="24"/>
          <w:szCs w:val="24"/>
          <w:lang w:eastAsia="en-GB"/>
          <w14:ligatures w14:val="none"/>
        </w:rPr>
        <w:t xml:space="preserve"> in different doses of Heparin, which had also caused the deaths of three babies in Indianapolis in 2006.”</w:t>
      </w:r>
    </w:p>
    <w:p w14:paraId="3D6C6644" w14:textId="77777777" w:rsidR="00600141" w:rsidRPr="00600141" w:rsidRDefault="00600141" w:rsidP="00600141">
      <w:pPr>
        <w:spacing w:after="0" w:line="240" w:lineRule="auto"/>
        <w:rPr>
          <w:rFonts w:ascii="Arial" w:eastAsia="Times New Roman" w:hAnsi="Arial" w:cs="Arial"/>
          <w:i/>
          <w:iCs/>
          <w:kern w:val="0"/>
          <w:sz w:val="24"/>
          <w:szCs w:val="24"/>
          <w:lang w:eastAsia="en-GB"/>
          <w14:ligatures w14:val="none"/>
        </w:rPr>
      </w:pPr>
    </w:p>
    <w:p w14:paraId="029C22A9" w14:textId="77777777" w:rsidR="00600141" w:rsidRPr="00600141" w:rsidRDefault="00600141" w:rsidP="00600141">
      <w:pPr>
        <w:spacing w:after="0" w:line="240" w:lineRule="auto"/>
        <w:rPr>
          <w:rFonts w:ascii="Arial" w:eastAsia="Times New Roman" w:hAnsi="Arial" w:cs="Arial"/>
          <w:i/>
          <w:iCs/>
          <w:kern w:val="0"/>
          <w:sz w:val="24"/>
          <w:szCs w:val="24"/>
          <w:lang w:eastAsia="en-GB"/>
          <w14:ligatures w14:val="none"/>
        </w:rPr>
      </w:pPr>
      <w:r w:rsidRPr="00600141">
        <w:rPr>
          <w:rFonts w:ascii="Arial" w:eastAsia="Times New Roman" w:hAnsi="Arial" w:cs="Arial"/>
          <w:i/>
          <w:iCs/>
          <w:kern w:val="0"/>
          <w:sz w:val="24"/>
          <w:szCs w:val="24"/>
          <w:lang w:eastAsia="en-GB"/>
          <w14:ligatures w14:val="none"/>
        </w:rPr>
        <w:t>For further details please refer to these links</w:t>
      </w:r>
    </w:p>
    <w:p w14:paraId="3AEA6CB6" w14:textId="77777777" w:rsidR="00600141" w:rsidRPr="00600141" w:rsidRDefault="00000000" w:rsidP="00600141">
      <w:pPr>
        <w:spacing w:after="0" w:line="240" w:lineRule="auto"/>
        <w:rPr>
          <w:rFonts w:ascii="Arial" w:eastAsia="Times New Roman" w:hAnsi="Arial" w:cs="Arial"/>
          <w:i/>
          <w:iCs/>
          <w:kern w:val="0"/>
          <w:sz w:val="24"/>
          <w:szCs w:val="24"/>
          <w:lang w:eastAsia="en-GB"/>
          <w14:ligatures w14:val="none"/>
        </w:rPr>
      </w:pPr>
      <w:hyperlink r:id="rId5" w:history="1">
        <w:r w:rsidR="00600141" w:rsidRPr="00600141">
          <w:rPr>
            <w:rFonts w:ascii="Arial" w:eastAsia="Times New Roman" w:hAnsi="Arial" w:cs="Arial"/>
            <w:i/>
            <w:iCs/>
            <w:color w:val="0000FF"/>
            <w:kern w:val="0"/>
            <w:sz w:val="24"/>
            <w:szCs w:val="24"/>
            <w:u w:val="single"/>
            <w:lang w:eastAsia="en-GB"/>
            <w14:ligatures w14:val="none"/>
          </w:rPr>
          <w:t>https://www.reuters.com/article/us-quaid-idUSTRE64O6R220100525</w:t>
        </w:r>
      </w:hyperlink>
    </w:p>
    <w:p w14:paraId="4E594840" w14:textId="77777777" w:rsidR="00600141" w:rsidRPr="00600141" w:rsidRDefault="00000000" w:rsidP="00600141">
      <w:pPr>
        <w:spacing w:after="0" w:line="240" w:lineRule="auto"/>
        <w:rPr>
          <w:rFonts w:ascii="Arial" w:eastAsia="Times New Roman" w:hAnsi="Arial" w:cs="Arial"/>
          <w:i/>
          <w:iCs/>
          <w:kern w:val="0"/>
          <w:sz w:val="24"/>
          <w:szCs w:val="24"/>
          <w:lang w:eastAsia="en-GB"/>
          <w14:ligatures w14:val="none"/>
        </w:rPr>
      </w:pPr>
      <w:hyperlink r:id="rId6" w:history="1">
        <w:r w:rsidR="00600141" w:rsidRPr="00600141">
          <w:rPr>
            <w:rFonts w:ascii="Arial" w:eastAsia="Times New Roman" w:hAnsi="Arial" w:cs="Arial"/>
            <w:i/>
            <w:iCs/>
            <w:color w:val="0000FF"/>
            <w:kern w:val="0"/>
            <w:sz w:val="24"/>
            <w:szCs w:val="24"/>
            <w:u w:val="single"/>
            <w:lang w:eastAsia="en-GB"/>
            <w14:ligatures w14:val="none"/>
          </w:rPr>
          <w:t>https://www.reuters.com/article/people-quaid-idUSN2515279520100525</w:t>
        </w:r>
      </w:hyperlink>
    </w:p>
    <w:p w14:paraId="5235B0B1" w14:textId="77777777" w:rsidR="00600141" w:rsidRPr="00600141" w:rsidRDefault="00000000" w:rsidP="00600141">
      <w:pPr>
        <w:spacing w:after="0" w:line="240" w:lineRule="auto"/>
        <w:rPr>
          <w:rFonts w:ascii="Arial" w:eastAsia="Times New Roman" w:hAnsi="Arial" w:cs="Arial"/>
          <w:i/>
          <w:iCs/>
          <w:kern w:val="0"/>
          <w:sz w:val="24"/>
          <w:szCs w:val="24"/>
          <w:lang w:eastAsia="en-GB"/>
          <w14:ligatures w14:val="none"/>
        </w:rPr>
      </w:pPr>
      <w:hyperlink r:id="rId7" w:history="1">
        <w:r w:rsidR="00600141" w:rsidRPr="00600141">
          <w:rPr>
            <w:rFonts w:ascii="Arial" w:eastAsia="Times New Roman" w:hAnsi="Arial" w:cs="Arial"/>
            <w:i/>
            <w:iCs/>
            <w:color w:val="0000FF"/>
            <w:kern w:val="0"/>
            <w:sz w:val="24"/>
            <w:szCs w:val="24"/>
            <w:u w:val="single"/>
            <w:lang w:eastAsia="en-GB"/>
            <w14:ligatures w14:val="none"/>
          </w:rPr>
          <w:t>https://www.yourlawyer.com/defective-drugs/heparin/dennis-quaid-baxter-healthcare/</w:t>
        </w:r>
      </w:hyperlink>
    </w:p>
    <w:p w14:paraId="70C85049" w14:textId="77777777" w:rsidR="00600141" w:rsidRPr="00600141" w:rsidRDefault="00000000" w:rsidP="00600141">
      <w:pPr>
        <w:spacing w:after="0" w:line="240" w:lineRule="auto"/>
        <w:rPr>
          <w:rFonts w:ascii="Arial" w:eastAsia="Times New Roman" w:hAnsi="Arial" w:cs="Arial"/>
          <w:i/>
          <w:iCs/>
          <w:kern w:val="0"/>
          <w:sz w:val="24"/>
          <w:szCs w:val="24"/>
          <w:lang w:eastAsia="en-GB"/>
          <w14:ligatures w14:val="none"/>
        </w:rPr>
      </w:pPr>
      <w:hyperlink r:id="rId8" w:history="1">
        <w:r w:rsidR="00600141" w:rsidRPr="00600141">
          <w:rPr>
            <w:rFonts w:ascii="Arial" w:eastAsia="Times New Roman" w:hAnsi="Arial" w:cs="Arial"/>
            <w:i/>
            <w:iCs/>
            <w:color w:val="0000FF"/>
            <w:kern w:val="0"/>
            <w:sz w:val="24"/>
            <w:szCs w:val="24"/>
            <w:u w:val="single"/>
            <w:lang w:eastAsia="en-GB"/>
            <w14:ligatures w14:val="none"/>
          </w:rPr>
          <w:t>https://www.foxnews.com/story/actors-anguish-quaid-twins-overdose-highlights-deadly-effect-of-hospital-errors</w:t>
        </w:r>
      </w:hyperlink>
    </w:p>
    <w:p w14:paraId="4FBD067E" w14:textId="77777777" w:rsidR="00600141" w:rsidRPr="00600141" w:rsidRDefault="00600141" w:rsidP="00600141">
      <w:pPr>
        <w:spacing w:after="0" w:line="240" w:lineRule="auto"/>
        <w:rPr>
          <w:rFonts w:ascii="Arial" w:eastAsia="Times New Roman" w:hAnsi="Arial" w:cs="Arial"/>
          <w:kern w:val="0"/>
          <w:sz w:val="24"/>
          <w:szCs w:val="24"/>
          <w:lang w:eastAsia="en-GB"/>
          <w14:ligatures w14:val="none"/>
        </w:rPr>
      </w:pPr>
    </w:p>
    <w:p w14:paraId="21AEE0EC" w14:textId="77777777" w:rsidR="00600141" w:rsidRPr="00EA6FD7" w:rsidRDefault="00600141" w:rsidP="00600141">
      <w:pPr>
        <w:spacing w:after="0" w:line="240" w:lineRule="auto"/>
        <w:rPr>
          <w:rFonts w:ascii="Arial" w:eastAsia="Times New Roman" w:hAnsi="Arial" w:cs="Arial"/>
          <w:i/>
          <w:iCs/>
          <w:color w:val="7030A0"/>
          <w:kern w:val="0"/>
          <w:sz w:val="24"/>
          <w:szCs w:val="24"/>
          <w:lang w:eastAsia="en-GB"/>
          <w14:ligatures w14:val="none"/>
        </w:rPr>
      </w:pPr>
      <w:r w:rsidRPr="00EA6FD7">
        <w:rPr>
          <w:rFonts w:ascii="Arial" w:eastAsia="Times New Roman" w:hAnsi="Arial" w:cs="Arial"/>
          <w:i/>
          <w:iCs/>
          <w:color w:val="7030A0"/>
          <w:kern w:val="0"/>
          <w:sz w:val="24"/>
          <w:szCs w:val="24"/>
          <w:u w:val="single"/>
          <w:lang w:eastAsia="en-GB"/>
          <w14:ligatures w14:val="none"/>
        </w:rPr>
        <w:t>Case Study Number 3:</w:t>
      </w:r>
    </w:p>
    <w:p w14:paraId="4CF78CB5" w14:textId="77777777" w:rsidR="00600141" w:rsidRPr="00600141" w:rsidRDefault="00600141" w:rsidP="00600141">
      <w:pPr>
        <w:spacing w:after="0" w:line="240" w:lineRule="auto"/>
        <w:rPr>
          <w:rFonts w:ascii="Arial" w:eastAsia="Times New Roman" w:hAnsi="Arial" w:cs="Arial"/>
          <w:kern w:val="0"/>
          <w:sz w:val="24"/>
          <w:szCs w:val="24"/>
          <w:lang w:eastAsia="en-GB"/>
          <w14:ligatures w14:val="none"/>
        </w:rPr>
      </w:pPr>
    </w:p>
    <w:p w14:paraId="4FDDE6D3" w14:textId="77777777" w:rsidR="00600141" w:rsidRPr="00600141" w:rsidRDefault="00600141" w:rsidP="00600141">
      <w:pPr>
        <w:spacing w:after="0" w:line="240" w:lineRule="auto"/>
        <w:rPr>
          <w:rFonts w:ascii="Arial" w:eastAsia="Times New Roman" w:hAnsi="Arial" w:cs="Arial"/>
          <w:kern w:val="0"/>
          <w:sz w:val="24"/>
          <w:szCs w:val="24"/>
          <w:lang w:eastAsia="en-GB"/>
          <w14:ligatures w14:val="none"/>
        </w:rPr>
      </w:pPr>
      <w:r w:rsidRPr="00600141">
        <w:rPr>
          <w:rFonts w:ascii="Arial" w:eastAsia="Times New Roman" w:hAnsi="Arial" w:cs="Arial"/>
          <w:kern w:val="0"/>
          <w:sz w:val="24"/>
          <w:szCs w:val="24"/>
          <w:lang w:eastAsia="en-GB"/>
          <w14:ligatures w14:val="none"/>
        </w:rPr>
        <w:t>Vaught, a former nurse at Vanderbilt University Medical Center, was indicted in the December 2017 death of</w:t>
      </w:r>
      <w:r w:rsidRPr="00600141">
        <w:rPr>
          <w:rFonts w:ascii="Arial" w:eastAsia="Times New Roman" w:hAnsi="Arial" w:cs="Arial"/>
          <w:b/>
          <w:bCs/>
          <w:kern w:val="0"/>
          <w:sz w:val="24"/>
          <w:szCs w:val="24"/>
          <w:lang w:eastAsia="en-GB"/>
          <w14:ligatures w14:val="none"/>
        </w:rPr>
        <w:t> Charlene Murphey</w:t>
      </w:r>
      <w:r w:rsidRPr="00600141">
        <w:rPr>
          <w:rFonts w:ascii="Arial" w:eastAsia="Times New Roman" w:hAnsi="Arial" w:cs="Arial"/>
          <w:kern w:val="0"/>
          <w:sz w:val="24"/>
          <w:szCs w:val="24"/>
          <w:lang w:eastAsia="en-GB"/>
          <w14:ligatures w14:val="none"/>
        </w:rPr>
        <w:t>, whom she injected with the powerful paralyzing drug vecuronium, instead of a dose of a sedative called Versed.</w:t>
      </w:r>
    </w:p>
    <w:p w14:paraId="0EED1C26" w14:textId="77777777" w:rsidR="00600141" w:rsidRPr="00600141" w:rsidRDefault="00600141" w:rsidP="00600141">
      <w:pPr>
        <w:spacing w:after="0" w:line="240" w:lineRule="auto"/>
        <w:rPr>
          <w:rFonts w:ascii="Arial" w:eastAsia="Times New Roman" w:hAnsi="Arial" w:cs="Arial"/>
          <w:i/>
          <w:iCs/>
          <w:kern w:val="0"/>
          <w:sz w:val="24"/>
          <w:szCs w:val="24"/>
          <w:lang w:eastAsia="en-GB"/>
          <w14:ligatures w14:val="none"/>
        </w:rPr>
      </w:pPr>
    </w:p>
    <w:p w14:paraId="395D9C12" w14:textId="77777777" w:rsidR="00600141" w:rsidRPr="00600141" w:rsidRDefault="00600141" w:rsidP="00600141">
      <w:pPr>
        <w:spacing w:after="0" w:line="240" w:lineRule="auto"/>
        <w:rPr>
          <w:rFonts w:ascii="Arial" w:eastAsia="Times New Roman" w:hAnsi="Arial" w:cs="Arial"/>
          <w:i/>
          <w:iCs/>
          <w:kern w:val="0"/>
          <w:sz w:val="24"/>
          <w:szCs w:val="24"/>
          <w:lang w:eastAsia="en-GB"/>
          <w14:ligatures w14:val="none"/>
        </w:rPr>
      </w:pPr>
      <w:r w:rsidRPr="00600141">
        <w:rPr>
          <w:rFonts w:ascii="Arial" w:eastAsia="Times New Roman" w:hAnsi="Arial" w:cs="Arial"/>
          <w:i/>
          <w:iCs/>
          <w:kern w:val="0"/>
          <w:sz w:val="24"/>
          <w:szCs w:val="24"/>
          <w:lang w:eastAsia="en-GB"/>
          <w14:ligatures w14:val="none"/>
        </w:rPr>
        <w:t>For further details please refer to these links</w:t>
      </w:r>
    </w:p>
    <w:p w14:paraId="57393634" w14:textId="77777777" w:rsidR="00600141" w:rsidRPr="00600141" w:rsidRDefault="00000000" w:rsidP="00600141">
      <w:pPr>
        <w:spacing w:after="0" w:line="240" w:lineRule="auto"/>
        <w:rPr>
          <w:rFonts w:ascii="Arial" w:eastAsia="Times New Roman" w:hAnsi="Arial" w:cs="Arial"/>
          <w:i/>
          <w:iCs/>
          <w:kern w:val="0"/>
          <w:sz w:val="24"/>
          <w:szCs w:val="24"/>
          <w:lang w:eastAsia="en-GB"/>
          <w14:ligatures w14:val="none"/>
        </w:rPr>
      </w:pPr>
      <w:hyperlink r:id="rId9" w:history="1">
        <w:r w:rsidR="00600141" w:rsidRPr="00600141">
          <w:rPr>
            <w:rFonts w:ascii="Arial" w:eastAsia="Times New Roman" w:hAnsi="Arial" w:cs="Arial"/>
            <w:i/>
            <w:iCs/>
            <w:color w:val="0000FF"/>
            <w:kern w:val="0"/>
            <w:sz w:val="24"/>
            <w:szCs w:val="24"/>
            <w:u w:val="single"/>
            <w:lang w:eastAsia="en-GB"/>
            <w14:ligatures w14:val="none"/>
          </w:rPr>
          <w:t>https://nypost.com/2022/03/28/ex-nurse-found-guilty-in-womans-death-after-accidentally-injecting-her-with-wrong-drug/</w:t>
        </w:r>
      </w:hyperlink>
    </w:p>
    <w:p w14:paraId="48E156A9" w14:textId="77777777" w:rsidR="00600141" w:rsidRPr="00600141" w:rsidRDefault="00600141" w:rsidP="00600141">
      <w:pPr>
        <w:spacing w:after="0" w:line="240" w:lineRule="auto"/>
        <w:rPr>
          <w:rFonts w:ascii="Arial" w:eastAsia="Times New Roman" w:hAnsi="Arial" w:cs="Arial"/>
          <w:kern w:val="0"/>
          <w:sz w:val="24"/>
          <w:szCs w:val="24"/>
          <w:lang w:eastAsia="en-GB"/>
          <w14:ligatures w14:val="none"/>
        </w:rPr>
      </w:pPr>
    </w:p>
    <w:p w14:paraId="07C66F35" w14:textId="77777777" w:rsidR="00600141" w:rsidRPr="00EA6FD7" w:rsidRDefault="00600141" w:rsidP="00600141">
      <w:pPr>
        <w:spacing w:after="0" w:line="240" w:lineRule="auto"/>
        <w:rPr>
          <w:rFonts w:ascii="Arial" w:eastAsia="Times New Roman" w:hAnsi="Arial" w:cs="Arial"/>
          <w:i/>
          <w:iCs/>
          <w:color w:val="7030A0"/>
          <w:kern w:val="0"/>
          <w:sz w:val="24"/>
          <w:szCs w:val="24"/>
          <w:u w:val="single"/>
          <w:lang w:eastAsia="en-GB"/>
          <w14:ligatures w14:val="none"/>
        </w:rPr>
      </w:pPr>
      <w:r w:rsidRPr="00EA6FD7">
        <w:rPr>
          <w:rFonts w:ascii="Arial" w:eastAsia="Times New Roman" w:hAnsi="Arial" w:cs="Arial"/>
          <w:i/>
          <w:iCs/>
          <w:color w:val="7030A0"/>
          <w:kern w:val="0"/>
          <w:sz w:val="24"/>
          <w:szCs w:val="24"/>
          <w:u w:val="single"/>
          <w:lang w:eastAsia="en-GB"/>
          <w14:ligatures w14:val="none"/>
        </w:rPr>
        <w:t>Case Study Number 4:</w:t>
      </w:r>
    </w:p>
    <w:p w14:paraId="62A5079D" w14:textId="77777777" w:rsidR="00600141" w:rsidRPr="00600141" w:rsidRDefault="00600141" w:rsidP="00600141">
      <w:pPr>
        <w:spacing w:after="0" w:line="240" w:lineRule="auto"/>
        <w:rPr>
          <w:rFonts w:ascii="Arial" w:eastAsia="Times New Roman" w:hAnsi="Arial" w:cs="Arial"/>
          <w:kern w:val="0"/>
          <w:sz w:val="24"/>
          <w:szCs w:val="24"/>
          <w:lang w:eastAsia="en-GB"/>
          <w14:ligatures w14:val="none"/>
        </w:rPr>
      </w:pPr>
    </w:p>
    <w:p w14:paraId="7021F730" w14:textId="77777777" w:rsidR="00600141" w:rsidRPr="00600141" w:rsidRDefault="00600141" w:rsidP="00600141">
      <w:pPr>
        <w:spacing w:after="0" w:line="240" w:lineRule="auto"/>
        <w:rPr>
          <w:rFonts w:ascii="Arial" w:eastAsia="Times New Roman" w:hAnsi="Arial" w:cs="Arial"/>
          <w:kern w:val="0"/>
          <w:sz w:val="24"/>
          <w:szCs w:val="24"/>
          <w:lang w:eastAsia="en-GB"/>
          <w14:ligatures w14:val="none"/>
        </w:rPr>
      </w:pPr>
      <w:r w:rsidRPr="00600141">
        <w:rPr>
          <w:rFonts w:ascii="Arial" w:eastAsia="Times New Roman" w:hAnsi="Arial" w:cs="Arial"/>
          <w:kern w:val="0"/>
          <w:sz w:val="24"/>
          <w:szCs w:val="24"/>
          <w:lang w:eastAsia="en-GB"/>
          <w14:ligatures w14:val="none"/>
        </w:rPr>
        <w:t>Medication error took the life of an Air Force veteran and resulted in an $800,000 federal government settlement, according to a </w:t>
      </w:r>
      <w:hyperlink r:id="rId10" w:tgtFrame="_blank" w:history="1">
        <w:r w:rsidRPr="00600141">
          <w:rPr>
            <w:rFonts w:ascii="Arial" w:eastAsia="Times New Roman" w:hAnsi="Arial" w:cs="Arial"/>
            <w:color w:val="0000FF"/>
            <w:kern w:val="0"/>
            <w:sz w:val="24"/>
            <w:szCs w:val="24"/>
            <w:u w:val="single"/>
            <w:lang w:eastAsia="en-GB"/>
            <w14:ligatures w14:val="none"/>
          </w:rPr>
          <w:t>report</w:t>
        </w:r>
      </w:hyperlink>
      <w:r w:rsidRPr="00600141">
        <w:rPr>
          <w:rFonts w:ascii="Arial" w:eastAsia="Times New Roman" w:hAnsi="Arial" w:cs="Arial"/>
          <w:kern w:val="0"/>
          <w:sz w:val="24"/>
          <w:szCs w:val="24"/>
          <w:lang w:eastAsia="en-GB"/>
          <w14:ligatures w14:val="none"/>
        </w:rPr>
        <w:t> in The State. In early 2017, the patient reportedly went to Dorn VA Medical Center in South Carolina with nausea and vomiting. He was administered doses of pegfilgtastim but should have received filgrastim.</w:t>
      </w:r>
    </w:p>
    <w:p w14:paraId="6214CE84" w14:textId="77777777" w:rsidR="00600141" w:rsidRPr="00600141" w:rsidRDefault="00600141" w:rsidP="00600141">
      <w:pPr>
        <w:spacing w:after="0" w:line="240" w:lineRule="auto"/>
        <w:rPr>
          <w:rFonts w:ascii="Arial" w:eastAsia="Times New Roman" w:hAnsi="Arial" w:cs="Arial"/>
          <w:kern w:val="0"/>
          <w:sz w:val="24"/>
          <w:szCs w:val="24"/>
          <w:lang w:eastAsia="en-GB"/>
          <w14:ligatures w14:val="none"/>
        </w:rPr>
      </w:pPr>
      <w:r w:rsidRPr="00600141">
        <w:rPr>
          <w:rFonts w:ascii="Arial" w:eastAsia="Times New Roman" w:hAnsi="Arial" w:cs="Arial"/>
          <w:kern w:val="0"/>
          <w:sz w:val="24"/>
          <w:szCs w:val="24"/>
          <w:lang w:eastAsia="en-GB"/>
          <w14:ligatures w14:val="none"/>
        </w:rPr>
        <w:t>While both medications are administered by syringe and intended to stimulate white blood cell growth, the prescribed filgrastim can be taken daily. Following 11 days at the hospital and multiple doses of pegfilgtastim, the patient died after developing pulmonary toxicity leading to severe acute lung injury.</w:t>
      </w:r>
    </w:p>
    <w:p w14:paraId="53439550" w14:textId="77777777" w:rsidR="00600141" w:rsidRPr="00600141" w:rsidRDefault="00600141" w:rsidP="00600141">
      <w:pPr>
        <w:spacing w:after="0" w:line="240" w:lineRule="auto"/>
        <w:rPr>
          <w:rFonts w:ascii="Arial" w:eastAsia="Times New Roman" w:hAnsi="Arial" w:cs="Arial"/>
          <w:i/>
          <w:iCs/>
          <w:kern w:val="0"/>
          <w:sz w:val="24"/>
          <w:szCs w:val="24"/>
          <w:lang w:eastAsia="en-GB"/>
          <w14:ligatures w14:val="none"/>
        </w:rPr>
      </w:pPr>
    </w:p>
    <w:p w14:paraId="62C40576" w14:textId="77777777" w:rsidR="00600141" w:rsidRPr="00600141" w:rsidRDefault="00600141" w:rsidP="00600141">
      <w:pPr>
        <w:spacing w:after="0" w:line="240" w:lineRule="auto"/>
        <w:rPr>
          <w:rFonts w:ascii="Arial" w:eastAsia="Times New Roman" w:hAnsi="Arial" w:cs="Arial"/>
          <w:i/>
          <w:iCs/>
          <w:kern w:val="0"/>
          <w:sz w:val="24"/>
          <w:szCs w:val="24"/>
          <w:lang w:eastAsia="en-GB"/>
          <w14:ligatures w14:val="none"/>
        </w:rPr>
      </w:pPr>
      <w:r w:rsidRPr="00600141">
        <w:rPr>
          <w:rFonts w:ascii="Arial" w:eastAsia="Times New Roman" w:hAnsi="Arial" w:cs="Arial"/>
          <w:i/>
          <w:iCs/>
          <w:kern w:val="0"/>
          <w:sz w:val="24"/>
          <w:szCs w:val="24"/>
          <w:lang w:eastAsia="en-GB"/>
          <w14:ligatures w14:val="none"/>
        </w:rPr>
        <w:t>For further details please refer to these links</w:t>
      </w:r>
    </w:p>
    <w:p w14:paraId="1512732F" w14:textId="77777777" w:rsidR="00600141" w:rsidRPr="00600141" w:rsidRDefault="00000000" w:rsidP="00600141">
      <w:pPr>
        <w:spacing w:after="0" w:line="240" w:lineRule="auto"/>
        <w:rPr>
          <w:rFonts w:ascii="Arial" w:eastAsia="Times New Roman" w:hAnsi="Arial" w:cs="Arial"/>
          <w:i/>
          <w:iCs/>
          <w:kern w:val="0"/>
          <w:sz w:val="24"/>
          <w:szCs w:val="24"/>
          <w:lang w:eastAsia="en-GB"/>
          <w14:ligatures w14:val="none"/>
        </w:rPr>
      </w:pPr>
      <w:hyperlink r:id="rId11" w:history="1">
        <w:r w:rsidR="00600141" w:rsidRPr="00600141">
          <w:rPr>
            <w:rFonts w:ascii="Arial" w:eastAsia="Times New Roman" w:hAnsi="Arial" w:cs="Arial"/>
            <w:i/>
            <w:iCs/>
            <w:color w:val="0000FF"/>
            <w:kern w:val="0"/>
            <w:sz w:val="24"/>
            <w:szCs w:val="24"/>
            <w:u w:val="single"/>
            <w:lang w:eastAsia="en-GB"/>
            <w14:ligatures w14:val="none"/>
          </w:rPr>
          <w:t>https://medicalmalpracticelawyers.com/medication-error-leading-to-veterans-death-results-in-800000-settlement/</w:t>
        </w:r>
      </w:hyperlink>
    </w:p>
    <w:p w14:paraId="7FD99A74" w14:textId="77777777" w:rsidR="00600141" w:rsidRPr="00600141" w:rsidRDefault="00600141" w:rsidP="00600141">
      <w:pPr>
        <w:spacing w:after="0" w:line="240" w:lineRule="auto"/>
        <w:rPr>
          <w:rFonts w:ascii="Arial" w:eastAsia="Times New Roman" w:hAnsi="Arial" w:cs="Arial"/>
          <w:i/>
          <w:iCs/>
          <w:kern w:val="0"/>
          <w:sz w:val="24"/>
          <w:szCs w:val="24"/>
          <w:lang w:eastAsia="en-GB"/>
          <w14:ligatures w14:val="none"/>
        </w:rPr>
      </w:pPr>
    </w:p>
    <w:p w14:paraId="5A073FD0" w14:textId="77777777" w:rsidR="00600141" w:rsidRPr="00600141" w:rsidRDefault="00600141" w:rsidP="00600141">
      <w:pPr>
        <w:spacing w:after="0" w:line="240" w:lineRule="auto"/>
        <w:rPr>
          <w:rFonts w:ascii="Arial" w:eastAsia="Times New Roman" w:hAnsi="Arial" w:cs="Arial"/>
          <w:kern w:val="0"/>
          <w:sz w:val="24"/>
          <w:szCs w:val="24"/>
          <w:lang w:eastAsia="en-GB"/>
          <w14:ligatures w14:val="none"/>
        </w:rPr>
      </w:pPr>
    </w:p>
    <w:p w14:paraId="6327E926" w14:textId="77777777" w:rsidR="00600141" w:rsidRPr="00600141" w:rsidRDefault="00600141" w:rsidP="00600141">
      <w:pPr>
        <w:spacing w:after="0" w:line="240" w:lineRule="auto"/>
        <w:rPr>
          <w:rFonts w:ascii="Arial" w:eastAsia="Times New Roman" w:hAnsi="Arial" w:cs="Arial"/>
          <w:kern w:val="0"/>
          <w:sz w:val="24"/>
          <w:szCs w:val="24"/>
          <w:lang w:eastAsia="en-GB"/>
          <w14:ligatures w14:val="none"/>
        </w:rPr>
      </w:pPr>
    </w:p>
    <w:p w14:paraId="0D2847CD" w14:textId="021C4FA1" w:rsidR="00600141" w:rsidRPr="00600141" w:rsidRDefault="00EA6FD7" w:rsidP="00600141">
      <w:pPr>
        <w:spacing w:after="0" w:line="240" w:lineRule="auto"/>
        <w:rPr>
          <w:rFonts w:ascii="Arial" w:eastAsia="Times New Roman" w:hAnsi="Arial" w:cs="Arial"/>
          <w:kern w:val="0"/>
          <w:sz w:val="24"/>
          <w:szCs w:val="24"/>
          <w:lang w:eastAsia="en-GB"/>
          <w14:ligatures w14:val="none"/>
        </w:rPr>
      </w:pPr>
      <w:r w:rsidRPr="00EA6FD7">
        <w:rPr>
          <w:rFonts w:ascii="Arial" w:eastAsia="Times New Roman" w:hAnsi="Arial" w:cs="Arial"/>
          <w:color w:val="7030A0"/>
          <w:kern w:val="0"/>
          <w:sz w:val="24"/>
          <w:szCs w:val="24"/>
          <w:lang w:eastAsia="en-GB"/>
          <w14:ligatures w14:val="none"/>
        </w:rPr>
        <w:t>Your presentation</w:t>
      </w:r>
      <w:r w:rsidR="00600141" w:rsidRPr="00EA6FD7">
        <w:rPr>
          <w:rFonts w:ascii="Arial" w:eastAsia="Times New Roman" w:hAnsi="Arial" w:cs="Arial"/>
          <w:color w:val="7030A0"/>
          <w:kern w:val="0"/>
          <w:sz w:val="24"/>
          <w:szCs w:val="24"/>
          <w:lang w:eastAsia="en-GB"/>
          <w14:ligatures w14:val="none"/>
        </w:rPr>
        <w:t xml:space="preserve"> should have distinct and clear sections such as </w:t>
      </w:r>
      <w:r w:rsidRPr="00EA6FD7">
        <w:rPr>
          <w:rFonts w:ascii="Arial" w:eastAsia="Times New Roman" w:hAnsi="Arial" w:cs="Arial"/>
          <w:b/>
          <w:bCs/>
          <w:color w:val="7030A0"/>
          <w:kern w:val="0"/>
          <w:sz w:val="24"/>
          <w:szCs w:val="24"/>
          <w:lang w:eastAsia="en-GB"/>
          <w14:ligatures w14:val="none"/>
        </w:rPr>
        <w:t>background/</w:t>
      </w:r>
      <w:r w:rsidR="00600141" w:rsidRPr="00EA6FD7">
        <w:rPr>
          <w:rFonts w:ascii="Arial" w:eastAsia="Times New Roman" w:hAnsi="Arial" w:cs="Arial"/>
          <w:b/>
          <w:bCs/>
          <w:color w:val="7030A0"/>
          <w:kern w:val="0"/>
          <w:sz w:val="24"/>
          <w:szCs w:val="24"/>
          <w:lang w:eastAsia="en-GB"/>
          <w14:ligatures w14:val="none"/>
        </w:rPr>
        <w:t>introduction</w:t>
      </w:r>
      <w:r w:rsidR="00600141" w:rsidRPr="00EA6FD7">
        <w:rPr>
          <w:rFonts w:ascii="Arial" w:eastAsia="Times New Roman" w:hAnsi="Arial" w:cs="Arial"/>
          <w:color w:val="7030A0"/>
          <w:kern w:val="0"/>
          <w:sz w:val="24"/>
          <w:szCs w:val="24"/>
          <w:lang w:eastAsia="en-GB"/>
          <w14:ligatures w14:val="none"/>
        </w:rPr>
        <w:t xml:space="preserve">, </w:t>
      </w:r>
      <w:r w:rsidRPr="00EA6FD7">
        <w:rPr>
          <w:rFonts w:ascii="Arial" w:eastAsia="Times New Roman" w:hAnsi="Arial" w:cs="Arial"/>
          <w:b/>
          <w:bCs/>
          <w:color w:val="7030A0"/>
          <w:kern w:val="0"/>
          <w:sz w:val="24"/>
          <w:szCs w:val="24"/>
          <w:lang w:eastAsia="en-GB"/>
          <w14:ligatures w14:val="none"/>
        </w:rPr>
        <w:t>analysis</w:t>
      </w:r>
      <w:r w:rsidR="00600141" w:rsidRPr="00EA6FD7">
        <w:rPr>
          <w:rFonts w:ascii="Arial" w:eastAsia="Times New Roman" w:hAnsi="Arial" w:cs="Arial"/>
          <w:color w:val="7030A0"/>
          <w:kern w:val="0"/>
          <w:sz w:val="24"/>
          <w:szCs w:val="24"/>
          <w:lang w:eastAsia="en-GB"/>
          <w14:ligatures w14:val="none"/>
        </w:rPr>
        <w:t xml:space="preserve"> and provide a summary of findings which act as the </w:t>
      </w:r>
      <w:r w:rsidR="00600141" w:rsidRPr="00EA6FD7">
        <w:rPr>
          <w:rFonts w:ascii="Arial" w:eastAsia="Times New Roman" w:hAnsi="Arial" w:cs="Arial"/>
          <w:b/>
          <w:bCs/>
          <w:color w:val="7030A0"/>
          <w:kern w:val="0"/>
          <w:sz w:val="24"/>
          <w:szCs w:val="24"/>
          <w:lang w:eastAsia="en-GB"/>
          <w14:ligatures w14:val="none"/>
        </w:rPr>
        <w:t>conclusion</w:t>
      </w:r>
      <w:r>
        <w:rPr>
          <w:rFonts w:ascii="Arial" w:eastAsia="Times New Roman" w:hAnsi="Arial" w:cs="Arial"/>
          <w:kern w:val="0"/>
          <w:sz w:val="24"/>
          <w:szCs w:val="24"/>
          <w:lang w:eastAsia="en-GB"/>
          <w14:ligatures w14:val="none"/>
        </w:rPr>
        <w:t>:</w:t>
      </w:r>
    </w:p>
    <w:p w14:paraId="5D5733A6" w14:textId="77777777" w:rsidR="00600141" w:rsidRPr="00600141" w:rsidRDefault="00600141" w:rsidP="00600141">
      <w:pPr>
        <w:spacing w:after="0" w:line="240" w:lineRule="auto"/>
        <w:ind w:left="720"/>
        <w:rPr>
          <w:rFonts w:ascii="Arial" w:eastAsia="Times New Roman" w:hAnsi="Arial" w:cs="Arial"/>
          <w:kern w:val="0"/>
          <w:sz w:val="24"/>
          <w:szCs w:val="24"/>
          <w:lang w:eastAsia="en-GB"/>
          <w14:ligatures w14:val="none"/>
        </w:rPr>
      </w:pPr>
    </w:p>
    <w:p w14:paraId="75655FA3" w14:textId="48CF86AE" w:rsidR="00600141" w:rsidRPr="00600141" w:rsidRDefault="00EA6FD7" w:rsidP="00600141">
      <w:pPr>
        <w:spacing w:after="0" w:line="240" w:lineRule="auto"/>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t>Background/</w:t>
      </w:r>
      <w:r w:rsidR="00600141" w:rsidRPr="00600141">
        <w:rPr>
          <w:rFonts w:ascii="Arial" w:eastAsia="Times New Roman" w:hAnsi="Arial" w:cs="Arial"/>
          <w:b/>
          <w:bCs/>
          <w:kern w:val="0"/>
          <w:sz w:val="24"/>
          <w:szCs w:val="24"/>
          <w:lang w:eastAsia="en-GB"/>
          <w14:ligatures w14:val="none"/>
        </w:rPr>
        <w:t xml:space="preserve">Introduction </w:t>
      </w:r>
    </w:p>
    <w:p w14:paraId="4D12E57A" w14:textId="75A63360" w:rsidR="00600141" w:rsidRPr="00600141" w:rsidRDefault="00600141" w:rsidP="00600141">
      <w:pPr>
        <w:spacing w:after="0" w:line="240" w:lineRule="auto"/>
        <w:rPr>
          <w:rFonts w:ascii="Arial" w:eastAsia="Times New Roman" w:hAnsi="Arial" w:cs="Arial"/>
          <w:kern w:val="0"/>
          <w:sz w:val="24"/>
          <w:szCs w:val="24"/>
          <w:lang w:eastAsia="en-GB"/>
          <w14:ligatures w14:val="none"/>
        </w:rPr>
      </w:pPr>
      <w:r w:rsidRPr="00600141">
        <w:rPr>
          <w:rFonts w:ascii="Arial" w:eastAsia="Times New Roman" w:hAnsi="Arial" w:cs="Arial"/>
          <w:kern w:val="0"/>
          <w:sz w:val="24"/>
          <w:szCs w:val="24"/>
          <w:lang w:eastAsia="en-GB"/>
          <w14:ligatures w14:val="none"/>
        </w:rPr>
        <w:t xml:space="preserve">The </w:t>
      </w:r>
      <w:r w:rsidR="00EA6FD7">
        <w:rPr>
          <w:rFonts w:ascii="Arial" w:eastAsia="Times New Roman" w:hAnsi="Arial" w:cs="Arial"/>
          <w:kern w:val="0"/>
          <w:sz w:val="24"/>
          <w:szCs w:val="24"/>
          <w:lang w:eastAsia="en-GB"/>
          <w14:ligatures w14:val="none"/>
        </w:rPr>
        <w:t>presentation</w:t>
      </w:r>
      <w:r w:rsidRPr="00600141">
        <w:rPr>
          <w:rFonts w:ascii="Arial" w:eastAsia="Times New Roman" w:hAnsi="Arial" w:cs="Arial"/>
          <w:kern w:val="0"/>
          <w:sz w:val="24"/>
          <w:szCs w:val="24"/>
          <w:lang w:eastAsia="en-GB"/>
          <w14:ligatures w14:val="none"/>
        </w:rPr>
        <w:t xml:space="preserve"> should have clear and distinct sections such as introduction, which identifies the background, with evidential support to help establish the identified problem as a concern.</w:t>
      </w:r>
    </w:p>
    <w:p w14:paraId="68FA5D7F" w14:textId="77777777" w:rsidR="00600141" w:rsidRPr="00600141" w:rsidRDefault="00600141" w:rsidP="00600141">
      <w:pPr>
        <w:spacing w:after="0" w:line="240" w:lineRule="auto"/>
        <w:ind w:left="720"/>
        <w:rPr>
          <w:rFonts w:ascii="Arial" w:eastAsia="Times New Roman" w:hAnsi="Arial" w:cs="Arial"/>
          <w:kern w:val="0"/>
          <w:sz w:val="24"/>
          <w:szCs w:val="24"/>
          <w:lang w:eastAsia="en-GB"/>
          <w14:ligatures w14:val="none"/>
        </w:rPr>
      </w:pPr>
    </w:p>
    <w:p w14:paraId="67E1CBB8" w14:textId="040DE85C" w:rsidR="00600141" w:rsidRPr="00600141" w:rsidRDefault="00600141" w:rsidP="00600141">
      <w:pPr>
        <w:spacing w:after="0" w:line="240" w:lineRule="auto"/>
        <w:rPr>
          <w:rFonts w:ascii="Arial" w:eastAsia="Times New Roman" w:hAnsi="Arial" w:cs="Arial"/>
          <w:b/>
          <w:bCs/>
          <w:kern w:val="0"/>
          <w:sz w:val="24"/>
          <w:szCs w:val="24"/>
          <w:lang w:eastAsia="en-GB"/>
          <w14:ligatures w14:val="none"/>
        </w:rPr>
      </w:pPr>
      <w:r w:rsidRPr="00600141">
        <w:rPr>
          <w:rFonts w:ascii="Arial" w:eastAsia="Times New Roman" w:hAnsi="Arial" w:cs="Arial"/>
          <w:b/>
          <w:bCs/>
          <w:kern w:val="0"/>
          <w:sz w:val="24"/>
          <w:szCs w:val="24"/>
          <w:lang w:eastAsia="en-GB"/>
          <w14:ligatures w14:val="none"/>
        </w:rPr>
        <w:t xml:space="preserve">Analysis </w:t>
      </w:r>
    </w:p>
    <w:p w14:paraId="5C5131FA" w14:textId="60402552" w:rsidR="00600141" w:rsidRPr="00600141" w:rsidRDefault="00600141" w:rsidP="00600141">
      <w:pPr>
        <w:spacing w:after="0" w:line="240" w:lineRule="auto"/>
        <w:rPr>
          <w:rFonts w:ascii="Arial" w:eastAsia="Times New Roman" w:hAnsi="Arial" w:cs="Arial"/>
          <w:kern w:val="0"/>
          <w:sz w:val="24"/>
          <w:szCs w:val="24"/>
          <w:lang w:eastAsia="en-GB"/>
          <w14:ligatures w14:val="none"/>
        </w:rPr>
      </w:pPr>
      <w:r w:rsidRPr="00600141">
        <w:rPr>
          <w:rFonts w:ascii="Arial" w:eastAsia="Times New Roman" w:hAnsi="Arial" w:cs="Arial"/>
          <w:kern w:val="0"/>
          <w:sz w:val="24"/>
          <w:szCs w:val="24"/>
          <w:lang w:eastAsia="en-GB"/>
          <w14:ligatures w14:val="none"/>
        </w:rPr>
        <w:t>The main section which brings together the key concepts with rationale for selection and a</w:t>
      </w:r>
      <w:r w:rsidR="00EA6FD7">
        <w:rPr>
          <w:rFonts w:ascii="Arial" w:eastAsia="Times New Roman" w:hAnsi="Arial" w:cs="Arial"/>
          <w:kern w:val="0"/>
          <w:sz w:val="24"/>
          <w:szCs w:val="24"/>
          <w:lang w:eastAsia="en-GB"/>
          <w14:ligatures w14:val="none"/>
        </w:rPr>
        <w:t xml:space="preserve">n </w:t>
      </w:r>
      <w:r w:rsidR="00EA6FD7" w:rsidRPr="00EA6FD7">
        <w:rPr>
          <w:rFonts w:ascii="Arial" w:eastAsia="Times New Roman" w:hAnsi="Arial" w:cs="Arial"/>
          <w:kern w:val="0"/>
          <w:sz w:val="24"/>
          <w:szCs w:val="24"/>
          <w:u w:val="single"/>
          <w:lang w:eastAsia="en-GB"/>
          <w14:ligatures w14:val="none"/>
        </w:rPr>
        <w:t>application &amp;</w:t>
      </w:r>
      <w:r w:rsidRPr="00EA6FD7">
        <w:rPr>
          <w:rFonts w:ascii="Arial" w:eastAsia="Times New Roman" w:hAnsi="Arial" w:cs="Arial"/>
          <w:kern w:val="0"/>
          <w:sz w:val="24"/>
          <w:szCs w:val="24"/>
          <w:u w:val="single"/>
          <w:lang w:eastAsia="en-GB"/>
          <w14:ligatures w14:val="none"/>
        </w:rPr>
        <w:t xml:space="preserve"> critique of </w:t>
      </w:r>
      <w:r w:rsidR="00071D88">
        <w:rPr>
          <w:rFonts w:ascii="Arial" w:eastAsia="Times New Roman" w:hAnsi="Arial" w:cs="Arial"/>
          <w:kern w:val="0"/>
          <w:sz w:val="24"/>
          <w:szCs w:val="24"/>
          <w:u w:val="single"/>
          <w:lang w:eastAsia="en-GB"/>
          <w14:ligatures w14:val="none"/>
        </w:rPr>
        <w:t xml:space="preserve">Leadership </w:t>
      </w:r>
      <w:r w:rsidRPr="00EA6FD7">
        <w:rPr>
          <w:rFonts w:ascii="Arial" w:eastAsia="Times New Roman" w:hAnsi="Arial" w:cs="Arial"/>
          <w:kern w:val="0"/>
          <w:sz w:val="24"/>
          <w:szCs w:val="24"/>
          <w:u w:val="single"/>
          <w:lang w:eastAsia="en-GB"/>
          <w14:ligatures w14:val="none"/>
        </w:rPr>
        <w:t>theor</w:t>
      </w:r>
      <w:r w:rsidR="00071D88">
        <w:rPr>
          <w:rFonts w:ascii="Arial" w:eastAsia="Times New Roman" w:hAnsi="Arial" w:cs="Arial"/>
          <w:kern w:val="0"/>
          <w:sz w:val="24"/>
          <w:szCs w:val="24"/>
          <w:u w:val="single"/>
          <w:lang w:eastAsia="en-GB"/>
          <w14:ligatures w14:val="none"/>
        </w:rPr>
        <w:t>ies and styles</w:t>
      </w:r>
      <w:r w:rsidR="00B81FD9">
        <w:rPr>
          <w:rFonts w:ascii="Arial" w:eastAsia="Times New Roman" w:hAnsi="Arial" w:cs="Arial"/>
          <w:kern w:val="0"/>
          <w:sz w:val="24"/>
          <w:szCs w:val="24"/>
          <w:u w:val="single"/>
          <w:lang w:eastAsia="en-GB"/>
          <w14:ligatures w14:val="none"/>
        </w:rPr>
        <w:t xml:space="preserve"> and centralization and decentralization power</w:t>
      </w:r>
      <w:r w:rsidRPr="00600141">
        <w:rPr>
          <w:rFonts w:ascii="Arial" w:eastAsia="Times New Roman" w:hAnsi="Arial" w:cs="Arial"/>
          <w:kern w:val="0"/>
          <w:sz w:val="24"/>
          <w:szCs w:val="24"/>
          <w:lang w:eastAsia="en-GB"/>
          <w14:ligatures w14:val="none"/>
        </w:rPr>
        <w:t xml:space="preserve">, with application and supported by peer reviewed literature. </w:t>
      </w:r>
    </w:p>
    <w:p w14:paraId="31F71F62" w14:textId="77777777" w:rsidR="00600141" w:rsidRPr="00600141" w:rsidRDefault="00600141" w:rsidP="00600141">
      <w:pPr>
        <w:spacing w:after="0" w:line="240" w:lineRule="auto"/>
        <w:ind w:left="720"/>
        <w:rPr>
          <w:rFonts w:ascii="Arial" w:eastAsia="Times New Roman" w:hAnsi="Arial" w:cs="Arial"/>
          <w:kern w:val="0"/>
          <w:sz w:val="24"/>
          <w:szCs w:val="24"/>
          <w:lang w:eastAsia="en-GB"/>
          <w14:ligatures w14:val="none"/>
        </w:rPr>
      </w:pPr>
    </w:p>
    <w:p w14:paraId="707BCB17" w14:textId="262AB15C" w:rsidR="00600141" w:rsidRPr="00600141" w:rsidRDefault="00600141" w:rsidP="00600141">
      <w:pPr>
        <w:spacing w:after="0" w:line="240" w:lineRule="auto"/>
        <w:rPr>
          <w:rFonts w:ascii="Arial" w:eastAsia="Times New Roman" w:hAnsi="Arial" w:cs="Arial"/>
          <w:b/>
          <w:bCs/>
          <w:kern w:val="0"/>
          <w:sz w:val="24"/>
          <w:szCs w:val="24"/>
          <w:lang w:eastAsia="en-GB"/>
          <w14:ligatures w14:val="none"/>
        </w:rPr>
      </w:pPr>
      <w:r w:rsidRPr="00600141">
        <w:rPr>
          <w:rFonts w:ascii="Arial" w:eastAsia="Times New Roman" w:hAnsi="Arial" w:cs="Arial"/>
          <w:b/>
          <w:bCs/>
          <w:kern w:val="0"/>
          <w:sz w:val="24"/>
          <w:szCs w:val="24"/>
          <w:lang w:eastAsia="en-GB"/>
          <w14:ligatures w14:val="none"/>
        </w:rPr>
        <w:t xml:space="preserve">Recommendation </w:t>
      </w:r>
    </w:p>
    <w:p w14:paraId="582B1F0D" w14:textId="013B10FB" w:rsidR="00600141" w:rsidRPr="00600141" w:rsidRDefault="00600141" w:rsidP="00600141">
      <w:pPr>
        <w:spacing w:after="0" w:line="240" w:lineRule="auto"/>
        <w:rPr>
          <w:rFonts w:ascii="Arial" w:eastAsia="Times New Roman" w:hAnsi="Arial" w:cs="Arial"/>
          <w:kern w:val="0"/>
          <w:sz w:val="24"/>
          <w:szCs w:val="24"/>
          <w:lang w:eastAsia="en-GB"/>
          <w14:ligatures w14:val="none"/>
        </w:rPr>
      </w:pPr>
      <w:r w:rsidRPr="00600141">
        <w:rPr>
          <w:rFonts w:ascii="Arial" w:eastAsia="Times New Roman" w:hAnsi="Arial" w:cs="Arial"/>
          <w:kern w:val="0"/>
          <w:sz w:val="24"/>
          <w:szCs w:val="24"/>
          <w:lang w:eastAsia="en-GB"/>
          <w14:ligatures w14:val="none"/>
        </w:rPr>
        <w:t xml:space="preserve">Short summary of your recommendation in relation to leadership style, team and </w:t>
      </w:r>
      <w:r w:rsidR="00EA6FD7">
        <w:rPr>
          <w:rFonts w:ascii="Arial" w:eastAsia="Times New Roman" w:hAnsi="Arial" w:cs="Arial"/>
          <w:kern w:val="0"/>
          <w:sz w:val="24"/>
          <w:szCs w:val="24"/>
          <w:lang w:eastAsia="en-GB"/>
          <w14:ligatures w14:val="none"/>
        </w:rPr>
        <w:t>organisation/healthcare system.</w:t>
      </w:r>
    </w:p>
    <w:p w14:paraId="09530C91" w14:textId="77777777" w:rsidR="00600141" w:rsidRPr="00600141" w:rsidRDefault="00600141" w:rsidP="00600141">
      <w:pPr>
        <w:spacing w:after="0" w:line="240" w:lineRule="auto"/>
        <w:ind w:left="720"/>
        <w:jc w:val="right"/>
        <w:rPr>
          <w:rFonts w:ascii="Arial" w:eastAsia="Times New Roman" w:hAnsi="Arial" w:cs="Arial"/>
          <w:kern w:val="0"/>
          <w:sz w:val="24"/>
          <w:szCs w:val="24"/>
          <w:lang w:eastAsia="en-GB"/>
          <w14:ligatures w14:val="none"/>
        </w:rPr>
      </w:pPr>
    </w:p>
    <w:p w14:paraId="5215DE28" w14:textId="204AC794" w:rsidR="00600141" w:rsidRPr="00600141" w:rsidRDefault="00600141" w:rsidP="00600141">
      <w:pPr>
        <w:spacing w:after="0" w:line="240" w:lineRule="auto"/>
        <w:rPr>
          <w:rFonts w:ascii="Arial" w:eastAsia="Times New Roman" w:hAnsi="Arial" w:cs="Arial"/>
          <w:b/>
          <w:bCs/>
          <w:kern w:val="0"/>
          <w:sz w:val="24"/>
          <w:szCs w:val="24"/>
          <w:lang w:eastAsia="en-GB"/>
          <w14:ligatures w14:val="none"/>
        </w:rPr>
      </w:pPr>
      <w:r w:rsidRPr="00600141">
        <w:rPr>
          <w:rFonts w:ascii="Arial" w:eastAsia="Times New Roman" w:hAnsi="Arial" w:cs="Arial"/>
          <w:b/>
          <w:bCs/>
          <w:kern w:val="0"/>
          <w:sz w:val="24"/>
          <w:szCs w:val="24"/>
          <w:lang w:eastAsia="en-GB"/>
          <w14:ligatures w14:val="none"/>
        </w:rPr>
        <w:t xml:space="preserve">Conclusion and reflection </w:t>
      </w:r>
    </w:p>
    <w:p w14:paraId="2BF88950" w14:textId="5E8B773D" w:rsidR="00600141" w:rsidRPr="00EA6FD7" w:rsidRDefault="00600141" w:rsidP="00600141">
      <w:pPr>
        <w:spacing w:after="0" w:line="240" w:lineRule="auto"/>
        <w:rPr>
          <w:rFonts w:ascii="Arial" w:eastAsia="Times New Roman" w:hAnsi="Arial" w:cs="Arial"/>
          <w:kern w:val="0"/>
          <w:sz w:val="24"/>
          <w:szCs w:val="24"/>
          <w:lang w:eastAsia="en-GB"/>
          <w14:ligatures w14:val="none"/>
        </w:rPr>
      </w:pPr>
      <w:r w:rsidRPr="00600141">
        <w:rPr>
          <w:rFonts w:ascii="Arial" w:eastAsia="Times New Roman" w:hAnsi="Arial" w:cs="Arial"/>
          <w:kern w:val="0"/>
          <w:sz w:val="24"/>
          <w:szCs w:val="24"/>
          <w:lang w:eastAsia="en-GB"/>
          <w14:ligatures w14:val="none"/>
        </w:rPr>
        <w:t xml:space="preserve">The </w:t>
      </w:r>
      <w:r w:rsidR="00EA6FD7">
        <w:rPr>
          <w:rFonts w:ascii="Arial" w:eastAsia="Times New Roman" w:hAnsi="Arial" w:cs="Arial"/>
          <w:kern w:val="0"/>
          <w:sz w:val="24"/>
          <w:szCs w:val="24"/>
          <w:lang w:eastAsia="en-GB"/>
          <w14:ligatures w14:val="none"/>
        </w:rPr>
        <w:t xml:space="preserve">presentation </w:t>
      </w:r>
      <w:r w:rsidRPr="00600141">
        <w:rPr>
          <w:rFonts w:ascii="Arial" w:eastAsia="Times New Roman" w:hAnsi="Arial" w:cs="Arial"/>
          <w:kern w:val="0"/>
          <w:sz w:val="24"/>
          <w:szCs w:val="24"/>
          <w:lang w:eastAsia="en-GB"/>
          <w14:ligatures w14:val="none"/>
        </w:rPr>
        <w:t xml:space="preserve">should provide a summary of findings which act as the conclusion. A </w:t>
      </w:r>
      <w:r w:rsidRPr="00EA6FD7">
        <w:rPr>
          <w:rFonts w:ascii="Arial" w:eastAsia="Times New Roman" w:hAnsi="Arial" w:cs="Arial"/>
          <w:kern w:val="0"/>
          <w:sz w:val="24"/>
          <w:szCs w:val="24"/>
          <w:u w:val="single"/>
          <w:lang w:eastAsia="en-GB"/>
          <w14:ligatures w14:val="none"/>
        </w:rPr>
        <w:t>reflection section</w:t>
      </w:r>
      <w:r w:rsidRPr="00600141">
        <w:rPr>
          <w:rFonts w:ascii="Arial" w:eastAsia="Times New Roman" w:hAnsi="Arial" w:cs="Arial"/>
          <w:kern w:val="0"/>
          <w:sz w:val="24"/>
          <w:szCs w:val="24"/>
          <w:lang w:eastAsia="en-GB"/>
          <w14:ligatures w14:val="none"/>
        </w:rPr>
        <w:t xml:space="preserve"> should evaluate your interaction with the </w:t>
      </w:r>
      <w:r w:rsidR="0023185C">
        <w:rPr>
          <w:rFonts w:ascii="Arial" w:eastAsia="Times New Roman" w:hAnsi="Arial" w:cs="Arial"/>
          <w:kern w:val="0"/>
          <w:sz w:val="24"/>
          <w:szCs w:val="24"/>
          <w:lang w:eastAsia="en-GB"/>
          <w14:ligatures w14:val="none"/>
        </w:rPr>
        <w:t>module</w:t>
      </w:r>
      <w:r w:rsidRPr="00600141">
        <w:rPr>
          <w:rFonts w:ascii="Arial" w:eastAsia="Times New Roman" w:hAnsi="Arial" w:cs="Arial"/>
          <w:kern w:val="0"/>
          <w:sz w:val="24"/>
          <w:szCs w:val="24"/>
          <w:lang w:eastAsia="en-GB"/>
          <w14:ligatures w14:val="none"/>
        </w:rPr>
        <w:t xml:space="preserve"> and learning to develop a stronger learning and development strateg</w:t>
      </w:r>
      <w:r w:rsidR="0023185C">
        <w:rPr>
          <w:rFonts w:ascii="Arial" w:eastAsia="Times New Roman" w:hAnsi="Arial" w:cs="Arial"/>
          <w:kern w:val="0"/>
          <w:sz w:val="24"/>
          <w:szCs w:val="24"/>
          <w:lang w:eastAsia="en-GB"/>
          <w14:ligatures w14:val="none"/>
        </w:rPr>
        <w:t>y</w:t>
      </w:r>
      <w:r w:rsidRPr="00600141">
        <w:rPr>
          <w:rFonts w:ascii="Arial" w:eastAsia="Times New Roman" w:hAnsi="Arial" w:cs="Arial"/>
          <w:kern w:val="0"/>
          <w:sz w:val="24"/>
          <w:szCs w:val="24"/>
          <w:lang w:eastAsia="en-GB"/>
          <w14:ligatures w14:val="none"/>
        </w:rPr>
        <w:t xml:space="preserve">. For example are there any major lessons learnt from the different parts of the </w:t>
      </w:r>
      <w:r w:rsidR="0023185C">
        <w:rPr>
          <w:rFonts w:ascii="Arial" w:eastAsia="Times New Roman" w:hAnsi="Arial" w:cs="Arial"/>
          <w:kern w:val="0"/>
          <w:sz w:val="24"/>
          <w:szCs w:val="24"/>
          <w:lang w:eastAsia="en-GB"/>
          <w14:ligatures w14:val="none"/>
        </w:rPr>
        <w:t>module</w:t>
      </w:r>
      <w:r w:rsidRPr="00600141">
        <w:rPr>
          <w:rFonts w:ascii="Arial" w:eastAsia="Times New Roman" w:hAnsi="Arial" w:cs="Arial"/>
          <w:kern w:val="0"/>
          <w:sz w:val="24"/>
          <w:szCs w:val="24"/>
          <w:lang w:eastAsia="en-GB"/>
          <w14:ligatures w14:val="none"/>
        </w:rPr>
        <w:t xml:space="preserve">? What did you learn from this </w:t>
      </w:r>
      <w:r w:rsidR="00EA6FD7">
        <w:rPr>
          <w:rFonts w:ascii="Arial" w:eastAsia="Times New Roman" w:hAnsi="Arial" w:cs="Arial"/>
          <w:kern w:val="0"/>
          <w:sz w:val="24"/>
          <w:szCs w:val="24"/>
          <w:lang w:eastAsia="en-GB"/>
          <w14:ligatures w14:val="none"/>
        </w:rPr>
        <w:t>exercise</w:t>
      </w:r>
      <w:r w:rsidRPr="00600141">
        <w:rPr>
          <w:rFonts w:ascii="Arial" w:eastAsia="Times New Roman" w:hAnsi="Arial" w:cs="Arial"/>
          <w:kern w:val="0"/>
          <w:sz w:val="24"/>
          <w:szCs w:val="24"/>
          <w:lang w:eastAsia="en-GB"/>
          <w14:ligatures w14:val="none"/>
        </w:rPr>
        <w:t xml:space="preserve">? Have you been able to stitch the different learning outcomes? What went well and what needs addressing? Are there any issues that </w:t>
      </w:r>
      <w:r w:rsidRPr="00EA6FD7">
        <w:rPr>
          <w:rFonts w:ascii="Arial" w:eastAsia="Times New Roman" w:hAnsi="Arial" w:cs="Arial"/>
          <w:kern w:val="0"/>
          <w:sz w:val="24"/>
          <w:szCs w:val="24"/>
          <w:lang w:eastAsia="en-GB"/>
          <w14:ligatures w14:val="none"/>
        </w:rPr>
        <w:t>you can apply to your professional/personal life?</w:t>
      </w:r>
    </w:p>
    <w:p w14:paraId="78B8814D" w14:textId="77777777" w:rsidR="00600141" w:rsidRPr="00EA6FD7" w:rsidRDefault="00600141" w:rsidP="00600141">
      <w:pPr>
        <w:spacing w:after="0" w:line="240" w:lineRule="auto"/>
        <w:rPr>
          <w:rFonts w:ascii="Arial" w:eastAsia="Times New Roman" w:hAnsi="Arial" w:cs="Arial"/>
          <w:kern w:val="0"/>
          <w:sz w:val="24"/>
          <w:szCs w:val="24"/>
          <w:lang w:eastAsia="en-GB"/>
          <w14:ligatures w14:val="none"/>
        </w:rPr>
      </w:pPr>
      <w:r w:rsidRPr="00EA6FD7">
        <w:rPr>
          <w:rFonts w:ascii="Arial" w:eastAsia="Times New Roman" w:hAnsi="Arial" w:cs="Arial"/>
          <w:kern w:val="0"/>
          <w:sz w:val="24"/>
          <w:szCs w:val="24"/>
          <w:lang w:eastAsia="en-GB"/>
          <w14:ligatures w14:val="none"/>
        </w:rPr>
        <w:t> </w:t>
      </w:r>
    </w:p>
    <w:p w14:paraId="59454C80" w14:textId="77777777" w:rsidR="00600141" w:rsidRPr="00EA6FD7" w:rsidRDefault="00600141" w:rsidP="00600141">
      <w:pPr>
        <w:spacing w:after="0" w:line="240" w:lineRule="auto"/>
        <w:rPr>
          <w:rFonts w:ascii="Arial" w:eastAsia="Times New Roman" w:hAnsi="Arial" w:cs="Arial"/>
          <w:kern w:val="0"/>
          <w:sz w:val="24"/>
          <w:szCs w:val="24"/>
          <w:lang w:eastAsia="en-GB"/>
          <w14:ligatures w14:val="none"/>
        </w:rPr>
      </w:pPr>
    </w:p>
    <w:p w14:paraId="16674FB5" w14:textId="009F736E" w:rsidR="00BC578A" w:rsidRPr="00EA6FD7" w:rsidRDefault="00EA6FD7">
      <w:pPr>
        <w:rPr>
          <w:rFonts w:ascii="Arial" w:hAnsi="Arial" w:cs="Arial"/>
          <w:color w:val="7030A0"/>
          <w:sz w:val="24"/>
          <w:szCs w:val="24"/>
          <w:u w:val="single"/>
        </w:rPr>
      </w:pPr>
      <w:r w:rsidRPr="00EA6FD7">
        <w:rPr>
          <w:rFonts w:ascii="Arial" w:hAnsi="Arial" w:cs="Arial"/>
          <w:color w:val="7030A0"/>
          <w:sz w:val="24"/>
          <w:szCs w:val="24"/>
          <w:u w:val="single"/>
        </w:rPr>
        <w:t>Your presentation should last approximately 5-10 minutes to allow time for questions.</w:t>
      </w:r>
    </w:p>
    <w:sectPr w:rsidR="00BC578A" w:rsidRPr="00EA6F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141"/>
    <w:rsid w:val="000314D6"/>
    <w:rsid w:val="00071D88"/>
    <w:rsid w:val="001234EB"/>
    <w:rsid w:val="00155B00"/>
    <w:rsid w:val="0023185C"/>
    <w:rsid w:val="00600141"/>
    <w:rsid w:val="00801676"/>
    <w:rsid w:val="00842A51"/>
    <w:rsid w:val="00B81FD9"/>
    <w:rsid w:val="00BC578A"/>
    <w:rsid w:val="00D70094"/>
    <w:rsid w:val="00EA6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AFBF3"/>
  <w15:chartTrackingRefBased/>
  <w15:docId w15:val="{01E881C3-9DC0-4CEA-ACF2-0C84E6728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xnews.com/story/actors-anguish-quaid-twins-overdose-highlights-deadly-effect-of-hospital-error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yourlawyer.com/defective-drugs/heparin/dennis-quaid-baxter-healthcare/"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euters.com/article/people-quaid-idUSN2515279520100525" TargetMode="External"/><Relationship Id="rId11" Type="http://schemas.openxmlformats.org/officeDocument/2006/relationships/hyperlink" Target="https://medicalmalpracticelawyers.com/medication-error-leading-to-veterans-death-results-in-800000-settlement/" TargetMode="External"/><Relationship Id="rId5" Type="http://schemas.openxmlformats.org/officeDocument/2006/relationships/hyperlink" Target="https://www.reuters.com/article/us-quaid-idUSTRE64O6R220100525" TargetMode="External"/><Relationship Id="rId10" Type="http://schemas.openxmlformats.org/officeDocument/2006/relationships/hyperlink" Target="https://www.thestate.com/news/local/crime/article223281650.html" TargetMode="External"/><Relationship Id="rId4" Type="http://schemas.openxmlformats.org/officeDocument/2006/relationships/hyperlink" Target="https://psmf.org/story/lewis-blackman/" TargetMode="External"/><Relationship Id="rId9" Type="http://schemas.openxmlformats.org/officeDocument/2006/relationships/hyperlink" Target="https://nypost.com/2022/03/28/ex-nurse-found-guilty-in-womans-death-after-accidentally-injecting-her-with-wrong-dru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857</Words>
  <Characters>4887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Fahad Khan</dc:creator>
  <cp:keywords/>
  <dc:description/>
  <cp:lastModifiedBy>Fahad Khan</cp:lastModifiedBy>
  <cp:revision>9</cp:revision>
  <dcterms:created xsi:type="dcterms:W3CDTF">2024-08-22T11:32:00Z</dcterms:created>
  <dcterms:modified xsi:type="dcterms:W3CDTF">2024-10-02T05:10:00Z</dcterms:modified>
</cp:coreProperties>
</file>