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013CA" w14:textId="77777777" w:rsidR="00FC2D64" w:rsidRPr="00C06DB4" w:rsidRDefault="00FC2D64" w:rsidP="00F01CF0">
      <w:pPr>
        <w:keepNext/>
        <w:keepLines/>
        <w:widowControl w:val="0"/>
        <w:spacing w:line="240" w:lineRule="auto"/>
        <w:ind w:firstLine="0"/>
        <w:jc w:val="center"/>
        <w:rPr>
          <w:rFonts w:ascii="Arial" w:eastAsia="Calibri" w:hAnsi="Arial" w:cs="Arial"/>
          <w:b/>
          <w:bCs/>
          <w:sz w:val="44"/>
          <w:szCs w:val="44"/>
        </w:rPr>
      </w:pPr>
      <w:r w:rsidRPr="00C06DB4">
        <w:rPr>
          <w:rFonts w:ascii="Arial" w:eastAsia="Calibri" w:hAnsi="Arial" w:cs="Arial"/>
          <w:b/>
          <w:bCs/>
          <w:sz w:val="44"/>
          <w:szCs w:val="44"/>
        </w:rPr>
        <w:t>UNIVERSITY OF WALES</w:t>
      </w:r>
    </w:p>
    <w:p w14:paraId="3DA4101D" w14:textId="77777777" w:rsidR="00FC2D64" w:rsidRPr="00C06DB4" w:rsidRDefault="00FC2D64" w:rsidP="00F01CF0">
      <w:pPr>
        <w:keepNext/>
        <w:keepLines/>
        <w:widowControl w:val="0"/>
        <w:spacing w:line="240" w:lineRule="auto"/>
        <w:ind w:firstLine="0"/>
        <w:jc w:val="center"/>
        <w:rPr>
          <w:rFonts w:ascii="Calibri Light" w:eastAsia="Calibri" w:hAnsi="Calibri Light" w:cs="Arial"/>
          <w:color w:val="2F5496"/>
        </w:rPr>
      </w:pPr>
      <w:r w:rsidRPr="00C06DB4">
        <w:rPr>
          <w:rFonts w:ascii="Arial" w:eastAsia="Calibri" w:hAnsi="Arial" w:cs="Arial"/>
          <w:b/>
          <w:bCs/>
          <w:sz w:val="44"/>
          <w:szCs w:val="44"/>
        </w:rPr>
        <w:t>TRINITY SAINT DAVID</w:t>
      </w:r>
    </w:p>
    <w:p w14:paraId="5A0AF94E" w14:textId="447F95E1" w:rsidR="00FC2D64" w:rsidRDefault="00FC2D64" w:rsidP="00F01CF0">
      <w:pPr>
        <w:keepNext/>
        <w:keepLines/>
        <w:widowControl w:val="0"/>
        <w:ind w:firstLine="0"/>
        <w:jc w:val="center"/>
        <w:rPr>
          <w:rFonts w:ascii="Calibri Light" w:eastAsia="Calibri" w:hAnsi="Calibri Light" w:cs="Arial"/>
          <w:color w:val="2F5496"/>
          <w:sz w:val="24"/>
          <w:szCs w:val="24"/>
        </w:rPr>
      </w:pPr>
    </w:p>
    <w:p w14:paraId="56622CEB" w14:textId="77777777" w:rsidR="003623FC" w:rsidRDefault="003623FC" w:rsidP="00F01CF0">
      <w:pPr>
        <w:keepNext/>
        <w:keepLines/>
        <w:widowControl w:val="0"/>
        <w:ind w:firstLine="0"/>
        <w:jc w:val="center"/>
        <w:rPr>
          <w:rFonts w:ascii="Calibri Light" w:eastAsia="Calibri" w:hAnsi="Calibri Light" w:cs="Arial"/>
          <w:color w:val="2F5496"/>
          <w:sz w:val="24"/>
          <w:szCs w:val="24"/>
        </w:rPr>
      </w:pPr>
    </w:p>
    <w:p w14:paraId="41F5C748" w14:textId="77777777" w:rsidR="00AE0571" w:rsidRDefault="00AE0571" w:rsidP="00F01CF0">
      <w:pPr>
        <w:keepNext/>
        <w:keepLines/>
        <w:widowControl w:val="0"/>
        <w:ind w:firstLine="0"/>
        <w:jc w:val="center"/>
        <w:rPr>
          <w:rFonts w:ascii="Calibri Light" w:eastAsia="Calibri" w:hAnsi="Calibri Light" w:cs="Arial"/>
          <w:color w:val="2F5496"/>
          <w:sz w:val="24"/>
          <w:szCs w:val="24"/>
        </w:rPr>
      </w:pPr>
    </w:p>
    <w:p w14:paraId="3EF38C25" w14:textId="77777777" w:rsidR="003623FC" w:rsidRDefault="003623FC" w:rsidP="00F01CF0">
      <w:pPr>
        <w:keepNext/>
        <w:keepLines/>
        <w:widowControl w:val="0"/>
        <w:ind w:firstLine="0"/>
        <w:jc w:val="center"/>
        <w:rPr>
          <w:rFonts w:ascii="Calibri Light" w:eastAsia="Calibri" w:hAnsi="Calibri Light" w:cs="Arial"/>
          <w:color w:val="2F5496"/>
          <w:sz w:val="24"/>
          <w:szCs w:val="24"/>
        </w:rPr>
      </w:pPr>
    </w:p>
    <w:p w14:paraId="37E1E0DD" w14:textId="6E7FB971" w:rsidR="00AE0571" w:rsidRDefault="00FC2D64" w:rsidP="00162084">
      <w:pPr>
        <w:spacing w:line="279" w:lineRule="auto"/>
        <w:ind w:firstLine="0"/>
        <w:jc w:val="center"/>
        <w:rPr>
          <w:rFonts w:ascii="Aptos" w:eastAsia="Aptos" w:hAnsi="Aptos" w:cs="Aptos"/>
          <w:b/>
          <w:bCs/>
          <w:sz w:val="32"/>
          <w:szCs w:val="32"/>
        </w:rPr>
      </w:pPr>
      <w:r w:rsidRPr="003731DD">
        <w:rPr>
          <w:rFonts w:ascii="Arial" w:eastAsia="Calibri" w:hAnsi="Arial" w:cs="Arial"/>
          <w:b/>
          <w:bCs/>
          <w:sz w:val="32"/>
          <w:szCs w:val="32"/>
        </w:rPr>
        <w:t xml:space="preserve">Topic:  </w:t>
      </w:r>
      <w:r w:rsidR="00871AD4" w:rsidRPr="003731DD">
        <w:rPr>
          <w:rFonts w:ascii="Arial" w:hAnsi="Arial" w:cs="Arial"/>
          <w:b/>
          <w:sz w:val="32"/>
          <w:szCs w:val="32"/>
        </w:rPr>
        <w:t>Written</w:t>
      </w:r>
      <w:r w:rsidR="001D2315" w:rsidRPr="003731DD">
        <w:rPr>
          <w:rFonts w:ascii="Arial" w:eastAsia="Calibri" w:hAnsi="Arial" w:cs="Arial"/>
          <w:b/>
          <w:bCs/>
          <w:sz w:val="32"/>
          <w:szCs w:val="32"/>
        </w:rPr>
        <w:t xml:space="preserve"> Report</w:t>
      </w:r>
      <w:r w:rsidR="003623FC" w:rsidRPr="003731DD">
        <w:rPr>
          <w:rFonts w:ascii="Arial" w:eastAsia="Calibri" w:hAnsi="Arial" w:cs="Arial"/>
          <w:b/>
          <w:bCs/>
          <w:sz w:val="32"/>
          <w:szCs w:val="32"/>
        </w:rPr>
        <w:t xml:space="preserve">: </w:t>
      </w:r>
    </w:p>
    <w:p w14:paraId="7950DA53" w14:textId="73CE1D59" w:rsidR="00162084" w:rsidRPr="003731DD" w:rsidRDefault="00046A77" w:rsidP="00162084">
      <w:pPr>
        <w:spacing w:line="279" w:lineRule="auto"/>
        <w:ind w:firstLine="0"/>
        <w:jc w:val="center"/>
        <w:rPr>
          <w:rFonts w:ascii="Arial" w:eastAsia="Calibri" w:hAnsi="Arial" w:cs="Arial"/>
          <w:b/>
          <w:bCs/>
          <w:sz w:val="32"/>
          <w:szCs w:val="32"/>
        </w:rPr>
      </w:pPr>
      <w:r>
        <w:rPr>
          <w:rFonts w:ascii="Arial" w:eastAsia="Calibri" w:hAnsi="Arial" w:cs="Arial"/>
          <w:b/>
          <w:bCs/>
          <w:sz w:val="32"/>
          <w:szCs w:val="32"/>
        </w:rPr>
        <w:t>E</w:t>
      </w:r>
      <w:r w:rsidR="00162084" w:rsidRPr="00162084">
        <w:rPr>
          <w:rFonts w:ascii="Arial" w:eastAsia="Calibri" w:hAnsi="Arial" w:cs="Arial"/>
          <w:b/>
          <w:bCs/>
          <w:sz w:val="32"/>
          <w:szCs w:val="32"/>
        </w:rPr>
        <w:t xml:space="preserve">valuation of </w:t>
      </w:r>
      <w:r>
        <w:rPr>
          <w:rFonts w:ascii="Arial" w:eastAsia="Calibri" w:hAnsi="Arial" w:cs="Arial"/>
          <w:b/>
          <w:bCs/>
          <w:sz w:val="32"/>
          <w:szCs w:val="32"/>
        </w:rPr>
        <w:t>person-centred</w:t>
      </w:r>
      <w:r w:rsidR="00162084" w:rsidRPr="00162084">
        <w:rPr>
          <w:rFonts w:ascii="Arial" w:eastAsia="Calibri" w:hAnsi="Arial" w:cs="Arial"/>
          <w:b/>
          <w:bCs/>
          <w:sz w:val="32"/>
          <w:szCs w:val="32"/>
        </w:rPr>
        <w:t xml:space="preserve"> care (PCC) and partnership working (PW)</w:t>
      </w:r>
    </w:p>
    <w:p w14:paraId="5BA3F577" w14:textId="77777777" w:rsidR="003623FC" w:rsidRDefault="003623FC" w:rsidP="00F01CF0">
      <w:pPr>
        <w:ind w:firstLine="0"/>
        <w:jc w:val="center"/>
        <w:rPr>
          <w:rFonts w:ascii="Arial" w:eastAsia="Calibri" w:hAnsi="Arial" w:cs="Arial"/>
          <w:b/>
          <w:bCs/>
          <w:sz w:val="36"/>
          <w:szCs w:val="36"/>
        </w:rPr>
      </w:pPr>
    </w:p>
    <w:p w14:paraId="3E84240F" w14:textId="119649F5" w:rsidR="00C06DB4" w:rsidRDefault="00B118F2" w:rsidP="00F01CF0">
      <w:pPr>
        <w:spacing w:line="240" w:lineRule="auto"/>
        <w:ind w:firstLine="0"/>
        <w:jc w:val="center"/>
        <w:rPr>
          <w:rFonts w:ascii="Arial" w:eastAsia="Calibri" w:hAnsi="Arial" w:cs="Arial"/>
          <w:b/>
          <w:bCs/>
          <w:sz w:val="36"/>
          <w:szCs w:val="36"/>
        </w:rPr>
      </w:pPr>
      <w:r>
        <w:rPr>
          <w:rFonts w:ascii="Arial" w:eastAsia="Calibri" w:hAnsi="Arial" w:cs="Arial"/>
          <w:b/>
          <w:bCs/>
          <w:sz w:val="36"/>
          <w:szCs w:val="36"/>
        </w:rPr>
        <w:t xml:space="preserve">Student: </w:t>
      </w:r>
      <w:r w:rsidR="00DE63DF">
        <w:rPr>
          <w:rFonts w:ascii="Arial" w:eastAsia="Calibri" w:hAnsi="Arial" w:cs="Arial"/>
          <w:b/>
          <w:bCs/>
          <w:sz w:val="36"/>
          <w:szCs w:val="36"/>
        </w:rPr>
        <w:t>Ha</w:t>
      </w:r>
      <w:r w:rsidR="00F11CBC">
        <w:rPr>
          <w:rFonts w:ascii="Arial" w:eastAsia="Calibri" w:hAnsi="Arial" w:cs="Arial"/>
          <w:b/>
          <w:bCs/>
          <w:sz w:val="36"/>
          <w:szCs w:val="36"/>
        </w:rPr>
        <w:t>z</w:t>
      </w:r>
      <w:r w:rsidR="00DE63DF">
        <w:rPr>
          <w:rFonts w:ascii="Arial" w:eastAsia="Calibri" w:hAnsi="Arial" w:cs="Arial"/>
          <w:b/>
          <w:bCs/>
          <w:sz w:val="36"/>
          <w:szCs w:val="36"/>
        </w:rPr>
        <w:t>ra Bibi</w:t>
      </w:r>
      <w:r w:rsidR="00C06DB4">
        <w:rPr>
          <w:rFonts w:ascii="Arial" w:eastAsia="Calibri" w:hAnsi="Arial" w:cs="Arial"/>
          <w:b/>
          <w:bCs/>
          <w:sz w:val="36"/>
          <w:szCs w:val="36"/>
        </w:rPr>
        <w:t>:</w:t>
      </w:r>
    </w:p>
    <w:p w14:paraId="0F424154" w14:textId="2F8B565A" w:rsidR="00AE0571" w:rsidRDefault="00C06DB4" w:rsidP="00F01CF0">
      <w:pPr>
        <w:spacing w:line="240" w:lineRule="auto"/>
        <w:ind w:firstLine="0"/>
        <w:jc w:val="center"/>
        <w:rPr>
          <w:rFonts w:cs="Calibri"/>
        </w:rPr>
      </w:pPr>
      <w:r>
        <w:rPr>
          <w:rFonts w:ascii="Arial" w:eastAsia="Calibri" w:hAnsi="Arial" w:cs="Arial"/>
          <w:b/>
          <w:bCs/>
          <w:sz w:val="36"/>
          <w:szCs w:val="36"/>
        </w:rPr>
        <w:t xml:space="preserve">Student number: </w:t>
      </w:r>
      <w:r w:rsidR="00F11CBC">
        <w:rPr>
          <w:rFonts w:ascii="Arial" w:eastAsia="Calibri" w:hAnsi="Arial" w:cs="Arial"/>
          <w:b/>
          <w:bCs/>
          <w:sz w:val="36"/>
          <w:szCs w:val="36"/>
        </w:rPr>
        <w:t>2420438</w:t>
      </w:r>
    </w:p>
    <w:p w14:paraId="14360834" w14:textId="7D8C2E9C" w:rsidR="00FC2D64" w:rsidRDefault="00FC2D64" w:rsidP="00F01CF0">
      <w:pPr>
        <w:ind w:firstLine="0"/>
        <w:jc w:val="center"/>
        <w:rPr>
          <w:rFonts w:cs="Calibri"/>
        </w:rPr>
      </w:pPr>
    </w:p>
    <w:p w14:paraId="4E972AD6" w14:textId="77777777" w:rsidR="001E7D9D" w:rsidRDefault="001E7D9D" w:rsidP="00F01CF0">
      <w:pPr>
        <w:ind w:firstLine="0"/>
        <w:jc w:val="center"/>
        <w:rPr>
          <w:rFonts w:cs="Calibri"/>
        </w:rPr>
      </w:pPr>
    </w:p>
    <w:p w14:paraId="4EEAE747" w14:textId="77777777" w:rsidR="003623FC" w:rsidRDefault="003623FC" w:rsidP="00F01CF0">
      <w:pPr>
        <w:ind w:firstLine="0"/>
        <w:jc w:val="center"/>
        <w:rPr>
          <w:rFonts w:cs="Calibri"/>
        </w:rPr>
      </w:pPr>
    </w:p>
    <w:p w14:paraId="12E753FD" w14:textId="77777777" w:rsidR="001E7D9D" w:rsidRDefault="001E7D9D" w:rsidP="00F01CF0">
      <w:pPr>
        <w:ind w:firstLine="0"/>
        <w:jc w:val="center"/>
        <w:rPr>
          <w:rFonts w:cs="Calibri"/>
        </w:rPr>
      </w:pPr>
    </w:p>
    <w:p w14:paraId="4C749DDE" w14:textId="3E2CC569" w:rsidR="00B118F2" w:rsidRPr="00C06DB4" w:rsidRDefault="00B118F2" w:rsidP="00F01CF0">
      <w:pPr>
        <w:keepNext/>
        <w:keepLines/>
        <w:widowControl w:val="0"/>
        <w:spacing w:line="240" w:lineRule="auto"/>
        <w:ind w:firstLine="0"/>
        <w:jc w:val="center"/>
        <w:rPr>
          <w:rFonts w:ascii="Arial" w:eastAsia="Calibri" w:hAnsi="Arial" w:cs="Arial"/>
          <w:b/>
          <w:bCs/>
          <w:sz w:val="32"/>
          <w:szCs w:val="32"/>
        </w:rPr>
      </w:pPr>
      <w:r w:rsidRPr="00C06DB4">
        <w:rPr>
          <w:rFonts w:ascii="Arial" w:eastAsia="Calibri" w:hAnsi="Arial" w:cs="Arial"/>
          <w:b/>
          <w:bCs/>
          <w:sz w:val="32"/>
          <w:szCs w:val="32"/>
        </w:rPr>
        <w:t>Programme</w:t>
      </w:r>
      <w:r w:rsidR="00FC2D64" w:rsidRPr="00C06DB4">
        <w:rPr>
          <w:rFonts w:ascii="Arial" w:eastAsia="Calibri" w:hAnsi="Arial" w:cs="Arial"/>
          <w:b/>
          <w:bCs/>
          <w:sz w:val="32"/>
          <w:szCs w:val="32"/>
        </w:rPr>
        <w:t>: Skills for the Workplace Health and Social Care</w:t>
      </w:r>
    </w:p>
    <w:p w14:paraId="6199071A" w14:textId="77777777" w:rsidR="00C06DB4" w:rsidRDefault="00C06DB4" w:rsidP="00F01CF0">
      <w:pPr>
        <w:keepNext/>
        <w:keepLines/>
        <w:widowControl w:val="0"/>
        <w:ind w:firstLine="0"/>
        <w:jc w:val="center"/>
        <w:rPr>
          <w:rFonts w:ascii="Arial" w:eastAsia="Calibri" w:hAnsi="Arial" w:cs="Arial"/>
          <w:b/>
          <w:bCs/>
          <w:sz w:val="36"/>
          <w:szCs w:val="36"/>
        </w:rPr>
      </w:pPr>
    </w:p>
    <w:p w14:paraId="33410116" w14:textId="77777777" w:rsidR="001E7D9D" w:rsidRDefault="001E7D9D" w:rsidP="00F01CF0">
      <w:pPr>
        <w:keepNext/>
        <w:keepLines/>
        <w:widowControl w:val="0"/>
        <w:ind w:firstLine="0"/>
        <w:jc w:val="center"/>
        <w:rPr>
          <w:rFonts w:ascii="Arial" w:eastAsia="Calibri" w:hAnsi="Arial" w:cs="Arial"/>
          <w:b/>
          <w:bCs/>
          <w:sz w:val="36"/>
          <w:szCs w:val="36"/>
        </w:rPr>
      </w:pPr>
    </w:p>
    <w:p w14:paraId="7A9F919E" w14:textId="1A16ECEC" w:rsidR="00B118F2" w:rsidRPr="00417169" w:rsidRDefault="00B118F2" w:rsidP="00F01CF0">
      <w:pPr>
        <w:keepNext/>
        <w:keepLines/>
        <w:widowControl w:val="0"/>
        <w:spacing w:line="240" w:lineRule="auto"/>
        <w:ind w:firstLine="0"/>
        <w:jc w:val="center"/>
        <w:rPr>
          <w:rFonts w:ascii="Arial" w:eastAsia="Calibri" w:hAnsi="Arial" w:cs="Arial"/>
          <w:b/>
          <w:bCs/>
          <w:sz w:val="32"/>
          <w:szCs w:val="32"/>
        </w:rPr>
      </w:pPr>
      <w:r w:rsidRPr="00417169">
        <w:rPr>
          <w:rFonts w:ascii="Arial" w:eastAsia="Calibri" w:hAnsi="Arial" w:cs="Arial"/>
          <w:b/>
          <w:bCs/>
          <w:sz w:val="32"/>
          <w:szCs w:val="32"/>
        </w:rPr>
        <w:t xml:space="preserve">Module: </w:t>
      </w:r>
      <w:r w:rsidR="00FC49B9" w:rsidRPr="00417169">
        <w:rPr>
          <w:rFonts w:ascii="Arial" w:hAnsi="Arial" w:cs="Arial"/>
          <w:b/>
          <w:sz w:val="32"/>
          <w:szCs w:val="32"/>
        </w:rPr>
        <w:t>Principles of Health and Social Care Practice</w:t>
      </w:r>
      <w:r w:rsidR="00FC49B9" w:rsidRPr="00417169">
        <w:rPr>
          <w:rFonts w:ascii="Arial" w:eastAsia="Calibri" w:hAnsi="Arial" w:cs="Arial"/>
          <w:b/>
          <w:bCs/>
          <w:sz w:val="32"/>
          <w:szCs w:val="32"/>
        </w:rPr>
        <w:t xml:space="preserve"> </w:t>
      </w:r>
      <w:r w:rsidR="00417169" w:rsidRPr="00417169">
        <w:rPr>
          <w:rFonts w:ascii="Arial" w:hAnsi="Arial" w:cs="Arial"/>
          <w:b/>
          <w:sz w:val="32"/>
          <w:szCs w:val="32"/>
        </w:rPr>
        <w:t>BMHP5016</w:t>
      </w:r>
    </w:p>
    <w:p w14:paraId="1BA7D073" w14:textId="77777777" w:rsidR="001E7D9D" w:rsidRDefault="001E7D9D" w:rsidP="00F01CF0">
      <w:pPr>
        <w:ind w:firstLine="0"/>
        <w:jc w:val="center"/>
        <w:rPr>
          <w:rFonts w:ascii="Arial" w:eastAsia="Calibri" w:hAnsi="Arial" w:cs="Arial"/>
          <w:b/>
          <w:bCs/>
          <w:sz w:val="32"/>
          <w:szCs w:val="32"/>
        </w:rPr>
      </w:pPr>
    </w:p>
    <w:p w14:paraId="46C429D6" w14:textId="3F948DBE" w:rsidR="00FC2D64" w:rsidRDefault="00FC2D64" w:rsidP="00F01CF0">
      <w:pPr>
        <w:ind w:firstLine="0"/>
        <w:jc w:val="center"/>
        <w:rPr>
          <w:rFonts w:ascii="Arial" w:eastAsia="Calibri" w:hAnsi="Arial" w:cs="Arial"/>
          <w:b/>
          <w:bCs/>
          <w:sz w:val="32"/>
          <w:szCs w:val="32"/>
        </w:rPr>
      </w:pPr>
    </w:p>
    <w:p w14:paraId="433EF988" w14:textId="24168DBD" w:rsidR="00B118F2" w:rsidRPr="009E1986" w:rsidRDefault="00B118F2" w:rsidP="00F01CF0">
      <w:pPr>
        <w:ind w:firstLine="0"/>
        <w:jc w:val="center"/>
        <w:rPr>
          <w:rFonts w:ascii="Arial" w:eastAsia="Calibri" w:hAnsi="Arial" w:cs="Arial"/>
          <w:b/>
          <w:bCs/>
          <w:sz w:val="36"/>
          <w:szCs w:val="36"/>
        </w:rPr>
      </w:pPr>
      <w:r w:rsidRPr="009E1986">
        <w:rPr>
          <w:rFonts w:ascii="Arial" w:eastAsia="Calibri" w:hAnsi="Arial" w:cs="Arial"/>
          <w:b/>
          <w:bCs/>
          <w:sz w:val="36"/>
          <w:szCs w:val="36"/>
        </w:rPr>
        <w:t xml:space="preserve">Lecture: Dr </w:t>
      </w:r>
      <w:r w:rsidR="009E1986" w:rsidRPr="009E1986">
        <w:rPr>
          <w:rFonts w:ascii="Arial" w:hAnsi="Arial" w:cs="Arial"/>
          <w:b/>
          <w:sz w:val="36"/>
          <w:szCs w:val="36"/>
        </w:rPr>
        <w:t>Chloe Harries</w:t>
      </w:r>
    </w:p>
    <w:p w14:paraId="20BF08D3" w14:textId="410E8319" w:rsidR="00FC2D64" w:rsidRDefault="00FC2D64" w:rsidP="00F01CF0">
      <w:pPr>
        <w:ind w:firstLine="0"/>
        <w:jc w:val="center"/>
        <w:rPr>
          <w:rFonts w:ascii="Arial" w:eastAsia="Calibri" w:hAnsi="Arial" w:cs="Arial"/>
          <w:b/>
          <w:bCs/>
          <w:sz w:val="32"/>
          <w:szCs w:val="32"/>
        </w:rPr>
      </w:pPr>
    </w:p>
    <w:p w14:paraId="5BC24C69" w14:textId="64C81E16" w:rsidR="00FC2D64" w:rsidRDefault="00FC2D64" w:rsidP="00F01CF0">
      <w:pPr>
        <w:ind w:firstLine="0"/>
        <w:jc w:val="center"/>
        <w:rPr>
          <w:rFonts w:ascii="Arial" w:eastAsia="Calibri" w:hAnsi="Arial" w:cs="Arial"/>
          <w:b/>
          <w:bCs/>
          <w:sz w:val="32"/>
          <w:szCs w:val="32"/>
        </w:rPr>
      </w:pPr>
    </w:p>
    <w:p w14:paraId="0D5E4A36" w14:textId="1472C206" w:rsidR="00BE2BFF" w:rsidRDefault="00046A77" w:rsidP="00F01CF0">
      <w:pPr>
        <w:keepNext/>
        <w:keepLines/>
        <w:widowControl w:val="0"/>
        <w:ind w:firstLine="0"/>
        <w:jc w:val="center"/>
        <w:rPr>
          <w:rFonts w:ascii="Arial" w:eastAsia="Calibri" w:hAnsi="Arial" w:cs="Arial"/>
          <w:b/>
          <w:bCs/>
          <w:sz w:val="36"/>
          <w:szCs w:val="36"/>
        </w:rPr>
      </w:pPr>
      <w:r>
        <w:rPr>
          <w:rFonts w:ascii="Arial" w:eastAsia="Calibri" w:hAnsi="Arial" w:cs="Arial"/>
          <w:b/>
          <w:bCs/>
          <w:sz w:val="36"/>
          <w:szCs w:val="36"/>
        </w:rPr>
        <w:t>2</w:t>
      </w:r>
      <w:r w:rsidR="00F01CF0">
        <w:rPr>
          <w:rFonts w:ascii="Arial" w:eastAsia="Calibri" w:hAnsi="Arial" w:cs="Arial"/>
          <w:b/>
          <w:bCs/>
          <w:sz w:val="36"/>
          <w:szCs w:val="36"/>
        </w:rPr>
        <w:t>5</w:t>
      </w:r>
      <w:r w:rsidR="00FC2D64">
        <w:rPr>
          <w:rFonts w:ascii="Arial" w:eastAsia="Calibri" w:hAnsi="Arial" w:cs="Arial"/>
          <w:b/>
          <w:bCs/>
          <w:sz w:val="36"/>
          <w:szCs w:val="36"/>
        </w:rPr>
        <w:t>/</w:t>
      </w:r>
      <w:r w:rsidR="00156EEC">
        <w:rPr>
          <w:rFonts w:ascii="Arial" w:eastAsia="Calibri" w:hAnsi="Arial" w:cs="Arial"/>
          <w:b/>
          <w:bCs/>
          <w:sz w:val="36"/>
          <w:szCs w:val="36"/>
        </w:rPr>
        <w:t>0</w:t>
      </w:r>
      <w:r w:rsidR="00F01CF0">
        <w:rPr>
          <w:rFonts w:ascii="Arial" w:eastAsia="Calibri" w:hAnsi="Arial" w:cs="Arial"/>
          <w:b/>
          <w:bCs/>
          <w:sz w:val="36"/>
          <w:szCs w:val="36"/>
        </w:rPr>
        <w:t>7</w:t>
      </w:r>
      <w:r w:rsidR="00FC2D64">
        <w:rPr>
          <w:rFonts w:ascii="Arial" w:eastAsia="Calibri" w:hAnsi="Arial" w:cs="Arial"/>
          <w:b/>
          <w:bCs/>
          <w:sz w:val="36"/>
          <w:szCs w:val="36"/>
        </w:rPr>
        <w:t>/2</w:t>
      </w:r>
      <w:r w:rsidR="00F01CF0">
        <w:rPr>
          <w:rFonts w:ascii="Arial" w:eastAsia="Calibri" w:hAnsi="Arial" w:cs="Arial"/>
          <w:b/>
          <w:bCs/>
          <w:sz w:val="36"/>
          <w:szCs w:val="36"/>
        </w:rPr>
        <w:t>6</w:t>
      </w:r>
    </w:p>
    <w:p w14:paraId="08D5A1EC" w14:textId="77777777" w:rsidR="00BE2BFF" w:rsidRDefault="00BE2BFF" w:rsidP="00F01CF0">
      <w:pPr>
        <w:ind w:firstLine="0"/>
        <w:jc w:val="center"/>
      </w:pPr>
    </w:p>
    <w:sdt>
      <w:sdtPr>
        <w:rPr>
          <w:rFonts w:ascii="Calibri" w:eastAsia="Times New Roman" w:hAnsi="Calibri" w:cs="Times New Roman"/>
          <w:color w:val="auto"/>
          <w:sz w:val="22"/>
          <w:szCs w:val="22"/>
          <w:lang w:eastAsia="zh-CN"/>
        </w:rPr>
        <w:id w:val="-1186438017"/>
        <w:docPartObj>
          <w:docPartGallery w:val="Table of Contents"/>
          <w:docPartUnique/>
        </w:docPartObj>
      </w:sdtPr>
      <w:sdtEndPr>
        <w:rPr>
          <w:b/>
          <w:bCs/>
        </w:rPr>
      </w:sdtEndPr>
      <w:sdtContent>
        <w:p w14:paraId="6C742946" w14:textId="6E58B856" w:rsidR="0016511C" w:rsidRDefault="0016511C">
          <w:pPr>
            <w:pStyle w:val="TOCHeading"/>
          </w:pPr>
          <w:r>
            <w:t>Contents</w:t>
          </w:r>
        </w:p>
        <w:p w14:paraId="54E78490" w14:textId="18476A15" w:rsidR="00F848B6" w:rsidRDefault="0016511C">
          <w:pPr>
            <w:pStyle w:val="TOC2"/>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4494933" w:history="1">
            <w:r w:rsidR="00F848B6" w:rsidRPr="001A4D3E">
              <w:rPr>
                <w:rStyle w:val="Hyperlink"/>
                <w:b/>
                <w:bCs/>
                <w:noProof/>
              </w:rPr>
              <w:t>1.</w:t>
            </w:r>
            <w:r w:rsidR="00F848B6">
              <w:rPr>
                <w:rFonts w:asciiTheme="minorHAnsi" w:eastAsiaTheme="minorEastAsia" w:hAnsiTheme="minorHAnsi" w:cstheme="minorBidi"/>
                <w:noProof/>
                <w:kern w:val="2"/>
                <w:sz w:val="24"/>
                <w:szCs w:val="24"/>
                <w:lang w:eastAsia="en-GB"/>
                <w14:ligatures w14:val="standardContextual"/>
              </w:rPr>
              <w:tab/>
            </w:r>
            <w:r w:rsidR="00F848B6" w:rsidRPr="001A4D3E">
              <w:rPr>
                <w:rStyle w:val="Hyperlink"/>
                <w:b/>
                <w:bCs/>
                <w:noProof/>
              </w:rPr>
              <w:t>Introduction</w:t>
            </w:r>
            <w:r w:rsidR="00F848B6">
              <w:rPr>
                <w:noProof/>
                <w:webHidden/>
              </w:rPr>
              <w:tab/>
            </w:r>
            <w:r w:rsidR="00F848B6">
              <w:rPr>
                <w:noProof/>
                <w:webHidden/>
              </w:rPr>
              <w:fldChar w:fldCharType="begin"/>
            </w:r>
            <w:r w:rsidR="00F848B6">
              <w:rPr>
                <w:noProof/>
                <w:webHidden/>
              </w:rPr>
              <w:instrText xml:space="preserve"> PAGEREF _Toc234494933 \h </w:instrText>
            </w:r>
            <w:r w:rsidR="00F848B6">
              <w:rPr>
                <w:noProof/>
                <w:webHidden/>
              </w:rPr>
            </w:r>
            <w:r w:rsidR="00F848B6">
              <w:rPr>
                <w:noProof/>
                <w:webHidden/>
              </w:rPr>
              <w:fldChar w:fldCharType="separate"/>
            </w:r>
            <w:r w:rsidR="00F848B6">
              <w:rPr>
                <w:noProof/>
                <w:webHidden/>
              </w:rPr>
              <w:t>3</w:t>
            </w:r>
            <w:r w:rsidR="00F848B6">
              <w:rPr>
                <w:noProof/>
                <w:webHidden/>
              </w:rPr>
              <w:fldChar w:fldCharType="end"/>
            </w:r>
          </w:hyperlink>
        </w:p>
        <w:p w14:paraId="50D5764E" w14:textId="2876F6D4"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4" w:history="1">
            <w:r w:rsidRPr="001A4D3E">
              <w:rPr>
                <w:rStyle w:val="Hyperlink"/>
                <w:b/>
                <w:bCs/>
                <w:noProof/>
              </w:rPr>
              <w:t>2. Person-centred care (PCC) - the main benefits and limitations of this practice</w:t>
            </w:r>
            <w:r>
              <w:rPr>
                <w:noProof/>
                <w:webHidden/>
              </w:rPr>
              <w:tab/>
            </w:r>
            <w:r>
              <w:rPr>
                <w:noProof/>
                <w:webHidden/>
              </w:rPr>
              <w:fldChar w:fldCharType="begin"/>
            </w:r>
            <w:r>
              <w:rPr>
                <w:noProof/>
                <w:webHidden/>
              </w:rPr>
              <w:instrText xml:space="preserve"> PAGEREF _Toc234494934 \h </w:instrText>
            </w:r>
            <w:r>
              <w:rPr>
                <w:noProof/>
                <w:webHidden/>
              </w:rPr>
            </w:r>
            <w:r>
              <w:rPr>
                <w:noProof/>
                <w:webHidden/>
              </w:rPr>
              <w:fldChar w:fldCharType="separate"/>
            </w:r>
            <w:r>
              <w:rPr>
                <w:noProof/>
                <w:webHidden/>
              </w:rPr>
              <w:t>4</w:t>
            </w:r>
            <w:r>
              <w:rPr>
                <w:noProof/>
                <w:webHidden/>
              </w:rPr>
              <w:fldChar w:fldCharType="end"/>
            </w:r>
          </w:hyperlink>
        </w:p>
        <w:p w14:paraId="2828810E" w14:textId="3A750AE8" w:rsidR="00F848B6" w:rsidRDefault="00F848B6">
          <w:pPr>
            <w:pStyle w:val="TOC2"/>
            <w:tabs>
              <w:tab w:val="left" w:pos="120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5" w:history="1">
            <w:r w:rsidRPr="001A4D3E">
              <w:rPr>
                <w:rStyle w:val="Hyperlink"/>
                <w:b/>
                <w:bCs/>
                <w:noProof/>
              </w:rPr>
              <w:t>3.</w:t>
            </w:r>
            <w:r>
              <w:rPr>
                <w:rFonts w:asciiTheme="minorHAnsi" w:eastAsiaTheme="minorEastAsia" w:hAnsiTheme="minorHAnsi" w:cstheme="minorBidi"/>
                <w:noProof/>
                <w:kern w:val="2"/>
                <w:sz w:val="24"/>
                <w:szCs w:val="24"/>
                <w:lang w:eastAsia="en-GB"/>
                <w14:ligatures w14:val="standardContextual"/>
              </w:rPr>
              <w:tab/>
            </w:r>
            <w:r w:rsidRPr="001A4D3E">
              <w:rPr>
                <w:rStyle w:val="Hyperlink"/>
                <w:b/>
                <w:bCs/>
                <w:noProof/>
              </w:rPr>
              <w:t>Relevant Theory: Carl Rogers' Humanistic Theory Underpins Person-Centred Care</w:t>
            </w:r>
            <w:r>
              <w:rPr>
                <w:noProof/>
                <w:webHidden/>
              </w:rPr>
              <w:tab/>
            </w:r>
            <w:r>
              <w:rPr>
                <w:noProof/>
                <w:webHidden/>
              </w:rPr>
              <w:fldChar w:fldCharType="begin"/>
            </w:r>
            <w:r>
              <w:rPr>
                <w:noProof/>
                <w:webHidden/>
              </w:rPr>
              <w:instrText xml:space="preserve"> PAGEREF _Toc234494935 \h </w:instrText>
            </w:r>
            <w:r>
              <w:rPr>
                <w:noProof/>
                <w:webHidden/>
              </w:rPr>
            </w:r>
            <w:r>
              <w:rPr>
                <w:noProof/>
                <w:webHidden/>
              </w:rPr>
              <w:fldChar w:fldCharType="separate"/>
            </w:r>
            <w:r>
              <w:rPr>
                <w:noProof/>
                <w:webHidden/>
              </w:rPr>
              <w:t>5</w:t>
            </w:r>
            <w:r>
              <w:rPr>
                <w:noProof/>
                <w:webHidden/>
              </w:rPr>
              <w:fldChar w:fldCharType="end"/>
            </w:r>
          </w:hyperlink>
        </w:p>
        <w:p w14:paraId="34EBAD16" w14:textId="50F6387C"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6" w:history="1">
            <w:r w:rsidRPr="001A4D3E">
              <w:rPr>
                <w:rStyle w:val="Hyperlink"/>
                <w:b/>
                <w:bCs/>
                <w:noProof/>
              </w:rPr>
              <w:t>4. Analyse the Ethical Fundamentals of Health and Social Care</w:t>
            </w:r>
            <w:r>
              <w:rPr>
                <w:noProof/>
                <w:webHidden/>
              </w:rPr>
              <w:tab/>
            </w:r>
            <w:r>
              <w:rPr>
                <w:noProof/>
                <w:webHidden/>
              </w:rPr>
              <w:fldChar w:fldCharType="begin"/>
            </w:r>
            <w:r>
              <w:rPr>
                <w:noProof/>
                <w:webHidden/>
              </w:rPr>
              <w:instrText xml:space="preserve"> PAGEREF _Toc234494936 \h </w:instrText>
            </w:r>
            <w:r>
              <w:rPr>
                <w:noProof/>
                <w:webHidden/>
              </w:rPr>
            </w:r>
            <w:r>
              <w:rPr>
                <w:noProof/>
                <w:webHidden/>
              </w:rPr>
              <w:fldChar w:fldCharType="separate"/>
            </w:r>
            <w:r>
              <w:rPr>
                <w:noProof/>
                <w:webHidden/>
              </w:rPr>
              <w:t>6</w:t>
            </w:r>
            <w:r>
              <w:rPr>
                <w:noProof/>
                <w:webHidden/>
              </w:rPr>
              <w:fldChar w:fldCharType="end"/>
            </w:r>
          </w:hyperlink>
        </w:p>
        <w:p w14:paraId="505BE4E8" w14:textId="422FF1C6"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7" w:history="1">
            <w:r w:rsidRPr="001A4D3E">
              <w:rPr>
                <w:rStyle w:val="Hyperlink"/>
                <w:b/>
                <w:bCs/>
                <w:noProof/>
              </w:rPr>
              <w:t>5. Relevant Legislation Supports Person-Centred Care in Health and Social Care</w:t>
            </w:r>
            <w:r>
              <w:rPr>
                <w:noProof/>
                <w:webHidden/>
              </w:rPr>
              <w:tab/>
            </w:r>
            <w:r>
              <w:rPr>
                <w:noProof/>
                <w:webHidden/>
              </w:rPr>
              <w:fldChar w:fldCharType="begin"/>
            </w:r>
            <w:r>
              <w:rPr>
                <w:noProof/>
                <w:webHidden/>
              </w:rPr>
              <w:instrText xml:space="preserve"> PAGEREF _Toc234494937 \h </w:instrText>
            </w:r>
            <w:r>
              <w:rPr>
                <w:noProof/>
                <w:webHidden/>
              </w:rPr>
            </w:r>
            <w:r>
              <w:rPr>
                <w:noProof/>
                <w:webHidden/>
              </w:rPr>
              <w:fldChar w:fldCharType="separate"/>
            </w:r>
            <w:r>
              <w:rPr>
                <w:noProof/>
                <w:webHidden/>
              </w:rPr>
              <w:t>6</w:t>
            </w:r>
            <w:r>
              <w:rPr>
                <w:noProof/>
                <w:webHidden/>
              </w:rPr>
              <w:fldChar w:fldCharType="end"/>
            </w:r>
          </w:hyperlink>
        </w:p>
        <w:p w14:paraId="70696FCB" w14:textId="7364F2D3"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8" w:history="1">
            <w:r w:rsidRPr="001A4D3E">
              <w:rPr>
                <w:rStyle w:val="Hyperlink"/>
                <w:b/>
                <w:bCs/>
                <w:noProof/>
              </w:rPr>
              <w:t>6. The Role of the Health and Care Professions Council (HCPC) and Its Professional Standards in Supporting Person-Centred Care</w:t>
            </w:r>
            <w:r>
              <w:rPr>
                <w:noProof/>
                <w:webHidden/>
              </w:rPr>
              <w:tab/>
            </w:r>
            <w:r>
              <w:rPr>
                <w:noProof/>
                <w:webHidden/>
              </w:rPr>
              <w:fldChar w:fldCharType="begin"/>
            </w:r>
            <w:r>
              <w:rPr>
                <w:noProof/>
                <w:webHidden/>
              </w:rPr>
              <w:instrText xml:space="preserve"> PAGEREF _Toc234494938 \h </w:instrText>
            </w:r>
            <w:r>
              <w:rPr>
                <w:noProof/>
                <w:webHidden/>
              </w:rPr>
            </w:r>
            <w:r>
              <w:rPr>
                <w:noProof/>
                <w:webHidden/>
              </w:rPr>
              <w:fldChar w:fldCharType="separate"/>
            </w:r>
            <w:r>
              <w:rPr>
                <w:noProof/>
                <w:webHidden/>
              </w:rPr>
              <w:t>7</w:t>
            </w:r>
            <w:r>
              <w:rPr>
                <w:noProof/>
                <w:webHidden/>
              </w:rPr>
              <w:fldChar w:fldCharType="end"/>
            </w:r>
          </w:hyperlink>
        </w:p>
        <w:p w14:paraId="17F2C4F2" w14:textId="4672E5F2"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39" w:history="1">
            <w:r w:rsidRPr="001A4D3E">
              <w:rPr>
                <w:rStyle w:val="Hyperlink"/>
                <w:b/>
                <w:bCs/>
                <w:noProof/>
              </w:rPr>
              <w:t>7. The Importance of Partnership Working in Health and Social Care</w:t>
            </w:r>
            <w:r>
              <w:rPr>
                <w:noProof/>
                <w:webHidden/>
              </w:rPr>
              <w:tab/>
            </w:r>
            <w:r>
              <w:rPr>
                <w:noProof/>
                <w:webHidden/>
              </w:rPr>
              <w:fldChar w:fldCharType="begin"/>
            </w:r>
            <w:r>
              <w:rPr>
                <w:noProof/>
                <w:webHidden/>
              </w:rPr>
              <w:instrText xml:space="preserve"> PAGEREF _Toc234494939 \h </w:instrText>
            </w:r>
            <w:r>
              <w:rPr>
                <w:noProof/>
                <w:webHidden/>
              </w:rPr>
            </w:r>
            <w:r>
              <w:rPr>
                <w:noProof/>
                <w:webHidden/>
              </w:rPr>
              <w:fldChar w:fldCharType="separate"/>
            </w:r>
            <w:r>
              <w:rPr>
                <w:noProof/>
                <w:webHidden/>
              </w:rPr>
              <w:t>8</w:t>
            </w:r>
            <w:r>
              <w:rPr>
                <w:noProof/>
                <w:webHidden/>
              </w:rPr>
              <w:fldChar w:fldCharType="end"/>
            </w:r>
          </w:hyperlink>
        </w:p>
        <w:p w14:paraId="577A37AD" w14:textId="464DF700"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40" w:history="1">
            <w:r w:rsidRPr="001A4D3E">
              <w:rPr>
                <w:rStyle w:val="Hyperlink"/>
                <w:b/>
                <w:bCs/>
                <w:noProof/>
              </w:rPr>
              <w:t>8. Challenges and Strategies for Effective Partnership Working in Health and Social Care</w:t>
            </w:r>
            <w:r>
              <w:rPr>
                <w:noProof/>
                <w:webHidden/>
              </w:rPr>
              <w:tab/>
            </w:r>
            <w:r>
              <w:rPr>
                <w:noProof/>
                <w:webHidden/>
              </w:rPr>
              <w:fldChar w:fldCharType="begin"/>
            </w:r>
            <w:r>
              <w:rPr>
                <w:noProof/>
                <w:webHidden/>
              </w:rPr>
              <w:instrText xml:space="preserve"> PAGEREF _Toc234494940 \h </w:instrText>
            </w:r>
            <w:r>
              <w:rPr>
                <w:noProof/>
                <w:webHidden/>
              </w:rPr>
            </w:r>
            <w:r>
              <w:rPr>
                <w:noProof/>
                <w:webHidden/>
              </w:rPr>
              <w:fldChar w:fldCharType="separate"/>
            </w:r>
            <w:r>
              <w:rPr>
                <w:noProof/>
                <w:webHidden/>
              </w:rPr>
              <w:t>8</w:t>
            </w:r>
            <w:r>
              <w:rPr>
                <w:noProof/>
                <w:webHidden/>
              </w:rPr>
              <w:fldChar w:fldCharType="end"/>
            </w:r>
          </w:hyperlink>
        </w:p>
        <w:p w14:paraId="06B6D7CB" w14:textId="647178D3" w:rsidR="00F848B6" w:rsidRDefault="00F848B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41" w:history="1">
            <w:r w:rsidRPr="001A4D3E">
              <w:rPr>
                <w:rStyle w:val="Hyperlink"/>
                <w:b/>
                <w:bCs/>
                <w:noProof/>
              </w:rPr>
              <w:t>9. Conclusion</w:t>
            </w:r>
            <w:r>
              <w:rPr>
                <w:noProof/>
                <w:webHidden/>
              </w:rPr>
              <w:tab/>
            </w:r>
            <w:r>
              <w:rPr>
                <w:noProof/>
                <w:webHidden/>
              </w:rPr>
              <w:fldChar w:fldCharType="begin"/>
            </w:r>
            <w:r>
              <w:rPr>
                <w:noProof/>
                <w:webHidden/>
              </w:rPr>
              <w:instrText xml:space="preserve"> PAGEREF _Toc234494941 \h </w:instrText>
            </w:r>
            <w:r>
              <w:rPr>
                <w:noProof/>
                <w:webHidden/>
              </w:rPr>
            </w:r>
            <w:r>
              <w:rPr>
                <w:noProof/>
                <w:webHidden/>
              </w:rPr>
              <w:fldChar w:fldCharType="separate"/>
            </w:r>
            <w:r>
              <w:rPr>
                <w:noProof/>
                <w:webHidden/>
              </w:rPr>
              <w:t>9</w:t>
            </w:r>
            <w:r>
              <w:rPr>
                <w:noProof/>
                <w:webHidden/>
              </w:rPr>
              <w:fldChar w:fldCharType="end"/>
            </w:r>
          </w:hyperlink>
        </w:p>
        <w:p w14:paraId="2F814876" w14:textId="4224DCA6" w:rsidR="00F848B6" w:rsidRDefault="00F848B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4494942" w:history="1">
            <w:r w:rsidRPr="001A4D3E">
              <w:rPr>
                <w:rStyle w:val="Hyperlink"/>
                <w:b/>
                <w:bCs/>
                <w:noProof/>
              </w:rPr>
              <w:t>References:</w:t>
            </w:r>
            <w:r>
              <w:rPr>
                <w:noProof/>
                <w:webHidden/>
              </w:rPr>
              <w:tab/>
            </w:r>
            <w:r>
              <w:rPr>
                <w:noProof/>
                <w:webHidden/>
              </w:rPr>
              <w:fldChar w:fldCharType="begin"/>
            </w:r>
            <w:r>
              <w:rPr>
                <w:noProof/>
                <w:webHidden/>
              </w:rPr>
              <w:instrText xml:space="preserve"> PAGEREF _Toc234494942 \h </w:instrText>
            </w:r>
            <w:r>
              <w:rPr>
                <w:noProof/>
                <w:webHidden/>
              </w:rPr>
            </w:r>
            <w:r>
              <w:rPr>
                <w:noProof/>
                <w:webHidden/>
              </w:rPr>
              <w:fldChar w:fldCharType="separate"/>
            </w:r>
            <w:r>
              <w:rPr>
                <w:noProof/>
                <w:webHidden/>
              </w:rPr>
              <w:t>10</w:t>
            </w:r>
            <w:r>
              <w:rPr>
                <w:noProof/>
                <w:webHidden/>
              </w:rPr>
              <w:fldChar w:fldCharType="end"/>
            </w:r>
          </w:hyperlink>
        </w:p>
        <w:p w14:paraId="3F6042CA" w14:textId="0DC595CF" w:rsidR="0016511C" w:rsidRDefault="0016511C">
          <w:r>
            <w:rPr>
              <w:b/>
              <w:bCs/>
            </w:rPr>
            <w:fldChar w:fldCharType="end"/>
          </w:r>
        </w:p>
      </w:sdtContent>
    </w:sdt>
    <w:p w14:paraId="3FD02F5F" w14:textId="77777777" w:rsidR="00F0302D" w:rsidRPr="009D4F84" w:rsidRDefault="00F0302D" w:rsidP="0093295C">
      <w:pPr>
        <w:ind w:firstLine="0"/>
        <w:jc w:val="left"/>
        <w:rPr>
          <w:rFonts w:ascii="Arial" w:hAnsi="Arial" w:cs="Arial"/>
        </w:rPr>
      </w:pPr>
    </w:p>
    <w:p w14:paraId="54917392" w14:textId="77777777" w:rsidR="00F0302D" w:rsidRPr="0065539E" w:rsidRDefault="00F0302D" w:rsidP="0065539E">
      <w:pPr>
        <w:ind w:firstLine="0"/>
        <w:jc w:val="center"/>
        <w:rPr>
          <w:rFonts w:ascii="Arial" w:hAnsi="Arial" w:cs="Arial"/>
          <w:sz w:val="20"/>
          <w:szCs w:val="20"/>
        </w:rPr>
      </w:pPr>
    </w:p>
    <w:p w14:paraId="31FE57DF" w14:textId="77777777" w:rsidR="00F0302D" w:rsidRDefault="00F0302D" w:rsidP="00BE2BFF">
      <w:pPr>
        <w:ind w:firstLine="0"/>
        <w:jc w:val="left"/>
        <w:rPr>
          <w:rFonts w:ascii="Arial" w:hAnsi="Arial" w:cs="Arial"/>
          <w:b/>
          <w:bCs/>
        </w:rPr>
      </w:pPr>
    </w:p>
    <w:p w14:paraId="4616217E" w14:textId="77777777" w:rsidR="00F0302D" w:rsidRDefault="00F0302D" w:rsidP="00BE2BFF">
      <w:pPr>
        <w:ind w:firstLine="0"/>
        <w:jc w:val="left"/>
        <w:rPr>
          <w:rFonts w:ascii="Arial" w:hAnsi="Arial" w:cs="Arial"/>
          <w:b/>
          <w:bCs/>
        </w:rPr>
      </w:pPr>
    </w:p>
    <w:p w14:paraId="27B17624" w14:textId="77777777" w:rsidR="00F0302D" w:rsidRDefault="00F0302D" w:rsidP="00BE2BFF">
      <w:pPr>
        <w:ind w:firstLine="0"/>
        <w:jc w:val="left"/>
        <w:rPr>
          <w:rFonts w:ascii="Arial" w:hAnsi="Arial" w:cs="Arial"/>
          <w:b/>
          <w:bCs/>
        </w:rPr>
      </w:pPr>
    </w:p>
    <w:p w14:paraId="23DD22F0" w14:textId="77777777" w:rsidR="00602D61" w:rsidRDefault="00602D61" w:rsidP="00BE2BFF">
      <w:pPr>
        <w:ind w:firstLine="0"/>
        <w:jc w:val="left"/>
        <w:rPr>
          <w:rFonts w:ascii="Arial" w:hAnsi="Arial" w:cs="Arial"/>
          <w:b/>
          <w:bCs/>
        </w:rPr>
      </w:pPr>
    </w:p>
    <w:p w14:paraId="0119B948" w14:textId="77777777" w:rsidR="00602D61" w:rsidRDefault="00602D61" w:rsidP="00BE2BFF">
      <w:pPr>
        <w:ind w:firstLine="0"/>
        <w:jc w:val="left"/>
        <w:rPr>
          <w:rFonts w:ascii="Arial" w:hAnsi="Arial" w:cs="Arial"/>
          <w:b/>
          <w:bCs/>
        </w:rPr>
      </w:pPr>
    </w:p>
    <w:p w14:paraId="52BD6E9C" w14:textId="77777777" w:rsidR="00602D61" w:rsidRDefault="00602D61" w:rsidP="00BE2BFF">
      <w:pPr>
        <w:ind w:firstLine="0"/>
        <w:jc w:val="left"/>
        <w:rPr>
          <w:rFonts w:ascii="Arial" w:hAnsi="Arial" w:cs="Arial"/>
          <w:b/>
          <w:bCs/>
        </w:rPr>
      </w:pPr>
    </w:p>
    <w:p w14:paraId="395E5434" w14:textId="77777777" w:rsidR="00602D61" w:rsidRDefault="00602D61" w:rsidP="00BE2BFF">
      <w:pPr>
        <w:ind w:firstLine="0"/>
        <w:jc w:val="left"/>
        <w:rPr>
          <w:rFonts w:ascii="Arial" w:hAnsi="Arial" w:cs="Arial"/>
          <w:b/>
          <w:bCs/>
        </w:rPr>
      </w:pPr>
    </w:p>
    <w:p w14:paraId="5D6D7B98" w14:textId="77777777" w:rsidR="00602D61" w:rsidRDefault="00602D61" w:rsidP="00BE2BFF">
      <w:pPr>
        <w:ind w:firstLine="0"/>
        <w:jc w:val="left"/>
        <w:rPr>
          <w:rFonts w:ascii="Arial" w:hAnsi="Arial" w:cs="Arial"/>
          <w:b/>
          <w:bCs/>
        </w:rPr>
      </w:pPr>
    </w:p>
    <w:p w14:paraId="3876B569" w14:textId="77777777" w:rsidR="00602D61" w:rsidRDefault="00602D61" w:rsidP="00BE2BFF">
      <w:pPr>
        <w:ind w:firstLine="0"/>
        <w:jc w:val="left"/>
        <w:rPr>
          <w:rFonts w:ascii="Arial" w:hAnsi="Arial" w:cs="Arial"/>
          <w:b/>
          <w:bCs/>
        </w:rPr>
      </w:pPr>
    </w:p>
    <w:p w14:paraId="34B0686E" w14:textId="77777777" w:rsidR="00602D61" w:rsidRDefault="00602D61" w:rsidP="00BE2BFF">
      <w:pPr>
        <w:ind w:firstLine="0"/>
        <w:jc w:val="left"/>
        <w:rPr>
          <w:rFonts w:ascii="Arial" w:hAnsi="Arial" w:cs="Arial"/>
          <w:b/>
          <w:bCs/>
        </w:rPr>
      </w:pPr>
    </w:p>
    <w:p w14:paraId="00766D46" w14:textId="77777777" w:rsidR="00602D61" w:rsidRDefault="00602D61" w:rsidP="00BE2BFF">
      <w:pPr>
        <w:ind w:firstLine="0"/>
        <w:jc w:val="left"/>
        <w:rPr>
          <w:rFonts w:ascii="Arial" w:hAnsi="Arial" w:cs="Arial"/>
          <w:b/>
          <w:bCs/>
        </w:rPr>
      </w:pPr>
    </w:p>
    <w:p w14:paraId="0064AFA7" w14:textId="77777777" w:rsidR="00602D61" w:rsidRDefault="00602D61" w:rsidP="00BE2BFF">
      <w:pPr>
        <w:ind w:firstLine="0"/>
        <w:jc w:val="left"/>
        <w:rPr>
          <w:rFonts w:ascii="Arial" w:hAnsi="Arial" w:cs="Arial"/>
          <w:b/>
          <w:bCs/>
        </w:rPr>
      </w:pPr>
    </w:p>
    <w:p w14:paraId="439E18E7" w14:textId="77777777" w:rsidR="00602D61" w:rsidRDefault="00602D61" w:rsidP="00BE2BFF">
      <w:pPr>
        <w:ind w:firstLine="0"/>
        <w:jc w:val="left"/>
        <w:rPr>
          <w:rFonts w:ascii="Arial" w:hAnsi="Arial" w:cs="Arial"/>
          <w:b/>
          <w:bCs/>
        </w:rPr>
      </w:pPr>
    </w:p>
    <w:p w14:paraId="3F6945F3" w14:textId="77777777" w:rsidR="00602D61" w:rsidRDefault="00602D61" w:rsidP="00BE2BFF">
      <w:pPr>
        <w:ind w:firstLine="0"/>
        <w:jc w:val="left"/>
        <w:rPr>
          <w:rFonts w:ascii="Arial" w:hAnsi="Arial" w:cs="Arial"/>
          <w:b/>
          <w:bCs/>
        </w:rPr>
      </w:pPr>
    </w:p>
    <w:p w14:paraId="7A8A2BB1" w14:textId="77777777" w:rsidR="003F54DB" w:rsidRDefault="003F54DB" w:rsidP="00BE2BFF">
      <w:pPr>
        <w:ind w:firstLine="0"/>
        <w:jc w:val="left"/>
        <w:rPr>
          <w:rFonts w:ascii="Arial" w:hAnsi="Arial" w:cs="Arial"/>
          <w:b/>
          <w:bCs/>
        </w:rPr>
      </w:pPr>
    </w:p>
    <w:p w14:paraId="63DB1D9F" w14:textId="77777777" w:rsidR="004F312B" w:rsidRDefault="004F312B" w:rsidP="00BE2BFF">
      <w:pPr>
        <w:ind w:firstLine="0"/>
        <w:jc w:val="left"/>
        <w:rPr>
          <w:rFonts w:ascii="Arial" w:hAnsi="Arial" w:cs="Arial"/>
          <w:b/>
          <w:bCs/>
        </w:rPr>
      </w:pPr>
    </w:p>
    <w:p w14:paraId="7CCA4744" w14:textId="77777777" w:rsidR="004F312B" w:rsidRDefault="004F312B" w:rsidP="00BE2BFF">
      <w:pPr>
        <w:ind w:firstLine="0"/>
        <w:jc w:val="left"/>
        <w:rPr>
          <w:rFonts w:ascii="Arial" w:hAnsi="Arial" w:cs="Arial"/>
          <w:b/>
          <w:bCs/>
        </w:rPr>
      </w:pPr>
    </w:p>
    <w:p w14:paraId="729019B5" w14:textId="630CD722" w:rsidR="008A5667" w:rsidRDefault="00777559" w:rsidP="00777559">
      <w:pPr>
        <w:pStyle w:val="Heading2"/>
        <w:numPr>
          <w:ilvl w:val="0"/>
          <w:numId w:val="5"/>
        </w:numPr>
        <w:spacing w:before="120"/>
        <w:rPr>
          <w:b/>
          <w:bCs/>
          <w:sz w:val="22"/>
          <w:szCs w:val="22"/>
        </w:rPr>
      </w:pPr>
      <w:bookmarkStart w:id="0" w:name="_Toc234494933"/>
      <w:r>
        <w:rPr>
          <w:b/>
          <w:bCs/>
          <w:sz w:val="22"/>
          <w:szCs w:val="22"/>
        </w:rPr>
        <w:lastRenderedPageBreak/>
        <w:t>Introduction</w:t>
      </w:r>
      <w:bookmarkEnd w:id="0"/>
    </w:p>
    <w:p w14:paraId="64D496F3" w14:textId="77777777" w:rsidR="00FB7913" w:rsidRPr="00FB7913" w:rsidRDefault="00FB7913" w:rsidP="00FB7913">
      <w:pPr>
        <w:rPr>
          <w:rFonts w:ascii="Arial" w:hAnsi="Arial" w:cs="Arial"/>
        </w:rPr>
      </w:pPr>
      <w:r w:rsidRPr="00FB7913">
        <w:rPr>
          <w:rFonts w:ascii="Arial" w:hAnsi="Arial" w:cs="Arial"/>
        </w:rPr>
        <w:t>Increased demand, an ageing population, long-term diseases, and high expectations for high-quality services are transforming UK health and social care. Thus, the NHS has come to realise that clinical skill alone is insufficient to provide quality treatment. Instead, person-centred care (PCC) and successful partnership working (PW) put people at the centre of decision-making and encourage cooperation between healthcare professionals, patients, families, carers, and community agencies. Better health results, patient experiences, dignity, and independence are the goals of this integrated approach.</w:t>
      </w:r>
    </w:p>
    <w:p w14:paraId="4AAFE0D6" w14:textId="77777777" w:rsidR="00FB7913" w:rsidRPr="00FB7913" w:rsidRDefault="00FB7913" w:rsidP="00FB7913">
      <w:pPr>
        <w:rPr>
          <w:rFonts w:ascii="Arial" w:hAnsi="Arial" w:cs="Arial"/>
        </w:rPr>
      </w:pPr>
      <w:r w:rsidRPr="00FB7913">
        <w:rPr>
          <w:rFonts w:ascii="Arial" w:hAnsi="Arial" w:cs="Arial"/>
        </w:rPr>
        <w:t>Ethics, professional responsibility, and evidence-based decision-making influence modern health and social care. Understanding why person-centred methods and partnership working are necessary, how they affect healthcare delivery, and whether they accomplish their intended results is crucial for healthcare workers. These methods may improve the quality of care, but they also create logistical and organisational obstacles that warrant careful appraisal rather than blind adoption.</w:t>
      </w:r>
    </w:p>
    <w:p w14:paraId="5851558C" w14:textId="77777777" w:rsidR="00FB7913" w:rsidRPr="00FB7913" w:rsidRDefault="00FB7913" w:rsidP="00FB7913">
      <w:pPr>
        <w:rPr>
          <w:rFonts w:ascii="Arial" w:hAnsi="Arial" w:cs="Arial"/>
        </w:rPr>
      </w:pPr>
      <w:r w:rsidRPr="00FB7913">
        <w:rPr>
          <w:rFonts w:ascii="Arial" w:hAnsi="Arial" w:cs="Arial"/>
        </w:rPr>
        <w:t>The work critiques person-centred care and partnership working by addressing pertinent ideas, ethics, law, and professional practise. It assesses how these principles enhance NHS healthcare delivery and identifies opportunities for future improvement to enhance patient outcomes, multidisciplinary collaboration, and the quality of health and social care.</w:t>
      </w:r>
    </w:p>
    <w:p w14:paraId="7779AA9D" w14:textId="77777777" w:rsidR="00FB7913" w:rsidRPr="00FB7913" w:rsidRDefault="00FB7913" w:rsidP="00FB7913">
      <w:pPr>
        <w:rPr>
          <w:rFonts w:ascii="Arial" w:hAnsi="Arial" w:cs="Arial"/>
        </w:rPr>
      </w:pPr>
    </w:p>
    <w:p w14:paraId="2DCE6CD5" w14:textId="77777777" w:rsidR="00343265" w:rsidRDefault="00343265" w:rsidP="00BE2BFF">
      <w:pPr>
        <w:ind w:firstLine="0"/>
        <w:jc w:val="left"/>
        <w:rPr>
          <w:rFonts w:ascii="Arial" w:hAnsi="Arial" w:cs="Arial"/>
          <w:b/>
          <w:bCs/>
        </w:rPr>
      </w:pPr>
    </w:p>
    <w:p w14:paraId="15868AF3" w14:textId="77777777" w:rsidR="00777559" w:rsidRDefault="00777559" w:rsidP="00BE2BFF">
      <w:pPr>
        <w:ind w:firstLine="0"/>
        <w:jc w:val="left"/>
        <w:rPr>
          <w:rFonts w:ascii="Arial" w:hAnsi="Arial" w:cs="Arial"/>
          <w:b/>
          <w:bCs/>
        </w:rPr>
      </w:pPr>
    </w:p>
    <w:p w14:paraId="7854CF74" w14:textId="77777777" w:rsidR="00777559" w:rsidRDefault="00777559" w:rsidP="00BE2BFF">
      <w:pPr>
        <w:ind w:firstLine="0"/>
        <w:jc w:val="left"/>
        <w:rPr>
          <w:rFonts w:ascii="Arial" w:hAnsi="Arial" w:cs="Arial"/>
          <w:b/>
          <w:bCs/>
        </w:rPr>
      </w:pPr>
    </w:p>
    <w:p w14:paraId="7DC33D9D" w14:textId="77777777" w:rsidR="00777559" w:rsidRDefault="00777559" w:rsidP="00BE2BFF">
      <w:pPr>
        <w:ind w:firstLine="0"/>
        <w:jc w:val="left"/>
        <w:rPr>
          <w:rFonts w:ascii="Arial" w:hAnsi="Arial" w:cs="Arial"/>
          <w:b/>
          <w:bCs/>
        </w:rPr>
      </w:pPr>
    </w:p>
    <w:p w14:paraId="45ED262F" w14:textId="77777777" w:rsidR="00777559" w:rsidRDefault="00777559" w:rsidP="00BE2BFF">
      <w:pPr>
        <w:ind w:firstLine="0"/>
        <w:jc w:val="left"/>
        <w:rPr>
          <w:rFonts w:ascii="Arial" w:hAnsi="Arial" w:cs="Arial"/>
          <w:b/>
          <w:bCs/>
        </w:rPr>
      </w:pPr>
    </w:p>
    <w:p w14:paraId="3C152616" w14:textId="77777777" w:rsidR="00777559" w:rsidRDefault="00777559" w:rsidP="00BE2BFF">
      <w:pPr>
        <w:ind w:firstLine="0"/>
        <w:jc w:val="left"/>
        <w:rPr>
          <w:rFonts w:ascii="Arial" w:hAnsi="Arial" w:cs="Arial"/>
          <w:b/>
          <w:bCs/>
        </w:rPr>
      </w:pPr>
    </w:p>
    <w:p w14:paraId="765F8482" w14:textId="77777777" w:rsidR="00777559" w:rsidRDefault="00777559" w:rsidP="00BE2BFF">
      <w:pPr>
        <w:ind w:firstLine="0"/>
        <w:jc w:val="left"/>
        <w:rPr>
          <w:rFonts w:ascii="Arial" w:hAnsi="Arial" w:cs="Arial"/>
          <w:b/>
          <w:bCs/>
        </w:rPr>
      </w:pPr>
    </w:p>
    <w:p w14:paraId="3956C404" w14:textId="77777777" w:rsidR="00777559" w:rsidRDefault="00777559" w:rsidP="00BE2BFF">
      <w:pPr>
        <w:ind w:firstLine="0"/>
        <w:jc w:val="left"/>
        <w:rPr>
          <w:rFonts w:ascii="Arial" w:hAnsi="Arial" w:cs="Arial"/>
          <w:b/>
          <w:bCs/>
        </w:rPr>
      </w:pPr>
    </w:p>
    <w:p w14:paraId="3E175776" w14:textId="77777777" w:rsidR="00777559" w:rsidRDefault="00777559" w:rsidP="00BE2BFF">
      <w:pPr>
        <w:ind w:firstLine="0"/>
        <w:jc w:val="left"/>
        <w:rPr>
          <w:rFonts w:ascii="Arial" w:hAnsi="Arial" w:cs="Arial"/>
          <w:b/>
          <w:bCs/>
        </w:rPr>
      </w:pPr>
    </w:p>
    <w:p w14:paraId="61B00BEA" w14:textId="77777777" w:rsidR="00777559" w:rsidRDefault="00777559" w:rsidP="00BE2BFF">
      <w:pPr>
        <w:ind w:firstLine="0"/>
        <w:jc w:val="left"/>
        <w:rPr>
          <w:rFonts w:ascii="Arial" w:hAnsi="Arial" w:cs="Arial"/>
          <w:b/>
          <w:bCs/>
        </w:rPr>
      </w:pPr>
    </w:p>
    <w:p w14:paraId="7DC4E0A8" w14:textId="77777777" w:rsidR="00777559" w:rsidRDefault="00777559" w:rsidP="00BE2BFF">
      <w:pPr>
        <w:ind w:firstLine="0"/>
        <w:jc w:val="left"/>
        <w:rPr>
          <w:rFonts w:ascii="Arial" w:hAnsi="Arial" w:cs="Arial"/>
          <w:b/>
          <w:bCs/>
        </w:rPr>
      </w:pPr>
    </w:p>
    <w:p w14:paraId="5C39E119" w14:textId="77777777" w:rsidR="00777559" w:rsidRDefault="00777559" w:rsidP="00BE2BFF">
      <w:pPr>
        <w:ind w:firstLine="0"/>
        <w:jc w:val="left"/>
        <w:rPr>
          <w:rFonts w:ascii="Arial" w:hAnsi="Arial" w:cs="Arial"/>
          <w:b/>
          <w:bCs/>
        </w:rPr>
      </w:pPr>
    </w:p>
    <w:p w14:paraId="4706A10F" w14:textId="77777777" w:rsidR="00777559" w:rsidRDefault="00777559" w:rsidP="00BE2BFF">
      <w:pPr>
        <w:ind w:firstLine="0"/>
        <w:jc w:val="left"/>
        <w:rPr>
          <w:rFonts w:ascii="Arial" w:hAnsi="Arial" w:cs="Arial"/>
          <w:b/>
          <w:bCs/>
        </w:rPr>
      </w:pPr>
    </w:p>
    <w:p w14:paraId="75BD2228" w14:textId="77777777" w:rsidR="00777559" w:rsidRDefault="00777559" w:rsidP="00BE2BFF">
      <w:pPr>
        <w:ind w:firstLine="0"/>
        <w:jc w:val="left"/>
        <w:rPr>
          <w:rFonts w:ascii="Arial" w:hAnsi="Arial" w:cs="Arial"/>
          <w:b/>
          <w:bCs/>
        </w:rPr>
      </w:pPr>
    </w:p>
    <w:p w14:paraId="308BA204" w14:textId="77777777" w:rsidR="00777559" w:rsidRDefault="00777559" w:rsidP="00BE2BFF">
      <w:pPr>
        <w:ind w:firstLine="0"/>
        <w:jc w:val="left"/>
        <w:rPr>
          <w:rFonts w:ascii="Arial" w:hAnsi="Arial" w:cs="Arial"/>
          <w:b/>
          <w:bCs/>
        </w:rPr>
      </w:pPr>
    </w:p>
    <w:p w14:paraId="7E889C17" w14:textId="77777777" w:rsidR="00777559" w:rsidRDefault="00777559" w:rsidP="00BE2BFF">
      <w:pPr>
        <w:ind w:firstLine="0"/>
        <w:jc w:val="left"/>
        <w:rPr>
          <w:rFonts w:ascii="Arial" w:hAnsi="Arial" w:cs="Arial"/>
          <w:b/>
          <w:bCs/>
        </w:rPr>
      </w:pPr>
    </w:p>
    <w:p w14:paraId="7806363F" w14:textId="644C4C35" w:rsidR="00777559" w:rsidRDefault="00F30E8F" w:rsidP="005A3675">
      <w:pPr>
        <w:pStyle w:val="Heading2"/>
        <w:rPr>
          <w:b/>
          <w:bCs/>
          <w:sz w:val="22"/>
          <w:szCs w:val="22"/>
        </w:rPr>
      </w:pPr>
      <w:bookmarkStart w:id="1" w:name="_Toc234494934"/>
      <w:r w:rsidRPr="005A3675">
        <w:rPr>
          <w:b/>
          <w:bCs/>
          <w:sz w:val="22"/>
          <w:szCs w:val="22"/>
        </w:rPr>
        <w:lastRenderedPageBreak/>
        <w:t>2. Person-centred</w:t>
      </w:r>
      <w:r w:rsidRPr="005A3675">
        <w:rPr>
          <w:b/>
          <w:bCs/>
          <w:sz w:val="22"/>
          <w:szCs w:val="22"/>
        </w:rPr>
        <w:t xml:space="preserve"> care </w:t>
      </w:r>
      <w:r w:rsidRPr="005A3675">
        <w:rPr>
          <w:b/>
          <w:bCs/>
          <w:sz w:val="22"/>
          <w:szCs w:val="22"/>
        </w:rPr>
        <w:t xml:space="preserve">(PCC) - </w:t>
      </w:r>
      <w:r w:rsidRPr="005A3675">
        <w:rPr>
          <w:b/>
          <w:bCs/>
          <w:sz w:val="22"/>
          <w:szCs w:val="22"/>
        </w:rPr>
        <w:t>the main benefits and limitations of this practice</w:t>
      </w:r>
      <w:bookmarkEnd w:id="1"/>
    </w:p>
    <w:p w14:paraId="18907251" w14:textId="2B749553" w:rsidR="002A0301" w:rsidRDefault="002A0301" w:rsidP="002A0301">
      <w:pPr>
        <w:rPr>
          <w:rFonts w:ascii="Arial" w:hAnsi="Arial" w:cs="Arial"/>
        </w:rPr>
      </w:pPr>
      <w:r w:rsidRPr="002A0301">
        <w:rPr>
          <w:rFonts w:ascii="Arial" w:hAnsi="Arial" w:cs="Arial"/>
        </w:rPr>
        <w:t xml:space="preserve">Person-centred care (PCC) prioritises the patient above the condition or service. Medical professionals, patients, and their families collaborate to design treatment based on each person's values, preferences, experiences, and objectives, rather than using standardised interventions. Figure 1 shows how person-centred care fosters independence, dignity, empowerment, quality of life, and well-being. These interrelated ideas show that successful treatment requires whole-person recognition rather than </w:t>
      </w:r>
      <w:r w:rsidR="008D51D2">
        <w:rPr>
          <w:rFonts w:ascii="Arial" w:hAnsi="Arial" w:cs="Arial"/>
        </w:rPr>
        <w:t xml:space="preserve">the management of medical conditions. </w:t>
      </w:r>
    </w:p>
    <w:p w14:paraId="33EAB23B" w14:textId="77777777" w:rsidR="008D51D2" w:rsidRPr="00B1179A" w:rsidRDefault="008D51D2" w:rsidP="002A0301">
      <w:pPr>
        <w:rPr>
          <w:rFonts w:ascii="Arial" w:hAnsi="Arial" w:cs="Arial"/>
          <w:sz w:val="16"/>
          <w:szCs w:val="16"/>
        </w:rPr>
      </w:pPr>
    </w:p>
    <w:p w14:paraId="4122D45F" w14:textId="2F3430C8" w:rsidR="008E7BEA" w:rsidRPr="00B1179A" w:rsidRDefault="008E7BEA" w:rsidP="00B1179A">
      <w:pPr>
        <w:ind w:firstLine="0"/>
        <w:jc w:val="center"/>
        <w:rPr>
          <w:rFonts w:ascii="Arial" w:hAnsi="Arial" w:cs="Arial"/>
          <w:sz w:val="20"/>
          <w:szCs w:val="20"/>
        </w:rPr>
      </w:pPr>
      <w:r w:rsidRPr="00B1179A">
        <w:rPr>
          <w:rFonts w:ascii="Arial" w:hAnsi="Arial" w:cs="Arial"/>
          <w:sz w:val="20"/>
          <w:szCs w:val="20"/>
        </w:rPr>
        <w:t>Figure 1</w:t>
      </w:r>
      <w:r w:rsidRPr="00B1179A">
        <w:rPr>
          <w:rFonts w:ascii="Arial" w:hAnsi="Arial" w:cs="Arial"/>
          <w:sz w:val="20"/>
          <w:szCs w:val="20"/>
        </w:rPr>
        <w:t xml:space="preserve">. </w:t>
      </w:r>
      <w:r w:rsidR="00896ECF" w:rsidRPr="00B1179A">
        <w:rPr>
          <w:rFonts w:ascii="Arial" w:hAnsi="Arial" w:cs="Arial"/>
          <w:sz w:val="20"/>
          <w:szCs w:val="20"/>
        </w:rPr>
        <w:t>Person-Centred Care PCC</w:t>
      </w:r>
      <w:r w:rsidR="00B1179A" w:rsidRPr="00B1179A">
        <w:rPr>
          <w:rFonts w:ascii="Arial" w:hAnsi="Arial" w:cs="Arial"/>
          <w:sz w:val="20"/>
          <w:szCs w:val="20"/>
        </w:rPr>
        <w:t xml:space="preserve"> – framework </w:t>
      </w:r>
      <w:r w:rsidRPr="00B1179A">
        <w:rPr>
          <w:rFonts w:ascii="Arial" w:hAnsi="Arial" w:cs="Arial"/>
          <w:sz w:val="20"/>
          <w:szCs w:val="20"/>
        </w:rPr>
        <w:t>(Coulter et al., 2022)</w:t>
      </w:r>
    </w:p>
    <w:p w14:paraId="7E36BD65" w14:textId="4C4C3B2A" w:rsidR="008D51D2" w:rsidRPr="002A0301" w:rsidRDefault="008D51D2" w:rsidP="00B1179A">
      <w:pPr>
        <w:ind w:firstLine="0"/>
        <w:jc w:val="center"/>
        <w:rPr>
          <w:rFonts w:ascii="Arial" w:hAnsi="Arial" w:cs="Arial"/>
        </w:rPr>
      </w:pPr>
      <w:r w:rsidRPr="008D51D2">
        <w:rPr>
          <w:rFonts w:ascii="Arial" w:hAnsi="Arial" w:cs="Arial"/>
        </w:rPr>
        <w:drawing>
          <wp:inline distT="0" distB="0" distL="0" distR="0" wp14:anchorId="23868D5B" wp14:editId="66EBA889">
            <wp:extent cx="3947358" cy="2573020"/>
            <wp:effectExtent l="0" t="0" r="0" b="0"/>
            <wp:docPr id="735718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718902" name=""/>
                    <pic:cNvPicPr/>
                  </pic:nvPicPr>
                  <pic:blipFill>
                    <a:blip r:embed="rId8"/>
                    <a:stretch>
                      <a:fillRect/>
                    </a:stretch>
                  </pic:blipFill>
                  <pic:spPr>
                    <a:xfrm>
                      <a:off x="0" y="0"/>
                      <a:ext cx="3963618" cy="2583619"/>
                    </a:xfrm>
                    <a:prstGeom prst="rect">
                      <a:avLst/>
                    </a:prstGeom>
                  </pic:spPr>
                </pic:pic>
              </a:graphicData>
            </a:graphic>
          </wp:inline>
        </w:drawing>
      </w:r>
    </w:p>
    <w:p w14:paraId="54E8DF25" w14:textId="77777777" w:rsidR="00B2068C" w:rsidRPr="00522DF1" w:rsidRDefault="00B2068C" w:rsidP="00B2068C">
      <w:pPr>
        <w:rPr>
          <w:rFonts w:ascii="Arial" w:hAnsi="Arial" w:cs="Arial"/>
          <w:sz w:val="16"/>
          <w:szCs w:val="16"/>
        </w:rPr>
      </w:pPr>
    </w:p>
    <w:p w14:paraId="5D17D0D3" w14:textId="51959C8B" w:rsidR="00522DF1" w:rsidRDefault="00522DF1" w:rsidP="00522DF1">
      <w:pPr>
        <w:rPr>
          <w:rFonts w:ascii="Arial" w:hAnsi="Arial" w:cs="Arial"/>
        </w:rPr>
      </w:pPr>
      <w:r w:rsidRPr="00522DF1">
        <w:rPr>
          <w:rFonts w:ascii="Arial" w:hAnsi="Arial" w:cs="Arial"/>
        </w:rPr>
        <w:t xml:space="preserve">These six concepts complement one another, as seen in Figure 1. For instance, empowering patients to actively engage in therapeutic decision-making and respecting individual choices both promote more independence. This leads to better clinical </w:t>
      </w:r>
      <w:r>
        <w:rPr>
          <w:rFonts w:ascii="Arial" w:hAnsi="Arial" w:cs="Arial"/>
        </w:rPr>
        <w:t xml:space="preserve">outcomes, treatment adherence, and patient satisfaction as healthcare treatments are tailored to </w:t>
      </w:r>
      <w:proofErr w:type="gramStart"/>
      <w:r>
        <w:rPr>
          <w:rFonts w:ascii="Arial" w:hAnsi="Arial" w:cs="Arial"/>
        </w:rPr>
        <w:t>each individual</w:t>
      </w:r>
      <w:proofErr w:type="gramEnd"/>
      <w:r w:rsidRPr="00522DF1">
        <w:rPr>
          <w:rFonts w:ascii="Arial" w:hAnsi="Arial" w:cs="Arial"/>
        </w:rPr>
        <w:t>. Managing one's own health outside of professional settings is sometimes necessary for those with long-term diseases, which is especially important within the NHS (Coulter et al., 2022).</w:t>
      </w:r>
    </w:p>
    <w:p w14:paraId="6345DC7A" w14:textId="41D680CB" w:rsidR="00777559" w:rsidRDefault="00522DF1" w:rsidP="00522DF1">
      <w:pPr>
        <w:rPr>
          <w:rFonts w:ascii="Arial" w:hAnsi="Arial" w:cs="Arial"/>
        </w:rPr>
      </w:pPr>
      <w:r w:rsidRPr="00522DF1">
        <w:rPr>
          <w:rFonts w:ascii="Arial" w:hAnsi="Arial" w:cs="Arial"/>
        </w:rPr>
        <w:t xml:space="preserve">But even with all these benefits, PCC implementation is still not easy. Limited consultation time, rising patient demand, and staff shortages are all factors that might make it harder for healthcare providers to establish genuine therapeutic connections. Patients may also be unable to fully engage in shared decision-making due to communication barriers, health literacy issues, or cultural norms. According to Byrne et al. (2023), </w:t>
      </w:r>
      <w:proofErr w:type="gramStart"/>
      <w:r w:rsidRPr="00522DF1">
        <w:rPr>
          <w:rFonts w:ascii="Arial" w:hAnsi="Arial" w:cs="Arial"/>
        </w:rPr>
        <w:t>in order to</w:t>
      </w:r>
      <w:proofErr w:type="gramEnd"/>
      <w:r w:rsidRPr="00522DF1">
        <w:rPr>
          <w:rFonts w:ascii="Arial" w:hAnsi="Arial" w:cs="Arial"/>
        </w:rPr>
        <w:t xml:space="preserve"> provide </w:t>
      </w:r>
      <w:proofErr w:type="gramStart"/>
      <w:r w:rsidRPr="00522DF1">
        <w:rPr>
          <w:rFonts w:ascii="Arial" w:hAnsi="Arial" w:cs="Arial"/>
        </w:rPr>
        <w:t>really personalised</w:t>
      </w:r>
      <w:proofErr w:type="gramEnd"/>
      <w:r w:rsidRPr="00522DF1">
        <w:rPr>
          <w:rFonts w:ascii="Arial" w:hAnsi="Arial" w:cs="Arial"/>
        </w:rPr>
        <w:t xml:space="preserve"> care instead of just meeting policy criteria, person-centred care—which is considered best practice—requires organisational support, enough personnel, professional competence, and enough time.</w:t>
      </w:r>
    </w:p>
    <w:p w14:paraId="10EF46DA" w14:textId="6567D8A5" w:rsidR="00522DF1" w:rsidRDefault="000C3A31" w:rsidP="00215460">
      <w:pPr>
        <w:pStyle w:val="Heading2"/>
        <w:numPr>
          <w:ilvl w:val="0"/>
          <w:numId w:val="6"/>
        </w:numPr>
        <w:rPr>
          <w:b/>
          <w:bCs/>
          <w:sz w:val="22"/>
          <w:szCs w:val="22"/>
        </w:rPr>
      </w:pPr>
      <w:bookmarkStart w:id="2" w:name="_Toc234494935"/>
      <w:r w:rsidRPr="000F3465">
        <w:rPr>
          <w:b/>
          <w:bCs/>
          <w:sz w:val="22"/>
          <w:szCs w:val="22"/>
        </w:rPr>
        <w:lastRenderedPageBreak/>
        <w:t>Relevant Theory: Carl Rogers' Humanistic Theory</w:t>
      </w:r>
      <w:r w:rsidRPr="000F3465">
        <w:rPr>
          <w:b/>
          <w:bCs/>
          <w:sz w:val="22"/>
          <w:szCs w:val="22"/>
        </w:rPr>
        <w:t xml:space="preserve"> </w:t>
      </w:r>
      <w:r w:rsidRPr="000F3465">
        <w:rPr>
          <w:b/>
          <w:bCs/>
          <w:sz w:val="22"/>
          <w:szCs w:val="22"/>
        </w:rPr>
        <w:t>Underpins Person-Centred Care</w:t>
      </w:r>
      <w:bookmarkEnd w:id="2"/>
    </w:p>
    <w:p w14:paraId="07BDE1CE" w14:textId="60A2CC43" w:rsidR="000F3465" w:rsidRDefault="008D30DD" w:rsidP="008D30DD">
      <w:pPr>
        <w:rPr>
          <w:rFonts w:ascii="Arial" w:hAnsi="Arial" w:cs="Arial"/>
        </w:rPr>
      </w:pPr>
      <w:r w:rsidRPr="008D30DD">
        <w:rPr>
          <w:rFonts w:ascii="Arial" w:hAnsi="Arial" w:cs="Arial"/>
        </w:rPr>
        <w:t>Carl Rogers' Humanistic Theory is one of the strongest theoretical underpinnings for person-centred care because it contends that people do better when treated with empathy, respect, and unconditional positive regard. Rogers stressed the significance of understanding the individual's self-concept, personal experiences, and development potential above illness treatment. Thus, by encouraging healthcare workers to build trusting therapy relationships that foster autonomy and shared decision-making, the approach supports person-centred care.</w:t>
      </w:r>
    </w:p>
    <w:p w14:paraId="32BD7727" w14:textId="77777777" w:rsidR="008D30DD" w:rsidRPr="004C4111" w:rsidRDefault="008D30DD" w:rsidP="008D30DD">
      <w:pPr>
        <w:rPr>
          <w:rFonts w:ascii="Arial" w:hAnsi="Arial" w:cs="Arial"/>
          <w:sz w:val="16"/>
          <w:szCs w:val="16"/>
        </w:rPr>
      </w:pPr>
    </w:p>
    <w:p w14:paraId="279EF057" w14:textId="6474A501" w:rsidR="00793071" w:rsidRDefault="00793071" w:rsidP="00793071">
      <w:pPr>
        <w:ind w:firstLine="0"/>
        <w:jc w:val="center"/>
        <w:rPr>
          <w:rFonts w:ascii="Arial" w:hAnsi="Arial" w:cs="Arial"/>
          <w:sz w:val="20"/>
          <w:szCs w:val="20"/>
        </w:rPr>
      </w:pPr>
      <w:r w:rsidRPr="00793071">
        <w:rPr>
          <w:rFonts w:ascii="Arial" w:hAnsi="Arial" w:cs="Arial"/>
          <w:sz w:val="20"/>
          <w:szCs w:val="20"/>
        </w:rPr>
        <w:t>Figure 2</w:t>
      </w:r>
      <w:r w:rsidRPr="00793071">
        <w:rPr>
          <w:rFonts w:ascii="Arial" w:hAnsi="Arial" w:cs="Arial"/>
          <w:sz w:val="20"/>
          <w:szCs w:val="20"/>
        </w:rPr>
        <w:t xml:space="preserve">. </w:t>
      </w:r>
      <w:r w:rsidRPr="00793071">
        <w:rPr>
          <w:rFonts w:ascii="Arial" w:hAnsi="Arial" w:cs="Arial"/>
          <w:sz w:val="20"/>
          <w:szCs w:val="20"/>
        </w:rPr>
        <w:t>Carl Rogers' Humanistic Theory</w:t>
      </w:r>
      <w:r w:rsidR="004C4111">
        <w:rPr>
          <w:rFonts w:ascii="Arial" w:hAnsi="Arial" w:cs="Arial"/>
          <w:sz w:val="20"/>
          <w:szCs w:val="20"/>
        </w:rPr>
        <w:t xml:space="preserve"> </w:t>
      </w:r>
      <w:r w:rsidR="004C4111" w:rsidRPr="004C4111">
        <w:rPr>
          <w:rFonts w:ascii="Arial" w:hAnsi="Arial" w:cs="Arial"/>
          <w:sz w:val="20"/>
          <w:szCs w:val="20"/>
        </w:rPr>
        <w:t>(Joseph, 2023</w:t>
      </w:r>
      <w:r w:rsidR="004C4111">
        <w:rPr>
          <w:rFonts w:ascii="Arial" w:hAnsi="Arial" w:cs="Arial"/>
          <w:sz w:val="20"/>
          <w:szCs w:val="20"/>
        </w:rPr>
        <w:t>)</w:t>
      </w:r>
    </w:p>
    <w:p w14:paraId="736047C5" w14:textId="2B01B781" w:rsidR="00793071" w:rsidRPr="00793071" w:rsidRDefault="002A0CBC" w:rsidP="002A0CBC">
      <w:pPr>
        <w:ind w:firstLine="0"/>
        <w:jc w:val="center"/>
        <w:rPr>
          <w:rFonts w:ascii="Arial" w:hAnsi="Arial" w:cs="Arial"/>
          <w:sz w:val="20"/>
          <w:szCs w:val="20"/>
        </w:rPr>
      </w:pPr>
      <w:r w:rsidRPr="002A0CBC">
        <w:rPr>
          <w:rFonts w:ascii="Arial" w:hAnsi="Arial" w:cs="Arial"/>
          <w:sz w:val="20"/>
          <w:szCs w:val="20"/>
        </w:rPr>
        <w:drawing>
          <wp:inline distT="0" distB="0" distL="0" distR="0" wp14:anchorId="7BE98CC7" wp14:editId="7D1A53F3">
            <wp:extent cx="4062134" cy="2310389"/>
            <wp:effectExtent l="0" t="0" r="0" b="0"/>
            <wp:docPr id="1474894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94731" name=""/>
                    <pic:cNvPicPr/>
                  </pic:nvPicPr>
                  <pic:blipFill>
                    <a:blip r:embed="rId9"/>
                    <a:stretch>
                      <a:fillRect/>
                    </a:stretch>
                  </pic:blipFill>
                  <pic:spPr>
                    <a:xfrm>
                      <a:off x="0" y="0"/>
                      <a:ext cx="4080258" cy="2320697"/>
                    </a:xfrm>
                    <a:prstGeom prst="rect">
                      <a:avLst/>
                    </a:prstGeom>
                  </pic:spPr>
                </pic:pic>
              </a:graphicData>
            </a:graphic>
          </wp:inline>
        </w:drawing>
      </w:r>
    </w:p>
    <w:p w14:paraId="420C7A84" w14:textId="77777777" w:rsidR="00777559" w:rsidRDefault="00777559" w:rsidP="00522DF1">
      <w:pPr>
        <w:jc w:val="left"/>
        <w:rPr>
          <w:rFonts w:ascii="Arial" w:hAnsi="Arial" w:cs="Arial"/>
          <w:b/>
          <w:bCs/>
        </w:rPr>
      </w:pPr>
    </w:p>
    <w:p w14:paraId="5B6473B1" w14:textId="2FACB343" w:rsidR="00855902" w:rsidRPr="00855902" w:rsidRDefault="00855902" w:rsidP="00855902">
      <w:pPr>
        <w:rPr>
          <w:rFonts w:ascii="Arial" w:hAnsi="Arial" w:cs="Arial"/>
        </w:rPr>
      </w:pPr>
      <w:r w:rsidRPr="00855902">
        <w:rPr>
          <w:rFonts w:ascii="Arial" w:hAnsi="Arial" w:cs="Arial"/>
        </w:rPr>
        <w:t xml:space="preserve">Figure 2 </w:t>
      </w:r>
      <w:r>
        <w:rPr>
          <w:rFonts w:ascii="Arial" w:hAnsi="Arial" w:cs="Arial"/>
        </w:rPr>
        <w:t>illustrates how the ideal self and self-worth shape a person’s self-concept, which in turn influences behaviour and well-being</w:t>
      </w:r>
      <w:r w:rsidRPr="00855902">
        <w:rPr>
          <w:rFonts w:ascii="Arial" w:hAnsi="Arial" w:cs="Arial"/>
        </w:rPr>
        <w:t xml:space="preserve">. The figure also indicates that the more congruent the self-image and </w:t>
      </w:r>
      <w:r>
        <w:rPr>
          <w:rFonts w:ascii="Arial" w:hAnsi="Arial" w:cs="Arial"/>
        </w:rPr>
        <w:t>the ideal self, the better the psychological well-being, whereas incongruence may lead to emotional pain and reduced</w:t>
      </w:r>
      <w:r w:rsidRPr="00855902">
        <w:rPr>
          <w:rFonts w:ascii="Arial" w:hAnsi="Arial" w:cs="Arial"/>
        </w:rPr>
        <w:t xml:space="preserve"> confidence. This is why, in health and social care, patients who feel appreciated, listened to and actively engaged in choices about their care are typically more motivated to participate </w:t>
      </w:r>
      <w:r>
        <w:rPr>
          <w:rFonts w:ascii="Arial" w:hAnsi="Arial" w:cs="Arial"/>
        </w:rPr>
        <w:t>in</w:t>
      </w:r>
      <w:r w:rsidRPr="00855902">
        <w:rPr>
          <w:rFonts w:ascii="Arial" w:hAnsi="Arial" w:cs="Arial"/>
        </w:rPr>
        <w:t xml:space="preserve"> treatment plans and long-term self-management. Thus, Rogers’ paradigm promotes person-centred treatment by acknowledging that emotional wellness </w:t>
      </w:r>
      <w:r>
        <w:rPr>
          <w:rFonts w:ascii="Arial" w:hAnsi="Arial" w:cs="Arial"/>
        </w:rPr>
        <w:t>directly impacts</w:t>
      </w:r>
      <w:r w:rsidRPr="00855902">
        <w:rPr>
          <w:rFonts w:ascii="Arial" w:hAnsi="Arial" w:cs="Arial"/>
        </w:rPr>
        <w:t xml:space="preserve"> physical health </w:t>
      </w:r>
      <w:r>
        <w:rPr>
          <w:rFonts w:ascii="Arial" w:hAnsi="Arial" w:cs="Arial"/>
        </w:rPr>
        <w:t>outcomes</w:t>
      </w:r>
      <w:r w:rsidRPr="00855902">
        <w:rPr>
          <w:rFonts w:ascii="Arial" w:hAnsi="Arial" w:cs="Arial"/>
        </w:rPr>
        <w:t>.</w:t>
      </w:r>
    </w:p>
    <w:p w14:paraId="682DC8DF" w14:textId="37B743C3" w:rsidR="00777559" w:rsidRDefault="00855902" w:rsidP="00855902">
      <w:pPr>
        <w:rPr>
          <w:rFonts w:ascii="Arial" w:hAnsi="Arial" w:cs="Arial"/>
        </w:rPr>
      </w:pPr>
      <w:r w:rsidRPr="00855902">
        <w:rPr>
          <w:rFonts w:ascii="Arial" w:hAnsi="Arial" w:cs="Arial"/>
        </w:rPr>
        <w:t>But the idea has its drawbacks as well. Humanistic care takes time, communication and highly developed interpersonal skills – resources that may be in short supply in hectic NHS situations. Individuals with significant cognitive impairment, acute mental illness or medical problems may not be able to engage in collaborative decision-making to the same extent. As such, Rogers’ Humanistic Theory remains highly relevant to person-centred care, but its successful implementation relies on balancing compassionate relationships with clinical judgement, organisational resources and the practical realities of contemporary healthcare practice (Joseph, 2023; Cooper, 2022).</w:t>
      </w:r>
    </w:p>
    <w:p w14:paraId="6584D721" w14:textId="77777777" w:rsidR="00CD7BEE" w:rsidRDefault="00CD7BEE" w:rsidP="00855902">
      <w:pPr>
        <w:rPr>
          <w:rFonts w:ascii="Arial" w:hAnsi="Arial" w:cs="Arial"/>
        </w:rPr>
      </w:pPr>
    </w:p>
    <w:p w14:paraId="48B88310" w14:textId="232BEE89" w:rsidR="00CD7BEE" w:rsidRDefault="00215460" w:rsidP="00215460">
      <w:pPr>
        <w:pStyle w:val="Heading2"/>
        <w:rPr>
          <w:b/>
          <w:bCs/>
          <w:sz w:val="22"/>
          <w:szCs w:val="22"/>
        </w:rPr>
      </w:pPr>
      <w:bookmarkStart w:id="3" w:name="_Toc234494936"/>
      <w:r>
        <w:rPr>
          <w:b/>
          <w:bCs/>
          <w:sz w:val="22"/>
          <w:szCs w:val="22"/>
        </w:rPr>
        <w:lastRenderedPageBreak/>
        <w:t>4</w:t>
      </w:r>
      <w:r w:rsidR="00CD7BEE" w:rsidRPr="00215460">
        <w:rPr>
          <w:b/>
          <w:bCs/>
          <w:sz w:val="22"/>
          <w:szCs w:val="22"/>
        </w:rPr>
        <w:t>.</w:t>
      </w:r>
      <w:r>
        <w:rPr>
          <w:b/>
          <w:bCs/>
          <w:sz w:val="22"/>
          <w:szCs w:val="22"/>
        </w:rPr>
        <w:t xml:space="preserve"> </w:t>
      </w:r>
      <w:r w:rsidRPr="00215460">
        <w:rPr>
          <w:b/>
          <w:bCs/>
          <w:sz w:val="22"/>
          <w:szCs w:val="22"/>
        </w:rPr>
        <w:t>Analyse the Ethical Fundamentals of Health and Social Care</w:t>
      </w:r>
      <w:bookmarkEnd w:id="3"/>
    </w:p>
    <w:p w14:paraId="04A50282" w14:textId="6EE727FD" w:rsidR="004B6F05" w:rsidRPr="004B6F05" w:rsidRDefault="004B6F05" w:rsidP="004B6F05">
      <w:pPr>
        <w:rPr>
          <w:rFonts w:ascii="Arial" w:hAnsi="Arial" w:cs="Arial"/>
        </w:rPr>
      </w:pPr>
      <w:r w:rsidRPr="004B6F05">
        <w:rPr>
          <w:rFonts w:ascii="Arial" w:hAnsi="Arial" w:cs="Arial"/>
        </w:rPr>
        <w:t>Safety, compassion, and person-centred health and social care depend on ethical concepts to guide clinicians in complicated moral, legal, and practical issues. Healthcare practitioners must blend ethical reasoning with professional judgement to provide respectful, equitable, and responsive treatment rather than depending only on organisational regulations. Thus, ethical practise promotes patient-provider confidence and NHS quality treatment.</w:t>
      </w:r>
    </w:p>
    <w:p w14:paraId="31987FDE" w14:textId="27BE54BC" w:rsidR="004B6F05" w:rsidRPr="004B6F05" w:rsidRDefault="004B6F05" w:rsidP="004B6F05">
      <w:pPr>
        <w:rPr>
          <w:rFonts w:ascii="Arial" w:hAnsi="Arial" w:cs="Arial"/>
        </w:rPr>
      </w:pPr>
      <w:r w:rsidRPr="004B6F05">
        <w:rPr>
          <w:rFonts w:ascii="Arial" w:hAnsi="Arial" w:cs="Arial"/>
        </w:rPr>
        <w:t xml:space="preserve">Autonomy, beneficence, non-maleficence, and justice are crucial to person-centred care. Respecting autonomy allows people to make educated treatment choices, promoting dignity and independence. 2) Beneficence demands healthcare personnel to operate in the patient's best interests, whereas non-maleficence prioritises minimising preventable injury. Finally, justice guarantees equitable </w:t>
      </w:r>
      <w:r>
        <w:rPr>
          <w:rFonts w:ascii="Arial" w:hAnsi="Arial" w:cs="Arial"/>
        </w:rPr>
        <w:t>access to healthcare regardless of age, race, disability</w:t>
      </w:r>
      <w:r w:rsidRPr="004B6F05">
        <w:rPr>
          <w:rFonts w:ascii="Arial" w:hAnsi="Arial" w:cs="Arial"/>
        </w:rPr>
        <w:t>, or socioeconomic background. These guidelines promote ethical decision-making and professional transparency (Beauchamp and Childress, 2023).</w:t>
      </w:r>
    </w:p>
    <w:p w14:paraId="07B63AAB" w14:textId="426E3307" w:rsidR="00215460" w:rsidRDefault="004B6F05" w:rsidP="004B6F05">
      <w:pPr>
        <w:rPr>
          <w:rFonts w:ascii="Arial" w:hAnsi="Arial" w:cs="Arial"/>
        </w:rPr>
      </w:pPr>
      <w:r w:rsidRPr="004B6F05">
        <w:rPr>
          <w:rFonts w:ascii="Arial" w:hAnsi="Arial" w:cs="Arial"/>
        </w:rPr>
        <w:t>Application of ethical standards isn't always easy. Patient choices vs professional advice, limited healthcare resources, and balancing individual rights against public health interests sometimes cause conflicts. Thus, ethical decision-making demands ongoing reflection, good communication, and interdisciplinary teamwork, not theoretical concepts. Integration of ethical reasoning into daily practise allows healthcare workers to provide compassionate, person-centred treatment while sustaining professional integrity and public faith in the NHS (Gallagher, 2023).</w:t>
      </w:r>
    </w:p>
    <w:p w14:paraId="38D77D8D" w14:textId="22A3ACA6" w:rsidR="001D3806" w:rsidRDefault="001D3806" w:rsidP="001D3806">
      <w:pPr>
        <w:pStyle w:val="Heading2"/>
        <w:rPr>
          <w:b/>
          <w:bCs/>
          <w:sz w:val="22"/>
          <w:szCs w:val="22"/>
        </w:rPr>
      </w:pPr>
      <w:bookmarkStart w:id="4" w:name="_Toc234494937"/>
      <w:r w:rsidRPr="001D3806">
        <w:rPr>
          <w:b/>
          <w:bCs/>
          <w:sz w:val="22"/>
          <w:szCs w:val="22"/>
        </w:rPr>
        <w:t>5. Relevant Legislation Supports Person-Centred Care in Health and Social Care</w:t>
      </w:r>
      <w:bookmarkEnd w:id="4"/>
      <w:r w:rsidRPr="001D3806">
        <w:rPr>
          <w:b/>
          <w:bCs/>
          <w:sz w:val="22"/>
          <w:szCs w:val="22"/>
        </w:rPr>
        <w:t xml:space="preserve"> </w:t>
      </w:r>
    </w:p>
    <w:p w14:paraId="22778AF9" w14:textId="1459999D" w:rsidR="00AB3CAE" w:rsidRPr="00AB3CAE" w:rsidRDefault="00AB3CAE" w:rsidP="00AB3CAE">
      <w:pPr>
        <w:rPr>
          <w:rFonts w:ascii="Arial" w:hAnsi="Arial" w:cs="Arial"/>
        </w:rPr>
      </w:pPr>
      <w:r w:rsidRPr="00AB3CAE">
        <w:rPr>
          <w:rFonts w:ascii="Arial" w:hAnsi="Arial" w:cs="Arial"/>
        </w:rPr>
        <w:t xml:space="preserve">Legislation </w:t>
      </w:r>
      <w:r w:rsidR="00713D9A">
        <w:rPr>
          <w:rFonts w:ascii="Arial" w:hAnsi="Arial" w:cs="Arial"/>
        </w:rPr>
        <w:t>that protects individual rights, promotes equality, and sets</w:t>
      </w:r>
      <w:r w:rsidRPr="00AB3CAE">
        <w:rPr>
          <w:rFonts w:ascii="Arial" w:hAnsi="Arial" w:cs="Arial"/>
        </w:rPr>
        <w:t xml:space="preserve"> safe healthcare standards supports person-centred care. Healthcare personnel must grasp how legal frameworks affect clinical decision-making to provide ethical, responsible, and responsive treatment. Therefore, legislation provides the framework for consistent person-centred approaches in health and social care.</w:t>
      </w:r>
    </w:p>
    <w:p w14:paraId="5F1B31C5" w14:textId="0606767D" w:rsidR="00AB3CAE" w:rsidRPr="00AB3CAE" w:rsidRDefault="00AB3CAE" w:rsidP="00AB3CAE">
      <w:pPr>
        <w:rPr>
          <w:rFonts w:ascii="Arial" w:hAnsi="Arial" w:cs="Arial"/>
        </w:rPr>
      </w:pPr>
      <w:r>
        <w:rPr>
          <w:rFonts w:ascii="Arial" w:hAnsi="Arial" w:cs="Arial"/>
        </w:rPr>
        <w:t>The Health and Social Treatment Act 2012, one of the most important legislative frameworks, encourages patient engagement, integrated treatment, and quality through healthcare provider partnerships</w:t>
      </w:r>
      <w:r w:rsidRPr="00AB3CAE">
        <w:rPr>
          <w:rFonts w:ascii="Arial" w:hAnsi="Arial" w:cs="Arial"/>
        </w:rPr>
        <w:t xml:space="preserve">. The Mental </w:t>
      </w:r>
      <w:r>
        <w:rPr>
          <w:rFonts w:ascii="Arial" w:hAnsi="Arial" w:cs="Arial"/>
        </w:rPr>
        <w:t>Ability</w:t>
      </w:r>
      <w:r w:rsidRPr="00AB3CAE">
        <w:rPr>
          <w:rFonts w:ascii="Arial" w:hAnsi="Arial" w:cs="Arial"/>
        </w:rPr>
        <w:t xml:space="preserve"> Act 2005 ensures that choices made in the best interests of people without decision-making ability are consistent with independence. Healthcare organisations must also </w:t>
      </w:r>
      <w:r>
        <w:rPr>
          <w:rFonts w:ascii="Arial" w:hAnsi="Arial" w:cs="Arial"/>
        </w:rPr>
        <w:t>eliminate discrimination and ensure fair access to services under the Equality Act 2010, thereby promoting inclusive,</w:t>
      </w:r>
      <w:r w:rsidRPr="00AB3CAE">
        <w:rPr>
          <w:rFonts w:ascii="Arial" w:hAnsi="Arial" w:cs="Arial"/>
        </w:rPr>
        <w:t xml:space="preserve"> person-centred care regardless of age, disability, race, gender, or religion. These laws urge healthcare providers to honour individual diversity and provide fair, courteous, and lawful treatment (Department of Health and Social treatment, 2022).</w:t>
      </w:r>
    </w:p>
    <w:p w14:paraId="31513F10" w14:textId="77777777" w:rsidR="00AB3CAE" w:rsidRPr="00AB3CAE" w:rsidRDefault="00AB3CAE" w:rsidP="00AB3CAE">
      <w:pPr>
        <w:rPr>
          <w:rFonts w:ascii="Arial" w:hAnsi="Arial" w:cs="Arial"/>
        </w:rPr>
      </w:pPr>
    </w:p>
    <w:p w14:paraId="6AC2A3B6" w14:textId="14ED2341" w:rsidR="00B228B4" w:rsidRDefault="00AB3CAE" w:rsidP="00AB3CAE">
      <w:pPr>
        <w:rPr>
          <w:rFonts w:ascii="Arial" w:hAnsi="Arial" w:cs="Arial"/>
        </w:rPr>
      </w:pPr>
      <w:r w:rsidRPr="00AB3CAE">
        <w:rPr>
          <w:rFonts w:ascii="Arial" w:hAnsi="Arial" w:cs="Arial"/>
        </w:rPr>
        <w:lastRenderedPageBreak/>
        <w:t>Person-centred practice cannot be guaranteed by law. Lawyers set minimal criteria, but person-centred care relies on professional skill, organisational culture, and communication. Physicians must employ ethical values and evidence-based practice in addition to legal conformity. Person-centred care becomes a reality rather than a legislative requirement with this integrated approach, increasing NHS patient safety, experience, and results (Care Quality Commission, 2023).</w:t>
      </w:r>
    </w:p>
    <w:p w14:paraId="490C4374" w14:textId="4E68B641" w:rsidR="00821510" w:rsidRDefault="00821510" w:rsidP="00821510">
      <w:pPr>
        <w:pStyle w:val="Heading2"/>
        <w:rPr>
          <w:b/>
          <w:bCs/>
          <w:sz w:val="22"/>
          <w:szCs w:val="22"/>
        </w:rPr>
      </w:pPr>
      <w:bookmarkStart w:id="5" w:name="_Toc234494938"/>
      <w:r w:rsidRPr="00821510">
        <w:rPr>
          <w:b/>
          <w:bCs/>
          <w:sz w:val="22"/>
          <w:szCs w:val="22"/>
        </w:rPr>
        <w:t>6. T</w:t>
      </w:r>
      <w:r w:rsidRPr="00821510">
        <w:rPr>
          <w:b/>
          <w:bCs/>
          <w:sz w:val="22"/>
          <w:szCs w:val="22"/>
        </w:rPr>
        <w:t>he Role of the Health and Care Professions Council (HCPC) and Its Professional Standards in Supporting Person-Centred Care</w:t>
      </w:r>
      <w:bookmarkEnd w:id="5"/>
      <w:r w:rsidRPr="00821510">
        <w:rPr>
          <w:b/>
          <w:bCs/>
          <w:sz w:val="22"/>
          <w:szCs w:val="22"/>
        </w:rPr>
        <w:t xml:space="preserve"> </w:t>
      </w:r>
    </w:p>
    <w:p w14:paraId="5314F16B" w14:textId="0954398E" w:rsidR="00C57319" w:rsidRPr="00C57319" w:rsidRDefault="00C57319" w:rsidP="00C57319">
      <w:pPr>
        <w:rPr>
          <w:rFonts w:ascii="Arial" w:hAnsi="Arial" w:cs="Arial"/>
        </w:rPr>
      </w:pPr>
      <w:r w:rsidRPr="00C57319">
        <w:rPr>
          <w:rFonts w:ascii="Arial" w:hAnsi="Arial" w:cs="Arial"/>
        </w:rPr>
        <w:t xml:space="preserve">Professional regulation promotes safe, effective, and person-centred healthcare by setting clear requirements for professional conduct, responsibility, and competence. The Health and </w:t>
      </w:r>
      <w:r>
        <w:rPr>
          <w:rFonts w:ascii="Arial" w:hAnsi="Arial" w:cs="Arial"/>
        </w:rPr>
        <w:t>Care Professions Council (HCPC) supervises many UK health professions to ensure they provide patient-safe,</w:t>
      </w:r>
      <w:r w:rsidRPr="00C57319">
        <w:rPr>
          <w:rFonts w:ascii="Arial" w:hAnsi="Arial" w:cs="Arial"/>
        </w:rPr>
        <w:t xml:space="preserve"> public-trustworthy treatment. Thus, HCPC standards underpin high-quality clinical practice and person-centred care.</w:t>
      </w:r>
    </w:p>
    <w:p w14:paraId="42649EB0" w14:textId="223A2816" w:rsidR="00C57319" w:rsidRPr="00C57319" w:rsidRDefault="00C57319" w:rsidP="00C57319">
      <w:pPr>
        <w:rPr>
          <w:rFonts w:ascii="Arial" w:hAnsi="Arial" w:cs="Arial"/>
        </w:rPr>
      </w:pPr>
      <w:r w:rsidRPr="00C57319">
        <w:rPr>
          <w:rFonts w:ascii="Arial" w:hAnsi="Arial" w:cs="Arial"/>
        </w:rPr>
        <w:t xml:space="preserve">The HCPC Standards of Conduct, Performance, and Ethics urge clinicians to respect service users, communicate </w:t>
      </w:r>
      <w:r>
        <w:rPr>
          <w:rFonts w:ascii="Arial" w:hAnsi="Arial" w:cs="Arial"/>
        </w:rPr>
        <w:t>effectively, obtain informed consent</w:t>
      </w:r>
      <w:r w:rsidRPr="00C57319">
        <w:rPr>
          <w:rFonts w:ascii="Arial" w:hAnsi="Arial" w:cs="Arial"/>
        </w:rPr>
        <w:t>, and collaborate with patients, families, and multidisciplinary teams. These principles promote person-centred care by encouraging healthcare providers to respect patients' beliefs, interests, and cultures and include them in treatment choices. Continuous professional development (CPD), evidence-based practice, and reflective learning ensure that practitioners constantly learn and adapt to changing healthcare demands. Thus</w:t>
      </w:r>
      <w:r w:rsidRPr="00473852">
        <w:rPr>
          <w:rFonts w:ascii="Arial" w:hAnsi="Arial" w:cs="Arial"/>
        </w:rPr>
        <w:t xml:space="preserve">, </w:t>
      </w:r>
      <w:r w:rsidRPr="00473852">
        <w:rPr>
          <w:rFonts w:ascii="Arial" w:hAnsi="Arial" w:cs="Arial"/>
          <w:b/>
          <w:bCs/>
          <w:i/>
          <w:iCs/>
        </w:rPr>
        <w:t>HCPC regulation</w:t>
      </w:r>
      <w:r w:rsidRPr="00C57319">
        <w:rPr>
          <w:rFonts w:ascii="Arial" w:hAnsi="Arial" w:cs="Arial"/>
        </w:rPr>
        <w:t xml:space="preserve"> promotes compassionate, respectful, and responsible care across professional practise beyond clinical competence (HCPC, 2024).</w:t>
      </w:r>
    </w:p>
    <w:p w14:paraId="20146A2C" w14:textId="2928AD7D" w:rsidR="00821510" w:rsidRDefault="00C57319" w:rsidP="00C57319">
      <w:pPr>
        <w:rPr>
          <w:rFonts w:ascii="Arial" w:hAnsi="Arial" w:cs="Arial"/>
        </w:rPr>
      </w:pPr>
      <w:r w:rsidRPr="00C57319">
        <w:rPr>
          <w:rFonts w:ascii="Arial" w:hAnsi="Arial" w:cs="Arial"/>
        </w:rPr>
        <w:t>However, professional standards cannot ensure high-quality person-centred care. Although compliance meets statutory standards, genuine patient involvement requires organisational support, appropriate personnel, and practitioners' interpersonal skills. Even if NHS workers follow regulations, rising workloads may limit reflection and communication. Thus, HCPC guidance should be seen as a foundation rather than a complete solution, helping healthcare professionals combine professional accountability with ethical judgement and patient-centred decision-making to provide safe, compassionate, and individualised care (NHS England, 2023).</w:t>
      </w:r>
    </w:p>
    <w:p w14:paraId="3465FC97" w14:textId="1A96BE00" w:rsidR="00F50251" w:rsidRPr="00F50251" w:rsidRDefault="00F50251" w:rsidP="00F50251">
      <w:pPr>
        <w:pStyle w:val="Heading2"/>
        <w:rPr>
          <w:b/>
          <w:bCs/>
        </w:rPr>
      </w:pPr>
      <w:bookmarkStart w:id="6" w:name="_Toc234494939"/>
      <w:r w:rsidRPr="00F50251">
        <w:rPr>
          <w:b/>
          <w:bCs/>
          <w:sz w:val="22"/>
          <w:szCs w:val="22"/>
        </w:rPr>
        <w:t>7. The</w:t>
      </w:r>
      <w:r w:rsidRPr="00F50251">
        <w:rPr>
          <w:b/>
          <w:bCs/>
          <w:sz w:val="22"/>
          <w:szCs w:val="22"/>
        </w:rPr>
        <w:t xml:space="preserve"> Importance of Partnership Working in Health and Social Care</w:t>
      </w:r>
      <w:bookmarkEnd w:id="6"/>
      <w:r w:rsidRPr="00F50251">
        <w:rPr>
          <w:b/>
          <w:bCs/>
          <w:sz w:val="22"/>
          <w:szCs w:val="22"/>
        </w:rPr>
        <w:t xml:space="preserve"> </w:t>
      </w:r>
    </w:p>
    <w:p w14:paraId="44C9EE9E" w14:textId="5489DA73" w:rsidR="00B6496B" w:rsidRPr="00B6496B" w:rsidRDefault="00B6496B" w:rsidP="00B6496B">
      <w:pPr>
        <w:rPr>
          <w:rFonts w:ascii="Arial" w:hAnsi="Arial" w:cs="Arial"/>
        </w:rPr>
      </w:pPr>
      <w:r w:rsidRPr="00B6496B">
        <w:rPr>
          <w:rFonts w:ascii="Arial" w:hAnsi="Arial" w:cs="Arial"/>
        </w:rPr>
        <w:t xml:space="preserve">Health and social care partnerships are becoming more vital since many patients need help from numerous specialists and agencies. Effective cooperation allows providers to address physical, psychological, and social health problems while providing coordinated, person-centred treatment. Partnership working ensures that people get seamless care that meets their </w:t>
      </w:r>
      <w:r w:rsidRPr="00B6496B">
        <w:rPr>
          <w:rFonts w:ascii="Arial" w:hAnsi="Arial" w:cs="Arial"/>
        </w:rPr>
        <w:t>requirements</w:t>
      </w:r>
      <w:r w:rsidRPr="00B6496B">
        <w:rPr>
          <w:rFonts w:ascii="Arial" w:hAnsi="Arial" w:cs="Arial"/>
        </w:rPr>
        <w:t xml:space="preserve"> and circumstances by sharing knowledge, skills, and accountability.</w:t>
      </w:r>
    </w:p>
    <w:p w14:paraId="0EFCC3EF" w14:textId="07B98201" w:rsidR="00B6496B" w:rsidRPr="00B6496B" w:rsidRDefault="00B6496B" w:rsidP="00B6496B">
      <w:pPr>
        <w:rPr>
          <w:rFonts w:ascii="Arial" w:hAnsi="Arial" w:cs="Arial"/>
        </w:rPr>
      </w:pPr>
      <w:r w:rsidRPr="00B6496B">
        <w:rPr>
          <w:rFonts w:ascii="Arial" w:hAnsi="Arial" w:cs="Arial"/>
        </w:rPr>
        <w:lastRenderedPageBreak/>
        <w:t xml:space="preserve">Partnerships between healthcare experts, social workers, NGOs, carers, patients, and families are effective. This interdisciplinary approach </w:t>
      </w:r>
      <w:r>
        <w:rPr>
          <w:rFonts w:ascii="Arial" w:hAnsi="Arial" w:cs="Arial"/>
        </w:rPr>
        <w:t>enhances communication, coordinates care planning, and prevents service duplication, improving patient safety and continuity of care</w:t>
      </w:r>
      <w:r w:rsidRPr="00B6496B">
        <w:rPr>
          <w:rFonts w:ascii="Arial" w:hAnsi="Arial" w:cs="Arial"/>
        </w:rPr>
        <w:t xml:space="preserve">. Active patient participation in decision-making boosts autonomy, treatment adherence, and </w:t>
      </w:r>
      <w:r>
        <w:rPr>
          <w:rFonts w:ascii="Arial" w:hAnsi="Arial" w:cs="Arial"/>
        </w:rPr>
        <w:t>trust between healthcare professionals and patients</w:t>
      </w:r>
      <w:r w:rsidRPr="00B6496B">
        <w:rPr>
          <w:rFonts w:ascii="Arial" w:hAnsi="Arial" w:cs="Arial"/>
        </w:rPr>
        <w:t>. In long-term condition management, integrated primary, secondary, and community services enhance health outcomes and minimise hospital admissions (NHS England, 2023).</w:t>
      </w:r>
    </w:p>
    <w:p w14:paraId="3E6249D2" w14:textId="11F57408" w:rsidR="00F50251" w:rsidRDefault="00B6496B" w:rsidP="00B6496B">
      <w:pPr>
        <w:rPr>
          <w:rFonts w:ascii="Arial" w:hAnsi="Arial" w:cs="Arial"/>
        </w:rPr>
      </w:pPr>
      <w:r w:rsidRPr="00B6496B">
        <w:rPr>
          <w:rFonts w:ascii="Arial" w:hAnsi="Arial" w:cs="Arial"/>
        </w:rPr>
        <w:t>Despite these benefits, collaborative work is difficult. Organisational goals, communication methods, professional positions, and information-sharing procedures might hamper cooperation. Confidentiality and resource constraints may also slow decision-making and diminish service efficiency. Thus, successful partnership functioning requires shared goals, strong leadership, mutual respect, and clear stakeholder communication. Collaboration enhances person-centred care by keeping healthcare integrated, responsive, and focused on the optimal results for each patient (World Health Organisation, 2022).</w:t>
      </w:r>
    </w:p>
    <w:p w14:paraId="3B8325DC" w14:textId="4FDEC0B6" w:rsidR="00B6496B" w:rsidRPr="00E55672" w:rsidRDefault="00E55672" w:rsidP="00E55672">
      <w:pPr>
        <w:pStyle w:val="Heading2"/>
        <w:rPr>
          <w:b/>
          <w:bCs/>
          <w:sz w:val="22"/>
          <w:szCs w:val="22"/>
        </w:rPr>
      </w:pPr>
      <w:bookmarkStart w:id="7" w:name="_Toc234494940"/>
      <w:r w:rsidRPr="00E55672">
        <w:rPr>
          <w:b/>
          <w:bCs/>
          <w:sz w:val="22"/>
          <w:szCs w:val="22"/>
        </w:rPr>
        <w:t>8. Challenges and Strategies for Effective Partnership Working in Health and Social Care</w:t>
      </w:r>
      <w:bookmarkEnd w:id="7"/>
    </w:p>
    <w:p w14:paraId="18EE14B4" w14:textId="1A75B07C" w:rsidR="00244A20" w:rsidRPr="00244A20" w:rsidRDefault="00244A20" w:rsidP="00244A20">
      <w:pPr>
        <w:rPr>
          <w:rFonts w:ascii="Arial" w:hAnsi="Arial" w:cs="Arial"/>
        </w:rPr>
      </w:pPr>
      <w:r w:rsidRPr="00244A20">
        <w:rPr>
          <w:rFonts w:ascii="Arial" w:hAnsi="Arial" w:cs="Arial"/>
        </w:rPr>
        <w:t>Although partnership cooperation improves patient care, health and social care groups struggle to collaborate. Despite differences in organisational cultures, professional obligations, and communication styles, healthcare workers must collaborate as systems grow more complicated. Thus, safe, coordinated, and person-centred care requires understanding why and how these obstacles develop.</w:t>
      </w:r>
    </w:p>
    <w:p w14:paraId="20751EF3" w14:textId="6C4887F5" w:rsidR="00244A20" w:rsidRPr="00244A20" w:rsidRDefault="00244A20" w:rsidP="00244A20">
      <w:pPr>
        <w:rPr>
          <w:rFonts w:ascii="Arial" w:hAnsi="Arial" w:cs="Arial"/>
        </w:rPr>
      </w:pPr>
      <w:r w:rsidRPr="00244A20">
        <w:rPr>
          <w:rFonts w:ascii="Arial" w:hAnsi="Arial" w:cs="Arial"/>
        </w:rPr>
        <w:t xml:space="preserve">Ineffective </w:t>
      </w:r>
      <w:r>
        <w:rPr>
          <w:rFonts w:ascii="Arial" w:hAnsi="Arial" w:cs="Arial"/>
        </w:rPr>
        <w:t xml:space="preserve">organisation-wide multidisciplinary team communication may delay treatments, fragment care, and impair patient safety. Divergent professional attitudes, ambiguous roles, and mismatched information systems may also hinder cooperation and lead to </w:t>
      </w:r>
      <w:r w:rsidRPr="00244A20">
        <w:rPr>
          <w:rFonts w:ascii="Arial" w:hAnsi="Arial" w:cs="Arial"/>
        </w:rPr>
        <w:t>duplicate services. Due to resource constraints, manpower shortages, and rising service demand, cooperative planning and decision-making are further hampered. Thus, inadequate coordination may lead to inconsistent treatment and worse health outcomes (Kings Fund, 2023).</w:t>
      </w:r>
    </w:p>
    <w:p w14:paraId="3CFC7445" w14:textId="693A77B9" w:rsidR="00473852" w:rsidRPr="00821510" w:rsidRDefault="00244A20" w:rsidP="00244A20">
      <w:pPr>
        <w:rPr>
          <w:rFonts w:ascii="Arial" w:hAnsi="Arial" w:cs="Arial"/>
        </w:rPr>
      </w:pPr>
      <w:r w:rsidRPr="00244A20">
        <w:rPr>
          <w:rFonts w:ascii="Arial" w:hAnsi="Arial" w:cs="Arial"/>
        </w:rPr>
        <w:t xml:space="preserve">Several ways may improve collaboration functioning. Clear communication lines, shared decision-making, and interdisciplinary meetings increase information sharing and collaborative planning. Professionals can access consistent patient information </w:t>
      </w:r>
      <w:r>
        <w:rPr>
          <w:rFonts w:ascii="Arial" w:hAnsi="Arial" w:cs="Arial"/>
        </w:rPr>
        <w:t>through integrated digital health records, reducing errors and enhancing continuity of care</w:t>
      </w:r>
      <w:r w:rsidRPr="00244A20">
        <w:rPr>
          <w:rFonts w:ascii="Arial" w:hAnsi="Arial" w:cs="Arial"/>
        </w:rPr>
        <w:t xml:space="preserve">. Professional growth, leadership support, and transdisciplinary training improve </w:t>
      </w:r>
      <w:r>
        <w:rPr>
          <w:rFonts w:ascii="Arial" w:hAnsi="Arial" w:cs="Arial"/>
        </w:rPr>
        <w:t>understanding of professional roles</w:t>
      </w:r>
      <w:r w:rsidRPr="00244A20">
        <w:rPr>
          <w:rFonts w:ascii="Arial" w:hAnsi="Arial" w:cs="Arial"/>
        </w:rPr>
        <w:t xml:space="preserve"> and </w:t>
      </w:r>
      <w:r>
        <w:rPr>
          <w:rFonts w:ascii="Arial" w:hAnsi="Arial" w:cs="Arial"/>
        </w:rPr>
        <w:t>organisational</w:t>
      </w:r>
      <w:r w:rsidRPr="00244A20">
        <w:rPr>
          <w:rFonts w:ascii="Arial" w:hAnsi="Arial" w:cs="Arial"/>
        </w:rPr>
        <w:t xml:space="preserve"> trust. Thus, these methods foster a network of healthcare experts working toward common aims. Unlocking </w:t>
      </w:r>
      <w:proofErr w:type="spellStart"/>
      <w:r w:rsidRPr="00244A20">
        <w:rPr>
          <w:rFonts w:ascii="Arial" w:hAnsi="Arial" w:cs="Arial"/>
        </w:rPr>
        <w:t>allow</w:t>
      </w:r>
      <w:r w:rsidRPr="00244A20">
        <w:rPr>
          <w:rFonts w:ascii="Arial" w:hAnsi="Arial" w:cs="Arial"/>
        </w:rPr>
        <w:t>sational</w:t>
      </w:r>
      <w:proofErr w:type="spellEnd"/>
      <w:r w:rsidRPr="00244A20">
        <w:rPr>
          <w:rFonts w:ascii="Arial" w:hAnsi="Arial" w:cs="Arial"/>
        </w:rPr>
        <w:t xml:space="preserve"> and professional obstacles allows partnership cooperation to improve NHS safety, efficiency, and person-centred care (Nuffield Trust, 2022).</w:t>
      </w:r>
    </w:p>
    <w:p w14:paraId="2A4F31A0" w14:textId="73B509BA" w:rsidR="00777559" w:rsidRDefault="00784DE9" w:rsidP="001D3806">
      <w:pPr>
        <w:pStyle w:val="Heading2"/>
        <w:rPr>
          <w:b/>
          <w:bCs/>
          <w:sz w:val="22"/>
          <w:szCs w:val="22"/>
        </w:rPr>
      </w:pPr>
      <w:bookmarkStart w:id="8" w:name="_Toc234494941"/>
      <w:r w:rsidRPr="00784DE9">
        <w:rPr>
          <w:b/>
          <w:bCs/>
          <w:sz w:val="22"/>
          <w:szCs w:val="22"/>
        </w:rPr>
        <w:lastRenderedPageBreak/>
        <w:t>9. Conclusion</w:t>
      </w:r>
      <w:bookmarkEnd w:id="8"/>
    </w:p>
    <w:p w14:paraId="36BCCCCC" w14:textId="117F4ED1" w:rsidR="00F369FA" w:rsidRPr="00F369FA" w:rsidRDefault="00F369FA" w:rsidP="00F369FA">
      <w:pPr>
        <w:rPr>
          <w:rFonts w:ascii="Arial" w:hAnsi="Arial" w:cs="Arial"/>
        </w:rPr>
      </w:pPr>
      <w:r w:rsidRPr="00F369FA">
        <w:rPr>
          <w:rFonts w:ascii="Arial" w:hAnsi="Arial" w:cs="Arial"/>
        </w:rPr>
        <w:t xml:space="preserve">The report's findings highlight the importance of partnership working and person-centred care in </w:t>
      </w:r>
      <w:r>
        <w:rPr>
          <w:rFonts w:ascii="Arial" w:hAnsi="Arial" w:cs="Arial"/>
        </w:rPr>
        <w:t>delivering safe, high-quality, and compassionate social and health services within the NHS</w:t>
      </w:r>
      <w:r w:rsidRPr="00F369FA">
        <w:rPr>
          <w:rFonts w:ascii="Arial" w:hAnsi="Arial" w:cs="Arial"/>
        </w:rPr>
        <w:t xml:space="preserve">. Respecting individual values, supporting autonomy, and including patients in </w:t>
      </w:r>
      <w:r>
        <w:rPr>
          <w:rFonts w:ascii="Arial" w:hAnsi="Arial" w:cs="Arial"/>
        </w:rPr>
        <w:t>decisions that affect their health and welfare are important aspects of person-centred care, which goes beyond merely focusing on the treatment of illness</w:t>
      </w:r>
      <w:r w:rsidRPr="00F369FA">
        <w:rPr>
          <w:rFonts w:ascii="Arial" w:hAnsi="Arial" w:cs="Arial"/>
        </w:rPr>
        <w:t>. Consequently, when backed by efficient professional practice, this method enhances patient happiness, promotes self-management, and helps to improved therapeutic results.</w:t>
      </w:r>
    </w:p>
    <w:p w14:paraId="7B3E77A1" w14:textId="2786DDFD" w:rsidR="00F369FA" w:rsidRPr="00F369FA" w:rsidRDefault="00F369FA" w:rsidP="00F369FA">
      <w:pPr>
        <w:rPr>
          <w:rFonts w:ascii="Arial" w:hAnsi="Arial" w:cs="Arial"/>
        </w:rPr>
      </w:pPr>
      <w:r w:rsidRPr="00F369FA">
        <w:rPr>
          <w:rFonts w:ascii="Arial" w:hAnsi="Arial" w:cs="Arial"/>
        </w:rPr>
        <w:t xml:space="preserve">Additionally, the research has shown that theoretical frameworks, especially Carl Rogers' Humanistic Theory, provide a solid basis for </w:t>
      </w:r>
      <w:r>
        <w:rPr>
          <w:rFonts w:ascii="Arial" w:hAnsi="Arial" w:cs="Arial"/>
        </w:rPr>
        <w:t>understanding the enduring importance of therapeutic connections, empathy, and effective</w:t>
      </w:r>
      <w:r w:rsidRPr="00F369FA">
        <w:rPr>
          <w:rFonts w:ascii="Arial" w:hAnsi="Arial" w:cs="Arial"/>
        </w:rPr>
        <w:t xml:space="preserve"> communication in person-centred treatment. Additionally, healthcare providers are guided in providing safe, equitable, and responsible care by ethical principles, laws, and HCPC professional standards, which together determine their legal and professional obligations. </w:t>
      </w:r>
      <w:r w:rsidR="00646C33" w:rsidRPr="00F369FA">
        <w:rPr>
          <w:rFonts w:ascii="Arial" w:hAnsi="Arial" w:cs="Arial"/>
        </w:rPr>
        <w:t>But</w:t>
      </w:r>
      <w:r w:rsidRPr="00F369FA">
        <w:rPr>
          <w:rFonts w:ascii="Arial" w:hAnsi="Arial" w:cs="Arial"/>
        </w:rPr>
        <w:t xml:space="preserve"> healthcare providers may only reap the benefits of these frameworks when they reliably incorporate them into routine clinical practice.</w:t>
      </w:r>
    </w:p>
    <w:p w14:paraId="3FAA8B56" w14:textId="308C5CC4" w:rsidR="00784DE9" w:rsidRPr="00F369FA" w:rsidRDefault="00F369FA" w:rsidP="00F369FA">
      <w:pPr>
        <w:rPr>
          <w:rFonts w:ascii="Arial" w:hAnsi="Arial" w:cs="Arial"/>
        </w:rPr>
      </w:pPr>
      <w:r w:rsidRPr="00F369FA">
        <w:rPr>
          <w:rFonts w:ascii="Arial" w:hAnsi="Arial" w:cs="Arial"/>
        </w:rPr>
        <w:t xml:space="preserve">In conclusion, the research has shown that interdisciplinary teams are better able to communicate, collaborate, and make shared decisions when they operate as a partnership, </w:t>
      </w:r>
      <w:r>
        <w:rPr>
          <w:rFonts w:ascii="Arial" w:hAnsi="Arial" w:cs="Arial"/>
        </w:rPr>
        <w:t>thereby promoting</w:t>
      </w:r>
      <w:r w:rsidRPr="00F369FA">
        <w:rPr>
          <w:rFonts w:ascii="Arial" w:hAnsi="Arial" w:cs="Arial"/>
        </w:rPr>
        <w:t xml:space="preserve"> integrated care. However, in many hospital </w:t>
      </w:r>
      <w:r>
        <w:rPr>
          <w:rFonts w:ascii="Arial" w:hAnsi="Arial" w:cs="Arial"/>
        </w:rPr>
        <w:t>settings, its efficacy remains</w:t>
      </w:r>
      <w:r w:rsidRPr="00F369FA">
        <w:rPr>
          <w:rFonts w:ascii="Arial" w:hAnsi="Arial" w:cs="Arial"/>
        </w:rPr>
        <w:t xml:space="preserve"> limited by organisational constraints, workforce demands, and communication issues. Hence, it is crucial to continue investing in integrated service delivery, collaborative leadership, and professional development. Health and social care for increasingly diverse populations may be delivered more effectively, efficiently, and sustainably by integrating person-centred principles with strong partnership functioning. This will allow the NHS to continue improving patient experiences.</w:t>
      </w:r>
    </w:p>
    <w:p w14:paraId="2D16B737" w14:textId="77777777" w:rsidR="00777559" w:rsidRDefault="00777559" w:rsidP="00522DF1">
      <w:pPr>
        <w:jc w:val="left"/>
        <w:rPr>
          <w:rFonts w:ascii="Arial" w:hAnsi="Arial" w:cs="Arial"/>
          <w:b/>
          <w:bCs/>
        </w:rPr>
      </w:pPr>
    </w:p>
    <w:p w14:paraId="4544F596" w14:textId="77777777" w:rsidR="00777559" w:rsidRDefault="00777559" w:rsidP="00BE2BFF">
      <w:pPr>
        <w:ind w:firstLine="0"/>
        <w:jc w:val="left"/>
        <w:rPr>
          <w:rFonts w:ascii="Arial" w:hAnsi="Arial" w:cs="Arial"/>
          <w:b/>
          <w:bCs/>
        </w:rPr>
      </w:pPr>
    </w:p>
    <w:p w14:paraId="4BF3B4FB" w14:textId="77777777" w:rsidR="00777559" w:rsidRDefault="00777559" w:rsidP="00BE2BFF">
      <w:pPr>
        <w:ind w:firstLine="0"/>
        <w:jc w:val="left"/>
        <w:rPr>
          <w:rFonts w:ascii="Arial" w:hAnsi="Arial" w:cs="Arial"/>
          <w:b/>
          <w:bCs/>
        </w:rPr>
      </w:pPr>
    </w:p>
    <w:p w14:paraId="57293135" w14:textId="77777777" w:rsidR="00777559" w:rsidRDefault="00777559" w:rsidP="00BE2BFF">
      <w:pPr>
        <w:ind w:firstLine="0"/>
        <w:jc w:val="left"/>
        <w:rPr>
          <w:rFonts w:ascii="Arial" w:hAnsi="Arial" w:cs="Arial"/>
          <w:b/>
          <w:bCs/>
        </w:rPr>
      </w:pPr>
    </w:p>
    <w:p w14:paraId="70DFAFE5" w14:textId="77777777" w:rsidR="00777559" w:rsidRDefault="00777559" w:rsidP="00BE2BFF">
      <w:pPr>
        <w:ind w:firstLine="0"/>
        <w:jc w:val="left"/>
        <w:rPr>
          <w:rFonts w:ascii="Arial" w:hAnsi="Arial" w:cs="Arial"/>
          <w:b/>
          <w:bCs/>
        </w:rPr>
      </w:pPr>
    </w:p>
    <w:p w14:paraId="5400C110" w14:textId="77777777" w:rsidR="00777559" w:rsidRDefault="00777559" w:rsidP="00BE2BFF">
      <w:pPr>
        <w:ind w:firstLine="0"/>
        <w:jc w:val="left"/>
        <w:rPr>
          <w:rFonts w:ascii="Arial" w:hAnsi="Arial" w:cs="Arial"/>
          <w:b/>
          <w:bCs/>
        </w:rPr>
      </w:pPr>
    </w:p>
    <w:p w14:paraId="3806C2D8" w14:textId="77777777" w:rsidR="00777559" w:rsidRDefault="00777559" w:rsidP="00BE2BFF">
      <w:pPr>
        <w:ind w:firstLine="0"/>
        <w:jc w:val="left"/>
        <w:rPr>
          <w:rFonts w:ascii="Arial" w:hAnsi="Arial" w:cs="Arial"/>
          <w:b/>
          <w:bCs/>
        </w:rPr>
      </w:pPr>
    </w:p>
    <w:p w14:paraId="6A52A760" w14:textId="77777777" w:rsidR="00777559" w:rsidRDefault="00777559" w:rsidP="00BE2BFF">
      <w:pPr>
        <w:ind w:firstLine="0"/>
        <w:jc w:val="left"/>
        <w:rPr>
          <w:rFonts w:ascii="Arial" w:hAnsi="Arial" w:cs="Arial"/>
          <w:b/>
          <w:bCs/>
        </w:rPr>
      </w:pPr>
    </w:p>
    <w:p w14:paraId="1D15F040" w14:textId="77777777" w:rsidR="00777559" w:rsidRDefault="00777559" w:rsidP="00BE2BFF">
      <w:pPr>
        <w:ind w:firstLine="0"/>
        <w:jc w:val="left"/>
        <w:rPr>
          <w:rFonts w:ascii="Arial" w:hAnsi="Arial" w:cs="Arial"/>
          <w:b/>
          <w:bCs/>
        </w:rPr>
      </w:pPr>
    </w:p>
    <w:p w14:paraId="10F26CAF" w14:textId="77777777" w:rsidR="00343265" w:rsidRDefault="00343265" w:rsidP="00BE2BFF">
      <w:pPr>
        <w:ind w:firstLine="0"/>
        <w:jc w:val="left"/>
        <w:rPr>
          <w:rFonts w:ascii="Arial" w:hAnsi="Arial" w:cs="Arial"/>
          <w:b/>
          <w:bCs/>
        </w:rPr>
      </w:pPr>
    </w:p>
    <w:p w14:paraId="7B64758D" w14:textId="77777777" w:rsidR="005903E7" w:rsidRDefault="005903E7" w:rsidP="00D1087F">
      <w:pPr>
        <w:ind w:firstLine="0"/>
        <w:rPr>
          <w:rFonts w:ascii="Arial" w:hAnsi="Arial" w:cs="Arial"/>
          <w:b/>
          <w:bCs/>
        </w:rPr>
      </w:pPr>
    </w:p>
    <w:p w14:paraId="4A568FA3" w14:textId="3B28D18B" w:rsidR="00F369FA" w:rsidRPr="00F369FA" w:rsidRDefault="00151E6B" w:rsidP="00F369FA">
      <w:pPr>
        <w:pStyle w:val="Heading1"/>
        <w:spacing w:before="0" w:after="0"/>
        <w:ind w:firstLine="0"/>
        <w:jc w:val="left"/>
        <w:rPr>
          <w:b/>
          <w:bCs/>
          <w:sz w:val="22"/>
          <w:szCs w:val="22"/>
        </w:rPr>
      </w:pPr>
      <w:bookmarkStart w:id="9" w:name="_Toc234494942"/>
      <w:r w:rsidRPr="00DA1253">
        <w:rPr>
          <w:b/>
          <w:bCs/>
          <w:sz w:val="22"/>
          <w:szCs w:val="22"/>
        </w:rPr>
        <w:lastRenderedPageBreak/>
        <w:t>References:</w:t>
      </w:r>
      <w:bookmarkEnd w:id="9"/>
    </w:p>
    <w:p w14:paraId="1B3B051B" w14:textId="77777777" w:rsidR="00E33781" w:rsidRPr="00F848B6" w:rsidRDefault="00E33781" w:rsidP="00E33781">
      <w:pPr>
        <w:ind w:firstLine="0"/>
        <w:jc w:val="left"/>
        <w:rPr>
          <w:rFonts w:ascii="Arial" w:hAnsi="Arial" w:cs="Arial"/>
        </w:rPr>
      </w:pPr>
      <w:r w:rsidRPr="00F848B6">
        <w:rPr>
          <w:rFonts w:ascii="Arial" w:hAnsi="Arial" w:cs="Arial"/>
        </w:rPr>
        <w:t xml:space="preserve">Beauchamp, T.L. &amp; Childress, J.F. (2023) </w:t>
      </w:r>
      <w:r w:rsidRPr="00F848B6">
        <w:rPr>
          <w:rFonts w:ascii="Arial" w:hAnsi="Arial" w:cs="Arial"/>
          <w:i/>
          <w:iCs/>
        </w:rPr>
        <w:t>Principles of Biomedical Ethics</w:t>
      </w:r>
      <w:r w:rsidRPr="00F848B6">
        <w:rPr>
          <w:rFonts w:ascii="Arial" w:hAnsi="Arial" w:cs="Arial"/>
        </w:rPr>
        <w:t xml:space="preserve">. 9th </w:t>
      </w:r>
      <w:proofErr w:type="spellStart"/>
      <w:r w:rsidRPr="00F848B6">
        <w:rPr>
          <w:rFonts w:ascii="Arial" w:hAnsi="Arial" w:cs="Arial"/>
        </w:rPr>
        <w:t>edn</w:t>
      </w:r>
      <w:proofErr w:type="spellEnd"/>
      <w:r w:rsidRPr="00F848B6">
        <w:rPr>
          <w:rFonts w:ascii="Arial" w:hAnsi="Arial" w:cs="Arial"/>
        </w:rPr>
        <w:t xml:space="preserve">. New York: Oxford University Press. Available at: </w:t>
      </w:r>
      <w:hyperlink r:id="rId10" w:tgtFrame="_blank" w:tooltip="global.oup.com" w:history="1">
        <w:r w:rsidRPr="00F848B6">
          <w:rPr>
            <w:rStyle w:val="Hyperlink"/>
            <w:rFonts w:ascii="Arial" w:hAnsi="Arial" w:cs="Arial"/>
            <w:color w:val="auto"/>
          </w:rPr>
          <w:t>https://global.oup.com/academic/product/principles-of-biomedical-ethics-9780197606902</w:t>
        </w:r>
      </w:hyperlink>
      <w:r w:rsidRPr="00F848B6">
        <w:rPr>
          <w:rFonts w:ascii="Arial" w:hAnsi="Arial" w:cs="Arial"/>
        </w:rPr>
        <w:t xml:space="preserve"> (Accessed: 09/07/2026).</w:t>
      </w:r>
    </w:p>
    <w:p w14:paraId="630F0F3A" w14:textId="77777777" w:rsidR="008B4703" w:rsidRPr="00F848B6" w:rsidRDefault="008B4703" w:rsidP="00E33781">
      <w:pPr>
        <w:ind w:firstLine="0"/>
        <w:jc w:val="left"/>
        <w:rPr>
          <w:rFonts w:ascii="Arial" w:hAnsi="Arial" w:cs="Arial"/>
        </w:rPr>
      </w:pPr>
    </w:p>
    <w:p w14:paraId="423FA4BD" w14:textId="77777777" w:rsidR="00E33781" w:rsidRPr="00F848B6" w:rsidRDefault="00E33781" w:rsidP="00E33781">
      <w:pPr>
        <w:ind w:firstLine="0"/>
        <w:jc w:val="left"/>
        <w:rPr>
          <w:rFonts w:ascii="Arial" w:hAnsi="Arial" w:cs="Arial"/>
        </w:rPr>
      </w:pPr>
      <w:r w:rsidRPr="00F848B6">
        <w:rPr>
          <w:rFonts w:ascii="Arial" w:hAnsi="Arial" w:cs="Arial"/>
        </w:rPr>
        <w:t xml:space="preserve">Byrne, A.L., Baldwin, A. &amp; Harvey, C. (2023) ‘Whose centre is it anyway? Defining person-centred care in nursing: A systematic review’, </w:t>
      </w:r>
      <w:r w:rsidRPr="00F848B6">
        <w:rPr>
          <w:rFonts w:ascii="Arial" w:hAnsi="Arial" w:cs="Arial"/>
          <w:i/>
          <w:iCs/>
        </w:rPr>
        <w:t>Journal of Clinical Nursing</w:t>
      </w:r>
      <w:r w:rsidRPr="00F848B6">
        <w:rPr>
          <w:rFonts w:ascii="Arial" w:hAnsi="Arial" w:cs="Arial"/>
        </w:rPr>
        <w:t xml:space="preserve">, 32(17–18), pp. 6035–6050. Available at: </w:t>
      </w:r>
      <w:hyperlink r:id="rId11" w:tgtFrame="_blank" w:tooltip="onlinelibrary.wiley.com" w:history="1">
        <w:r w:rsidRPr="00F848B6">
          <w:rPr>
            <w:rStyle w:val="Hyperlink"/>
            <w:rFonts w:ascii="Arial" w:hAnsi="Arial" w:cs="Arial"/>
            <w:color w:val="auto"/>
          </w:rPr>
          <w:t>https://onlinelibrary.wiley.com/doi/10.1111/jocn.16537</w:t>
        </w:r>
      </w:hyperlink>
      <w:r w:rsidRPr="00F848B6">
        <w:rPr>
          <w:rFonts w:ascii="Arial" w:hAnsi="Arial" w:cs="Arial"/>
        </w:rPr>
        <w:t xml:space="preserve"> (Accessed: 09/07/2026).</w:t>
      </w:r>
    </w:p>
    <w:p w14:paraId="3AD1E067" w14:textId="77777777" w:rsidR="008B4703" w:rsidRPr="00F848B6" w:rsidRDefault="008B4703" w:rsidP="00E33781">
      <w:pPr>
        <w:ind w:firstLine="0"/>
        <w:jc w:val="left"/>
        <w:rPr>
          <w:rFonts w:ascii="Arial" w:hAnsi="Arial" w:cs="Arial"/>
        </w:rPr>
      </w:pPr>
    </w:p>
    <w:p w14:paraId="1E9FCEE3" w14:textId="77777777" w:rsidR="00E33781" w:rsidRPr="00F848B6" w:rsidRDefault="00E33781" w:rsidP="00E33781">
      <w:pPr>
        <w:ind w:firstLine="0"/>
        <w:jc w:val="left"/>
        <w:rPr>
          <w:rFonts w:ascii="Arial" w:hAnsi="Arial" w:cs="Arial"/>
        </w:rPr>
      </w:pPr>
      <w:r w:rsidRPr="00F848B6">
        <w:rPr>
          <w:rFonts w:ascii="Arial" w:hAnsi="Arial" w:cs="Arial"/>
        </w:rPr>
        <w:t xml:space="preserve">Care Quality Commission (2023) </w:t>
      </w:r>
      <w:r w:rsidRPr="00F848B6">
        <w:rPr>
          <w:rFonts w:ascii="Arial" w:hAnsi="Arial" w:cs="Arial"/>
          <w:i/>
          <w:iCs/>
        </w:rPr>
        <w:t>The state of health care and adult social care in England 2022/23</w:t>
      </w:r>
      <w:r w:rsidRPr="00F848B6">
        <w:rPr>
          <w:rFonts w:ascii="Arial" w:hAnsi="Arial" w:cs="Arial"/>
        </w:rPr>
        <w:t xml:space="preserve">. Available at: </w:t>
      </w:r>
      <w:hyperlink r:id="rId12" w:tgtFrame="_blank" w:tooltip="www.cqc.org.uk" w:history="1">
        <w:r w:rsidRPr="00F848B6">
          <w:rPr>
            <w:rStyle w:val="Hyperlink"/>
            <w:rFonts w:ascii="Arial" w:hAnsi="Arial" w:cs="Arial"/>
            <w:color w:val="auto"/>
          </w:rPr>
          <w:t>https://www.cqc.org.uk/publications/major-report/state-care</w:t>
        </w:r>
      </w:hyperlink>
      <w:r w:rsidRPr="00F848B6">
        <w:rPr>
          <w:rFonts w:ascii="Arial" w:hAnsi="Arial" w:cs="Arial"/>
        </w:rPr>
        <w:t xml:space="preserve"> (Accessed: 10/07/2026).</w:t>
      </w:r>
    </w:p>
    <w:p w14:paraId="67D220DB" w14:textId="77777777" w:rsidR="008B4703" w:rsidRPr="00F848B6" w:rsidRDefault="008B4703" w:rsidP="00E33781">
      <w:pPr>
        <w:ind w:firstLine="0"/>
        <w:jc w:val="left"/>
        <w:rPr>
          <w:rFonts w:ascii="Arial" w:hAnsi="Arial" w:cs="Arial"/>
        </w:rPr>
      </w:pPr>
    </w:p>
    <w:p w14:paraId="73D0A757" w14:textId="77777777" w:rsidR="00E33781" w:rsidRPr="00F848B6" w:rsidRDefault="00E33781" w:rsidP="00E33781">
      <w:pPr>
        <w:ind w:firstLine="0"/>
        <w:jc w:val="left"/>
        <w:rPr>
          <w:rFonts w:ascii="Arial" w:hAnsi="Arial" w:cs="Arial"/>
        </w:rPr>
      </w:pPr>
      <w:r w:rsidRPr="00F848B6">
        <w:rPr>
          <w:rFonts w:ascii="Arial" w:hAnsi="Arial" w:cs="Arial"/>
        </w:rPr>
        <w:t xml:space="preserve">Cooper, M. (2022) </w:t>
      </w:r>
      <w:r w:rsidRPr="00F848B6">
        <w:rPr>
          <w:rFonts w:ascii="Arial" w:hAnsi="Arial" w:cs="Arial"/>
          <w:i/>
          <w:iCs/>
        </w:rPr>
        <w:t>The Handbook of Person-Centred Psychotherapy and Counselling</w:t>
      </w:r>
      <w:r w:rsidRPr="00F848B6">
        <w:rPr>
          <w:rFonts w:ascii="Arial" w:hAnsi="Arial" w:cs="Arial"/>
        </w:rPr>
        <w:t xml:space="preserve">. 3rd </w:t>
      </w:r>
      <w:proofErr w:type="spellStart"/>
      <w:r w:rsidRPr="00F848B6">
        <w:rPr>
          <w:rFonts w:ascii="Arial" w:hAnsi="Arial" w:cs="Arial"/>
        </w:rPr>
        <w:t>edn</w:t>
      </w:r>
      <w:proofErr w:type="spellEnd"/>
      <w:r w:rsidRPr="00F848B6">
        <w:rPr>
          <w:rFonts w:ascii="Arial" w:hAnsi="Arial" w:cs="Arial"/>
        </w:rPr>
        <w:t xml:space="preserve">. London: Bloomsbury Academic. Available at: </w:t>
      </w:r>
      <w:hyperlink r:id="rId13" w:tgtFrame="_blank" w:tooltip="www.bloomsbury.com" w:history="1">
        <w:r w:rsidRPr="00F848B6">
          <w:rPr>
            <w:rStyle w:val="Hyperlink"/>
            <w:rFonts w:ascii="Arial" w:hAnsi="Arial" w:cs="Arial"/>
            <w:color w:val="auto"/>
          </w:rPr>
          <w:t>https://www.bloomsbury.com/uk/handbook-of-person-centred-psychotherapy-and-counselling-9781350328723/</w:t>
        </w:r>
      </w:hyperlink>
      <w:r w:rsidRPr="00F848B6">
        <w:rPr>
          <w:rFonts w:ascii="Arial" w:hAnsi="Arial" w:cs="Arial"/>
        </w:rPr>
        <w:t xml:space="preserve"> (Accessed: 10/07/2026).</w:t>
      </w:r>
    </w:p>
    <w:p w14:paraId="48851028" w14:textId="77777777" w:rsidR="008B4703" w:rsidRPr="00F848B6" w:rsidRDefault="008B4703" w:rsidP="00E33781">
      <w:pPr>
        <w:ind w:firstLine="0"/>
        <w:jc w:val="left"/>
        <w:rPr>
          <w:rFonts w:ascii="Arial" w:hAnsi="Arial" w:cs="Arial"/>
        </w:rPr>
      </w:pPr>
    </w:p>
    <w:p w14:paraId="26B09C62" w14:textId="77777777" w:rsidR="00E33781" w:rsidRPr="00F848B6" w:rsidRDefault="00E33781" w:rsidP="00E33781">
      <w:pPr>
        <w:ind w:firstLine="0"/>
        <w:jc w:val="left"/>
        <w:rPr>
          <w:rFonts w:ascii="Arial" w:hAnsi="Arial" w:cs="Arial"/>
        </w:rPr>
      </w:pPr>
      <w:r w:rsidRPr="00F848B6">
        <w:rPr>
          <w:rFonts w:ascii="Arial" w:hAnsi="Arial" w:cs="Arial"/>
        </w:rPr>
        <w:t xml:space="preserve">Coulter, A., Paparella, G. &amp; McCulloch, D. (2022) ‘Implementing person-centred care: International perspectives and practical strategies’, </w:t>
      </w:r>
      <w:r w:rsidRPr="00F848B6">
        <w:rPr>
          <w:rFonts w:ascii="Arial" w:hAnsi="Arial" w:cs="Arial"/>
          <w:i/>
          <w:iCs/>
        </w:rPr>
        <w:t>International Journal of Environmental Research and Public Health</w:t>
      </w:r>
      <w:r w:rsidRPr="00F848B6">
        <w:rPr>
          <w:rFonts w:ascii="Arial" w:hAnsi="Arial" w:cs="Arial"/>
        </w:rPr>
        <w:t xml:space="preserve">, 19(24), 16550. Available at: </w:t>
      </w:r>
      <w:hyperlink r:id="rId14" w:tgtFrame="_blank" w:tooltip="www.mdpi.com" w:history="1">
        <w:r w:rsidRPr="00F848B6">
          <w:rPr>
            <w:rStyle w:val="Hyperlink"/>
            <w:rFonts w:ascii="Arial" w:hAnsi="Arial" w:cs="Arial"/>
            <w:color w:val="auto"/>
          </w:rPr>
          <w:t>https://www.mdpi.com/1660-4601/19/24/16550</w:t>
        </w:r>
      </w:hyperlink>
      <w:r w:rsidRPr="00F848B6">
        <w:rPr>
          <w:rFonts w:ascii="Arial" w:hAnsi="Arial" w:cs="Arial"/>
        </w:rPr>
        <w:t xml:space="preserve"> (Accessed: 11/07/2026).</w:t>
      </w:r>
    </w:p>
    <w:p w14:paraId="5A86AA99" w14:textId="77777777" w:rsidR="008B4703" w:rsidRPr="00F848B6" w:rsidRDefault="008B4703" w:rsidP="00E33781">
      <w:pPr>
        <w:ind w:firstLine="0"/>
        <w:jc w:val="left"/>
        <w:rPr>
          <w:rFonts w:ascii="Arial" w:hAnsi="Arial" w:cs="Arial"/>
        </w:rPr>
      </w:pPr>
    </w:p>
    <w:p w14:paraId="606C251B" w14:textId="77777777" w:rsidR="00E33781" w:rsidRPr="00F848B6" w:rsidRDefault="00E33781" w:rsidP="00E33781">
      <w:pPr>
        <w:ind w:firstLine="0"/>
        <w:jc w:val="left"/>
        <w:rPr>
          <w:rFonts w:ascii="Arial" w:hAnsi="Arial" w:cs="Arial"/>
        </w:rPr>
      </w:pPr>
      <w:r w:rsidRPr="00F848B6">
        <w:rPr>
          <w:rFonts w:ascii="Arial" w:hAnsi="Arial" w:cs="Arial"/>
        </w:rPr>
        <w:t xml:space="preserve">Department of Health and Social Care (2022) </w:t>
      </w:r>
      <w:r w:rsidRPr="00F848B6">
        <w:rPr>
          <w:rFonts w:ascii="Arial" w:hAnsi="Arial" w:cs="Arial"/>
          <w:i/>
          <w:iCs/>
        </w:rPr>
        <w:t>Health and social care integration: Joining up care for people, places and populations</w:t>
      </w:r>
      <w:r w:rsidRPr="00F848B6">
        <w:rPr>
          <w:rFonts w:ascii="Arial" w:hAnsi="Arial" w:cs="Arial"/>
        </w:rPr>
        <w:t xml:space="preserve">. Available at: </w:t>
      </w:r>
      <w:hyperlink r:id="rId15" w:tgtFrame="_blank" w:tooltip="www.gov.uk" w:history="1">
        <w:r w:rsidRPr="00F848B6">
          <w:rPr>
            <w:rStyle w:val="Hyperlink"/>
            <w:rFonts w:ascii="Arial" w:hAnsi="Arial" w:cs="Arial"/>
            <w:color w:val="auto"/>
          </w:rPr>
          <w:t>https://www.gov.uk/government/publications/health-and-social-care-integration-joining-up-care-for-people-places-and-populations</w:t>
        </w:r>
      </w:hyperlink>
      <w:r w:rsidRPr="00F848B6">
        <w:rPr>
          <w:rFonts w:ascii="Arial" w:hAnsi="Arial" w:cs="Arial"/>
        </w:rPr>
        <w:t xml:space="preserve"> (Accessed: 08/07/2026).</w:t>
      </w:r>
    </w:p>
    <w:p w14:paraId="1F5BFDF2" w14:textId="77777777" w:rsidR="008B4703" w:rsidRPr="00F848B6" w:rsidRDefault="008B4703" w:rsidP="00E33781">
      <w:pPr>
        <w:ind w:firstLine="0"/>
        <w:jc w:val="left"/>
        <w:rPr>
          <w:rFonts w:ascii="Arial" w:hAnsi="Arial" w:cs="Arial"/>
        </w:rPr>
      </w:pPr>
    </w:p>
    <w:p w14:paraId="2FD85DEB" w14:textId="77777777" w:rsidR="00E33781" w:rsidRPr="00F848B6" w:rsidRDefault="00E33781" w:rsidP="00E33781">
      <w:pPr>
        <w:ind w:firstLine="0"/>
        <w:jc w:val="left"/>
        <w:rPr>
          <w:rFonts w:ascii="Arial" w:hAnsi="Arial" w:cs="Arial"/>
        </w:rPr>
      </w:pPr>
      <w:r w:rsidRPr="00F848B6">
        <w:rPr>
          <w:rFonts w:ascii="Arial" w:hAnsi="Arial" w:cs="Arial"/>
        </w:rPr>
        <w:t xml:space="preserve">Gallagher, A. (2023) ‘Ethics in health and social care: Promoting person-centred decision-making in contemporary practice’, </w:t>
      </w:r>
      <w:r w:rsidRPr="00F848B6">
        <w:rPr>
          <w:rFonts w:ascii="Arial" w:hAnsi="Arial" w:cs="Arial"/>
          <w:i/>
          <w:iCs/>
        </w:rPr>
        <w:t>Nursing Ethics</w:t>
      </w:r>
      <w:r w:rsidRPr="00F848B6">
        <w:rPr>
          <w:rFonts w:ascii="Arial" w:hAnsi="Arial" w:cs="Arial"/>
        </w:rPr>
        <w:t xml:space="preserve">, 30(6), pp. 1032–1045. Available at: </w:t>
      </w:r>
      <w:hyperlink r:id="rId16" w:tgtFrame="_blank" w:tooltip="journals.sagepub.com" w:history="1">
        <w:r w:rsidRPr="00F848B6">
          <w:rPr>
            <w:rStyle w:val="Hyperlink"/>
            <w:rFonts w:ascii="Arial" w:hAnsi="Arial" w:cs="Arial"/>
            <w:color w:val="auto"/>
          </w:rPr>
          <w:t>https://journals.sagepub.com/home/nej</w:t>
        </w:r>
      </w:hyperlink>
      <w:r w:rsidRPr="00F848B6">
        <w:rPr>
          <w:rFonts w:ascii="Arial" w:hAnsi="Arial" w:cs="Arial"/>
        </w:rPr>
        <w:t xml:space="preserve"> (Accessed: 11/07/2026).</w:t>
      </w:r>
    </w:p>
    <w:p w14:paraId="1126F93D" w14:textId="77777777" w:rsidR="008B4703" w:rsidRPr="00F848B6" w:rsidRDefault="008B4703" w:rsidP="00E33781">
      <w:pPr>
        <w:ind w:firstLine="0"/>
        <w:jc w:val="left"/>
        <w:rPr>
          <w:rFonts w:ascii="Arial" w:hAnsi="Arial" w:cs="Arial"/>
        </w:rPr>
      </w:pPr>
    </w:p>
    <w:p w14:paraId="1A97C36F" w14:textId="77777777" w:rsidR="00E33781" w:rsidRPr="00F848B6" w:rsidRDefault="00E33781" w:rsidP="00E33781">
      <w:pPr>
        <w:ind w:firstLine="0"/>
        <w:jc w:val="left"/>
        <w:rPr>
          <w:rFonts w:ascii="Arial" w:hAnsi="Arial" w:cs="Arial"/>
        </w:rPr>
      </w:pPr>
      <w:r w:rsidRPr="00F848B6">
        <w:rPr>
          <w:rFonts w:ascii="Arial" w:hAnsi="Arial" w:cs="Arial"/>
        </w:rPr>
        <w:t xml:space="preserve">Health and Care Professions Council (HCPC) (2024) </w:t>
      </w:r>
      <w:r w:rsidRPr="00F848B6">
        <w:rPr>
          <w:rFonts w:ascii="Arial" w:hAnsi="Arial" w:cs="Arial"/>
          <w:i/>
          <w:iCs/>
        </w:rPr>
        <w:t>Standards of Conduct, Performance and Ethics</w:t>
      </w:r>
      <w:r w:rsidRPr="00F848B6">
        <w:rPr>
          <w:rFonts w:ascii="Arial" w:hAnsi="Arial" w:cs="Arial"/>
        </w:rPr>
        <w:t xml:space="preserve">. Available at: </w:t>
      </w:r>
      <w:hyperlink r:id="rId17" w:tgtFrame="_blank" w:tooltip="www.hcpc-uk.org" w:history="1">
        <w:r w:rsidRPr="00F848B6">
          <w:rPr>
            <w:rStyle w:val="Hyperlink"/>
            <w:rFonts w:ascii="Arial" w:hAnsi="Arial" w:cs="Arial"/>
            <w:color w:val="auto"/>
          </w:rPr>
          <w:t>https://www.hcpc-uk.org/standards/standards-of-conduct-performance-and-ethics/</w:t>
        </w:r>
      </w:hyperlink>
      <w:r w:rsidRPr="00F848B6">
        <w:rPr>
          <w:rFonts w:ascii="Arial" w:hAnsi="Arial" w:cs="Arial"/>
        </w:rPr>
        <w:t xml:space="preserve"> (Accessed: 09/07/2026).</w:t>
      </w:r>
    </w:p>
    <w:p w14:paraId="4B31429B" w14:textId="77777777" w:rsidR="00E33781" w:rsidRPr="00F848B6" w:rsidRDefault="00E33781" w:rsidP="00E33781">
      <w:pPr>
        <w:ind w:firstLine="0"/>
        <w:jc w:val="left"/>
        <w:rPr>
          <w:rFonts w:ascii="Arial" w:hAnsi="Arial" w:cs="Arial"/>
        </w:rPr>
      </w:pPr>
      <w:r w:rsidRPr="00F848B6">
        <w:rPr>
          <w:rFonts w:ascii="Arial" w:hAnsi="Arial" w:cs="Arial"/>
        </w:rPr>
        <w:lastRenderedPageBreak/>
        <w:t xml:space="preserve">Joseph, S. (2023) ‘Person-centred therapy and contemporary healthcare: Revisiting Carl Rogers’ humanistic approach’, </w:t>
      </w:r>
      <w:r w:rsidRPr="00F848B6">
        <w:rPr>
          <w:rFonts w:ascii="Arial" w:hAnsi="Arial" w:cs="Arial"/>
          <w:i/>
          <w:iCs/>
        </w:rPr>
        <w:t>Frontiers in Psychology</w:t>
      </w:r>
      <w:r w:rsidRPr="00F848B6">
        <w:rPr>
          <w:rFonts w:ascii="Arial" w:hAnsi="Arial" w:cs="Arial"/>
        </w:rPr>
        <w:t xml:space="preserve">, 14, Article 1182456. Available at: </w:t>
      </w:r>
      <w:hyperlink r:id="rId18" w:tgtFrame="_blank" w:tooltip="www.frontiersin.org" w:history="1">
        <w:r w:rsidRPr="00F848B6">
          <w:rPr>
            <w:rStyle w:val="Hyperlink"/>
            <w:rFonts w:ascii="Arial" w:hAnsi="Arial" w:cs="Arial"/>
            <w:color w:val="auto"/>
          </w:rPr>
          <w:t>https://www.frontiersin.org/articles/10.3389/fpsyg.2023.1182456/full</w:t>
        </w:r>
      </w:hyperlink>
      <w:r w:rsidRPr="00F848B6">
        <w:rPr>
          <w:rFonts w:ascii="Arial" w:hAnsi="Arial" w:cs="Arial"/>
        </w:rPr>
        <w:t xml:space="preserve"> (Accessed: 08/07/2026).</w:t>
      </w:r>
    </w:p>
    <w:p w14:paraId="139BE1B1" w14:textId="77777777" w:rsidR="00F848B6" w:rsidRPr="00F848B6" w:rsidRDefault="00F848B6" w:rsidP="00E33781">
      <w:pPr>
        <w:ind w:firstLine="0"/>
        <w:jc w:val="left"/>
        <w:rPr>
          <w:rFonts w:ascii="Arial" w:hAnsi="Arial" w:cs="Arial"/>
        </w:rPr>
      </w:pPr>
    </w:p>
    <w:p w14:paraId="3BD50083" w14:textId="77777777" w:rsidR="00E33781" w:rsidRPr="00F848B6" w:rsidRDefault="00E33781" w:rsidP="00E33781">
      <w:pPr>
        <w:ind w:firstLine="0"/>
        <w:jc w:val="left"/>
        <w:rPr>
          <w:rFonts w:ascii="Arial" w:hAnsi="Arial" w:cs="Arial"/>
        </w:rPr>
      </w:pPr>
      <w:r w:rsidRPr="00F848B6">
        <w:rPr>
          <w:rFonts w:ascii="Arial" w:hAnsi="Arial" w:cs="Arial"/>
        </w:rPr>
        <w:t xml:space="preserve">NHS England (2023) </w:t>
      </w:r>
      <w:r w:rsidRPr="00F848B6">
        <w:rPr>
          <w:rFonts w:ascii="Arial" w:hAnsi="Arial" w:cs="Arial"/>
          <w:i/>
          <w:iCs/>
        </w:rPr>
        <w:t>The NHS Long Term Workforce Plan</w:t>
      </w:r>
      <w:r w:rsidRPr="00F848B6">
        <w:rPr>
          <w:rFonts w:ascii="Arial" w:hAnsi="Arial" w:cs="Arial"/>
        </w:rPr>
        <w:t xml:space="preserve">. Available at: </w:t>
      </w:r>
      <w:hyperlink r:id="rId19" w:tgtFrame="_blank" w:tooltip="www.england.nhs.uk" w:history="1">
        <w:r w:rsidRPr="00F848B6">
          <w:rPr>
            <w:rStyle w:val="Hyperlink"/>
            <w:rFonts w:ascii="Arial" w:hAnsi="Arial" w:cs="Arial"/>
            <w:color w:val="auto"/>
          </w:rPr>
          <w:t>https://www.england.nhs.uk/publication/nhs-long-term-workforce-plan/</w:t>
        </w:r>
      </w:hyperlink>
      <w:r w:rsidRPr="00F848B6">
        <w:rPr>
          <w:rFonts w:ascii="Arial" w:hAnsi="Arial" w:cs="Arial"/>
        </w:rPr>
        <w:t xml:space="preserve"> (Accessed: 11/07/2026).</w:t>
      </w:r>
    </w:p>
    <w:p w14:paraId="1BCC78DC" w14:textId="77777777" w:rsidR="00F848B6" w:rsidRPr="00F848B6" w:rsidRDefault="00F848B6" w:rsidP="00E33781">
      <w:pPr>
        <w:ind w:firstLine="0"/>
        <w:jc w:val="left"/>
        <w:rPr>
          <w:rFonts w:ascii="Arial" w:hAnsi="Arial" w:cs="Arial"/>
        </w:rPr>
      </w:pPr>
    </w:p>
    <w:p w14:paraId="75817103" w14:textId="77777777" w:rsidR="00E33781" w:rsidRPr="00F848B6" w:rsidRDefault="00E33781" w:rsidP="00E33781">
      <w:pPr>
        <w:ind w:firstLine="0"/>
        <w:jc w:val="left"/>
        <w:rPr>
          <w:rFonts w:ascii="Arial" w:hAnsi="Arial" w:cs="Arial"/>
        </w:rPr>
      </w:pPr>
      <w:r w:rsidRPr="00F848B6">
        <w:rPr>
          <w:rFonts w:ascii="Arial" w:hAnsi="Arial" w:cs="Arial"/>
        </w:rPr>
        <w:t xml:space="preserve">NHS England (2023) </w:t>
      </w:r>
      <w:r w:rsidRPr="00F848B6">
        <w:rPr>
          <w:rFonts w:ascii="Arial" w:hAnsi="Arial" w:cs="Arial"/>
          <w:i/>
          <w:iCs/>
        </w:rPr>
        <w:t>Working in partnership with people and communities: Statutory guidance</w:t>
      </w:r>
      <w:r w:rsidRPr="00F848B6">
        <w:rPr>
          <w:rFonts w:ascii="Arial" w:hAnsi="Arial" w:cs="Arial"/>
        </w:rPr>
        <w:t xml:space="preserve">. Available at: </w:t>
      </w:r>
      <w:hyperlink r:id="rId20" w:tgtFrame="_blank" w:tooltip="www.england.nhs.uk" w:history="1">
        <w:r w:rsidRPr="00F848B6">
          <w:rPr>
            <w:rStyle w:val="Hyperlink"/>
            <w:rFonts w:ascii="Arial" w:hAnsi="Arial" w:cs="Arial"/>
            <w:color w:val="auto"/>
          </w:rPr>
          <w:t>https://www.england.nhs.uk/publication/working-in-partnership-with-people-and-communities-statutory-guidance/</w:t>
        </w:r>
      </w:hyperlink>
      <w:r w:rsidRPr="00F848B6">
        <w:rPr>
          <w:rFonts w:ascii="Arial" w:hAnsi="Arial" w:cs="Arial"/>
        </w:rPr>
        <w:t xml:space="preserve"> (Accessed: 10/07/2026).</w:t>
      </w:r>
    </w:p>
    <w:p w14:paraId="283815BD" w14:textId="77777777" w:rsidR="00F848B6" w:rsidRPr="00F848B6" w:rsidRDefault="00F848B6" w:rsidP="00E33781">
      <w:pPr>
        <w:ind w:firstLine="0"/>
        <w:jc w:val="left"/>
        <w:rPr>
          <w:rFonts w:ascii="Arial" w:hAnsi="Arial" w:cs="Arial"/>
        </w:rPr>
      </w:pPr>
    </w:p>
    <w:p w14:paraId="01D96E9D" w14:textId="77777777" w:rsidR="00E33781" w:rsidRPr="00F848B6" w:rsidRDefault="00E33781" w:rsidP="00E33781">
      <w:pPr>
        <w:ind w:firstLine="0"/>
        <w:jc w:val="left"/>
        <w:rPr>
          <w:rFonts w:ascii="Arial" w:hAnsi="Arial" w:cs="Arial"/>
        </w:rPr>
      </w:pPr>
      <w:r w:rsidRPr="00F848B6">
        <w:rPr>
          <w:rFonts w:ascii="Arial" w:hAnsi="Arial" w:cs="Arial"/>
        </w:rPr>
        <w:t xml:space="preserve">Nuffield Trust (2022) </w:t>
      </w:r>
      <w:r w:rsidRPr="00F848B6">
        <w:rPr>
          <w:rFonts w:ascii="Arial" w:hAnsi="Arial" w:cs="Arial"/>
          <w:i/>
          <w:iCs/>
        </w:rPr>
        <w:t>Integrated care systems explained</w:t>
      </w:r>
      <w:r w:rsidRPr="00F848B6">
        <w:rPr>
          <w:rFonts w:ascii="Arial" w:hAnsi="Arial" w:cs="Arial"/>
        </w:rPr>
        <w:t xml:space="preserve">. Available at: </w:t>
      </w:r>
      <w:hyperlink r:id="rId21" w:tgtFrame="_blank" w:tooltip="www.nuffieldtrust.org.uk" w:history="1">
        <w:r w:rsidRPr="00F848B6">
          <w:rPr>
            <w:rStyle w:val="Hyperlink"/>
            <w:rFonts w:ascii="Arial" w:hAnsi="Arial" w:cs="Arial"/>
            <w:color w:val="auto"/>
          </w:rPr>
          <w:t>https://www.nuffieldtrust.org.uk/resource/integrated-care-systems-explained</w:t>
        </w:r>
      </w:hyperlink>
      <w:r w:rsidRPr="00F848B6">
        <w:rPr>
          <w:rFonts w:ascii="Arial" w:hAnsi="Arial" w:cs="Arial"/>
        </w:rPr>
        <w:t xml:space="preserve"> (Accessed: 11/07/2026).</w:t>
      </w:r>
    </w:p>
    <w:p w14:paraId="37D6AAD5" w14:textId="77777777" w:rsidR="00F848B6" w:rsidRPr="00F848B6" w:rsidRDefault="00F848B6" w:rsidP="00E33781">
      <w:pPr>
        <w:ind w:firstLine="0"/>
        <w:jc w:val="left"/>
        <w:rPr>
          <w:rFonts w:ascii="Arial" w:hAnsi="Arial" w:cs="Arial"/>
        </w:rPr>
      </w:pPr>
    </w:p>
    <w:p w14:paraId="0D752D84" w14:textId="77777777" w:rsidR="00E33781" w:rsidRPr="00F848B6" w:rsidRDefault="00E33781" w:rsidP="00E33781">
      <w:pPr>
        <w:ind w:firstLine="0"/>
        <w:jc w:val="left"/>
        <w:rPr>
          <w:rFonts w:ascii="Arial" w:hAnsi="Arial" w:cs="Arial"/>
        </w:rPr>
      </w:pPr>
      <w:r w:rsidRPr="00F848B6">
        <w:rPr>
          <w:rFonts w:ascii="Arial" w:hAnsi="Arial" w:cs="Arial"/>
        </w:rPr>
        <w:t xml:space="preserve">The King’s Fund (2023) </w:t>
      </w:r>
      <w:r w:rsidRPr="00F848B6">
        <w:rPr>
          <w:rFonts w:ascii="Arial" w:hAnsi="Arial" w:cs="Arial"/>
          <w:i/>
          <w:iCs/>
        </w:rPr>
        <w:t>Partnership working in health and care</w:t>
      </w:r>
      <w:r w:rsidRPr="00F848B6">
        <w:rPr>
          <w:rFonts w:ascii="Arial" w:hAnsi="Arial" w:cs="Arial"/>
        </w:rPr>
        <w:t xml:space="preserve">. Available at: </w:t>
      </w:r>
      <w:hyperlink r:id="rId22" w:tgtFrame="_blank" w:tooltip="www.kingsfund.org.uk" w:history="1">
        <w:r w:rsidRPr="00F848B6">
          <w:rPr>
            <w:rStyle w:val="Hyperlink"/>
            <w:rFonts w:ascii="Arial" w:hAnsi="Arial" w:cs="Arial"/>
            <w:color w:val="auto"/>
          </w:rPr>
          <w:t>https://www.kingsfund.org.uk</w:t>
        </w:r>
      </w:hyperlink>
      <w:r w:rsidRPr="00F848B6">
        <w:rPr>
          <w:rFonts w:ascii="Arial" w:hAnsi="Arial" w:cs="Arial"/>
        </w:rPr>
        <w:t xml:space="preserve"> (Accessed: 09/07/2026).</w:t>
      </w:r>
    </w:p>
    <w:p w14:paraId="4A02F13D" w14:textId="77777777" w:rsidR="00F848B6" w:rsidRPr="00F848B6" w:rsidRDefault="00F848B6" w:rsidP="00E33781">
      <w:pPr>
        <w:ind w:firstLine="0"/>
        <w:jc w:val="left"/>
        <w:rPr>
          <w:rFonts w:ascii="Arial" w:hAnsi="Arial" w:cs="Arial"/>
        </w:rPr>
      </w:pPr>
    </w:p>
    <w:p w14:paraId="635FE86F" w14:textId="77777777" w:rsidR="00E33781" w:rsidRPr="00F848B6" w:rsidRDefault="00E33781" w:rsidP="00E33781">
      <w:pPr>
        <w:ind w:firstLine="0"/>
        <w:jc w:val="left"/>
        <w:rPr>
          <w:rFonts w:ascii="Arial" w:hAnsi="Arial" w:cs="Arial"/>
        </w:rPr>
      </w:pPr>
      <w:r w:rsidRPr="00F848B6">
        <w:rPr>
          <w:rFonts w:ascii="Arial" w:hAnsi="Arial" w:cs="Arial"/>
        </w:rPr>
        <w:t xml:space="preserve">World Health Organisation (2022) </w:t>
      </w:r>
      <w:r w:rsidRPr="00F848B6">
        <w:rPr>
          <w:rFonts w:ascii="Arial" w:hAnsi="Arial" w:cs="Arial"/>
          <w:i/>
          <w:iCs/>
        </w:rPr>
        <w:t>Framework for integrated people-centred health services</w:t>
      </w:r>
      <w:r w:rsidRPr="00F848B6">
        <w:rPr>
          <w:rFonts w:ascii="Arial" w:hAnsi="Arial" w:cs="Arial"/>
        </w:rPr>
        <w:t xml:space="preserve">. Available at: </w:t>
      </w:r>
      <w:hyperlink r:id="rId23" w:tgtFrame="_blank" w:tooltip="www.who.int" w:history="1">
        <w:r w:rsidRPr="00F848B6">
          <w:rPr>
            <w:rStyle w:val="Hyperlink"/>
            <w:rFonts w:ascii="Arial" w:hAnsi="Arial" w:cs="Arial"/>
            <w:color w:val="auto"/>
          </w:rPr>
          <w:t>https://www.who.int/teams/integrated-health-services/clinical-services-and-systems/integrated-people-centred-care</w:t>
        </w:r>
      </w:hyperlink>
      <w:r w:rsidRPr="00F848B6">
        <w:rPr>
          <w:rFonts w:ascii="Arial" w:hAnsi="Arial" w:cs="Arial"/>
        </w:rPr>
        <w:t xml:space="preserve"> (Accessed: 08/07/2026).</w:t>
      </w:r>
    </w:p>
    <w:p w14:paraId="75D1418B" w14:textId="77777777" w:rsidR="00F369FA" w:rsidRPr="00F369FA" w:rsidRDefault="00F369FA" w:rsidP="00F369FA">
      <w:pPr>
        <w:ind w:firstLine="0"/>
        <w:jc w:val="left"/>
        <w:rPr>
          <w:rFonts w:ascii="Arial" w:hAnsi="Arial" w:cs="Arial"/>
        </w:rPr>
      </w:pPr>
    </w:p>
    <w:sectPr w:rsidR="00F369FA" w:rsidRPr="00F369F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350DC" w14:textId="77777777" w:rsidR="00246E61" w:rsidRDefault="00246E61" w:rsidP="00EC51D9">
      <w:pPr>
        <w:spacing w:line="240" w:lineRule="auto"/>
      </w:pPr>
      <w:r>
        <w:separator/>
      </w:r>
    </w:p>
  </w:endnote>
  <w:endnote w:type="continuationSeparator" w:id="0">
    <w:p w14:paraId="2034E29A" w14:textId="77777777" w:rsidR="00246E61" w:rsidRDefault="00246E61" w:rsidP="00EC51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871580"/>
      <w:docPartObj>
        <w:docPartGallery w:val="Page Numbers (Bottom of Page)"/>
        <w:docPartUnique/>
      </w:docPartObj>
    </w:sdtPr>
    <w:sdtEndPr>
      <w:rPr>
        <w:noProof/>
      </w:rPr>
    </w:sdtEndPr>
    <w:sdtContent>
      <w:p w14:paraId="044C261C" w14:textId="42F1765D" w:rsidR="00EC51D9" w:rsidRDefault="00EC51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C8C33" w14:textId="77777777" w:rsidR="00EC51D9" w:rsidRDefault="00EC5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7F009" w14:textId="77777777" w:rsidR="00246E61" w:rsidRDefault="00246E61" w:rsidP="00EC51D9">
      <w:pPr>
        <w:spacing w:line="240" w:lineRule="auto"/>
      </w:pPr>
      <w:r>
        <w:separator/>
      </w:r>
    </w:p>
  </w:footnote>
  <w:footnote w:type="continuationSeparator" w:id="0">
    <w:p w14:paraId="245DA2CB" w14:textId="77777777" w:rsidR="00246E61" w:rsidRDefault="00246E61" w:rsidP="00EC51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E5181"/>
    <w:multiLevelType w:val="hybridMultilevel"/>
    <w:tmpl w:val="C34A9224"/>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CD009A"/>
    <w:multiLevelType w:val="hybridMultilevel"/>
    <w:tmpl w:val="2C2C0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B34F52"/>
    <w:multiLevelType w:val="multilevel"/>
    <w:tmpl w:val="8B0CB6E6"/>
    <w:lvl w:ilvl="0">
      <w:start w:val="1"/>
      <w:numFmt w:val="bullet"/>
      <w:lvlText w:val=""/>
      <w:lvlJc w:val="left"/>
      <w:pPr>
        <w:ind w:left="1287" w:hanging="360"/>
      </w:pPr>
      <w:rPr>
        <w:rFonts w:ascii="Symbol" w:hAnsi="Symbol" w:hint="default"/>
      </w:rPr>
    </w:lvl>
    <w:lvl w:ilvl="1">
      <w:start w:val="1"/>
      <w:numFmt w:val="bullet"/>
      <w:lvlText w:val="o"/>
      <w:lvlJc w:val="left"/>
      <w:pPr>
        <w:ind w:left="2007" w:hanging="360"/>
      </w:pPr>
      <w:rPr>
        <w:rFonts w:ascii="Courier New" w:hAnsi="Courier New" w:cs="Courier New" w:hint="default"/>
      </w:rPr>
    </w:lvl>
    <w:lvl w:ilvl="2">
      <w:start w:val="1"/>
      <w:numFmt w:val="bullet"/>
      <w:lvlText w:val=""/>
      <w:lvlJc w:val="left"/>
      <w:pPr>
        <w:ind w:left="2727" w:hanging="360"/>
      </w:pPr>
      <w:rPr>
        <w:rFonts w:ascii="Wingdings" w:hAnsi="Wingdings" w:hint="default"/>
      </w:rPr>
    </w:lvl>
    <w:lvl w:ilvl="3">
      <w:start w:val="1"/>
      <w:numFmt w:val="bullet"/>
      <w:lvlText w:val=""/>
      <w:lvlJc w:val="left"/>
      <w:pPr>
        <w:ind w:left="3447" w:hanging="360"/>
      </w:pPr>
      <w:rPr>
        <w:rFonts w:ascii="Symbol" w:hAnsi="Symbol" w:hint="default"/>
      </w:rPr>
    </w:lvl>
    <w:lvl w:ilvl="4">
      <w:start w:val="1"/>
      <w:numFmt w:val="bullet"/>
      <w:lvlText w:val="o"/>
      <w:lvlJc w:val="left"/>
      <w:pPr>
        <w:ind w:left="4167" w:hanging="360"/>
      </w:pPr>
      <w:rPr>
        <w:rFonts w:ascii="Courier New" w:hAnsi="Courier New" w:cs="Courier New" w:hint="default"/>
      </w:rPr>
    </w:lvl>
    <w:lvl w:ilvl="5">
      <w:start w:val="1"/>
      <w:numFmt w:val="bullet"/>
      <w:lvlText w:val=""/>
      <w:lvlJc w:val="left"/>
      <w:pPr>
        <w:ind w:left="4887" w:hanging="360"/>
      </w:pPr>
      <w:rPr>
        <w:rFonts w:ascii="Wingdings" w:hAnsi="Wingdings" w:hint="default"/>
      </w:rPr>
    </w:lvl>
    <w:lvl w:ilvl="6">
      <w:start w:val="1"/>
      <w:numFmt w:val="bullet"/>
      <w:lvlText w:val=""/>
      <w:lvlJc w:val="left"/>
      <w:pPr>
        <w:ind w:left="5607" w:hanging="360"/>
      </w:pPr>
      <w:rPr>
        <w:rFonts w:ascii="Symbol" w:hAnsi="Symbol" w:hint="default"/>
      </w:rPr>
    </w:lvl>
    <w:lvl w:ilvl="7">
      <w:start w:val="1"/>
      <w:numFmt w:val="bullet"/>
      <w:lvlText w:val="o"/>
      <w:lvlJc w:val="left"/>
      <w:pPr>
        <w:ind w:left="6327" w:hanging="360"/>
      </w:pPr>
      <w:rPr>
        <w:rFonts w:ascii="Courier New" w:hAnsi="Courier New" w:cs="Courier New" w:hint="default"/>
      </w:rPr>
    </w:lvl>
    <w:lvl w:ilvl="8">
      <w:start w:val="1"/>
      <w:numFmt w:val="bullet"/>
      <w:lvlText w:val=""/>
      <w:lvlJc w:val="left"/>
      <w:pPr>
        <w:ind w:left="7047" w:hanging="360"/>
      </w:pPr>
      <w:rPr>
        <w:rFonts w:ascii="Wingdings" w:hAnsi="Wingdings" w:hint="default"/>
      </w:rPr>
    </w:lvl>
  </w:abstractNum>
  <w:abstractNum w:abstractNumId="3" w15:restartNumberingAfterBreak="0">
    <w:nsid w:val="3AD24173"/>
    <w:multiLevelType w:val="hybridMultilevel"/>
    <w:tmpl w:val="A5A8BFBC"/>
    <w:lvl w:ilvl="0" w:tplc="C0BA3ECC">
      <w:start w:val="3"/>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8CD73ED"/>
    <w:multiLevelType w:val="hybridMultilevel"/>
    <w:tmpl w:val="D81ADA0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700C19"/>
    <w:multiLevelType w:val="multilevel"/>
    <w:tmpl w:val="99F6E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5877466">
    <w:abstractNumId w:val="2"/>
  </w:num>
  <w:num w:numId="2" w16cid:durableId="1155532485">
    <w:abstractNumId w:val="4"/>
  </w:num>
  <w:num w:numId="3" w16cid:durableId="42413845">
    <w:abstractNumId w:val="5"/>
  </w:num>
  <w:num w:numId="4" w16cid:durableId="393697392">
    <w:abstractNumId w:val="1"/>
  </w:num>
  <w:num w:numId="5" w16cid:durableId="398792964">
    <w:abstractNumId w:val="0"/>
  </w:num>
  <w:num w:numId="6" w16cid:durableId="1217697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64"/>
    <w:rsid w:val="00007D92"/>
    <w:rsid w:val="000149C6"/>
    <w:rsid w:val="0002074E"/>
    <w:rsid w:val="00021714"/>
    <w:rsid w:val="00027AAE"/>
    <w:rsid w:val="00027F2F"/>
    <w:rsid w:val="000316EC"/>
    <w:rsid w:val="0003202F"/>
    <w:rsid w:val="000346E3"/>
    <w:rsid w:val="0003688B"/>
    <w:rsid w:val="000421B8"/>
    <w:rsid w:val="0004331D"/>
    <w:rsid w:val="00046A77"/>
    <w:rsid w:val="00050F81"/>
    <w:rsid w:val="0006362D"/>
    <w:rsid w:val="000836A8"/>
    <w:rsid w:val="00092D98"/>
    <w:rsid w:val="000A5BAE"/>
    <w:rsid w:val="000A6DCD"/>
    <w:rsid w:val="000B54BD"/>
    <w:rsid w:val="000B57C3"/>
    <w:rsid w:val="000C0434"/>
    <w:rsid w:val="000C249B"/>
    <w:rsid w:val="000C3A31"/>
    <w:rsid w:val="000C4ACC"/>
    <w:rsid w:val="000C4CAB"/>
    <w:rsid w:val="000D1B64"/>
    <w:rsid w:val="000D6104"/>
    <w:rsid w:val="000D7746"/>
    <w:rsid w:val="000F3465"/>
    <w:rsid w:val="000F35F6"/>
    <w:rsid w:val="00115827"/>
    <w:rsid w:val="00141EE6"/>
    <w:rsid w:val="00142ADB"/>
    <w:rsid w:val="0015189B"/>
    <w:rsid w:val="00151E6B"/>
    <w:rsid w:val="001542AB"/>
    <w:rsid w:val="00155D77"/>
    <w:rsid w:val="00156EEC"/>
    <w:rsid w:val="00162084"/>
    <w:rsid w:val="001627CC"/>
    <w:rsid w:val="0016511C"/>
    <w:rsid w:val="00171C53"/>
    <w:rsid w:val="00172EA6"/>
    <w:rsid w:val="00186766"/>
    <w:rsid w:val="00186A9A"/>
    <w:rsid w:val="00187EF7"/>
    <w:rsid w:val="001A1D74"/>
    <w:rsid w:val="001B73D4"/>
    <w:rsid w:val="001C746E"/>
    <w:rsid w:val="001D2315"/>
    <w:rsid w:val="001D2C47"/>
    <w:rsid w:val="001D3806"/>
    <w:rsid w:val="001E7D9D"/>
    <w:rsid w:val="001F6003"/>
    <w:rsid w:val="002002A9"/>
    <w:rsid w:val="00215460"/>
    <w:rsid w:val="0022066A"/>
    <w:rsid w:val="00220C0E"/>
    <w:rsid w:val="00244A20"/>
    <w:rsid w:val="00246E61"/>
    <w:rsid w:val="00247798"/>
    <w:rsid w:val="00254F19"/>
    <w:rsid w:val="0026218E"/>
    <w:rsid w:val="00262611"/>
    <w:rsid w:val="00270E3B"/>
    <w:rsid w:val="00276701"/>
    <w:rsid w:val="002775F0"/>
    <w:rsid w:val="002810DF"/>
    <w:rsid w:val="00291BEA"/>
    <w:rsid w:val="0029259D"/>
    <w:rsid w:val="002A0301"/>
    <w:rsid w:val="002A0CBC"/>
    <w:rsid w:val="002B0A82"/>
    <w:rsid w:val="002C4728"/>
    <w:rsid w:val="002D65E6"/>
    <w:rsid w:val="002E3D4D"/>
    <w:rsid w:val="002F339A"/>
    <w:rsid w:val="002F4EB6"/>
    <w:rsid w:val="00311919"/>
    <w:rsid w:val="00313234"/>
    <w:rsid w:val="003220CC"/>
    <w:rsid w:val="003262DC"/>
    <w:rsid w:val="00327BBB"/>
    <w:rsid w:val="00332D2C"/>
    <w:rsid w:val="00335559"/>
    <w:rsid w:val="0034007F"/>
    <w:rsid w:val="00343265"/>
    <w:rsid w:val="0034422A"/>
    <w:rsid w:val="00346512"/>
    <w:rsid w:val="003508A3"/>
    <w:rsid w:val="0035402F"/>
    <w:rsid w:val="0035476A"/>
    <w:rsid w:val="00360062"/>
    <w:rsid w:val="00360B0C"/>
    <w:rsid w:val="003623FC"/>
    <w:rsid w:val="0036402F"/>
    <w:rsid w:val="003731DD"/>
    <w:rsid w:val="00381C6F"/>
    <w:rsid w:val="00385EB8"/>
    <w:rsid w:val="003922AB"/>
    <w:rsid w:val="003952D0"/>
    <w:rsid w:val="003A07DA"/>
    <w:rsid w:val="003A2C3A"/>
    <w:rsid w:val="003B100B"/>
    <w:rsid w:val="003B3337"/>
    <w:rsid w:val="003B58E2"/>
    <w:rsid w:val="003C66C1"/>
    <w:rsid w:val="003E0FA3"/>
    <w:rsid w:val="003E2FC7"/>
    <w:rsid w:val="003E3F60"/>
    <w:rsid w:val="003E69CA"/>
    <w:rsid w:val="003F00F7"/>
    <w:rsid w:val="003F3AEA"/>
    <w:rsid w:val="003F54DB"/>
    <w:rsid w:val="0040521E"/>
    <w:rsid w:val="004057B6"/>
    <w:rsid w:val="00410696"/>
    <w:rsid w:val="00414246"/>
    <w:rsid w:val="00417169"/>
    <w:rsid w:val="00417CA5"/>
    <w:rsid w:val="00420F8B"/>
    <w:rsid w:val="004346A5"/>
    <w:rsid w:val="004359CC"/>
    <w:rsid w:val="00435BAF"/>
    <w:rsid w:val="00436F23"/>
    <w:rsid w:val="004439B2"/>
    <w:rsid w:val="00452BCC"/>
    <w:rsid w:val="00452D8D"/>
    <w:rsid w:val="00454BE0"/>
    <w:rsid w:val="00456887"/>
    <w:rsid w:val="00461D69"/>
    <w:rsid w:val="00462315"/>
    <w:rsid w:val="00473852"/>
    <w:rsid w:val="0047431E"/>
    <w:rsid w:val="0048792C"/>
    <w:rsid w:val="004A3767"/>
    <w:rsid w:val="004A7990"/>
    <w:rsid w:val="004B6F05"/>
    <w:rsid w:val="004B783A"/>
    <w:rsid w:val="004C4111"/>
    <w:rsid w:val="004C7A18"/>
    <w:rsid w:val="004D455D"/>
    <w:rsid w:val="004D6DE7"/>
    <w:rsid w:val="004E266C"/>
    <w:rsid w:val="004F312B"/>
    <w:rsid w:val="004F6FF0"/>
    <w:rsid w:val="00501ED6"/>
    <w:rsid w:val="005139CD"/>
    <w:rsid w:val="00514B7D"/>
    <w:rsid w:val="00522A63"/>
    <w:rsid w:val="00522DF1"/>
    <w:rsid w:val="005270F8"/>
    <w:rsid w:val="005275AA"/>
    <w:rsid w:val="005306B7"/>
    <w:rsid w:val="005327F3"/>
    <w:rsid w:val="00536D57"/>
    <w:rsid w:val="0055050B"/>
    <w:rsid w:val="00551113"/>
    <w:rsid w:val="00561E56"/>
    <w:rsid w:val="00574057"/>
    <w:rsid w:val="00575DFC"/>
    <w:rsid w:val="00584F9D"/>
    <w:rsid w:val="005903E7"/>
    <w:rsid w:val="005968A3"/>
    <w:rsid w:val="00596968"/>
    <w:rsid w:val="005A3675"/>
    <w:rsid w:val="005C6163"/>
    <w:rsid w:val="005C7E34"/>
    <w:rsid w:val="005D242A"/>
    <w:rsid w:val="005D244B"/>
    <w:rsid w:val="005D7C12"/>
    <w:rsid w:val="005E45E9"/>
    <w:rsid w:val="005F0596"/>
    <w:rsid w:val="005F6D82"/>
    <w:rsid w:val="00602D61"/>
    <w:rsid w:val="00605C0D"/>
    <w:rsid w:val="00615892"/>
    <w:rsid w:val="00616FEC"/>
    <w:rsid w:val="00617B91"/>
    <w:rsid w:val="00627082"/>
    <w:rsid w:val="00636071"/>
    <w:rsid w:val="00640BF4"/>
    <w:rsid w:val="006417E9"/>
    <w:rsid w:val="0064279F"/>
    <w:rsid w:val="00645899"/>
    <w:rsid w:val="00645A33"/>
    <w:rsid w:val="00646C33"/>
    <w:rsid w:val="00650178"/>
    <w:rsid w:val="00651AAD"/>
    <w:rsid w:val="0065539E"/>
    <w:rsid w:val="00664205"/>
    <w:rsid w:val="00664FB3"/>
    <w:rsid w:val="00683104"/>
    <w:rsid w:val="00683D7A"/>
    <w:rsid w:val="00686437"/>
    <w:rsid w:val="00687881"/>
    <w:rsid w:val="00693A56"/>
    <w:rsid w:val="006C1472"/>
    <w:rsid w:val="006C249A"/>
    <w:rsid w:val="006C3089"/>
    <w:rsid w:val="006D1F4F"/>
    <w:rsid w:val="006D39C7"/>
    <w:rsid w:val="006D723E"/>
    <w:rsid w:val="006E6401"/>
    <w:rsid w:val="006E7BE5"/>
    <w:rsid w:val="0070167F"/>
    <w:rsid w:val="00712076"/>
    <w:rsid w:val="0071296F"/>
    <w:rsid w:val="00713D9A"/>
    <w:rsid w:val="00721135"/>
    <w:rsid w:val="00723CFD"/>
    <w:rsid w:val="00750C89"/>
    <w:rsid w:val="007523E3"/>
    <w:rsid w:val="00752E84"/>
    <w:rsid w:val="007677CF"/>
    <w:rsid w:val="00770470"/>
    <w:rsid w:val="00777559"/>
    <w:rsid w:val="00781D36"/>
    <w:rsid w:val="00784BFA"/>
    <w:rsid w:val="00784DE9"/>
    <w:rsid w:val="00793071"/>
    <w:rsid w:val="007935FC"/>
    <w:rsid w:val="00796BD1"/>
    <w:rsid w:val="007A3835"/>
    <w:rsid w:val="007B29D9"/>
    <w:rsid w:val="007B33DB"/>
    <w:rsid w:val="007B5822"/>
    <w:rsid w:val="007C69A3"/>
    <w:rsid w:val="007D28F6"/>
    <w:rsid w:val="007E22F4"/>
    <w:rsid w:val="007E50EA"/>
    <w:rsid w:val="007F1D76"/>
    <w:rsid w:val="007F4C2A"/>
    <w:rsid w:val="00801A37"/>
    <w:rsid w:val="00803092"/>
    <w:rsid w:val="00821510"/>
    <w:rsid w:val="00826F8F"/>
    <w:rsid w:val="00837368"/>
    <w:rsid w:val="00840CBD"/>
    <w:rsid w:val="008410FC"/>
    <w:rsid w:val="0085052E"/>
    <w:rsid w:val="008520A6"/>
    <w:rsid w:val="00853332"/>
    <w:rsid w:val="00855902"/>
    <w:rsid w:val="00855913"/>
    <w:rsid w:val="00862AF9"/>
    <w:rsid w:val="00862CDA"/>
    <w:rsid w:val="00865B9B"/>
    <w:rsid w:val="00871AD4"/>
    <w:rsid w:val="00871F4F"/>
    <w:rsid w:val="00874E9C"/>
    <w:rsid w:val="008768CB"/>
    <w:rsid w:val="00881BFC"/>
    <w:rsid w:val="00884F70"/>
    <w:rsid w:val="00896906"/>
    <w:rsid w:val="00896ECF"/>
    <w:rsid w:val="008A5667"/>
    <w:rsid w:val="008B0DF4"/>
    <w:rsid w:val="008B4703"/>
    <w:rsid w:val="008B4D49"/>
    <w:rsid w:val="008B5B25"/>
    <w:rsid w:val="008C50C9"/>
    <w:rsid w:val="008D0010"/>
    <w:rsid w:val="008D07A4"/>
    <w:rsid w:val="008D30DD"/>
    <w:rsid w:val="008D3A2B"/>
    <w:rsid w:val="008D51D2"/>
    <w:rsid w:val="008D5464"/>
    <w:rsid w:val="008E2C36"/>
    <w:rsid w:val="008E4083"/>
    <w:rsid w:val="008E50B9"/>
    <w:rsid w:val="008E7BEA"/>
    <w:rsid w:val="008F14CB"/>
    <w:rsid w:val="008F5D21"/>
    <w:rsid w:val="0090214B"/>
    <w:rsid w:val="00906543"/>
    <w:rsid w:val="00913551"/>
    <w:rsid w:val="0091777B"/>
    <w:rsid w:val="0092428F"/>
    <w:rsid w:val="00924AF3"/>
    <w:rsid w:val="009310AD"/>
    <w:rsid w:val="0093295C"/>
    <w:rsid w:val="00937D0C"/>
    <w:rsid w:val="00941215"/>
    <w:rsid w:val="009415BE"/>
    <w:rsid w:val="00942887"/>
    <w:rsid w:val="00946996"/>
    <w:rsid w:val="0094719F"/>
    <w:rsid w:val="00950E79"/>
    <w:rsid w:val="0095149C"/>
    <w:rsid w:val="00955171"/>
    <w:rsid w:val="0098400C"/>
    <w:rsid w:val="009871B0"/>
    <w:rsid w:val="00987692"/>
    <w:rsid w:val="00990B3E"/>
    <w:rsid w:val="00993159"/>
    <w:rsid w:val="00994B2C"/>
    <w:rsid w:val="009A2505"/>
    <w:rsid w:val="009A321B"/>
    <w:rsid w:val="009B59A3"/>
    <w:rsid w:val="009C1108"/>
    <w:rsid w:val="009D4265"/>
    <w:rsid w:val="009D4F84"/>
    <w:rsid w:val="009D5FE3"/>
    <w:rsid w:val="009E1986"/>
    <w:rsid w:val="009F007F"/>
    <w:rsid w:val="009F73DF"/>
    <w:rsid w:val="00A06727"/>
    <w:rsid w:val="00A14C3B"/>
    <w:rsid w:val="00A21FF0"/>
    <w:rsid w:val="00A2356F"/>
    <w:rsid w:val="00A238B9"/>
    <w:rsid w:val="00A25823"/>
    <w:rsid w:val="00A457FA"/>
    <w:rsid w:val="00A56613"/>
    <w:rsid w:val="00A641E1"/>
    <w:rsid w:val="00A666E2"/>
    <w:rsid w:val="00A71198"/>
    <w:rsid w:val="00A73317"/>
    <w:rsid w:val="00A7491D"/>
    <w:rsid w:val="00AA1299"/>
    <w:rsid w:val="00AA5D8F"/>
    <w:rsid w:val="00AA5E17"/>
    <w:rsid w:val="00AA621D"/>
    <w:rsid w:val="00AB1971"/>
    <w:rsid w:val="00AB3CAE"/>
    <w:rsid w:val="00AC13EA"/>
    <w:rsid w:val="00AD66C7"/>
    <w:rsid w:val="00AD6B17"/>
    <w:rsid w:val="00AE0571"/>
    <w:rsid w:val="00AF0706"/>
    <w:rsid w:val="00AF485E"/>
    <w:rsid w:val="00B02D7F"/>
    <w:rsid w:val="00B1179A"/>
    <w:rsid w:val="00B118F2"/>
    <w:rsid w:val="00B17762"/>
    <w:rsid w:val="00B2068C"/>
    <w:rsid w:val="00B2178B"/>
    <w:rsid w:val="00B228B4"/>
    <w:rsid w:val="00B23644"/>
    <w:rsid w:val="00B36E82"/>
    <w:rsid w:val="00B419F2"/>
    <w:rsid w:val="00B44A88"/>
    <w:rsid w:val="00B453BE"/>
    <w:rsid w:val="00B50AD8"/>
    <w:rsid w:val="00B53FEC"/>
    <w:rsid w:val="00B6496B"/>
    <w:rsid w:val="00B6610F"/>
    <w:rsid w:val="00B76345"/>
    <w:rsid w:val="00B805EC"/>
    <w:rsid w:val="00B81ABC"/>
    <w:rsid w:val="00B8220A"/>
    <w:rsid w:val="00B85283"/>
    <w:rsid w:val="00BA016A"/>
    <w:rsid w:val="00BA09EF"/>
    <w:rsid w:val="00BA0A94"/>
    <w:rsid w:val="00BA3F18"/>
    <w:rsid w:val="00BB36CD"/>
    <w:rsid w:val="00BC04B9"/>
    <w:rsid w:val="00BC61FF"/>
    <w:rsid w:val="00BC6323"/>
    <w:rsid w:val="00BD3E90"/>
    <w:rsid w:val="00BD749D"/>
    <w:rsid w:val="00BE2BFF"/>
    <w:rsid w:val="00BE2E22"/>
    <w:rsid w:val="00BE36C3"/>
    <w:rsid w:val="00BE6DD0"/>
    <w:rsid w:val="00BE6FF6"/>
    <w:rsid w:val="00BF0D48"/>
    <w:rsid w:val="00BF49FC"/>
    <w:rsid w:val="00C06DB4"/>
    <w:rsid w:val="00C146B0"/>
    <w:rsid w:val="00C14C8B"/>
    <w:rsid w:val="00C217D4"/>
    <w:rsid w:val="00C23509"/>
    <w:rsid w:val="00C277C5"/>
    <w:rsid w:val="00C41DC9"/>
    <w:rsid w:val="00C42D26"/>
    <w:rsid w:val="00C44EBE"/>
    <w:rsid w:val="00C50237"/>
    <w:rsid w:val="00C530B8"/>
    <w:rsid w:val="00C5511E"/>
    <w:rsid w:val="00C57319"/>
    <w:rsid w:val="00C66DAE"/>
    <w:rsid w:val="00C729EE"/>
    <w:rsid w:val="00C81639"/>
    <w:rsid w:val="00C81927"/>
    <w:rsid w:val="00C8649F"/>
    <w:rsid w:val="00C93655"/>
    <w:rsid w:val="00CB1428"/>
    <w:rsid w:val="00CC0FD7"/>
    <w:rsid w:val="00CC7FEA"/>
    <w:rsid w:val="00CD292E"/>
    <w:rsid w:val="00CD44DA"/>
    <w:rsid w:val="00CD7BEE"/>
    <w:rsid w:val="00CE6BA8"/>
    <w:rsid w:val="00CF0AE5"/>
    <w:rsid w:val="00CF0D6D"/>
    <w:rsid w:val="00CF4129"/>
    <w:rsid w:val="00D07A2C"/>
    <w:rsid w:val="00D10517"/>
    <w:rsid w:val="00D1087F"/>
    <w:rsid w:val="00D4080C"/>
    <w:rsid w:val="00D652AA"/>
    <w:rsid w:val="00D65621"/>
    <w:rsid w:val="00D72668"/>
    <w:rsid w:val="00D72EE6"/>
    <w:rsid w:val="00D730DC"/>
    <w:rsid w:val="00D769A8"/>
    <w:rsid w:val="00D845AD"/>
    <w:rsid w:val="00D90F49"/>
    <w:rsid w:val="00D913DC"/>
    <w:rsid w:val="00DA1253"/>
    <w:rsid w:val="00DB1A07"/>
    <w:rsid w:val="00DD413B"/>
    <w:rsid w:val="00DD5625"/>
    <w:rsid w:val="00DD5D68"/>
    <w:rsid w:val="00DD5ECE"/>
    <w:rsid w:val="00DE39FE"/>
    <w:rsid w:val="00DE42E4"/>
    <w:rsid w:val="00DE63DF"/>
    <w:rsid w:val="00E00ACE"/>
    <w:rsid w:val="00E0191F"/>
    <w:rsid w:val="00E10846"/>
    <w:rsid w:val="00E17DDD"/>
    <w:rsid w:val="00E20D24"/>
    <w:rsid w:val="00E21F97"/>
    <w:rsid w:val="00E23305"/>
    <w:rsid w:val="00E326C2"/>
    <w:rsid w:val="00E33781"/>
    <w:rsid w:val="00E43686"/>
    <w:rsid w:val="00E45867"/>
    <w:rsid w:val="00E5008C"/>
    <w:rsid w:val="00E55672"/>
    <w:rsid w:val="00E60E1D"/>
    <w:rsid w:val="00E6719D"/>
    <w:rsid w:val="00E71059"/>
    <w:rsid w:val="00E779A5"/>
    <w:rsid w:val="00E82E4D"/>
    <w:rsid w:val="00E82E6E"/>
    <w:rsid w:val="00E84982"/>
    <w:rsid w:val="00E93D69"/>
    <w:rsid w:val="00E9531B"/>
    <w:rsid w:val="00E95D83"/>
    <w:rsid w:val="00E9782A"/>
    <w:rsid w:val="00E97CE1"/>
    <w:rsid w:val="00E97F95"/>
    <w:rsid w:val="00EB23CA"/>
    <w:rsid w:val="00EB2A0B"/>
    <w:rsid w:val="00EB3FFE"/>
    <w:rsid w:val="00EB5C9F"/>
    <w:rsid w:val="00EC3F32"/>
    <w:rsid w:val="00EC51D9"/>
    <w:rsid w:val="00ED2C0B"/>
    <w:rsid w:val="00EE11A4"/>
    <w:rsid w:val="00EE1771"/>
    <w:rsid w:val="00EE4053"/>
    <w:rsid w:val="00EF31A1"/>
    <w:rsid w:val="00EF5E32"/>
    <w:rsid w:val="00EF7420"/>
    <w:rsid w:val="00F01CF0"/>
    <w:rsid w:val="00F0302D"/>
    <w:rsid w:val="00F049AD"/>
    <w:rsid w:val="00F11CBC"/>
    <w:rsid w:val="00F13063"/>
    <w:rsid w:val="00F239B9"/>
    <w:rsid w:val="00F30E8F"/>
    <w:rsid w:val="00F34197"/>
    <w:rsid w:val="00F369FA"/>
    <w:rsid w:val="00F4630C"/>
    <w:rsid w:val="00F50251"/>
    <w:rsid w:val="00F5338F"/>
    <w:rsid w:val="00F77787"/>
    <w:rsid w:val="00F8345D"/>
    <w:rsid w:val="00F848B6"/>
    <w:rsid w:val="00F878A5"/>
    <w:rsid w:val="00F92D14"/>
    <w:rsid w:val="00F9601F"/>
    <w:rsid w:val="00FA4244"/>
    <w:rsid w:val="00FA559D"/>
    <w:rsid w:val="00FA759A"/>
    <w:rsid w:val="00FB042C"/>
    <w:rsid w:val="00FB7913"/>
    <w:rsid w:val="00FC15DC"/>
    <w:rsid w:val="00FC2D64"/>
    <w:rsid w:val="00FC49B9"/>
    <w:rsid w:val="00FF59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AADAB"/>
  <w15:chartTrackingRefBased/>
  <w15:docId w15:val="{04304913-42B0-46E8-9B38-E00EB7D72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D64"/>
    <w:pPr>
      <w:spacing w:after="0" w:line="360" w:lineRule="auto"/>
      <w:ind w:firstLine="567"/>
      <w:jc w:val="both"/>
    </w:pPr>
    <w:rPr>
      <w:rFonts w:ascii="Calibri" w:eastAsia="Times New Roman" w:hAnsi="Calibri" w:cs="Times New Roman"/>
      <w:kern w:val="0"/>
      <w:sz w:val="22"/>
      <w:szCs w:val="22"/>
      <w14:ligatures w14:val="none"/>
    </w:rPr>
  </w:style>
  <w:style w:type="paragraph" w:styleId="Heading1">
    <w:name w:val="heading 1"/>
    <w:basedOn w:val="Normal"/>
    <w:next w:val="Normal"/>
    <w:link w:val="Heading1Char"/>
    <w:uiPriority w:val="9"/>
    <w:qFormat/>
    <w:rsid w:val="00FC2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2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2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D6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D6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D6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D6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2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2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D64"/>
    <w:rPr>
      <w:rFonts w:eastAsiaTheme="majorEastAsia" w:cstheme="majorBidi"/>
      <w:color w:val="272727" w:themeColor="text1" w:themeTint="D8"/>
    </w:rPr>
  </w:style>
  <w:style w:type="paragraph" w:styleId="Title">
    <w:name w:val="Title"/>
    <w:basedOn w:val="Normal"/>
    <w:next w:val="Normal"/>
    <w:link w:val="TitleChar"/>
    <w:uiPriority w:val="10"/>
    <w:qFormat/>
    <w:rsid w:val="00FC2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D64"/>
    <w:pPr>
      <w:numPr>
        <w:ilvl w:val="1"/>
      </w:numPr>
      <w:ind w:firstLine="567"/>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D64"/>
    <w:pPr>
      <w:spacing w:before="160"/>
      <w:jc w:val="center"/>
    </w:pPr>
    <w:rPr>
      <w:i/>
      <w:iCs/>
      <w:color w:val="404040" w:themeColor="text1" w:themeTint="BF"/>
    </w:rPr>
  </w:style>
  <w:style w:type="character" w:customStyle="1" w:styleId="QuoteChar">
    <w:name w:val="Quote Char"/>
    <w:basedOn w:val="DefaultParagraphFont"/>
    <w:link w:val="Quote"/>
    <w:uiPriority w:val="29"/>
    <w:rsid w:val="00FC2D64"/>
    <w:rPr>
      <w:i/>
      <w:iCs/>
      <w:color w:val="404040" w:themeColor="text1" w:themeTint="BF"/>
    </w:rPr>
  </w:style>
  <w:style w:type="paragraph" w:styleId="ListParagraph">
    <w:name w:val="List Paragraph"/>
    <w:basedOn w:val="Normal"/>
    <w:uiPriority w:val="34"/>
    <w:qFormat/>
    <w:rsid w:val="00FC2D64"/>
    <w:pPr>
      <w:ind w:left="720"/>
      <w:contextualSpacing/>
    </w:pPr>
  </w:style>
  <w:style w:type="character" w:styleId="IntenseEmphasis">
    <w:name w:val="Intense Emphasis"/>
    <w:basedOn w:val="DefaultParagraphFont"/>
    <w:uiPriority w:val="21"/>
    <w:qFormat/>
    <w:rsid w:val="00FC2D64"/>
    <w:rPr>
      <w:i/>
      <w:iCs/>
      <w:color w:val="0F4761" w:themeColor="accent1" w:themeShade="BF"/>
    </w:rPr>
  </w:style>
  <w:style w:type="paragraph" w:styleId="IntenseQuote">
    <w:name w:val="Intense Quote"/>
    <w:basedOn w:val="Normal"/>
    <w:next w:val="Normal"/>
    <w:link w:val="IntenseQuoteChar"/>
    <w:uiPriority w:val="30"/>
    <w:qFormat/>
    <w:rsid w:val="00FC2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D64"/>
    <w:rPr>
      <w:i/>
      <w:iCs/>
      <w:color w:val="0F4761" w:themeColor="accent1" w:themeShade="BF"/>
    </w:rPr>
  </w:style>
  <w:style w:type="character" w:styleId="IntenseReference">
    <w:name w:val="Intense Reference"/>
    <w:basedOn w:val="DefaultParagraphFont"/>
    <w:uiPriority w:val="32"/>
    <w:qFormat/>
    <w:rsid w:val="00FC2D64"/>
    <w:rPr>
      <w:b/>
      <w:bCs/>
      <w:smallCaps/>
      <w:color w:val="0F4761" w:themeColor="accent1" w:themeShade="BF"/>
      <w:spacing w:val="5"/>
    </w:rPr>
  </w:style>
  <w:style w:type="paragraph" w:styleId="Date">
    <w:name w:val="Date"/>
    <w:basedOn w:val="Normal"/>
    <w:next w:val="Normal"/>
    <w:link w:val="DateChar"/>
    <w:uiPriority w:val="99"/>
    <w:semiHidden/>
    <w:unhideWhenUsed/>
    <w:rsid w:val="00BE2BFF"/>
  </w:style>
  <w:style w:type="character" w:customStyle="1" w:styleId="DateChar">
    <w:name w:val="Date Char"/>
    <w:basedOn w:val="DefaultParagraphFont"/>
    <w:link w:val="Date"/>
    <w:uiPriority w:val="99"/>
    <w:semiHidden/>
    <w:rsid w:val="00BE2BFF"/>
    <w:rPr>
      <w:rFonts w:ascii="Calibri" w:eastAsia="Times New Roman" w:hAnsi="Calibri" w:cs="Times New Roman"/>
      <w:kern w:val="0"/>
      <w:sz w:val="22"/>
      <w:szCs w:val="22"/>
      <w14:ligatures w14:val="none"/>
    </w:rPr>
  </w:style>
  <w:style w:type="character" w:styleId="Hyperlink">
    <w:name w:val="Hyperlink"/>
    <w:basedOn w:val="DefaultParagraphFont"/>
    <w:uiPriority w:val="99"/>
    <w:unhideWhenUsed/>
    <w:rsid w:val="00151E6B"/>
    <w:rPr>
      <w:color w:val="467886" w:themeColor="hyperlink"/>
      <w:u w:val="single"/>
    </w:rPr>
  </w:style>
  <w:style w:type="character" w:styleId="UnresolvedMention">
    <w:name w:val="Unresolved Mention"/>
    <w:basedOn w:val="DefaultParagraphFont"/>
    <w:uiPriority w:val="99"/>
    <w:semiHidden/>
    <w:unhideWhenUsed/>
    <w:rsid w:val="00151E6B"/>
    <w:rPr>
      <w:color w:val="605E5C"/>
      <w:shd w:val="clear" w:color="auto" w:fill="E1DFDD"/>
    </w:rPr>
  </w:style>
  <w:style w:type="table" w:styleId="TableGrid">
    <w:name w:val="Table Grid"/>
    <w:basedOn w:val="TableNormal"/>
    <w:uiPriority w:val="39"/>
    <w:rsid w:val="00EC5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51D9"/>
    <w:pPr>
      <w:tabs>
        <w:tab w:val="center" w:pos="4513"/>
        <w:tab w:val="right" w:pos="9026"/>
      </w:tabs>
      <w:spacing w:line="240" w:lineRule="auto"/>
    </w:pPr>
  </w:style>
  <w:style w:type="character" w:customStyle="1" w:styleId="HeaderChar">
    <w:name w:val="Header Char"/>
    <w:basedOn w:val="DefaultParagraphFont"/>
    <w:link w:val="Header"/>
    <w:uiPriority w:val="99"/>
    <w:rsid w:val="00EC51D9"/>
    <w:rPr>
      <w:rFonts w:ascii="Calibri" w:eastAsia="Times New Roman" w:hAnsi="Calibri" w:cs="Times New Roman"/>
      <w:kern w:val="0"/>
      <w:sz w:val="22"/>
      <w:szCs w:val="22"/>
      <w14:ligatures w14:val="none"/>
    </w:rPr>
  </w:style>
  <w:style w:type="paragraph" w:styleId="Footer">
    <w:name w:val="footer"/>
    <w:basedOn w:val="Normal"/>
    <w:link w:val="FooterChar"/>
    <w:uiPriority w:val="99"/>
    <w:unhideWhenUsed/>
    <w:rsid w:val="00EC51D9"/>
    <w:pPr>
      <w:tabs>
        <w:tab w:val="center" w:pos="4513"/>
        <w:tab w:val="right" w:pos="9026"/>
      </w:tabs>
      <w:spacing w:line="240" w:lineRule="auto"/>
    </w:pPr>
  </w:style>
  <w:style w:type="character" w:customStyle="1" w:styleId="FooterChar">
    <w:name w:val="Footer Char"/>
    <w:basedOn w:val="DefaultParagraphFont"/>
    <w:link w:val="Footer"/>
    <w:uiPriority w:val="99"/>
    <w:rsid w:val="00EC51D9"/>
    <w:rPr>
      <w:rFonts w:ascii="Calibri" w:eastAsia="Times New Roman" w:hAnsi="Calibri" w:cs="Times New Roman"/>
      <w:kern w:val="0"/>
      <w:sz w:val="22"/>
      <w:szCs w:val="22"/>
      <w14:ligatures w14:val="none"/>
    </w:rPr>
  </w:style>
  <w:style w:type="paragraph" w:styleId="NormalWeb">
    <w:name w:val="Normal (Web)"/>
    <w:basedOn w:val="Normal"/>
    <w:uiPriority w:val="99"/>
    <w:semiHidden/>
    <w:unhideWhenUsed/>
    <w:rsid w:val="00D913DC"/>
    <w:pPr>
      <w:spacing w:before="100" w:beforeAutospacing="1" w:after="100" w:afterAutospacing="1" w:line="240" w:lineRule="auto"/>
      <w:ind w:firstLine="0"/>
      <w:jc w:val="left"/>
    </w:pPr>
    <w:rPr>
      <w:rFonts w:ascii="Times New Roman" w:hAnsi="Times New Roman"/>
      <w:sz w:val="24"/>
      <w:szCs w:val="24"/>
      <w:lang w:eastAsia="en-GB"/>
    </w:rPr>
  </w:style>
  <w:style w:type="character" w:styleId="Strong">
    <w:name w:val="Strong"/>
    <w:basedOn w:val="DefaultParagraphFont"/>
    <w:uiPriority w:val="22"/>
    <w:qFormat/>
    <w:rsid w:val="00D913DC"/>
    <w:rPr>
      <w:b/>
      <w:bCs/>
    </w:rPr>
  </w:style>
  <w:style w:type="paragraph" w:styleId="TOCHeading">
    <w:name w:val="TOC Heading"/>
    <w:basedOn w:val="Heading1"/>
    <w:next w:val="Normal"/>
    <w:uiPriority w:val="39"/>
    <w:unhideWhenUsed/>
    <w:qFormat/>
    <w:rsid w:val="0016511C"/>
    <w:pPr>
      <w:spacing w:before="240" w:after="0" w:line="259" w:lineRule="auto"/>
      <w:ind w:firstLine="0"/>
      <w:jc w:val="left"/>
      <w:outlineLvl w:val="9"/>
    </w:pPr>
    <w:rPr>
      <w:sz w:val="32"/>
      <w:szCs w:val="32"/>
      <w:lang w:eastAsia="en-GB"/>
    </w:rPr>
  </w:style>
  <w:style w:type="paragraph" w:styleId="TOC1">
    <w:name w:val="toc 1"/>
    <w:basedOn w:val="Normal"/>
    <w:next w:val="Normal"/>
    <w:autoRedefine/>
    <w:uiPriority w:val="39"/>
    <w:unhideWhenUsed/>
    <w:rsid w:val="0016511C"/>
    <w:pPr>
      <w:spacing w:after="100"/>
    </w:pPr>
  </w:style>
  <w:style w:type="character" w:styleId="FollowedHyperlink">
    <w:name w:val="FollowedHyperlink"/>
    <w:basedOn w:val="DefaultParagraphFont"/>
    <w:uiPriority w:val="99"/>
    <w:semiHidden/>
    <w:unhideWhenUsed/>
    <w:rsid w:val="00C14C8B"/>
    <w:rPr>
      <w:color w:val="96607D" w:themeColor="followedHyperlink"/>
      <w:u w:val="single"/>
    </w:rPr>
  </w:style>
  <w:style w:type="paragraph" w:styleId="TOC2">
    <w:name w:val="toc 2"/>
    <w:basedOn w:val="Normal"/>
    <w:next w:val="Normal"/>
    <w:autoRedefine/>
    <w:uiPriority w:val="39"/>
    <w:unhideWhenUsed/>
    <w:rsid w:val="00007D9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4745">
      <w:bodyDiv w:val="1"/>
      <w:marLeft w:val="0"/>
      <w:marRight w:val="0"/>
      <w:marTop w:val="0"/>
      <w:marBottom w:val="0"/>
      <w:divBdr>
        <w:top w:val="none" w:sz="0" w:space="0" w:color="auto"/>
        <w:left w:val="none" w:sz="0" w:space="0" w:color="auto"/>
        <w:bottom w:val="none" w:sz="0" w:space="0" w:color="auto"/>
        <w:right w:val="none" w:sz="0" w:space="0" w:color="auto"/>
      </w:divBdr>
    </w:div>
    <w:div w:id="31393801">
      <w:bodyDiv w:val="1"/>
      <w:marLeft w:val="0"/>
      <w:marRight w:val="0"/>
      <w:marTop w:val="0"/>
      <w:marBottom w:val="0"/>
      <w:divBdr>
        <w:top w:val="none" w:sz="0" w:space="0" w:color="auto"/>
        <w:left w:val="none" w:sz="0" w:space="0" w:color="auto"/>
        <w:bottom w:val="none" w:sz="0" w:space="0" w:color="auto"/>
        <w:right w:val="none" w:sz="0" w:space="0" w:color="auto"/>
      </w:divBdr>
    </w:div>
    <w:div w:id="51120418">
      <w:bodyDiv w:val="1"/>
      <w:marLeft w:val="0"/>
      <w:marRight w:val="0"/>
      <w:marTop w:val="0"/>
      <w:marBottom w:val="0"/>
      <w:divBdr>
        <w:top w:val="none" w:sz="0" w:space="0" w:color="auto"/>
        <w:left w:val="none" w:sz="0" w:space="0" w:color="auto"/>
        <w:bottom w:val="none" w:sz="0" w:space="0" w:color="auto"/>
        <w:right w:val="none" w:sz="0" w:space="0" w:color="auto"/>
      </w:divBdr>
    </w:div>
    <w:div w:id="70010046">
      <w:bodyDiv w:val="1"/>
      <w:marLeft w:val="0"/>
      <w:marRight w:val="0"/>
      <w:marTop w:val="0"/>
      <w:marBottom w:val="0"/>
      <w:divBdr>
        <w:top w:val="none" w:sz="0" w:space="0" w:color="auto"/>
        <w:left w:val="none" w:sz="0" w:space="0" w:color="auto"/>
        <w:bottom w:val="none" w:sz="0" w:space="0" w:color="auto"/>
        <w:right w:val="none" w:sz="0" w:space="0" w:color="auto"/>
      </w:divBdr>
    </w:div>
    <w:div w:id="107547651">
      <w:bodyDiv w:val="1"/>
      <w:marLeft w:val="0"/>
      <w:marRight w:val="0"/>
      <w:marTop w:val="0"/>
      <w:marBottom w:val="0"/>
      <w:divBdr>
        <w:top w:val="none" w:sz="0" w:space="0" w:color="auto"/>
        <w:left w:val="none" w:sz="0" w:space="0" w:color="auto"/>
        <w:bottom w:val="none" w:sz="0" w:space="0" w:color="auto"/>
        <w:right w:val="none" w:sz="0" w:space="0" w:color="auto"/>
      </w:divBdr>
    </w:div>
    <w:div w:id="142429047">
      <w:bodyDiv w:val="1"/>
      <w:marLeft w:val="0"/>
      <w:marRight w:val="0"/>
      <w:marTop w:val="0"/>
      <w:marBottom w:val="0"/>
      <w:divBdr>
        <w:top w:val="none" w:sz="0" w:space="0" w:color="auto"/>
        <w:left w:val="none" w:sz="0" w:space="0" w:color="auto"/>
        <w:bottom w:val="none" w:sz="0" w:space="0" w:color="auto"/>
        <w:right w:val="none" w:sz="0" w:space="0" w:color="auto"/>
      </w:divBdr>
    </w:div>
    <w:div w:id="192812263">
      <w:bodyDiv w:val="1"/>
      <w:marLeft w:val="0"/>
      <w:marRight w:val="0"/>
      <w:marTop w:val="0"/>
      <w:marBottom w:val="0"/>
      <w:divBdr>
        <w:top w:val="none" w:sz="0" w:space="0" w:color="auto"/>
        <w:left w:val="none" w:sz="0" w:space="0" w:color="auto"/>
        <w:bottom w:val="none" w:sz="0" w:space="0" w:color="auto"/>
        <w:right w:val="none" w:sz="0" w:space="0" w:color="auto"/>
      </w:divBdr>
    </w:div>
    <w:div w:id="315454866">
      <w:bodyDiv w:val="1"/>
      <w:marLeft w:val="0"/>
      <w:marRight w:val="0"/>
      <w:marTop w:val="0"/>
      <w:marBottom w:val="0"/>
      <w:divBdr>
        <w:top w:val="none" w:sz="0" w:space="0" w:color="auto"/>
        <w:left w:val="none" w:sz="0" w:space="0" w:color="auto"/>
        <w:bottom w:val="none" w:sz="0" w:space="0" w:color="auto"/>
        <w:right w:val="none" w:sz="0" w:space="0" w:color="auto"/>
      </w:divBdr>
    </w:div>
    <w:div w:id="365299777">
      <w:bodyDiv w:val="1"/>
      <w:marLeft w:val="0"/>
      <w:marRight w:val="0"/>
      <w:marTop w:val="0"/>
      <w:marBottom w:val="0"/>
      <w:divBdr>
        <w:top w:val="none" w:sz="0" w:space="0" w:color="auto"/>
        <w:left w:val="none" w:sz="0" w:space="0" w:color="auto"/>
        <w:bottom w:val="none" w:sz="0" w:space="0" w:color="auto"/>
        <w:right w:val="none" w:sz="0" w:space="0" w:color="auto"/>
      </w:divBdr>
    </w:div>
    <w:div w:id="408699138">
      <w:bodyDiv w:val="1"/>
      <w:marLeft w:val="0"/>
      <w:marRight w:val="0"/>
      <w:marTop w:val="0"/>
      <w:marBottom w:val="0"/>
      <w:divBdr>
        <w:top w:val="none" w:sz="0" w:space="0" w:color="auto"/>
        <w:left w:val="none" w:sz="0" w:space="0" w:color="auto"/>
        <w:bottom w:val="none" w:sz="0" w:space="0" w:color="auto"/>
        <w:right w:val="none" w:sz="0" w:space="0" w:color="auto"/>
      </w:divBdr>
    </w:div>
    <w:div w:id="427165812">
      <w:bodyDiv w:val="1"/>
      <w:marLeft w:val="0"/>
      <w:marRight w:val="0"/>
      <w:marTop w:val="0"/>
      <w:marBottom w:val="0"/>
      <w:divBdr>
        <w:top w:val="none" w:sz="0" w:space="0" w:color="auto"/>
        <w:left w:val="none" w:sz="0" w:space="0" w:color="auto"/>
        <w:bottom w:val="none" w:sz="0" w:space="0" w:color="auto"/>
        <w:right w:val="none" w:sz="0" w:space="0" w:color="auto"/>
      </w:divBdr>
    </w:div>
    <w:div w:id="428935604">
      <w:bodyDiv w:val="1"/>
      <w:marLeft w:val="0"/>
      <w:marRight w:val="0"/>
      <w:marTop w:val="0"/>
      <w:marBottom w:val="0"/>
      <w:divBdr>
        <w:top w:val="none" w:sz="0" w:space="0" w:color="auto"/>
        <w:left w:val="none" w:sz="0" w:space="0" w:color="auto"/>
        <w:bottom w:val="none" w:sz="0" w:space="0" w:color="auto"/>
        <w:right w:val="none" w:sz="0" w:space="0" w:color="auto"/>
      </w:divBdr>
    </w:div>
    <w:div w:id="480268574">
      <w:bodyDiv w:val="1"/>
      <w:marLeft w:val="0"/>
      <w:marRight w:val="0"/>
      <w:marTop w:val="0"/>
      <w:marBottom w:val="0"/>
      <w:divBdr>
        <w:top w:val="none" w:sz="0" w:space="0" w:color="auto"/>
        <w:left w:val="none" w:sz="0" w:space="0" w:color="auto"/>
        <w:bottom w:val="none" w:sz="0" w:space="0" w:color="auto"/>
        <w:right w:val="none" w:sz="0" w:space="0" w:color="auto"/>
      </w:divBdr>
    </w:div>
    <w:div w:id="509176110">
      <w:bodyDiv w:val="1"/>
      <w:marLeft w:val="0"/>
      <w:marRight w:val="0"/>
      <w:marTop w:val="0"/>
      <w:marBottom w:val="0"/>
      <w:divBdr>
        <w:top w:val="none" w:sz="0" w:space="0" w:color="auto"/>
        <w:left w:val="none" w:sz="0" w:space="0" w:color="auto"/>
        <w:bottom w:val="none" w:sz="0" w:space="0" w:color="auto"/>
        <w:right w:val="none" w:sz="0" w:space="0" w:color="auto"/>
      </w:divBdr>
    </w:div>
    <w:div w:id="538471836">
      <w:bodyDiv w:val="1"/>
      <w:marLeft w:val="0"/>
      <w:marRight w:val="0"/>
      <w:marTop w:val="0"/>
      <w:marBottom w:val="0"/>
      <w:divBdr>
        <w:top w:val="none" w:sz="0" w:space="0" w:color="auto"/>
        <w:left w:val="none" w:sz="0" w:space="0" w:color="auto"/>
        <w:bottom w:val="none" w:sz="0" w:space="0" w:color="auto"/>
        <w:right w:val="none" w:sz="0" w:space="0" w:color="auto"/>
      </w:divBdr>
    </w:div>
    <w:div w:id="539516060">
      <w:bodyDiv w:val="1"/>
      <w:marLeft w:val="0"/>
      <w:marRight w:val="0"/>
      <w:marTop w:val="0"/>
      <w:marBottom w:val="0"/>
      <w:divBdr>
        <w:top w:val="none" w:sz="0" w:space="0" w:color="auto"/>
        <w:left w:val="none" w:sz="0" w:space="0" w:color="auto"/>
        <w:bottom w:val="none" w:sz="0" w:space="0" w:color="auto"/>
        <w:right w:val="none" w:sz="0" w:space="0" w:color="auto"/>
      </w:divBdr>
    </w:div>
    <w:div w:id="558977195">
      <w:bodyDiv w:val="1"/>
      <w:marLeft w:val="0"/>
      <w:marRight w:val="0"/>
      <w:marTop w:val="0"/>
      <w:marBottom w:val="0"/>
      <w:divBdr>
        <w:top w:val="none" w:sz="0" w:space="0" w:color="auto"/>
        <w:left w:val="none" w:sz="0" w:space="0" w:color="auto"/>
        <w:bottom w:val="none" w:sz="0" w:space="0" w:color="auto"/>
        <w:right w:val="none" w:sz="0" w:space="0" w:color="auto"/>
      </w:divBdr>
    </w:div>
    <w:div w:id="628167138">
      <w:bodyDiv w:val="1"/>
      <w:marLeft w:val="0"/>
      <w:marRight w:val="0"/>
      <w:marTop w:val="0"/>
      <w:marBottom w:val="0"/>
      <w:divBdr>
        <w:top w:val="none" w:sz="0" w:space="0" w:color="auto"/>
        <w:left w:val="none" w:sz="0" w:space="0" w:color="auto"/>
        <w:bottom w:val="none" w:sz="0" w:space="0" w:color="auto"/>
        <w:right w:val="none" w:sz="0" w:space="0" w:color="auto"/>
      </w:divBdr>
    </w:div>
    <w:div w:id="662706547">
      <w:bodyDiv w:val="1"/>
      <w:marLeft w:val="0"/>
      <w:marRight w:val="0"/>
      <w:marTop w:val="0"/>
      <w:marBottom w:val="0"/>
      <w:divBdr>
        <w:top w:val="none" w:sz="0" w:space="0" w:color="auto"/>
        <w:left w:val="none" w:sz="0" w:space="0" w:color="auto"/>
        <w:bottom w:val="none" w:sz="0" w:space="0" w:color="auto"/>
        <w:right w:val="none" w:sz="0" w:space="0" w:color="auto"/>
      </w:divBdr>
    </w:div>
    <w:div w:id="690884651">
      <w:bodyDiv w:val="1"/>
      <w:marLeft w:val="0"/>
      <w:marRight w:val="0"/>
      <w:marTop w:val="0"/>
      <w:marBottom w:val="0"/>
      <w:divBdr>
        <w:top w:val="none" w:sz="0" w:space="0" w:color="auto"/>
        <w:left w:val="none" w:sz="0" w:space="0" w:color="auto"/>
        <w:bottom w:val="none" w:sz="0" w:space="0" w:color="auto"/>
        <w:right w:val="none" w:sz="0" w:space="0" w:color="auto"/>
      </w:divBdr>
    </w:div>
    <w:div w:id="750008238">
      <w:bodyDiv w:val="1"/>
      <w:marLeft w:val="0"/>
      <w:marRight w:val="0"/>
      <w:marTop w:val="0"/>
      <w:marBottom w:val="0"/>
      <w:divBdr>
        <w:top w:val="none" w:sz="0" w:space="0" w:color="auto"/>
        <w:left w:val="none" w:sz="0" w:space="0" w:color="auto"/>
        <w:bottom w:val="none" w:sz="0" w:space="0" w:color="auto"/>
        <w:right w:val="none" w:sz="0" w:space="0" w:color="auto"/>
      </w:divBdr>
    </w:div>
    <w:div w:id="770273918">
      <w:bodyDiv w:val="1"/>
      <w:marLeft w:val="0"/>
      <w:marRight w:val="0"/>
      <w:marTop w:val="0"/>
      <w:marBottom w:val="0"/>
      <w:divBdr>
        <w:top w:val="none" w:sz="0" w:space="0" w:color="auto"/>
        <w:left w:val="none" w:sz="0" w:space="0" w:color="auto"/>
        <w:bottom w:val="none" w:sz="0" w:space="0" w:color="auto"/>
        <w:right w:val="none" w:sz="0" w:space="0" w:color="auto"/>
      </w:divBdr>
    </w:div>
    <w:div w:id="771316157">
      <w:bodyDiv w:val="1"/>
      <w:marLeft w:val="0"/>
      <w:marRight w:val="0"/>
      <w:marTop w:val="0"/>
      <w:marBottom w:val="0"/>
      <w:divBdr>
        <w:top w:val="none" w:sz="0" w:space="0" w:color="auto"/>
        <w:left w:val="none" w:sz="0" w:space="0" w:color="auto"/>
        <w:bottom w:val="none" w:sz="0" w:space="0" w:color="auto"/>
        <w:right w:val="none" w:sz="0" w:space="0" w:color="auto"/>
      </w:divBdr>
    </w:div>
    <w:div w:id="780534522">
      <w:bodyDiv w:val="1"/>
      <w:marLeft w:val="0"/>
      <w:marRight w:val="0"/>
      <w:marTop w:val="0"/>
      <w:marBottom w:val="0"/>
      <w:divBdr>
        <w:top w:val="none" w:sz="0" w:space="0" w:color="auto"/>
        <w:left w:val="none" w:sz="0" w:space="0" w:color="auto"/>
        <w:bottom w:val="none" w:sz="0" w:space="0" w:color="auto"/>
        <w:right w:val="none" w:sz="0" w:space="0" w:color="auto"/>
      </w:divBdr>
    </w:div>
    <w:div w:id="813639868">
      <w:bodyDiv w:val="1"/>
      <w:marLeft w:val="0"/>
      <w:marRight w:val="0"/>
      <w:marTop w:val="0"/>
      <w:marBottom w:val="0"/>
      <w:divBdr>
        <w:top w:val="none" w:sz="0" w:space="0" w:color="auto"/>
        <w:left w:val="none" w:sz="0" w:space="0" w:color="auto"/>
        <w:bottom w:val="none" w:sz="0" w:space="0" w:color="auto"/>
        <w:right w:val="none" w:sz="0" w:space="0" w:color="auto"/>
      </w:divBdr>
    </w:div>
    <w:div w:id="889458326">
      <w:bodyDiv w:val="1"/>
      <w:marLeft w:val="0"/>
      <w:marRight w:val="0"/>
      <w:marTop w:val="0"/>
      <w:marBottom w:val="0"/>
      <w:divBdr>
        <w:top w:val="none" w:sz="0" w:space="0" w:color="auto"/>
        <w:left w:val="none" w:sz="0" w:space="0" w:color="auto"/>
        <w:bottom w:val="none" w:sz="0" w:space="0" w:color="auto"/>
        <w:right w:val="none" w:sz="0" w:space="0" w:color="auto"/>
      </w:divBdr>
    </w:div>
    <w:div w:id="920142653">
      <w:bodyDiv w:val="1"/>
      <w:marLeft w:val="0"/>
      <w:marRight w:val="0"/>
      <w:marTop w:val="0"/>
      <w:marBottom w:val="0"/>
      <w:divBdr>
        <w:top w:val="none" w:sz="0" w:space="0" w:color="auto"/>
        <w:left w:val="none" w:sz="0" w:space="0" w:color="auto"/>
        <w:bottom w:val="none" w:sz="0" w:space="0" w:color="auto"/>
        <w:right w:val="none" w:sz="0" w:space="0" w:color="auto"/>
      </w:divBdr>
    </w:div>
    <w:div w:id="923414419">
      <w:bodyDiv w:val="1"/>
      <w:marLeft w:val="0"/>
      <w:marRight w:val="0"/>
      <w:marTop w:val="0"/>
      <w:marBottom w:val="0"/>
      <w:divBdr>
        <w:top w:val="none" w:sz="0" w:space="0" w:color="auto"/>
        <w:left w:val="none" w:sz="0" w:space="0" w:color="auto"/>
        <w:bottom w:val="none" w:sz="0" w:space="0" w:color="auto"/>
        <w:right w:val="none" w:sz="0" w:space="0" w:color="auto"/>
      </w:divBdr>
    </w:div>
    <w:div w:id="970944512">
      <w:bodyDiv w:val="1"/>
      <w:marLeft w:val="0"/>
      <w:marRight w:val="0"/>
      <w:marTop w:val="0"/>
      <w:marBottom w:val="0"/>
      <w:divBdr>
        <w:top w:val="none" w:sz="0" w:space="0" w:color="auto"/>
        <w:left w:val="none" w:sz="0" w:space="0" w:color="auto"/>
        <w:bottom w:val="none" w:sz="0" w:space="0" w:color="auto"/>
        <w:right w:val="none" w:sz="0" w:space="0" w:color="auto"/>
      </w:divBdr>
    </w:div>
    <w:div w:id="980380219">
      <w:bodyDiv w:val="1"/>
      <w:marLeft w:val="0"/>
      <w:marRight w:val="0"/>
      <w:marTop w:val="0"/>
      <w:marBottom w:val="0"/>
      <w:divBdr>
        <w:top w:val="none" w:sz="0" w:space="0" w:color="auto"/>
        <w:left w:val="none" w:sz="0" w:space="0" w:color="auto"/>
        <w:bottom w:val="none" w:sz="0" w:space="0" w:color="auto"/>
        <w:right w:val="none" w:sz="0" w:space="0" w:color="auto"/>
      </w:divBdr>
    </w:div>
    <w:div w:id="1033842530">
      <w:bodyDiv w:val="1"/>
      <w:marLeft w:val="0"/>
      <w:marRight w:val="0"/>
      <w:marTop w:val="0"/>
      <w:marBottom w:val="0"/>
      <w:divBdr>
        <w:top w:val="none" w:sz="0" w:space="0" w:color="auto"/>
        <w:left w:val="none" w:sz="0" w:space="0" w:color="auto"/>
        <w:bottom w:val="none" w:sz="0" w:space="0" w:color="auto"/>
        <w:right w:val="none" w:sz="0" w:space="0" w:color="auto"/>
      </w:divBdr>
    </w:div>
    <w:div w:id="1139883663">
      <w:bodyDiv w:val="1"/>
      <w:marLeft w:val="0"/>
      <w:marRight w:val="0"/>
      <w:marTop w:val="0"/>
      <w:marBottom w:val="0"/>
      <w:divBdr>
        <w:top w:val="none" w:sz="0" w:space="0" w:color="auto"/>
        <w:left w:val="none" w:sz="0" w:space="0" w:color="auto"/>
        <w:bottom w:val="none" w:sz="0" w:space="0" w:color="auto"/>
        <w:right w:val="none" w:sz="0" w:space="0" w:color="auto"/>
      </w:divBdr>
    </w:div>
    <w:div w:id="1236013959">
      <w:bodyDiv w:val="1"/>
      <w:marLeft w:val="0"/>
      <w:marRight w:val="0"/>
      <w:marTop w:val="0"/>
      <w:marBottom w:val="0"/>
      <w:divBdr>
        <w:top w:val="none" w:sz="0" w:space="0" w:color="auto"/>
        <w:left w:val="none" w:sz="0" w:space="0" w:color="auto"/>
        <w:bottom w:val="none" w:sz="0" w:space="0" w:color="auto"/>
        <w:right w:val="none" w:sz="0" w:space="0" w:color="auto"/>
      </w:divBdr>
    </w:div>
    <w:div w:id="1269852125">
      <w:bodyDiv w:val="1"/>
      <w:marLeft w:val="0"/>
      <w:marRight w:val="0"/>
      <w:marTop w:val="0"/>
      <w:marBottom w:val="0"/>
      <w:divBdr>
        <w:top w:val="none" w:sz="0" w:space="0" w:color="auto"/>
        <w:left w:val="none" w:sz="0" w:space="0" w:color="auto"/>
        <w:bottom w:val="none" w:sz="0" w:space="0" w:color="auto"/>
        <w:right w:val="none" w:sz="0" w:space="0" w:color="auto"/>
      </w:divBdr>
    </w:div>
    <w:div w:id="1274478879">
      <w:bodyDiv w:val="1"/>
      <w:marLeft w:val="0"/>
      <w:marRight w:val="0"/>
      <w:marTop w:val="0"/>
      <w:marBottom w:val="0"/>
      <w:divBdr>
        <w:top w:val="none" w:sz="0" w:space="0" w:color="auto"/>
        <w:left w:val="none" w:sz="0" w:space="0" w:color="auto"/>
        <w:bottom w:val="none" w:sz="0" w:space="0" w:color="auto"/>
        <w:right w:val="none" w:sz="0" w:space="0" w:color="auto"/>
      </w:divBdr>
    </w:div>
    <w:div w:id="1298216857">
      <w:bodyDiv w:val="1"/>
      <w:marLeft w:val="0"/>
      <w:marRight w:val="0"/>
      <w:marTop w:val="0"/>
      <w:marBottom w:val="0"/>
      <w:divBdr>
        <w:top w:val="none" w:sz="0" w:space="0" w:color="auto"/>
        <w:left w:val="none" w:sz="0" w:space="0" w:color="auto"/>
        <w:bottom w:val="none" w:sz="0" w:space="0" w:color="auto"/>
        <w:right w:val="none" w:sz="0" w:space="0" w:color="auto"/>
      </w:divBdr>
    </w:div>
    <w:div w:id="1339770231">
      <w:bodyDiv w:val="1"/>
      <w:marLeft w:val="0"/>
      <w:marRight w:val="0"/>
      <w:marTop w:val="0"/>
      <w:marBottom w:val="0"/>
      <w:divBdr>
        <w:top w:val="none" w:sz="0" w:space="0" w:color="auto"/>
        <w:left w:val="none" w:sz="0" w:space="0" w:color="auto"/>
        <w:bottom w:val="none" w:sz="0" w:space="0" w:color="auto"/>
        <w:right w:val="none" w:sz="0" w:space="0" w:color="auto"/>
      </w:divBdr>
    </w:div>
    <w:div w:id="1364479273">
      <w:bodyDiv w:val="1"/>
      <w:marLeft w:val="0"/>
      <w:marRight w:val="0"/>
      <w:marTop w:val="0"/>
      <w:marBottom w:val="0"/>
      <w:divBdr>
        <w:top w:val="none" w:sz="0" w:space="0" w:color="auto"/>
        <w:left w:val="none" w:sz="0" w:space="0" w:color="auto"/>
        <w:bottom w:val="none" w:sz="0" w:space="0" w:color="auto"/>
        <w:right w:val="none" w:sz="0" w:space="0" w:color="auto"/>
      </w:divBdr>
    </w:div>
    <w:div w:id="1390885620">
      <w:bodyDiv w:val="1"/>
      <w:marLeft w:val="0"/>
      <w:marRight w:val="0"/>
      <w:marTop w:val="0"/>
      <w:marBottom w:val="0"/>
      <w:divBdr>
        <w:top w:val="none" w:sz="0" w:space="0" w:color="auto"/>
        <w:left w:val="none" w:sz="0" w:space="0" w:color="auto"/>
        <w:bottom w:val="none" w:sz="0" w:space="0" w:color="auto"/>
        <w:right w:val="none" w:sz="0" w:space="0" w:color="auto"/>
      </w:divBdr>
    </w:div>
    <w:div w:id="1405296847">
      <w:bodyDiv w:val="1"/>
      <w:marLeft w:val="0"/>
      <w:marRight w:val="0"/>
      <w:marTop w:val="0"/>
      <w:marBottom w:val="0"/>
      <w:divBdr>
        <w:top w:val="none" w:sz="0" w:space="0" w:color="auto"/>
        <w:left w:val="none" w:sz="0" w:space="0" w:color="auto"/>
        <w:bottom w:val="none" w:sz="0" w:space="0" w:color="auto"/>
        <w:right w:val="none" w:sz="0" w:space="0" w:color="auto"/>
      </w:divBdr>
    </w:div>
    <w:div w:id="1451704711">
      <w:bodyDiv w:val="1"/>
      <w:marLeft w:val="0"/>
      <w:marRight w:val="0"/>
      <w:marTop w:val="0"/>
      <w:marBottom w:val="0"/>
      <w:divBdr>
        <w:top w:val="none" w:sz="0" w:space="0" w:color="auto"/>
        <w:left w:val="none" w:sz="0" w:space="0" w:color="auto"/>
        <w:bottom w:val="none" w:sz="0" w:space="0" w:color="auto"/>
        <w:right w:val="none" w:sz="0" w:space="0" w:color="auto"/>
      </w:divBdr>
    </w:div>
    <w:div w:id="1455564475">
      <w:bodyDiv w:val="1"/>
      <w:marLeft w:val="0"/>
      <w:marRight w:val="0"/>
      <w:marTop w:val="0"/>
      <w:marBottom w:val="0"/>
      <w:divBdr>
        <w:top w:val="none" w:sz="0" w:space="0" w:color="auto"/>
        <w:left w:val="none" w:sz="0" w:space="0" w:color="auto"/>
        <w:bottom w:val="none" w:sz="0" w:space="0" w:color="auto"/>
        <w:right w:val="none" w:sz="0" w:space="0" w:color="auto"/>
      </w:divBdr>
    </w:div>
    <w:div w:id="1480918186">
      <w:bodyDiv w:val="1"/>
      <w:marLeft w:val="0"/>
      <w:marRight w:val="0"/>
      <w:marTop w:val="0"/>
      <w:marBottom w:val="0"/>
      <w:divBdr>
        <w:top w:val="none" w:sz="0" w:space="0" w:color="auto"/>
        <w:left w:val="none" w:sz="0" w:space="0" w:color="auto"/>
        <w:bottom w:val="none" w:sz="0" w:space="0" w:color="auto"/>
        <w:right w:val="none" w:sz="0" w:space="0" w:color="auto"/>
      </w:divBdr>
    </w:div>
    <w:div w:id="1489906975">
      <w:bodyDiv w:val="1"/>
      <w:marLeft w:val="0"/>
      <w:marRight w:val="0"/>
      <w:marTop w:val="0"/>
      <w:marBottom w:val="0"/>
      <w:divBdr>
        <w:top w:val="none" w:sz="0" w:space="0" w:color="auto"/>
        <w:left w:val="none" w:sz="0" w:space="0" w:color="auto"/>
        <w:bottom w:val="none" w:sz="0" w:space="0" w:color="auto"/>
        <w:right w:val="none" w:sz="0" w:space="0" w:color="auto"/>
      </w:divBdr>
    </w:div>
    <w:div w:id="1542937663">
      <w:bodyDiv w:val="1"/>
      <w:marLeft w:val="0"/>
      <w:marRight w:val="0"/>
      <w:marTop w:val="0"/>
      <w:marBottom w:val="0"/>
      <w:divBdr>
        <w:top w:val="none" w:sz="0" w:space="0" w:color="auto"/>
        <w:left w:val="none" w:sz="0" w:space="0" w:color="auto"/>
        <w:bottom w:val="none" w:sz="0" w:space="0" w:color="auto"/>
        <w:right w:val="none" w:sz="0" w:space="0" w:color="auto"/>
      </w:divBdr>
    </w:div>
    <w:div w:id="1568538795">
      <w:bodyDiv w:val="1"/>
      <w:marLeft w:val="0"/>
      <w:marRight w:val="0"/>
      <w:marTop w:val="0"/>
      <w:marBottom w:val="0"/>
      <w:divBdr>
        <w:top w:val="none" w:sz="0" w:space="0" w:color="auto"/>
        <w:left w:val="none" w:sz="0" w:space="0" w:color="auto"/>
        <w:bottom w:val="none" w:sz="0" w:space="0" w:color="auto"/>
        <w:right w:val="none" w:sz="0" w:space="0" w:color="auto"/>
      </w:divBdr>
    </w:div>
    <w:div w:id="1637179688">
      <w:bodyDiv w:val="1"/>
      <w:marLeft w:val="0"/>
      <w:marRight w:val="0"/>
      <w:marTop w:val="0"/>
      <w:marBottom w:val="0"/>
      <w:divBdr>
        <w:top w:val="none" w:sz="0" w:space="0" w:color="auto"/>
        <w:left w:val="none" w:sz="0" w:space="0" w:color="auto"/>
        <w:bottom w:val="none" w:sz="0" w:space="0" w:color="auto"/>
        <w:right w:val="none" w:sz="0" w:space="0" w:color="auto"/>
      </w:divBdr>
    </w:div>
    <w:div w:id="1658025743">
      <w:bodyDiv w:val="1"/>
      <w:marLeft w:val="0"/>
      <w:marRight w:val="0"/>
      <w:marTop w:val="0"/>
      <w:marBottom w:val="0"/>
      <w:divBdr>
        <w:top w:val="none" w:sz="0" w:space="0" w:color="auto"/>
        <w:left w:val="none" w:sz="0" w:space="0" w:color="auto"/>
        <w:bottom w:val="none" w:sz="0" w:space="0" w:color="auto"/>
        <w:right w:val="none" w:sz="0" w:space="0" w:color="auto"/>
      </w:divBdr>
    </w:div>
    <w:div w:id="1692297114">
      <w:bodyDiv w:val="1"/>
      <w:marLeft w:val="0"/>
      <w:marRight w:val="0"/>
      <w:marTop w:val="0"/>
      <w:marBottom w:val="0"/>
      <w:divBdr>
        <w:top w:val="none" w:sz="0" w:space="0" w:color="auto"/>
        <w:left w:val="none" w:sz="0" w:space="0" w:color="auto"/>
        <w:bottom w:val="none" w:sz="0" w:space="0" w:color="auto"/>
        <w:right w:val="none" w:sz="0" w:space="0" w:color="auto"/>
      </w:divBdr>
    </w:div>
    <w:div w:id="1736588698">
      <w:bodyDiv w:val="1"/>
      <w:marLeft w:val="0"/>
      <w:marRight w:val="0"/>
      <w:marTop w:val="0"/>
      <w:marBottom w:val="0"/>
      <w:divBdr>
        <w:top w:val="none" w:sz="0" w:space="0" w:color="auto"/>
        <w:left w:val="none" w:sz="0" w:space="0" w:color="auto"/>
        <w:bottom w:val="none" w:sz="0" w:space="0" w:color="auto"/>
        <w:right w:val="none" w:sz="0" w:space="0" w:color="auto"/>
      </w:divBdr>
    </w:div>
    <w:div w:id="1821770241">
      <w:bodyDiv w:val="1"/>
      <w:marLeft w:val="0"/>
      <w:marRight w:val="0"/>
      <w:marTop w:val="0"/>
      <w:marBottom w:val="0"/>
      <w:divBdr>
        <w:top w:val="none" w:sz="0" w:space="0" w:color="auto"/>
        <w:left w:val="none" w:sz="0" w:space="0" w:color="auto"/>
        <w:bottom w:val="none" w:sz="0" w:space="0" w:color="auto"/>
        <w:right w:val="none" w:sz="0" w:space="0" w:color="auto"/>
      </w:divBdr>
    </w:div>
    <w:div w:id="1839073254">
      <w:bodyDiv w:val="1"/>
      <w:marLeft w:val="0"/>
      <w:marRight w:val="0"/>
      <w:marTop w:val="0"/>
      <w:marBottom w:val="0"/>
      <w:divBdr>
        <w:top w:val="none" w:sz="0" w:space="0" w:color="auto"/>
        <w:left w:val="none" w:sz="0" w:space="0" w:color="auto"/>
        <w:bottom w:val="none" w:sz="0" w:space="0" w:color="auto"/>
        <w:right w:val="none" w:sz="0" w:space="0" w:color="auto"/>
      </w:divBdr>
    </w:div>
    <w:div w:id="1851096983">
      <w:bodyDiv w:val="1"/>
      <w:marLeft w:val="0"/>
      <w:marRight w:val="0"/>
      <w:marTop w:val="0"/>
      <w:marBottom w:val="0"/>
      <w:divBdr>
        <w:top w:val="none" w:sz="0" w:space="0" w:color="auto"/>
        <w:left w:val="none" w:sz="0" w:space="0" w:color="auto"/>
        <w:bottom w:val="none" w:sz="0" w:space="0" w:color="auto"/>
        <w:right w:val="none" w:sz="0" w:space="0" w:color="auto"/>
      </w:divBdr>
    </w:div>
    <w:div w:id="1873104632">
      <w:bodyDiv w:val="1"/>
      <w:marLeft w:val="0"/>
      <w:marRight w:val="0"/>
      <w:marTop w:val="0"/>
      <w:marBottom w:val="0"/>
      <w:divBdr>
        <w:top w:val="none" w:sz="0" w:space="0" w:color="auto"/>
        <w:left w:val="none" w:sz="0" w:space="0" w:color="auto"/>
        <w:bottom w:val="none" w:sz="0" w:space="0" w:color="auto"/>
        <w:right w:val="none" w:sz="0" w:space="0" w:color="auto"/>
      </w:divBdr>
    </w:div>
    <w:div w:id="1885285155">
      <w:bodyDiv w:val="1"/>
      <w:marLeft w:val="0"/>
      <w:marRight w:val="0"/>
      <w:marTop w:val="0"/>
      <w:marBottom w:val="0"/>
      <w:divBdr>
        <w:top w:val="none" w:sz="0" w:space="0" w:color="auto"/>
        <w:left w:val="none" w:sz="0" w:space="0" w:color="auto"/>
        <w:bottom w:val="none" w:sz="0" w:space="0" w:color="auto"/>
        <w:right w:val="none" w:sz="0" w:space="0" w:color="auto"/>
      </w:divBdr>
    </w:div>
    <w:div w:id="1929381556">
      <w:bodyDiv w:val="1"/>
      <w:marLeft w:val="0"/>
      <w:marRight w:val="0"/>
      <w:marTop w:val="0"/>
      <w:marBottom w:val="0"/>
      <w:divBdr>
        <w:top w:val="none" w:sz="0" w:space="0" w:color="auto"/>
        <w:left w:val="none" w:sz="0" w:space="0" w:color="auto"/>
        <w:bottom w:val="none" w:sz="0" w:space="0" w:color="auto"/>
        <w:right w:val="none" w:sz="0" w:space="0" w:color="auto"/>
      </w:divBdr>
    </w:div>
    <w:div w:id="1938751813">
      <w:bodyDiv w:val="1"/>
      <w:marLeft w:val="0"/>
      <w:marRight w:val="0"/>
      <w:marTop w:val="0"/>
      <w:marBottom w:val="0"/>
      <w:divBdr>
        <w:top w:val="none" w:sz="0" w:space="0" w:color="auto"/>
        <w:left w:val="none" w:sz="0" w:space="0" w:color="auto"/>
        <w:bottom w:val="none" w:sz="0" w:space="0" w:color="auto"/>
        <w:right w:val="none" w:sz="0" w:space="0" w:color="auto"/>
      </w:divBdr>
    </w:div>
    <w:div w:id="1939676618">
      <w:bodyDiv w:val="1"/>
      <w:marLeft w:val="0"/>
      <w:marRight w:val="0"/>
      <w:marTop w:val="0"/>
      <w:marBottom w:val="0"/>
      <w:divBdr>
        <w:top w:val="none" w:sz="0" w:space="0" w:color="auto"/>
        <w:left w:val="none" w:sz="0" w:space="0" w:color="auto"/>
        <w:bottom w:val="none" w:sz="0" w:space="0" w:color="auto"/>
        <w:right w:val="none" w:sz="0" w:space="0" w:color="auto"/>
      </w:divBdr>
    </w:div>
    <w:div w:id="1990865842">
      <w:bodyDiv w:val="1"/>
      <w:marLeft w:val="0"/>
      <w:marRight w:val="0"/>
      <w:marTop w:val="0"/>
      <w:marBottom w:val="0"/>
      <w:divBdr>
        <w:top w:val="none" w:sz="0" w:space="0" w:color="auto"/>
        <w:left w:val="none" w:sz="0" w:space="0" w:color="auto"/>
        <w:bottom w:val="none" w:sz="0" w:space="0" w:color="auto"/>
        <w:right w:val="none" w:sz="0" w:space="0" w:color="auto"/>
      </w:divBdr>
    </w:div>
    <w:div w:id="2022198492">
      <w:bodyDiv w:val="1"/>
      <w:marLeft w:val="0"/>
      <w:marRight w:val="0"/>
      <w:marTop w:val="0"/>
      <w:marBottom w:val="0"/>
      <w:divBdr>
        <w:top w:val="none" w:sz="0" w:space="0" w:color="auto"/>
        <w:left w:val="none" w:sz="0" w:space="0" w:color="auto"/>
        <w:bottom w:val="none" w:sz="0" w:space="0" w:color="auto"/>
        <w:right w:val="none" w:sz="0" w:space="0" w:color="auto"/>
      </w:divBdr>
    </w:div>
    <w:div w:id="2057271128">
      <w:bodyDiv w:val="1"/>
      <w:marLeft w:val="0"/>
      <w:marRight w:val="0"/>
      <w:marTop w:val="0"/>
      <w:marBottom w:val="0"/>
      <w:divBdr>
        <w:top w:val="none" w:sz="0" w:space="0" w:color="auto"/>
        <w:left w:val="none" w:sz="0" w:space="0" w:color="auto"/>
        <w:bottom w:val="none" w:sz="0" w:space="0" w:color="auto"/>
        <w:right w:val="none" w:sz="0" w:space="0" w:color="auto"/>
      </w:divBdr>
    </w:div>
    <w:div w:id="2071725738">
      <w:bodyDiv w:val="1"/>
      <w:marLeft w:val="0"/>
      <w:marRight w:val="0"/>
      <w:marTop w:val="0"/>
      <w:marBottom w:val="0"/>
      <w:divBdr>
        <w:top w:val="none" w:sz="0" w:space="0" w:color="auto"/>
        <w:left w:val="none" w:sz="0" w:space="0" w:color="auto"/>
        <w:bottom w:val="none" w:sz="0" w:space="0" w:color="auto"/>
        <w:right w:val="none" w:sz="0" w:space="0" w:color="auto"/>
      </w:divBdr>
    </w:div>
    <w:div w:id="2083286667">
      <w:bodyDiv w:val="1"/>
      <w:marLeft w:val="0"/>
      <w:marRight w:val="0"/>
      <w:marTop w:val="0"/>
      <w:marBottom w:val="0"/>
      <w:divBdr>
        <w:top w:val="none" w:sz="0" w:space="0" w:color="auto"/>
        <w:left w:val="none" w:sz="0" w:space="0" w:color="auto"/>
        <w:bottom w:val="none" w:sz="0" w:space="0" w:color="auto"/>
        <w:right w:val="none" w:sz="0" w:space="0" w:color="auto"/>
      </w:divBdr>
    </w:div>
    <w:div w:id="2087530490">
      <w:bodyDiv w:val="1"/>
      <w:marLeft w:val="0"/>
      <w:marRight w:val="0"/>
      <w:marTop w:val="0"/>
      <w:marBottom w:val="0"/>
      <w:divBdr>
        <w:top w:val="none" w:sz="0" w:space="0" w:color="auto"/>
        <w:left w:val="none" w:sz="0" w:space="0" w:color="auto"/>
        <w:bottom w:val="none" w:sz="0" w:space="0" w:color="auto"/>
        <w:right w:val="none" w:sz="0" w:space="0" w:color="auto"/>
      </w:divBdr>
    </w:div>
    <w:div w:id="2128236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loomsbury.com/uk/handbook-of-person-centred-psychotherapy-and-counselling-9781350328723/?utm_source=copilot.com" TargetMode="External"/><Relationship Id="rId18" Type="http://schemas.openxmlformats.org/officeDocument/2006/relationships/hyperlink" Target="https://www.frontiersin.org/articles/10.3389/fpsyg.2023.1182456/full?utm_source=copilo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uffieldtrust.org.uk/resource/integrated-care-systems-explained?utm_source=copilot.com" TargetMode="External"/><Relationship Id="rId7" Type="http://schemas.openxmlformats.org/officeDocument/2006/relationships/endnotes" Target="endnotes.xml"/><Relationship Id="rId12" Type="http://schemas.openxmlformats.org/officeDocument/2006/relationships/hyperlink" Target="https://www.cqc.org.uk/publications/major-report/state-care?utm_source=copilot.com" TargetMode="External"/><Relationship Id="rId17" Type="http://schemas.openxmlformats.org/officeDocument/2006/relationships/hyperlink" Target="https://www.hcpc-uk.org/standards/standards-of-conduct-performance-and-ethics/?utm_source=copilot.co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sagepub.com/home/nej?utm_source=copilot.com" TargetMode="External"/><Relationship Id="rId20" Type="http://schemas.openxmlformats.org/officeDocument/2006/relationships/hyperlink" Target="https://www.england.nhs.uk/publication/working-in-partnership-with-people-and-communities-statutory-guidance/?utm_source=copilo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111/jocn.16537?utm_source=copilot.co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health-and-social-care-integration-joining-up-care-for-people-places-and-populations?utm_source=copilot.com" TargetMode="External"/><Relationship Id="rId23" Type="http://schemas.openxmlformats.org/officeDocument/2006/relationships/hyperlink" Target="https://www.who.int/teams/integrated-health-services/clinical-services-and-systems/integrated-people-centred-care?utm_source=copilot.com" TargetMode="External"/><Relationship Id="rId10" Type="http://schemas.openxmlformats.org/officeDocument/2006/relationships/hyperlink" Target="https://global.oup.com/academic/product/principles-of-biomedical-ethics-9780197606902?utm_source=copilot.com" TargetMode="External"/><Relationship Id="rId19" Type="http://schemas.openxmlformats.org/officeDocument/2006/relationships/hyperlink" Target="https://www.england.nhs.uk/publication/nhs-long-term-workforce-plan/?utm_source=copilo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1660-4601/19/24/16550?utm_source=copilot.com" TargetMode="External"/><Relationship Id="rId22" Type="http://schemas.openxmlformats.org/officeDocument/2006/relationships/hyperlink" Target="https://www.kingsfund.org.uk/?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B01F7-ADFC-4038-BCC4-A03D6D346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3181</Words>
  <Characters>19980</Characters>
  <Application>Microsoft Office Word</Application>
  <DocSecurity>0</DocSecurity>
  <Lines>384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Hazra Bibi</dc:creator>
  <cp:keywords/>
  <dc:description/>
  <cp:lastModifiedBy>Ivilina Atanasova</cp:lastModifiedBy>
  <cp:revision>2</cp:revision>
  <dcterms:created xsi:type="dcterms:W3CDTF">2026-07-09T12:15:00Z</dcterms:created>
  <dcterms:modified xsi:type="dcterms:W3CDTF">2026-07-09T12:15:00Z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ccba0303-e523-4925-8860-7a63d09b10a3</vt:lpwstr>
  </property>
</Properties>
</file>