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00968540"/>
        <w:docPartObj>
          <w:docPartGallery w:val="Cover Pages"/>
          <w:docPartUnique/>
        </w:docPartObj>
      </w:sdtPr>
      <w:sdtEndPr>
        <w:rPr>
          <w:rFonts w:ascii="Arial" w:hAnsi="Arial"/>
          <w:b/>
          <w:bCs/>
        </w:rPr>
      </w:sdtEndPr>
      <w:sdtContent>
        <w:p w14:paraId="73CC6D28" w14:textId="47AD65E9" w:rsidR="00E01E49" w:rsidRDefault="00E01E49">
          <w:r>
            <w:rPr>
              <w:noProof/>
            </w:rPr>
            <mc:AlternateContent>
              <mc:Choice Requires="wpg">
                <w:drawing>
                  <wp:anchor distT="0" distB="0" distL="114300" distR="114300" simplePos="0" relativeHeight="251659264" behindDoc="1" locked="0" layoutInCell="1" allowOverlap="1" wp14:anchorId="04847EDC" wp14:editId="6A0383FA">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48FB7B" w14:textId="11FB7F2C" w:rsidR="00E01E49" w:rsidRPr="00290E1C" w:rsidRDefault="00E01E49" w:rsidP="00290E1C">
                                  <w:pPr>
                                    <w:pStyle w:val="NoSpacing"/>
                                    <w:spacing w:line="360" w:lineRule="auto"/>
                                    <w:rPr>
                                      <w:color w:val="FFFFFF" w:themeColor="background1"/>
                                      <w:sz w:val="36"/>
                                      <w:szCs w:val="36"/>
                                    </w:rPr>
                                  </w:pPr>
                                  <w:r w:rsidRPr="00290E1C">
                                    <w:rPr>
                                      <w:color w:val="FFFFFF" w:themeColor="background1"/>
                                      <w:sz w:val="36"/>
                                      <w:szCs w:val="36"/>
                                      <w:lang w:val="en-GB"/>
                                    </w:rPr>
                                    <w:t>Lutfa Begum</w:t>
                                  </w:r>
                                </w:p>
                                <w:p w14:paraId="5B70FBBA" w14:textId="177AB25F" w:rsidR="00E01E49" w:rsidRPr="00290E1C" w:rsidRDefault="00290E1C" w:rsidP="00290E1C">
                                  <w:pPr>
                                    <w:pStyle w:val="NoSpacing"/>
                                    <w:spacing w:line="360" w:lineRule="auto"/>
                                    <w:rPr>
                                      <w:caps/>
                                      <w:color w:val="FFFFFF" w:themeColor="background1"/>
                                      <w:sz w:val="26"/>
                                      <w:szCs w:val="26"/>
                                    </w:rPr>
                                  </w:pPr>
                                  <w:r w:rsidRPr="00290E1C">
                                    <w:rPr>
                                      <w:color w:val="FFFFFF" w:themeColor="background1"/>
                                      <w:sz w:val="26"/>
                                      <w:szCs w:val="26"/>
                                    </w:rPr>
                                    <w:t xml:space="preserve">Student Number: 2320441 </w:t>
                                  </w:r>
                                </w:p>
                                <w:p w14:paraId="10E46D09" w14:textId="62D5CFE0" w:rsidR="00E01E49" w:rsidRPr="00290E1C" w:rsidRDefault="00290E1C" w:rsidP="00290E1C">
                                  <w:pPr>
                                    <w:pStyle w:val="NoSpacing"/>
                                    <w:spacing w:line="360" w:lineRule="auto"/>
                                    <w:rPr>
                                      <w:caps/>
                                      <w:color w:val="FFFFFF" w:themeColor="background1"/>
                                      <w:sz w:val="26"/>
                                      <w:szCs w:val="26"/>
                                    </w:rPr>
                                  </w:pPr>
                                  <w:r w:rsidRPr="00290E1C">
                                    <w:rPr>
                                      <w:color w:val="FFFFFF" w:themeColor="background1"/>
                                      <w:sz w:val="26"/>
                                      <w:szCs w:val="26"/>
                                    </w:rPr>
                                    <w:t>Lecturer: Neale Haddon</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1EC6A64" w14:textId="2F73DC1A" w:rsidR="00E01E49" w:rsidRDefault="00E01E4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01E49">
                                        <w:rPr>
                                          <w:rFonts w:asciiTheme="majorHAnsi" w:eastAsiaTheme="majorEastAsia" w:hAnsiTheme="majorHAnsi" w:cstheme="majorBidi"/>
                                          <w:color w:val="595959" w:themeColor="text1" w:themeTint="A6"/>
                                          <w:sz w:val="108"/>
                                          <w:szCs w:val="108"/>
                                        </w:rPr>
                                        <w:t>Component 2 – Written Assignment Report</w:t>
                                      </w:r>
                                    </w:p>
                                  </w:sdtContent>
                                </w:sdt>
                                <w:p w14:paraId="7DCDC79C" w14:textId="43B3FBDB" w:rsidR="00290E1C" w:rsidRPr="00290E1C" w:rsidRDefault="00290E1C">
                                  <w:pPr>
                                    <w:pStyle w:val="NoSpacing"/>
                                    <w:spacing w:before="240"/>
                                    <w:rPr>
                                      <w:caps/>
                                      <w:color w:val="0E2841" w:themeColor="text2"/>
                                      <w:sz w:val="34"/>
                                      <w:szCs w:val="34"/>
                                    </w:rPr>
                                  </w:pPr>
                                  <w:r w:rsidRPr="00290E1C">
                                    <w:rPr>
                                      <w:caps/>
                                      <w:color w:val="0E2841" w:themeColor="text2"/>
                                      <w:sz w:val="34"/>
                                      <w:szCs w:val="34"/>
                                      <w:lang w:val="en-GB"/>
                                    </w:rPr>
                                    <w:t>Module code: BMHP6029</w:t>
                                  </w:r>
                                </w:p>
                                <w:p w14:paraId="25BA64D5" w14:textId="3E19C600" w:rsidR="00E01E49" w:rsidRDefault="00E01E49">
                                  <w:pPr>
                                    <w:pStyle w:val="NoSpacing"/>
                                    <w:spacing w:before="240"/>
                                    <w:rPr>
                                      <w:caps/>
                                      <w:color w:val="0E2841" w:themeColor="text2"/>
                                      <w:sz w:val="36"/>
                                      <w:szCs w:val="36"/>
                                    </w:rPr>
                                  </w:pPr>
                                  <w:r w:rsidRPr="00E01E49">
                                    <w:rPr>
                                      <w:caps/>
                                      <w:color w:val="0E2841" w:themeColor="text2"/>
                                      <w:sz w:val="36"/>
                                      <w:szCs w:val="36"/>
                                    </w:rPr>
                                    <w:t>Psychological Classifications and Provisions</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847EDC"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p w14:paraId="3E48FB7B" w14:textId="11FB7F2C" w:rsidR="00E01E49" w:rsidRPr="00290E1C" w:rsidRDefault="00E01E49" w:rsidP="00290E1C">
                            <w:pPr>
                              <w:pStyle w:val="NoSpacing"/>
                              <w:spacing w:line="360" w:lineRule="auto"/>
                              <w:rPr>
                                <w:color w:val="FFFFFF" w:themeColor="background1"/>
                                <w:sz w:val="36"/>
                                <w:szCs w:val="36"/>
                              </w:rPr>
                            </w:pPr>
                            <w:r w:rsidRPr="00290E1C">
                              <w:rPr>
                                <w:color w:val="FFFFFF" w:themeColor="background1"/>
                                <w:sz w:val="36"/>
                                <w:szCs w:val="36"/>
                                <w:lang w:val="en-GB"/>
                              </w:rPr>
                              <w:t>Lutfa Begum</w:t>
                            </w:r>
                          </w:p>
                          <w:p w14:paraId="5B70FBBA" w14:textId="177AB25F" w:rsidR="00E01E49" w:rsidRPr="00290E1C" w:rsidRDefault="00290E1C" w:rsidP="00290E1C">
                            <w:pPr>
                              <w:pStyle w:val="NoSpacing"/>
                              <w:spacing w:line="360" w:lineRule="auto"/>
                              <w:rPr>
                                <w:caps/>
                                <w:color w:val="FFFFFF" w:themeColor="background1"/>
                                <w:sz w:val="26"/>
                                <w:szCs w:val="26"/>
                              </w:rPr>
                            </w:pPr>
                            <w:r w:rsidRPr="00290E1C">
                              <w:rPr>
                                <w:color w:val="FFFFFF" w:themeColor="background1"/>
                                <w:sz w:val="26"/>
                                <w:szCs w:val="26"/>
                              </w:rPr>
                              <w:t xml:space="preserve">Student Number: 2320441 </w:t>
                            </w:r>
                          </w:p>
                          <w:p w14:paraId="10E46D09" w14:textId="62D5CFE0" w:rsidR="00E01E49" w:rsidRPr="00290E1C" w:rsidRDefault="00290E1C" w:rsidP="00290E1C">
                            <w:pPr>
                              <w:pStyle w:val="NoSpacing"/>
                              <w:spacing w:line="360" w:lineRule="auto"/>
                              <w:rPr>
                                <w:caps/>
                                <w:color w:val="FFFFFF" w:themeColor="background1"/>
                                <w:sz w:val="26"/>
                                <w:szCs w:val="26"/>
                              </w:rPr>
                            </w:pPr>
                            <w:r w:rsidRPr="00290E1C">
                              <w:rPr>
                                <w:color w:val="FFFFFF" w:themeColor="background1"/>
                                <w:sz w:val="26"/>
                                <w:szCs w:val="26"/>
                              </w:rPr>
                              <w:t>Lecturer: Neale Haddon</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1EC6A64" w14:textId="2F73DC1A" w:rsidR="00E01E49" w:rsidRDefault="00E01E4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01E49">
                                  <w:rPr>
                                    <w:rFonts w:asciiTheme="majorHAnsi" w:eastAsiaTheme="majorEastAsia" w:hAnsiTheme="majorHAnsi" w:cstheme="majorBidi"/>
                                    <w:color w:val="595959" w:themeColor="text1" w:themeTint="A6"/>
                                    <w:sz w:val="108"/>
                                    <w:szCs w:val="108"/>
                                  </w:rPr>
                                  <w:t>Component 2 – Written Assignment Report</w:t>
                                </w:r>
                              </w:p>
                            </w:sdtContent>
                          </w:sdt>
                          <w:p w14:paraId="7DCDC79C" w14:textId="43B3FBDB" w:rsidR="00290E1C" w:rsidRPr="00290E1C" w:rsidRDefault="00290E1C">
                            <w:pPr>
                              <w:pStyle w:val="NoSpacing"/>
                              <w:spacing w:before="240"/>
                              <w:rPr>
                                <w:caps/>
                                <w:color w:val="0E2841" w:themeColor="text2"/>
                                <w:sz w:val="34"/>
                                <w:szCs w:val="34"/>
                              </w:rPr>
                            </w:pPr>
                            <w:r w:rsidRPr="00290E1C">
                              <w:rPr>
                                <w:caps/>
                                <w:color w:val="0E2841" w:themeColor="text2"/>
                                <w:sz w:val="34"/>
                                <w:szCs w:val="34"/>
                                <w:lang w:val="en-GB"/>
                              </w:rPr>
                              <w:t>Module code: BMHP6029</w:t>
                            </w:r>
                          </w:p>
                          <w:p w14:paraId="25BA64D5" w14:textId="3E19C600" w:rsidR="00E01E49" w:rsidRDefault="00E01E49">
                            <w:pPr>
                              <w:pStyle w:val="NoSpacing"/>
                              <w:spacing w:before="240"/>
                              <w:rPr>
                                <w:caps/>
                                <w:color w:val="0E2841" w:themeColor="text2"/>
                                <w:sz w:val="36"/>
                                <w:szCs w:val="36"/>
                              </w:rPr>
                            </w:pPr>
                            <w:r w:rsidRPr="00E01E49">
                              <w:rPr>
                                <w:caps/>
                                <w:color w:val="0E2841" w:themeColor="text2"/>
                                <w:sz w:val="36"/>
                                <w:szCs w:val="36"/>
                              </w:rPr>
                              <w:t>Psychological Classifications and Provisions</w:t>
                            </w:r>
                          </w:p>
                        </w:txbxContent>
                      </v:textbox>
                    </v:shape>
                    <w10:wrap anchorx="page" anchory="page"/>
                  </v:group>
                </w:pict>
              </mc:Fallback>
            </mc:AlternateContent>
          </w:r>
        </w:p>
        <w:p w14:paraId="7CDB05DB" w14:textId="5C6C3971" w:rsidR="00E01E49" w:rsidRDefault="00E01E49">
          <w:pPr>
            <w:rPr>
              <w:rFonts w:ascii="Arial" w:hAnsi="Arial"/>
              <w:b/>
              <w:bCs/>
            </w:rPr>
          </w:pPr>
          <w:r>
            <w:rPr>
              <w:rFonts w:ascii="Arial" w:hAnsi="Arial"/>
              <w:b/>
              <w:bCs/>
            </w:rPr>
            <w:br w:type="page"/>
          </w:r>
        </w:p>
      </w:sdtContent>
    </w:sdt>
    <w:sdt>
      <w:sdtPr>
        <w:rPr>
          <w:rFonts w:asciiTheme="minorHAnsi" w:eastAsiaTheme="minorHAnsi" w:hAnsiTheme="minorHAnsi" w:cstheme="minorBidi"/>
          <w:color w:val="auto"/>
          <w:kern w:val="2"/>
          <w:sz w:val="24"/>
          <w:szCs w:val="24"/>
          <w:lang w:val="en-GB"/>
          <w14:ligatures w14:val="standardContextual"/>
        </w:rPr>
        <w:id w:val="464401029"/>
        <w:docPartObj>
          <w:docPartGallery w:val="Table of Contents"/>
          <w:docPartUnique/>
        </w:docPartObj>
      </w:sdtPr>
      <w:sdtEndPr>
        <w:rPr>
          <w:b/>
          <w:bCs/>
          <w:noProof/>
        </w:rPr>
      </w:sdtEndPr>
      <w:sdtContent>
        <w:p w14:paraId="210068BA" w14:textId="1F32D9D2" w:rsidR="00E01E49" w:rsidRDefault="00E01E49" w:rsidP="00E01E49">
          <w:pPr>
            <w:pStyle w:val="TOCHeading"/>
            <w:spacing w:line="360" w:lineRule="auto"/>
          </w:pPr>
          <w:r>
            <w:t>Contents</w:t>
          </w:r>
        </w:p>
        <w:p w14:paraId="1039D98A" w14:textId="4511D10A" w:rsidR="00E01E49" w:rsidRDefault="00E01E49" w:rsidP="00E01E49">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35229619" w:history="1">
            <w:r w:rsidRPr="00E10FC8">
              <w:rPr>
                <w:rStyle w:val="Hyperlink"/>
                <w:noProof/>
              </w:rPr>
              <w:t>Introduction</w:t>
            </w:r>
            <w:r>
              <w:rPr>
                <w:noProof/>
                <w:webHidden/>
              </w:rPr>
              <w:tab/>
            </w:r>
            <w:r>
              <w:rPr>
                <w:noProof/>
                <w:webHidden/>
              </w:rPr>
              <w:fldChar w:fldCharType="begin"/>
            </w:r>
            <w:r>
              <w:rPr>
                <w:noProof/>
                <w:webHidden/>
              </w:rPr>
              <w:instrText xml:space="preserve"> PAGEREF _Toc235229619 \h </w:instrText>
            </w:r>
            <w:r>
              <w:rPr>
                <w:noProof/>
                <w:webHidden/>
              </w:rPr>
            </w:r>
            <w:r>
              <w:rPr>
                <w:noProof/>
                <w:webHidden/>
              </w:rPr>
              <w:fldChar w:fldCharType="separate"/>
            </w:r>
            <w:r>
              <w:rPr>
                <w:noProof/>
                <w:webHidden/>
              </w:rPr>
              <w:t>2</w:t>
            </w:r>
            <w:r>
              <w:rPr>
                <w:noProof/>
                <w:webHidden/>
              </w:rPr>
              <w:fldChar w:fldCharType="end"/>
            </w:r>
          </w:hyperlink>
        </w:p>
        <w:p w14:paraId="165B40CD" w14:textId="60CCED86" w:rsidR="00E01E49" w:rsidRDefault="00E01E49" w:rsidP="00E01E49">
          <w:pPr>
            <w:pStyle w:val="TOC1"/>
            <w:tabs>
              <w:tab w:val="right" w:leader="dot" w:pos="9016"/>
            </w:tabs>
            <w:spacing w:line="360" w:lineRule="auto"/>
            <w:rPr>
              <w:rFonts w:eastAsiaTheme="minorEastAsia"/>
              <w:noProof/>
              <w:lang w:eastAsia="en-GB"/>
            </w:rPr>
          </w:pPr>
          <w:hyperlink w:anchor="_Toc235229620" w:history="1">
            <w:r w:rsidRPr="00E10FC8">
              <w:rPr>
                <w:rStyle w:val="Hyperlink"/>
                <w:noProof/>
              </w:rPr>
              <w:t>ICD-11 Classification and Diagnosis</w:t>
            </w:r>
            <w:r>
              <w:rPr>
                <w:noProof/>
                <w:webHidden/>
              </w:rPr>
              <w:tab/>
            </w:r>
            <w:r>
              <w:rPr>
                <w:noProof/>
                <w:webHidden/>
              </w:rPr>
              <w:fldChar w:fldCharType="begin"/>
            </w:r>
            <w:r>
              <w:rPr>
                <w:noProof/>
                <w:webHidden/>
              </w:rPr>
              <w:instrText xml:space="preserve"> PAGEREF _Toc235229620 \h </w:instrText>
            </w:r>
            <w:r>
              <w:rPr>
                <w:noProof/>
                <w:webHidden/>
              </w:rPr>
            </w:r>
            <w:r>
              <w:rPr>
                <w:noProof/>
                <w:webHidden/>
              </w:rPr>
              <w:fldChar w:fldCharType="separate"/>
            </w:r>
            <w:r>
              <w:rPr>
                <w:noProof/>
                <w:webHidden/>
              </w:rPr>
              <w:t>2</w:t>
            </w:r>
            <w:r>
              <w:rPr>
                <w:noProof/>
                <w:webHidden/>
              </w:rPr>
              <w:fldChar w:fldCharType="end"/>
            </w:r>
          </w:hyperlink>
        </w:p>
        <w:p w14:paraId="45D1BEC1" w14:textId="7D4C514E" w:rsidR="00E01E49" w:rsidRDefault="00E01E49" w:rsidP="00E01E49">
          <w:pPr>
            <w:pStyle w:val="TOC1"/>
            <w:tabs>
              <w:tab w:val="right" w:leader="dot" w:pos="9016"/>
            </w:tabs>
            <w:spacing w:line="360" w:lineRule="auto"/>
            <w:rPr>
              <w:rFonts w:eastAsiaTheme="minorEastAsia"/>
              <w:noProof/>
              <w:lang w:eastAsia="en-GB"/>
            </w:rPr>
          </w:pPr>
          <w:hyperlink w:anchor="_Toc235229621" w:history="1">
            <w:r w:rsidRPr="00E10FC8">
              <w:rPr>
                <w:rStyle w:val="Hyperlink"/>
                <w:noProof/>
              </w:rPr>
              <w:t>Treatment and Rehabilitation</w:t>
            </w:r>
            <w:r>
              <w:rPr>
                <w:noProof/>
                <w:webHidden/>
              </w:rPr>
              <w:tab/>
            </w:r>
            <w:r>
              <w:rPr>
                <w:noProof/>
                <w:webHidden/>
              </w:rPr>
              <w:fldChar w:fldCharType="begin"/>
            </w:r>
            <w:r>
              <w:rPr>
                <w:noProof/>
                <w:webHidden/>
              </w:rPr>
              <w:instrText xml:space="preserve"> PAGEREF _Toc235229621 \h </w:instrText>
            </w:r>
            <w:r>
              <w:rPr>
                <w:noProof/>
                <w:webHidden/>
              </w:rPr>
            </w:r>
            <w:r>
              <w:rPr>
                <w:noProof/>
                <w:webHidden/>
              </w:rPr>
              <w:fldChar w:fldCharType="separate"/>
            </w:r>
            <w:r>
              <w:rPr>
                <w:noProof/>
                <w:webHidden/>
              </w:rPr>
              <w:t>4</w:t>
            </w:r>
            <w:r>
              <w:rPr>
                <w:noProof/>
                <w:webHidden/>
              </w:rPr>
              <w:fldChar w:fldCharType="end"/>
            </w:r>
          </w:hyperlink>
        </w:p>
        <w:p w14:paraId="1A8FDA7E" w14:textId="456503B5" w:rsidR="00E01E49" w:rsidRDefault="00E01E49" w:rsidP="00E01E49">
          <w:pPr>
            <w:pStyle w:val="TOC1"/>
            <w:tabs>
              <w:tab w:val="right" w:leader="dot" w:pos="9016"/>
            </w:tabs>
            <w:spacing w:line="360" w:lineRule="auto"/>
            <w:rPr>
              <w:rFonts w:eastAsiaTheme="minorEastAsia"/>
              <w:noProof/>
              <w:lang w:eastAsia="en-GB"/>
            </w:rPr>
          </w:pPr>
          <w:hyperlink w:anchor="_Toc235229622" w:history="1">
            <w:r w:rsidRPr="00E10FC8">
              <w:rPr>
                <w:rStyle w:val="Hyperlink"/>
                <w:noProof/>
              </w:rPr>
              <w:t>Current Debates and Emerging Issues</w:t>
            </w:r>
            <w:r>
              <w:rPr>
                <w:noProof/>
                <w:webHidden/>
              </w:rPr>
              <w:tab/>
            </w:r>
            <w:r>
              <w:rPr>
                <w:noProof/>
                <w:webHidden/>
              </w:rPr>
              <w:fldChar w:fldCharType="begin"/>
            </w:r>
            <w:r>
              <w:rPr>
                <w:noProof/>
                <w:webHidden/>
              </w:rPr>
              <w:instrText xml:space="preserve"> PAGEREF _Toc235229622 \h </w:instrText>
            </w:r>
            <w:r>
              <w:rPr>
                <w:noProof/>
                <w:webHidden/>
              </w:rPr>
            </w:r>
            <w:r>
              <w:rPr>
                <w:noProof/>
                <w:webHidden/>
              </w:rPr>
              <w:fldChar w:fldCharType="separate"/>
            </w:r>
            <w:r>
              <w:rPr>
                <w:noProof/>
                <w:webHidden/>
              </w:rPr>
              <w:t>6</w:t>
            </w:r>
            <w:r>
              <w:rPr>
                <w:noProof/>
                <w:webHidden/>
              </w:rPr>
              <w:fldChar w:fldCharType="end"/>
            </w:r>
          </w:hyperlink>
        </w:p>
        <w:p w14:paraId="1BBDC83A" w14:textId="336D712B" w:rsidR="00E01E49" w:rsidRDefault="00E01E49" w:rsidP="00E01E49">
          <w:pPr>
            <w:pStyle w:val="TOC1"/>
            <w:tabs>
              <w:tab w:val="right" w:leader="dot" w:pos="9016"/>
            </w:tabs>
            <w:spacing w:line="360" w:lineRule="auto"/>
            <w:rPr>
              <w:rFonts w:eastAsiaTheme="minorEastAsia"/>
              <w:noProof/>
              <w:lang w:eastAsia="en-GB"/>
            </w:rPr>
          </w:pPr>
          <w:hyperlink w:anchor="_Toc235229623" w:history="1">
            <w:r w:rsidRPr="00E10FC8">
              <w:rPr>
                <w:rStyle w:val="Hyperlink"/>
                <w:noProof/>
              </w:rPr>
              <w:t>Recommendations</w:t>
            </w:r>
            <w:r>
              <w:rPr>
                <w:noProof/>
                <w:webHidden/>
              </w:rPr>
              <w:tab/>
            </w:r>
            <w:r>
              <w:rPr>
                <w:noProof/>
                <w:webHidden/>
              </w:rPr>
              <w:fldChar w:fldCharType="begin"/>
            </w:r>
            <w:r>
              <w:rPr>
                <w:noProof/>
                <w:webHidden/>
              </w:rPr>
              <w:instrText xml:space="preserve"> PAGEREF _Toc235229623 \h </w:instrText>
            </w:r>
            <w:r>
              <w:rPr>
                <w:noProof/>
                <w:webHidden/>
              </w:rPr>
            </w:r>
            <w:r>
              <w:rPr>
                <w:noProof/>
                <w:webHidden/>
              </w:rPr>
              <w:fldChar w:fldCharType="separate"/>
            </w:r>
            <w:r>
              <w:rPr>
                <w:noProof/>
                <w:webHidden/>
              </w:rPr>
              <w:t>7</w:t>
            </w:r>
            <w:r>
              <w:rPr>
                <w:noProof/>
                <w:webHidden/>
              </w:rPr>
              <w:fldChar w:fldCharType="end"/>
            </w:r>
          </w:hyperlink>
        </w:p>
        <w:p w14:paraId="5AB7123D" w14:textId="49D44197" w:rsidR="00E01E49" w:rsidRDefault="00E01E49" w:rsidP="00E01E49">
          <w:pPr>
            <w:pStyle w:val="TOC1"/>
            <w:tabs>
              <w:tab w:val="right" w:leader="dot" w:pos="9016"/>
            </w:tabs>
            <w:spacing w:line="360" w:lineRule="auto"/>
            <w:rPr>
              <w:rFonts w:eastAsiaTheme="minorEastAsia"/>
              <w:noProof/>
              <w:lang w:eastAsia="en-GB"/>
            </w:rPr>
          </w:pPr>
          <w:hyperlink w:anchor="_Toc235229624" w:history="1">
            <w:r w:rsidRPr="00E10FC8">
              <w:rPr>
                <w:rStyle w:val="Hyperlink"/>
                <w:noProof/>
              </w:rPr>
              <w:t>Conclusion</w:t>
            </w:r>
            <w:r>
              <w:rPr>
                <w:noProof/>
                <w:webHidden/>
              </w:rPr>
              <w:tab/>
            </w:r>
            <w:r>
              <w:rPr>
                <w:noProof/>
                <w:webHidden/>
              </w:rPr>
              <w:fldChar w:fldCharType="begin"/>
            </w:r>
            <w:r>
              <w:rPr>
                <w:noProof/>
                <w:webHidden/>
              </w:rPr>
              <w:instrText xml:space="preserve"> PAGEREF _Toc235229624 \h </w:instrText>
            </w:r>
            <w:r>
              <w:rPr>
                <w:noProof/>
                <w:webHidden/>
              </w:rPr>
            </w:r>
            <w:r>
              <w:rPr>
                <w:noProof/>
                <w:webHidden/>
              </w:rPr>
              <w:fldChar w:fldCharType="separate"/>
            </w:r>
            <w:r>
              <w:rPr>
                <w:noProof/>
                <w:webHidden/>
              </w:rPr>
              <w:t>8</w:t>
            </w:r>
            <w:r>
              <w:rPr>
                <w:noProof/>
                <w:webHidden/>
              </w:rPr>
              <w:fldChar w:fldCharType="end"/>
            </w:r>
          </w:hyperlink>
        </w:p>
        <w:p w14:paraId="3C439EB4" w14:textId="68B637B6" w:rsidR="00E01E49" w:rsidRDefault="00E01E49" w:rsidP="00E01E49">
          <w:pPr>
            <w:pStyle w:val="TOC1"/>
            <w:tabs>
              <w:tab w:val="right" w:leader="dot" w:pos="9016"/>
            </w:tabs>
            <w:spacing w:line="360" w:lineRule="auto"/>
            <w:rPr>
              <w:rFonts w:eastAsiaTheme="minorEastAsia"/>
              <w:noProof/>
              <w:lang w:eastAsia="en-GB"/>
            </w:rPr>
          </w:pPr>
          <w:hyperlink w:anchor="_Toc235229625" w:history="1">
            <w:r w:rsidRPr="00E10FC8">
              <w:rPr>
                <w:rStyle w:val="Hyperlink"/>
                <w:noProof/>
              </w:rPr>
              <w:t>Refrences:</w:t>
            </w:r>
            <w:r>
              <w:rPr>
                <w:noProof/>
                <w:webHidden/>
              </w:rPr>
              <w:tab/>
            </w:r>
            <w:r>
              <w:rPr>
                <w:noProof/>
                <w:webHidden/>
              </w:rPr>
              <w:fldChar w:fldCharType="begin"/>
            </w:r>
            <w:r>
              <w:rPr>
                <w:noProof/>
                <w:webHidden/>
              </w:rPr>
              <w:instrText xml:space="preserve"> PAGEREF _Toc235229625 \h </w:instrText>
            </w:r>
            <w:r>
              <w:rPr>
                <w:noProof/>
                <w:webHidden/>
              </w:rPr>
            </w:r>
            <w:r>
              <w:rPr>
                <w:noProof/>
                <w:webHidden/>
              </w:rPr>
              <w:fldChar w:fldCharType="separate"/>
            </w:r>
            <w:r>
              <w:rPr>
                <w:noProof/>
                <w:webHidden/>
              </w:rPr>
              <w:t>9</w:t>
            </w:r>
            <w:r>
              <w:rPr>
                <w:noProof/>
                <w:webHidden/>
              </w:rPr>
              <w:fldChar w:fldCharType="end"/>
            </w:r>
          </w:hyperlink>
        </w:p>
        <w:p w14:paraId="27BE6025" w14:textId="092C327D" w:rsidR="00E01E49" w:rsidRDefault="00E01E49" w:rsidP="00E01E49">
          <w:pPr>
            <w:spacing w:line="360" w:lineRule="auto"/>
          </w:pPr>
          <w:r>
            <w:rPr>
              <w:b/>
              <w:bCs/>
              <w:noProof/>
            </w:rPr>
            <w:fldChar w:fldCharType="end"/>
          </w:r>
        </w:p>
      </w:sdtContent>
    </w:sdt>
    <w:p w14:paraId="177D9E13" w14:textId="77777777" w:rsidR="00E01E49" w:rsidRDefault="00E01E49" w:rsidP="00E01E49">
      <w:pPr>
        <w:spacing w:line="360" w:lineRule="auto"/>
        <w:jc w:val="center"/>
        <w:rPr>
          <w:rFonts w:ascii="Arial" w:hAnsi="Arial"/>
          <w:b/>
          <w:bCs/>
        </w:rPr>
      </w:pPr>
    </w:p>
    <w:p w14:paraId="50268108" w14:textId="77777777" w:rsidR="00E01E49" w:rsidRDefault="00E01E49">
      <w:pPr>
        <w:rPr>
          <w:rFonts w:ascii="Arial" w:hAnsi="Arial"/>
          <w:b/>
          <w:bCs/>
        </w:rPr>
      </w:pPr>
      <w:r>
        <w:rPr>
          <w:rFonts w:ascii="Arial" w:hAnsi="Arial"/>
          <w:b/>
          <w:bCs/>
        </w:rPr>
        <w:br w:type="page"/>
      </w:r>
    </w:p>
    <w:p w14:paraId="70B26EC5" w14:textId="4925F4A0" w:rsidR="00E01E49" w:rsidRPr="00E01E49" w:rsidRDefault="00E01E49" w:rsidP="00E01E49">
      <w:pPr>
        <w:spacing w:line="360" w:lineRule="auto"/>
        <w:jc w:val="center"/>
        <w:rPr>
          <w:rFonts w:ascii="Arial" w:hAnsi="Arial"/>
          <w:b/>
          <w:bCs/>
        </w:rPr>
      </w:pPr>
      <w:r w:rsidRPr="00E01E49">
        <w:rPr>
          <w:rFonts w:ascii="Arial" w:hAnsi="Arial"/>
          <w:b/>
          <w:bCs/>
        </w:rPr>
        <w:lastRenderedPageBreak/>
        <w:t>A Critical Examination of Obsessive-Compulsive Disorder: ICD-11 Classification, Diagnosis, Treatment and Rehabilitation</w:t>
      </w:r>
    </w:p>
    <w:p w14:paraId="55732800" w14:textId="0DB8C329" w:rsidR="00543AFF" w:rsidRPr="00A15B36" w:rsidRDefault="00543AFF" w:rsidP="00543AFF">
      <w:pPr>
        <w:pStyle w:val="Heading1"/>
      </w:pPr>
      <w:bookmarkStart w:id="0" w:name="_Toc235229619"/>
      <w:r w:rsidRPr="00543AFF">
        <w:t>Introduction</w:t>
      </w:r>
      <w:bookmarkEnd w:id="0"/>
    </w:p>
    <w:p w14:paraId="7F9CD35A" w14:textId="77777777" w:rsidR="00B13C70" w:rsidRPr="00B13C70" w:rsidRDefault="00B13C70" w:rsidP="00B13C70">
      <w:pPr>
        <w:spacing w:line="360" w:lineRule="auto"/>
        <w:jc w:val="both"/>
        <w:rPr>
          <w:rFonts w:ascii="Arial" w:hAnsi="Arial"/>
        </w:rPr>
      </w:pPr>
      <w:r w:rsidRPr="00B13C70">
        <w:rPr>
          <w:rFonts w:ascii="Arial" w:hAnsi="Arial"/>
        </w:rPr>
        <w:t>Obsessive-compulsive disorder (OCD) is a mental health condition involving unwanted and repeated thoughts, images or urges called obsessions. These experiences often cause significant anxiety or distress. People may respond by carrying out repeated behaviours or mental activities known as compulsions. Examples include repeated checking, washing, counting, seeking reassurance or silently repeating words. Although these actions may temporarily reduce anxiety, they can strengthen the cycle of OCD over time (APA, 2022; NICE, 2022; WHO, 2024b).</w:t>
      </w:r>
    </w:p>
    <w:p w14:paraId="1415901A" w14:textId="77777777" w:rsidR="00D25289" w:rsidRPr="00D25289" w:rsidRDefault="00D25289" w:rsidP="00D25289">
      <w:pPr>
        <w:spacing w:line="360" w:lineRule="auto"/>
        <w:jc w:val="both"/>
        <w:rPr>
          <w:rFonts w:ascii="Arial" w:hAnsi="Arial"/>
        </w:rPr>
      </w:pPr>
      <w:r w:rsidRPr="00D25289">
        <w:rPr>
          <w:rFonts w:ascii="Arial" w:hAnsi="Arial"/>
        </w:rPr>
        <w:t>OCD can affect employment, education, relationships, parenting, sleep and community participation. People may hide their symptoms because intrusive thoughts can involve violence, religion, sex or harm. Having these thoughts does not mean they will act on them. Shame can delay help-seeking and diagnosis, so professionals should explore symptoms sensitively (NICE, 2022).</w:t>
      </w:r>
    </w:p>
    <w:p w14:paraId="1A45DF2F" w14:textId="77777777" w:rsidR="00D25289" w:rsidRPr="00D25289" w:rsidRDefault="00D25289" w:rsidP="00D25289">
      <w:pPr>
        <w:spacing w:line="360" w:lineRule="auto"/>
        <w:jc w:val="both"/>
        <w:rPr>
          <w:rFonts w:ascii="Arial" w:hAnsi="Arial"/>
        </w:rPr>
      </w:pPr>
      <w:r w:rsidRPr="00D25289">
        <w:rPr>
          <w:rFonts w:ascii="Arial" w:hAnsi="Arial"/>
        </w:rPr>
        <w:t>This report critically examines the classification, diagnosis, treatment and rehabilitation of OCD. It also considers neurodivergence, diagnostic expansion, stigma and transdiagnostic approaches. It argues that although ICD-11 provides a useful framework, effective care also requires individual assessment, cultural awareness and attention to lived experience.</w:t>
      </w:r>
    </w:p>
    <w:p w14:paraId="56BC4BB3" w14:textId="0E3EA390" w:rsidR="00543AFF" w:rsidRPr="00543AFF" w:rsidRDefault="00543AFF" w:rsidP="00543AFF">
      <w:pPr>
        <w:spacing w:line="360" w:lineRule="auto"/>
        <w:jc w:val="both"/>
        <w:rPr>
          <w:rFonts w:ascii="Arial" w:hAnsi="Arial"/>
        </w:rPr>
      </w:pPr>
    </w:p>
    <w:p w14:paraId="10B0FB9B" w14:textId="77777777" w:rsidR="00543AFF" w:rsidRPr="00543AFF" w:rsidRDefault="00543AFF" w:rsidP="00E01E49">
      <w:pPr>
        <w:pStyle w:val="Heading1"/>
      </w:pPr>
      <w:bookmarkStart w:id="1" w:name="_Toc235229620"/>
      <w:r w:rsidRPr="00543AFF">
        <w:t>ICD-11 Classification and Diagnosis</w:t>
      </w:r>
      <w:bookmarkEnd w:id="1"/>
    </w:p>
    <w:p w14:paraId="70B11A29" w14:textId="77777777" w:rsidR="00543AFF" w:rsidRDefault="00543AFF" w:rsidP="00543AFF">
      <w:pPr>
        <w:spacing w:line="360" w:lineRule="auto"/>
        <w:jc w:val="both"/>
        <w:rPr>
          <w:rFonts w:ascii="Arial" w:hAnsi="Arial"/>
        </w:rPr>
      </w:pPr>
      <w:r w:rsidRPr="00022081">
        <w:rPr>
          <w:rFonts w:ascii="Arial" w:hAnsi="Arial"/>
        </w:rPr>
        <w:t xml:space="preserve">The World Health Organization classifies OCD in ICD-11 Chapter 6, </w:t>
      </w:r>
      <w:r w:rsidRPr="00022081">
        <w:rPr>
          <w:rFonts w:ascii="Arial" w:hAnsi="Arial"/>
          <w:i/>
          <w:iCs/>
        </w:rPr>
        <w:t>Mental, Behavioural or Neurodevelopmental Disorders</w:t>
      </w:r>
      <w:r w:rsidRPr="00022081">
        <w:rPr>
          <w:rFonts w:ascii="Arial" w:hAnsi="Arial"/>
        </w:rPr>
        <w:t xml:space="preserve">. Its code is 6B20, and it is placed within the group of obsessive-compulsive or related disorders. This group also contains body dysmorphic disorder, olfactory reference disorder, hypochondriasis, hoarding disorder and body-focused repetitive behaviour disorders (WHO, 2024a). </w:t>
      </w:r>
    </w:p>
    <w:p w14:paraId="407E3845" w14:textId="77777777" w:rsidR="00B04E0E" w:rsidRDefault="00B04E0E" w:rsidP="00B04E0E">
      <w:pPr>
        <w:keepNext/>
        <w:spacing w:line="360" w:lineRule="auto"/>
        <w:jc w:val="both"/>
      </w:pPr>
      <w:r>
        <w:rPr>
          <w:rFonts w:ascii="Arial" w:hAnsi="Arial"/>
        </w:rPr>
        <w:lastRenderedPageBreak/>
        <w:t xml:space="preserve">                                        </w:t>
      </w:r>
      <w:r w:rsidRPr="00B04E0E">
        <w:rPr>
          <w:rFonts w:ascii="Arial" w:hAnsi="Arial"/>
          <w:noProof/>
        </w:rPr>
        <w:drawing>
          <wp:inline distT="0" distB="0" distL="0" distR="0" wp14:anchorId="74272DF1" wp14:editId="02F9B784">
            <wp:extent cx="2301240" cy="2522033"/>
            <wp:effectExtent l="0" t="0" r="3810" b="0"/>
            <wp:docPr id="113641865" name="Picture 1" descr="The image depicts a diagram illustrating the categorization of disorders, specifically highlighting Obsessive-Compulsive Disorder (OCD) as a subset of Neurodevelopmental Disorders under the broader classification of Mental, Behavioral, or Neurodevelopmental Disorders, with the code 6B2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41865" name="Picture 1" descr="The image depicts a diagram illustrating the categorization of disorders, specifically highlighting Obsessive-Compulsive Disorder (OCD) as a subset of Neurodevelopmental Disorders under the broader classification of Mental, Behavioral, or Neurodevelopmental Disorders, with the code 6B20.&#10;&#10;AI-generated content may be incorrect."/>
                    <pic:cNvPicPr/>
                  </pic:nvPicPr>
                  <pic:blipFill>
                    <a:blip r:embed="rId8"/>
                    <a:stretch>
                      <a:fillRect/>
                    </a:stretch>
                  </pic:blipFill>
                  <pic:spPr>
                    <a:xfrm>
                      <a:off x="0" y="0"/>
                      <a:ext cx="2303981" cy="2525037"/>
                    </a:xfrm>
                    <a:prstGeom prst="rect">
                      <a:avLst/>
                    </a:prstGeom>
                  </pic:spPr>
                </pic:pic>
              </a:graphicData>
            </a:graphic>
          </wp:inline>
        </w:drawing>
      </w:r>
    </w:p>
    <w:p w14:paraId="226681F4" w14:textId="65212BC0" w:rsidR="00B04E0E" w:rsidRPr="00022081" w:rsidRDefault="00B04E0E" w:rsidP="00B04E0E">
      <w:pPr>
        <w:pStyle w:val="Caption"/>
        <w:jc w:val="both"/>
        <w:rPr>
          <w:rFonts w:ascii="Arial" w:hAnsi="Arial"/>
        </w:rPr>
      </w:pPr>
      <w:r>
        <w:t xml:space="preserve">Figure </w:t>
      </w:r>
      <w:fldSimple w:instr=" SEQ Figure \* ARABIC ">
        <w:r>
          <w:rPr>
            <w:noProof/>
          </w:rPr>
          <w:t>1</w:t>
        </w:r>
      </w:fldSimple>
      <w:r>
        <w:t>:</w:t>
      </w:r>
      <w:r w:rsidRPr="00AC558C">
        <w:t>ICD-11 classification of Obsessive-Compulsive Disorder (adapted from WHO, 2024a; created by the author using Canva).</w:t>
      </w:r>
    </w:p>
    <w:p w14:paraId="55458138" w14:textId="77777777" w:rsidR="00543AFF" w:rsidRPr="00022081" w:rsidRDefault="00543AFF" w:rsidP="00543AFF">
      <w:pPr>
        <w:spacing w:line="360" w:lineRule="auto"/>
        <w:jc w:val="both"/>
        <w:rPr>
          <w:rFonts w:ascii="Arial" w:hAnsi="Arial"/>
        </w:rPr>
      </w:pPr>
      <w:r w:rsidRPr="00022081">
        <w:rPr>
          <w:rFonts w:ascii="Arial" w:hAnsi="Arial"/>
        </w:rPr>
        <w:t>This placement is important because OCD was historically grouped with anxiety disorders. Anxiety remains common in OCD, but ICD-11 recognises that obsessions, compulsions, repetitive behaviour and difficulties controlling these experiences form a distinct clinical pattern. The separate grouping may improve specialist knowledge, research and treatment planning. However, diagnostic separation may understate the strong overlap between OCD, anxiety, depression, eating disorders, tic disorders and neurodevelopmental conditions.</w:t>
      </w:r>
    </w:p>
    <w:p w14:paraId="667B1197" w14:textId="77777777" w:rsidR="00543AFF" w:rsidRPr="00022081" w:rsidRDefault="00543AFF" w:rsidP="00543AFF">
      <w:pPr>
        <w:spacing w:line="360" w:lineRule="auto"/>
        <w:jc w:val="both"/>
        <w:rPr>
          <w:rFonts w:ascii="Arial" w:hAnsi="Arial"/>
        </w:rPr>
      </w:pPr>
      <w:r w:rsidRPr="00022081">
        <w:rPr>
          <w:rFonts w:ascii="Arial" w:hAnsi="Arial"/>
        </w:rPr>
        <w:t xml:space="preserve">ICD-11 describes obsessions as persistent and repeated thoughts, images, impulses or urges that are intrusive and unwanted. Compulsions are repeated behaviours or mental rituals that the person feels driven to perform. Compulsions are usually carried out in response to an obsession or according to strict rules. They are intended to prevent harm or reduce distress, even when they are excessive or not realistically connected to the feared event (WHO, 2024b). </w:t>
      </w:r>
    </w:p>
    <w:p w14:paraId="59067211" w14:textId="5556D99F" w:rsidR="00022081" w:rsidRPr="00022081" w:rsidRDefault="00B13C70" w:rsidP="00022081">
      <w:pPr>
        <w:spacing w:line="360" w:lineRule="auto"/>
        <w:jc w:val="both"/>
        <w:rPr>
          <w:rFonts w:ascii="Arial" w:hAnsi="Arial"/>
        </w:rPr>
      </w:pPr>
      <w:r w:rsidRPr="00B13C70">
        <w:rPr>
          <w:rFonts w:ascii="Arial" w:hAnsi="Arial"/>
        </w:rPr>
        <w:t>For diagnosis, the obsessions or compulsions must be time-consuming or cause significant distress or impairment in personal, family, social, educational or occupational functioning (WHO, 2024a). Professionals must also consider whether symptoms are better explained by another mental disorder, substance use, medication or a physical health condition (WHO, 2024a; NICE, 2022).</w:t>
      </w:r>
      <w:r>
        <w:rPr>
          <w:rFonts w:ascii="Arial" w:hAnsi="Arial"/>
        </w:rPr>
        <w:t xml:space="preserve"> </w:t>
      </w:r>
      <w:r w:rsidR="00022081" w:rsidRPr="00022081">
        <w:rPr>
          <w:rFonts w:ascii="Arial" w:hAnsi="Arial"/>
        </w:rPr>
        <w:t>Assessment may include clinical interviews, observation, information from relatives and standardised instruments such as the Yale-Brown Obsessive Compulsive Scale (NICE, 2022; American Psychiatric Association (APA), 2022).</w:t>
      </w:r>
    </w:p>
    <w:p w14:paraId="6752E571" w14:textId="108601E5" w:rsidR="00022081" w:rsidRPr="00022081" w:rsidRDefault="00022081" w:rsidP="00022081">
      <w:pPr>
        <w:spacing w:line="360" w:lineRule="auto"/>
        <w:jc w:val="both"/>
        <w:rPr>
          <w:rFonts w:ascii="Arial" w:hAnsi="Arial"/>
        </w:rPr>
      </w:pPr>
      <w:r w:rsidRPr="00022081">
        <w:rPr>
          <w:rFonts w:ascii="Arial" w:hAnsi="Arial"/>
        </w:rPr>
        <w:lastRenderedPageBreak/>
        <w:t>The word “disorder” indicates that symptoms have reached a level associated with distress, impaired functioning or need for care (WHO, 2024</w:t>
      </w:r>
      <w:r w:rsidR="00480E77">
        <w:rPr>
          <w:rFonts w:ascii="Arial" w:hAnsi="Arial"/>
        </w:rPr>
        <w:t>b</w:t>
      </w:r>
      <w:r w:rsidRPr="00022081">
        <w:rPr>
          <w:rFonts w:ascii="Arial" w:hAnsi="Arial"/>
        </w:rPr>
        <w:t xml:space="preserve">). This helps distinguish clinical OCD from ordinary habits, preferences and occasional intrusive thoughts (APA, 2022). </w:t>
      </w:r>
    </w:p>
    <w:p w14:paraId="72391623" w14:textId="45C16113" w:rsidR="00022081" w:rsidRPr="00022081" w:rsidRDefault="00022081" w:rsidP="00022081">
      <w:pPr>
        <w:spacing w:line="360" w:lineRule="auto"/>
        <w:jc w:val="both"/>
        <w:rPr>
          <w:rFonts w:ascii="Arial" w:hAnsi="Arial"/>
        </w:rPr>
      </w:pPr>
      <w:r w:rsidRPr="00022081">
        <w:rPr>
          <w:rFonts w:ascii="Arial" w:hAnsi="Arial"/>
        </w:rPr>
        <w:t>The strength of diagnosis is that it can validate distress, improve communication and provide access to evidence-based treatment (WHO, 2024</w:t>
      </w:r>
      <w:r w:rsidR="00480E77">
        <w:rPr>
          <w:rFonts w:ascii="Arial" w:hAnsi="Arial"/>
        </w:rPr>
        <w:t>b</w:t>
      </w:r>
      <w:r w:rsidRPr="00022081">
        <w:rPr>
          <w:rFonts w:ascii="Arial" w:hAnsi="Arial"/>
        </w:rPr>
        <w:t>; NICE, 2022). Nevertheless, classification can reduce complex experiences to a label (Haslam et al., 2021). The same diagnosis may include contamination fears, checking, symmetry concerns, religious obsessions, relationship doubts, mental rituals or intrusive harm-related thoughts</w:t>
      </w:r>
      <w:r w:rsidR="008D4D60">
        <w:rPr>
          <w:rFonts w:ascii="Arial" w:hAnsi="Arial"/>
        </w:rPr>
        <w:t>.</w:t>
      </w:r>
      <w:r w:rsidRPr="00022081">
        <w:rPr>
          <w:rFonts w:ascii="Arial" w:hAnsi="Arial"/>
        </w:rPr>
        <w:t xml:space="preserve"> Consequently, two people diagnosed with OCD may require very different care (Stein et al., 20</w:t>
      </w:r>
      <w:r w:rsidR="00645E6A">
        <w:rPr>
          <w:rFonts w:ascii="Arial" w:hAnsi="Arial"/>
        </w:rPr>
        <w:t>19</w:t>
      </w:r>
      <w:r w:rsidRPr="00022081">
        <w:rPr>
          <w:rFonts w:ascii="Arial" w:hAnsi="Arial"/>
        </w:rPr>
        <w:t>).</w:t>
      </w:r>
    </w:p>
    <w:p w14:paraId="131320BF" w14:textId="41DEDA61" w:rsidR="00022081" w:rsidRPr="00022081" w:rsidRDefault="00022081" w:rsidP="00022081">
      <w:pPr>
        <w:spacing w:line="360" w:lineRule="auto"/>
        <w:jc w:val="both"/>
        <w:rPr>
          <w:rFonts w:ascii="Arial" w:hAnsi="Arial"/>
        </w:rPr>
      </w:pPr>
      <w:r w:rsidRPr="00022081">
        <w:rPr>
          <w:rFonts w:ascii="Arial" w:hAnsi="Arial"/>
        </w:rPr>
        <w:t>Cultural context is also important. Religious practices, washing routines and family expectations may be incorrectly viewed as compulsions when professionals do not understand their meaning (WHO, 2024</w:t>
      </w:r>
      <w:r w:rsidR="00480E77">
        <w:rPr>
          <w:rFonts w:ascii="Arial" w:hAnsi="Arial"/>
        </w:rPr>
        <w:t>b</w:t>
      </w:r>
      <w:r w:rsidRPr="00022081">
        <w:rPr>
          <w:rFonts w:ascii="Arial" w:hAnsi="Arial"/>
        </w:rPr>
        <w:t xml:space="preserve">). Conversely, distressing religious or moral obsessions may be missed because they resemble accepted beliefs (APA, 2022). </w:t>
      </w:r>
      <w:r w:rsidR="00B13C70" w:rsidRPr="00B13C70">
        <w:rPr>
          <w:rFonts w:ascii="Arial" w:hAnsi="Arial"/>
        </w:rPr>
        <w:t>Assessment should therefore examine the purpose, frequency, rigidity and impact of behaviour rather than judging behaviour outside its social context (NICE, 2022; WHO, 2024b).</w:t>
      </w:r>
    </w:p>
    <w:p w14:paraId="5FDC05BE" w14:textId="1CE08856" w:rsidR="00022081" w:rsidRPr="00022081" w:rsidRDefault="00022081" w:rsidP="00022081">
      <w:pPr>
        <w:spacing w:line="360" w:lineRule="auto"/>
        <w:jc w:val="both"/>
        <w:rPr>
          <w:rFonts w:ascii="Arial" w:hAnsi="Arial"/>
        </w:rPr>
      </w:pPr>
      <w:r w:rsidRPr="00022081">
        <w:rPr>
          <w:rFonts w:ascii="Arial" w:hAnsi="Arial"/>
        </w:rPr>
        <w:t>Diagnosis can also be delayed when compulsions are mainly mental and not visible (Stein et al., 20</w:t>
      </w:r>
      <w:r w:rsidR="00645E6A">
        <w:rPr>
          <w:rFonts w:ascii="Arial" w:hAnsi="Arial"/>
        </w:rPr>
        <w:t>19</w:t>
      </w:r>
      <w:r w:rsidRPr="00022081">
        <w:rPr>
          <w:rFonts w:ascii="Arial" w:hAnsi="Arial"/>
        </w:rPr>
        <w:t xml:space="preserve">). A person may repeatedly review memories, replace “bad” thoughts with “good” ones, pray silently or seek internal certainty (APA, 2022). </w:t>
      </w:r>
    </w:p>
    <w:p w14:paraId="5B1B2F91" w14:textId="7FCF914F" w:rsidR="00543AFF" w:rsidRPr="00543AFF" w:rsidRDefault="00543AFF" w:rsidP="00543AFF">
      <w:pPr>
        <w:spacing w:line="360" w:lineRule="auto"/>
        <w:jc w:val="both"/>
        <w:rPr>
          <w:rFonts w:ascii="Arial" w:hAnsi="Arial"/>
        </w:rPr>
      </w:pPr>
    </w:p>
    <w:p w14:paraId="3CFCABF0" w14:textId="77777777" w:rsidR="00543AFF" w:rsidRPr="00543AFF" w:rsidRDefault="00543AFF" w:rsidP="00E01E49">
      <w:pPr>
        <w:pStyle w:val="Heading1"/>
      </w:pPr>
      <w:bookmarkStart w:id="2" w:name="_Toc235229621"/>
      <w:r w:rsidRPr="00543AFF">
        <w:t>Treatment and Rehabilitation</w:t>
      </w:r>
      <w:bookmarkEnd w:id="2"/>
    </w:p>
    <w:p w14:paraId="445CDCFF" w14:textId="77777777" w:rsidR="00543AFF" w:rsidRPr="00543AFF" w:rsidRDefault="00543AFF" w:rsidP="00543AFF">
      <w:pPr>
        <w:spacing w:line="360" w:lineRule="auto"/>
        <w:jc w:val="both"/>
        <w:rPr>
          <w:rFonts w:ascii="Arial" w:hAnsi="Arial"/>
        </w:rPr>
      </w:pPr>
      <w:r w:rsidRPr="00543AFF">
        <w:rPr>
          <w:rFonts w:ascii="Arial" w:hAnsi="Arial"/>
        </w:rPr>
        <w:t>The main psychological treatment for OCD is cognitive behavioural therapy incorporating exposure and response prevention, normally shortened to CBT with ERP. CBT examines how interpretations of intrusive thoughts contribute to anxiety, responsibility and threat. ERP supports the person to face feared situations or thoughts gradually while reducing or delaying compulsions. Over time, the person learns that distress can decrease without performing the ritual.</w:t>
      </w:r>
    </w:p>
    <w:p w14:paraId="3996EF10" w14:textId="35EBADFF" w:rsidR="00543AFF" w:rsidRPr="00543AFF" w:rsidRDefault="00543AFF" w:rsidP="00543AFF">
      <w:pPr>
        <w:spacing w:line="360" w:lineRule="auto"/>
        <w:jc w:val="both"/>
        <w:rPr>
          <w:rFonts w:ascii="Arial" w:hAnsi="Arial"/>
        </w:rPr>
      </w:pPr>
      <w:r w:rsidRPr="00543AFF">
        <w:rPr>
          <w:rFonts w:ascii="Arial" w:hAnsi="Arial"/>
        </w:rPr>
        <w:lastRenderedPageBreak/>
        <w:t xml:space="preserve">A 2021 systematic review of 36 studies involving 2,020 participants found a large overall effect for CBT with ERP. However, the results depended on the comparison group, and only a minority of studies had a low risk of bias. Studies linked to strong researcher allegiance reported larger benefits than studies without this concern (Reid et al., 2021). Therefore, ERP has strong evidence but describing it as equally effective for everyone would be misleading. </w:t>
      </w:r>
    </w:p>
    <w:p w14:paraId="17D4C9C6" w14:textId="323C78B0" w:rsidR="00F2524E" w:rsidRPr="00F2524E" w:rsidRDefault="00F2524E" w:rsidP="00F2524E">
      <w:pPr>
        <w:spacing w:line="360" w:lineRule="auto"/>
        <w:jc w:val="both"/>
        <w:rPr>
          <w:rFonts w:ascii="Arial" w:hAnsi="Arial"/>
        </w:rPr>
      </w:pPr>
      <w:r w:rsidRPr="00F2524E">
        <w:rPr>
          <w:rFonts w:ascii="Arial" w:hAnsi="Arial"/>
        </w:rPr>
        <w:t>ERP can also be emotionally demanding. Some people discontinue because exposure initially increases anxiety, while others cannot access an appropriately trained therapist. Poorly planned exposure may feel controlling or may focus only on visible rituals while ignoring shame, trauma, depression, autism or family circumstances. Treatment should therefore be collaborative, gradual and based on a shared understanding of the person’s goals (NICE, 20</w:t>
      </w:r>
      <w:r w:rsidR="00480E77">
        <w:rPr>
          <w:rFonts w:ascii="Arial" w:hAnsi="Arial"/>
        </w:rPr>
        <w:t>22</w:t>
      </w:r>
      <w:r w:rsidRPr="00F2524E">
        <w:rPr>
          <w:rFonts w:ascii="Arial" w:hAnsi="Arial"/>
        </w:rPr>
        <w:t xml:space="preserve">). </w:t>
      </w:r>
    </w:p>
    <w:p w14:paraId="2B90D03C" w14:textId="77777777" w:rsidR="00543AFF" w:rsidRPr="00543AFF" w:rsidRDefault="00543AFF" w:rsidP="00543AFF">
      <w:pPr>
        <w:spacing w:line="360" w:lineRule="auto"/>
        <w:jc w:val="both"/>
        <w:rPr>
          <w:rFonts w:ascii="Arial" w:hAnsi="Arial"/>
        </w:rPr>
      </w:pPr>
      <w:r w:rsidRPr="00543AFF">
        <w:rPr>
          <w:rFonts w:ascii="Arial" w:hAnsi="Arial"/>
        </w:rPr>
        <w:t>Selective serotonin reuptake inhibitors, or SSRIs, are the main medicines used for OCD. They may be offered when symptoms are moderate or severe, when psychological treatment has not been enough, or when the person prefers medication. Benefits may take up to 12 weeks to appear, which is longer than many people expect (NHS, 2021). Side effects, withdrawal experiences and the possibility of relapse after stopping treatment should be discussed through shared decision-making.</w:t>
      </w:r>
    </w:p>
    <w:p w14:paraId="6D9165D6" w14:textId="77777777" w:rsidR="00543AFF" w:rsidRPr="00543AFF" w:rsidRDefault="00543AFF" w:rsidP="00543AFF">
      <w:pPr>
        <w:spacing w:line="360" w:lineRule="auto"/>
        <w:jc w:val="both"/>
        <w:rPr>
          <w:rFonts w:ascii="Arial" w:hAnsi="Arial"/>
        </w:rPr>
      </w:pPr>
      <w:r w:rsidRPr="00543AFF">
        <w:rPr>
          <w:rFonts w:ascii="Arial" w:hAnsi="Arial"/>
        </w:rPr>
        <w:t xml:space="preserve">For severe OCD, combined psychological and pharmacological treatment may be appropriate. Mao et al. (2022) reviewed 21 studies involving 1,113 participants and found that ERP plus medication produced greater improvement than medication alone. Nevertheless, there was substantial variation between studies, possible publication bias and limited long-term follow-up. This means combined care is promising, but treatment should not become an automatic formula that ignores individual preference or previous response. </w:t>
      </w:r>
    </w:p>
    <w:p w14:paraId="7DFCACFD" w14:textId="77777777" w:rsidR="00543AFF" w:rsidRPr="00543AFF" w:rsidRDefault="00543AFF" w:rsidP="00543AFF">
      <w:pPr>
        <w:spacing w:line="360" w:lineRule="auto"/>
        <w:jc w:val="both"/>
        <w:rPr>
          <w:rFonts w:ascii="Arial" w:hAnsi="Arial"/>
        </w:rPr>
      </w:pPr>
      <w:r w:rsidRPr="00543AFF">
        <w:rPr>
          <w:rFonts w:ascii="Arial" w:hAnsi="Arial"/>
        </w:rPr>
        <w:t xml:space="preserve">Treatment-resistant OCD requires specialist reassessment. Professionals should first review whether the diagnosis is accurate, whether ERP was delivered at an adequate intensity, whether medication was taken for an appropriate period and whether co-occurring conditions have been addressed. In exceptional, severe and long-term cases, specialist options may include intensive residential treatment, repetitive transcranial magnetic stimulation or deep brain stimulation. A meta-analysis reported an average OCD symptom reduction approaching 50% after deep brain stimulation, </w:t>
      </w:r>
      <w:r w:rsidRPr="00543AFF">
        <w:rPr>
          <w:rFonts w:ascii="Arial" w:hAnsi="Arial"/>
        </w:rPr>
        <w:lastRenderedPageBreak/>
        <w:t xml:space="preserve">but this invasive intervention involves surgical, ethical, financial and long-term monitoring issues (Gadot et al., 2022). It should therefore be reserved for carefully selected cases rather than presented as routine treatment. </w:t>
      </w:r>
    </w:p>
    <w:p w14:paraId="15ADB32D" w14:textId="77777777" w:rsidR="00F2524E" w:rsidRPr="00F2524E" w:rsidRDefault="00F2524E" w:rsidP="00F2524E">
      <w:pPr>
        <w:spacing w:line="360" w:lineRule="auto"/>
        <w:jc w:val="both"/>
        <w:rPr>
          <w:rFonts w:ascii="Arial" w:hAnsi="Arial"/>
        </w:rPr>
      </w:pPr>
      <w:r w:rsidRPr="00F2524E">
        <w:rPr>
          <w:rFonts w:ascii="Arial" w:hAnsi="Arial"/>
        </w:rPr>
        <w:t>Rehabilitation is sometimes associated only with psychosis or long hospital admissions. However, severe OCD may also prevent a person from leaving home, using public transport, preparing food, studying, working or maintaining relationships. Rehabilitation should therefore address functioning as well as symptom reduction (Mind, 2024b).</w:t>
      </w:r>
    </w:p>
    <w:p w14:paraId="179544A5" w14:textId="77777777" w:rsidR="00B04E0E" w:rsidRPr="00A56916" w:rsidRDefault="00B04E0E" w:rsidP="00B04E0E">
      <w:pPr>
        <w:spacing w:line="360" w:lineRule="auto"/>
        <w:jc w:val="both"/>
        <w:rPr>
          <w:rFonts w:ascii="Arial" w:hAnsi="Arial"/>
        </w:rPr>
      </w:pPr>
      <w:r w:rsidRPr="00A56916">
        <w:rPr>
          <w:rFonts w:ascii="Arial" w:hAnsi="Arial"/>
        </w:rPr>
        <w:t>A person-centred rehabilitation plan may include occupational therapy, support to return to education or employment, family education, peer support, welfare advice and rebuilding daily routines. Families may unintentionally reinforce compulsions through reassurance, cleaning rituals or changing routines. Family involvement can support recovery, but relatives should be helped to reduce these behaviours without blaming the person (NICE, 2022).</w:t>
      </w:r>
    </w:p>
    <w:p w14:paraId="60180291" w14:textId="77777777" w:rsidR="00543AFF" w:rsidRPr="00543AFF" w:rsidRDefault="00543AFF" w:rsidP="00543AFF">
      <w:pPr>
        <w:spacing w:line="360" w:lineRule="auto"/>
        <w:jc w:val="both"/>
        <w:rPr>
          <w:rFonts w:ascii="Arial" w:hAnsi="Arial"/>
        </w:rPr>
      </w:pPr>
      <w:r w:rsidRPr="00543AFF">
        <w:rPr>
          <w:rFonts w:ascii="Arial" w:hAnsi="Arial"/>
        </w:rPr>
        <w:t>The WHO Disability Assessment Schedule 2.0 can support this approach by measuring functioning across cognition, mobility, self-care, relationships, life activities and participation. It is designed for use across physical and mental health conditions and different cultural settings (WHO, 2012). Its strength is that it identifies the effect of OCD on real life. However, a standardised score cannot fully capture fear, shame, personal meaning or the effort required to resist compulsions.</w:t>
      </w:r>
    </w:p>
    <w:p w14:paraId="14275F74" w14:textId="77777777" w:rsidR="00543AFF" w:rsidRPr="00543AFF" w:rsidRDefault="00543AFF" w:rsidP="00543AFF">
      <w:pPr>
        <w:spacing w:line="360" w:lineRule="auto"/>
        <w:jc w:val="both"/>
        <w:rPr>
          <w:rFonts w:ascii="Arial" w:hAnsi="Arial"/>
        </w:rPr>
      </w:pPr>
      <w:r w:rsidRPr="00543AFF">
        <w:rPr>
          <w:rFonts w:ascii="Arial" w:hAnsi="Arial"/>
        </w:rPr>
        <w:t xml:space="preserve">Recovery should not be defined only as having no symptoms. Some people may continue to experience intrusive thoughts but become more able to study, work, care for family members and make independent decisions. Peer support can reduce isolation and provide hope, although groups should be managed carefully because repeated reassurance between members can sometimes reinforce OCD (Mind, 2024a). </w:t>
      </w:r>
    </w:p>
    <w:p w14:paraId="45859266" w14:textId="77777777" w:rsidR="00543AFF" w:rsidRPr="00543AFF" w:rsidRDefault="00543AFF" w:rsidP="00543AFF">
      <w:pPr>
        <w:pStyle w:val="Heading1"/>
      </w:pPr>
      <w:bookmarkStart w:id="3" w:name="_Toc235229622"/>
      <w:r w:rsidRPr="00543AFF">
        <w:t>Current Debates and Emerging Issues</w:t>
      </w:r>
      <w:bookmarkEnd w:id="3"/>
    </w:p>
    <w:p w14:paraId="304E21CE" w14:textId="77777777" w:rsidR="00543AFF" w:rsidRPr="00543AFF" w:rsidRDefault="00543AFF" w:rsidP="00543AFF">
      <w:pPr>
        <w:spacing w:line="360" w:lineRule="auto"/>
        <w:jc w:val="both"/>
        <w:rPr>
          <w:rFonts w:ascii="Arial" w:hAnsi="Arial"/>
        </w:rPr>
      </w:pPr>
      <w:r w:rsidRPr="00543AFF">
        <w:rPr>
          <w:rFonts w:ascii="Arial" w:hAnsi="Arial"/>
        </w:rPr>
        <w:t xml:space="preserve">One debate </w:t>
      </w:r>
      <w:proofErr w:type="gramStart"/>
      <w:r w:rsidRPr="00543AFF">
        <w:rPr>
          <w:rFonts w:ascii="Arial" w:hAnsi="Arial"/>
        </w:rPr>
        <w:t>concerns</w:t>
      </w:r>
      <w:proofErr w:type="gramEnd"/>
      <w:r w:rsidRPr="00543AFF">
        <w:rPr>
          <w:rFonts w:ascii="Arial" w:hAnsi="Arial"/>
        </w:rPr>
        <w:t xml:space="preserve"> whether increasingly broad mental health concepts risk pathologising normal behaviour. Haslam (2016) calls this </w:t>
      </w:r>
      <w:r w:rsidRPr="00025015">
        <w:rPr>
          <w:rFonts w:ascii="Arial" w:hAnsi="Arial"/>
        </w:rPr>
        <w:t>concept creep,</w:t>
      </w:r>
      <w:r w:rsidRPr="00543AFF">
        <w:rPr>
          <w:rFonts w:ascii="Arial" w:hAnsi="Arial"/>
        </w:rPr>
        <w:t xml:space="preserve"> while Haslam, Tse and De Deyne (2021) link widening psychological concepts with psychiatrisation. Applying an OCD label too broadly could turn ordinary neatness, </w:t>
      </w:r>
      <w:r w:rsidRPr="00543AFF">
        <w:rPr>
          <w:rFonts w:ascii="Arial" w:hAnsi="Arial"/>
        </w:rPr>
        <w:lastRenderedPageBreak/>
        <w:t>repeated checking or unwanted thoughts into illness. On the other hand, overly narrow definitions may exclude people whose symptoms are mainly mental, culturally shaped or less visible. The appropriate boundary should therefore depend on distress, loss of control and functional impairment, not simply the presence of repetitive behaviour.</w:t>
      </w:r>
    </w:p>
    <w:p w14:paraId="4073B201" w14:textId="77777777" w:rsidR="00543AFF" w:rsidRPr="00543AFF" w:rsidRDefault="00543AFF" w:rsidP="00543AFF">
      <w:pPr>
        <w:spacing w:line="360" w:lineRule="auto"/>
        <w:jc w:val="both"/>
        <w:rPr>
          <w:rFonts w:ascii="Arial" w:hAnsi="Arial"/>
        </w:rPr>
      </w:pPr>
      <w:r w:rsidRPr="00543AFF">
        <w:rPr>
          <w:rFonts w:ascii="Arial" w:hAnsi="Arial"/>
        </w:rPr>
        <w:t>Stigma remains another concern. OCD is often used casually to describe someone who likes order, while intrusive sexual, violent or religious obsessions receive less public attention. This can trivialise disability and make people fear being judged as dangerous. Atanasova et al. (2019) demonstrate that media representations can shape public understanding of mental health. More responsible communication should explain that intrusive thoughts are unwanted and that OCD is not a personality preference.</w:t>
      </w:r>
    </w:p>
    <w:p w14:paraId="3703F240" w14:textId="77777777" w:rsidR="00F2524E" w:rsidRPr="00F2524E" w:rsidRDefault="00F2524E" w:rsidP="00F2524E">
      <w:pPr>
        <w:spacing w:line="360" w:lineRule="auto"/>
        <w:jc w:val="both"/>
        <w:rPr>
          <w:rFonts w:ascii="Arial" w:hAnsi="Arial"/>
        </w:rPr>
      </w:pPr>
      <w:r w:rsidRPr="00F2524E">
        <w:rPr>
          <w:rFonts w:ascii="Arial" w:hAnsi="Arial"/>
        </w:rPr>
        <w:t>OCD also raises questions about neurodivergence. Neurodiversity recognises natural differences in thinking and information processing, particularly in relation to autism, ADHD, dyslexia and other neurodevelopmental differences. Some people with OCD identify as neurodivergent, especially where OCD co-occurs with autism or ADHD. However, OCD is not classified by ICD-11 as a neurodevelopmental disorder (WHO, 2024a; WHO, 2024b). Its repetitive behaviours are usually driven by anxiety, unwanted thoughts or attempts to prevent harm, whereas autistic routines may provide predictability, enjoyment or sensory regulation (WHO, 2024b; Simpson et al., 2014).</w:t>
      </w:r>
    </w:p>
    <w:p w14:paraId="735E9484" w14:textId="2DAA79B2" w:rsidR="00D25289" w:rsidRPr="00D25289" w:rsidRDefault="00D25289" w:rsidP="00D25289">
      <w:pPr>
        <w:spacing w:line="360" w:lineRule="auto"/>
        <w:jc w:val="both"/>
        <w:rPr>
          <w:rFonts w:ascii="Arial" w:hAnsi="Arial"/>
        </w:rPr>
      </w:pPr>
      <w:r w:rsidRPr="00D25289">
        <w:rPr>
          <w:rFonts w:ascii="Arial" w:hAnsi="Arial"/>
        </w:rPr>
        <w:t>However, this distinction should not create rigid boundaries. Autistic people can also develop OCD, and ERP may need adapting for sensory needs, communication preferences and intolerance of uncertainty. Neurodiversity-affirming practice can reduce shame and improve communication. However, treating every disabling compulsion as a harmless difference may minimise distress and reduce access to treatment. Care should therefore respect identity while supporting experiences that are unwanted or restrictive (NICE, 2022).</w:t>
      </w:r>
    </w:p>
    <w:p w14:paraId="71DA1D5B" w14:textId="77777777" w:rsidR="00F2524E" w:rsidRPr="00F2524E" w:rsidRDefault="00F2524E" w:rsidP="00F2524E">
      <w:pPr>
        <w:spacing w:line="360" w:lineRule="auto"/>
        <w:jc w:val="both"/>
        <w:rPr>
          <w:rFonts w:ascii="Arial" w:hAnsi="Arial"/>
        </w:rPr>
      </w:pPr>
      <w:r w:rsidRPr="00F2524E">
        <w:rPr>
          <w:rFonts w:ascii="Arial" w:hAnsi="Arial"/>
        </w:rPr>
        <w:t xml:space="preserve">Transdiagnostic approaches offer another perspective. Instead of treating each diagnosis as </w:t>
      </w:r>
      <w:proofErr w:type="gramStart"/>
      <w:r w:rsidRPr="00F2524E">
        <w:rPr>
          <w:rFonts w:ascii="Arial" w:hAnsi="Arial"/>
        </w:rPr>
        <w:t>completely separate</w:t>
      </w:r>
      <w:proofErr w:type="gramEnd"/>
      <w:r w:rsidRPr="00F2524E">
        <w:rPr>
          <w:rFonts w:ascii="Arial" w:hAnsi="Arial"/>
        </w:rPr>
        <w:t xml:space="preserve">, they target processes shared across disorders, such as avoidance, repetitive negative thinking, intolerance of uncertainty and threat monitoring. This may help people with OCD alongside depression, generalised anxiety or eating difficulties. However, a general intervention may not provide the specialised </w:t>
      </w:r>
      <w:r w:rsidRPr="00F2524E">
        <w:rPr>
          <w:rFonts w:ascii="Arial" w:hAnsi="Arial"/>
        </w:rPr>
        <w:lastRenderedPageBreak/>
        <w:t>ERP knowledge required for severe OCD. Transdiagnostic care should therefore complement rather than replace disorder-specific expertise (Reid et al., 2021).</w:t>
      </w:r>
    </w:p>
    <w:p w14:paraId="0AD4B80E" w14:textId="77777777" w:rsidR="000C54B5" w:rsidRPr="000C54B5" w:rsidRDefault="000C54B5" w:rsidP="000C54B5">
      <w:pPr>
        <w:spacing w:line="360" w:lineRule="auto"/>
        <w:jc w:val="both"/>
        <w:rPr>
          <w:rFonts w:ascii="Arial" w:hAnsi="Arial"/>
        </w:rPr>
      </w:pPr>
      <w:r w:rsidRPr="000C54B5">
        <w:rPr>
          <w:rFonts w:ascii="Arial" w:hAnsi="Arial"/>
        </w:rPr>
        <w:t xml:space="preserve">Legal frameworks may become relevant when OCD is extremely severe. The Mental Capacity Act 2005 begins with the assumption that adults have capacity and requires support before concluding that someone cannot make a particular decision (Mental Capacity Act, 2005). A diagnosis of OCD does not itself mean that capacity is absent (Mental Capacity Act, 2005). The Mental Health Act 1983, as amended by the Mental Health Act 2007, may allow compulsory assessment or treatment where legal criteria are met, but restrictions should be necessary, proportionate and least restrictive (Mental Health Act, 1983; Mental Health Act, 2007). These safeguards protect safety, but compulsory treatment can damage trust and should not substitute for accessible early intervention. </w:t>
      </w:r>
    </w:p>
    <w:p w14:paraId="0EE963C1" w14:textId="77777777" w:rsidR="00543AFF" w:rsidRPr="00543AFF" w:rsidRDefault="00543AFF" w:rsidP="00543AFF">
      <w:pPr>
        <w:pStyle w:val="Heading1"/>
      </w:pPr>
      <w:bookmarkStart w:id="4" w:name="_Toc235229623"/>
      <w:r w:rsidRPr="00543AFF">
        <w:t>Recommendations</w:t>
      </w:r>
      <w:bookmarkEnd w:id="4"/>
    </w:p>
    <w:p w14:paraId="2AA48E93" w14:textId="77777777" w:rsidR="00543AFF" w:rsidRPr="00543AFF" w:rsidRDefault="00543AFF" w:rsidP="00543AFF">
      <w:pPr>
        <w:spacing w:line="360" w:lineRule="auto"/>
        <w:jc w:val="both"/>
        <w:rPr>
          <w:rFonts w:ascii="Arial" w:hAnsi="Arial"/>
        </w:rPr>
      </w:pPr>
      <w:r w:rsidRPr="00543AFF">
        <w:rPr>
          <w:rFonts w:ascii="Arial" w:hAnsi="Arial"/>
        </w:rPr>
        <w:t>First, primary care and mental health staff should receive better training on less visible forms of OCD, including mental rituals, harm obsessions, religious themes and reassurance seeking. Screening should be followed by a full assessment rather than used as a diagnosis by itself.</w:t>
      </w:r>
    </w:p>
    <w:p w14:paraId="05FE5E5E" w14:textId="77777777" w:rsidR="00543AFF" w:rsidRPr="00543AFF" w:rsidRDefault="00543AFF" w:rsidP="00543AFF">
      <w:pPr>
        <w:spacing w:line="360" w:lineRule="auto"/>
        <w:jc w:val="both"/>
        <w:rPr>
          <w:rFonts w:ascii="Arial" w:hAnsi="Arial"/>
        </w:rPr>
      </w:pPr>
      <w:r w:rsidRPr="00543AFF">
        <w:rPr>
          <w:rFonts w:ascii="Arial" w:hAnsi="Arial"/>
        </w:rPr>
        <w:t>Second, services should provide timely access to therapists trained specifically in CBT with ERP. Treatment should be culturally sensitive, trauma-informed and adapted for neurodivergent people. Digital and remote treatment may improve access, but patients should retain a choice of face-to-face care because digital exclusion, privacy concerns and symptom severity may make online therapy unsuitable.</w:t>
      </w:r>
    </w:p>
    <w:p w14:paraId="0A770223" w14:textId="77777777" w:rsidR="00543AFF" w:rsidRPr="00543AFF" w:rsidRDefault="00543AFF" w:rsidP="00543AFF">
      <w:pPr>
        <w:spacing w:line="360" w:lineRule="auto"/>
        <w:jc w:val="both"/>
        <w:rPr>
          <w:rFonts w:ascii="Arial" w:hAnsi="Arial"/>
        </w:rPr>
      </w:pPr>
      <w:r w:rsidRPr="00543AFF">
        <w:rPr>
          <w:rFonts w:ascii="Arial" w:hAnsi="Arial"/>
        </w:rPr>
        <w:t>Third, assessment should measure functioning and personal recovery alongside symptom scores. WHODAS 2.0, occupational assessment and patient-defined goals can identify whether treatment is improving relationships, independence, employment and community participation.</w:t>
      </w:r>
    </w:p>
    <w:p w14:paraId="12999EDB" w14:textId="77777777" w:rsidR="00543AFF" w:rsidRPr="00543AFF" w:rsidRDefault="00543AFF" w:rsidP="00543AFF">
      <w:pPr>
        <w:spacing w:line="360" w:lineRule="auto"/>
        <w:jc w:val="both"/>
        <w:rPr>
          <w:rFonts w:ascii="Arial" w:hAnsi="Arial"/>
        </w:rPr>
      </w:pPr>
      <w:r w:rsidRPr="00543AFF">
        <w:rPr>
          <w:rFonts w:ascii="Arial" w:hAnsi="Arial"/>
        </w:rPr>
        <w:t>Fourth, medication decisions should include clear information about delayed benefits, side effects, withdrawal and alternative options. Severe or treatment-resistant cases should have access to specialist multidisciplinary review before invasive interventions are considered.</w:t>
      </w:r>
    </w:p>
    <w:p w14:paraId="2A6FFC7F" w14:textId="77777777" w:rsidR="00543AFF" w:rsidRPr="00543AFF" w:rsidRDefault="00543AFF" w:rsidP="00543AFF">
      <w:pPr>
        <w:spacing w:line="360" w:lineRule="auto"/>
        <w:jc w:val="both"/>
        <w:rPr>
          <w:rFonts w:ascii="Arial" w:hAnsi="Arial"/>
        </w:rPr>
      </w:pPr>
      <w:r w:rsidRPr="00543AFF">
        <w:rPr>
          <w:rFonts w:ascii="Arial" w:hAnsi="Arial"/>
        </w:rPr>
        <w:lastRenderedPageBreak/>
        <w:t>Finally, research should include more culturally diverse participants, longer follow-up periods and independent trials with reduced researcher allegiance. Studies should examine not only symptom reduction but also quality of life, treatment acceptability, relapse, social recovery and cost. People with lived experience of OCD should be involved in designing services and research priorities.</w:t>
      </w:r>
    </w:p>
    <w:p w14:paraId="25364BCF" w14:textId="77777777" w:rsidR="00543AFF" w:rsidRPr="00543AFF" w:rsidRDefault="00543AFF" w:rsidP="00543AFF">
      <w:pPr>
        <w:pStyle w:val="Heading1"/>
      </w:pPr>
      <w:bookmarkStart w:id="5" w:name="_Toc235229624"/>
      <w:r w:rsidRPr="00543AFF">
        <w:t>Conclusion</w:t>
      </w:r>
      <w:bookmarkEnd w:id="5"/>
    </w:p>
    <w:p w14:paraId="2F071C77" w14:textId="77777777" w:rsidR="00543AFF" w:rsidRPr="00543AFF" w:rsidRDefault="00543AFF" w:rsidP="00025015">
      <w:pPr>
        <w:spacing w:line="360" w:lineRule="auto"/>
        <w:jc w:val="both"/>
        <w:rPr>
          <w:rFonts w:ascii="Arial" w:hAnsi="Arial"/>
        </w:rPr>
      </w:pPr>
      <w:r w:rsidRPr="00543AFF">
        <w:rPr>
          <w:rFonts w:ascii="Arial" w:hAnsi="Arial"/>
        </w:rPr>
        <w:t>ICD-11 provides a clearer and internationally recognised framework for OCD by placing it within obsessive-compulsive or related disorders. This supports diagnosis, communication and access to treatment. However, classification cannot fully represent cultural context, hidden symptoms, functional disability or individual meaning.</w:t>
      </w:r>
    </w:p>
    <w:p w14:paraId="3EDBDA05" w14:textId="77777777" w:rsidR="00543AFF" w:rsidRPr="00543AFF" w:rsidRDefault="00543AFF" w:rsidP="00025015">
      <w:pPr>
        <w:spacing w:line="360" w:lineRule="auto"/>
        <w:jc w:val="both"/>
        <w:rPr>
          <w:rFonts w:ascii="Arial" w:hAnsi="Arial"/>
        </w:rPr>
      </w:pPr>
      <w:r w:rsidRPr="00543AFF">
        <w:rPr>
          <w:rFonts w:ascii="Arial" w:hAnsi="Arial"/>
        </w:rPr>
        <w:t>CBT with ERP and SSRIs are evidence-based treatments, and combined care may benefit people with more severe symptoms. Nevertheless, variable outcomes, treatment dropout, side effects, service inequalities and limited specialist access show that effectiveness in research does not always become effectiveness in practice.</w:t>
      </w:r>
    </w:p>
    <w:p w14:paraId="1347D506" w14:textId="77777777" w:rsidR="00543AFF" w:rsidRPr="00543AFF" w:rsidRDefault="00543AFF" w:rsidP="00025015">
      <w:pPr>
        <w:spacing w:line="360" w:lineRule="auto"/>
        <w:jc w:val="both"/>
        <w:rPr>
          <w:rFonts w:ascii="Arial" w:hAnsi="Arial"/>
        </w:rPr>
      </w:pPr>
      <w:r w:rsidRPr="00543AFF">
        <w:rPr>
          <w:rFonts w:ascii="Arial" w:hAnsi="Arial"/>
        </w:rPr>
        <w:t>Recovery from OCD should include independence, relationships, education, employment and community participation, not only lower symptom scores. Future provision should combine accurate diagnosis with person-centred rehabilitation, neurodiversity awareness, legal safeguards and meaningful involvement of people with lived experience.</w:t>
      </w:r>
    </w:p>
    <w:p w14:paraId="3FBD8AFA" w14:textId="77777777" w:rsidR="00A15B36" w:rsidRDefault="00A15B36">
      <w:pPr>
        <w:rPr>
          <w:rFonts w:asciiTheme="majorHAnsi" w:eastAsiaTheme="majorEastAsia" w:hAnsiTheme="majorHAnsi" w:cstheme="majorBidi"/>
          <w:color w:val="0F4761" w:themeColor="accent1" w:themeShade="BF"/>
          <w:sz w:val="40"/>
          <w:szCs w:val="40"/>
        </w:rPr>
      </w:pPr>
      <w:bookmarkStart w:id="6" w:name="_Toc235229625"/>
      <w:r>
        <w:br w:type="page"/>
      </w:r>
    </w:p>
    <w:p w14:paraId="46619384" w14:textId="0746BC96" w:rsidR="00BA1F67" w:rsidRDefault="006578EB" w:rsidP="006578EB">
      <w:pPr>
        <w:pStyle w:val="Heading1"/>
      </w:pPr>
      <w:r>
        <w:lastRenderedPageBreak/>
        <w:t>R</w:t>
      </w:r>
      <w:r w:rsidR="00543AFF">
        <w:t>efrences:</w:t>
      </w:r>
      <w:bookmarkEnd w:id="6"/>
    </w:p>
    <w:p w14:paraId="68ACF41F" w14:textId="77777777" w:rsidR="00022081" w:rsidRPr="00A15B36" w:rsidRDefault="00022081" w:rsidP="00025015">
      <w:pPr>
        <w:spacing w:line="360" w:lineRule="auto"/>
        <w:rPr>
          <w:rFonts w:ascii="Arial" w:hAnsi="Arial"/>
        </w:rPr>
      </w:pPr>
      <w:r w:rsidRPr="00A15B36">
        <w:rPr>
          <w:rFonts w:ascii="Arial" w:hAnsi="Arial"/>
        </w:rPr>
        <w:t xml:space="preserve">American Psychiatric Association (2022) </w:t>
      </w:r>
      <w:r w:rsidRPr="00A15B36">
        <w:rPr>
          <w:rFonts w:ascii="Arial" w:hAnsi="Arial"/>
          <w:i/>
          <w:iCs/>
        </w:rPr>
        <w:t>Diagnostic and Statistical Manual of Mental Disorders</w:t>
      </w:r>
      <w:r w:rsidRPr="00A15B36">
        <w:rPr>
          <w:rFonts w:ascii="Arial" w:hAnsi="Arial"/>
        </w:rPr>
        <w:t xml:space="preserve">. 5th edn, text revision (DSM-5-TR). Washington, DC: American Psychiatric Association. Available at: </w:t>
      </w:r>
      <w:hyperlink r:id="rId9" w:history="1">
        <w:r w:rsidRPr="00022081">
          <w:rPr>
            <w:rStyle w:val="Hyperlink"/>
            <w:rFonts w:ascii="Arial" w:hAnsi="Arial"/>
          </w:rPr>
          <w:t>https://psychiatry.org/psychiatrists/practice/dsm</w:t>
        </w:r>
      </w:hyperlink>
      <w:r w:rsidRPr="00A15B36">
        <w:rPr>
          <w:rFonts w:ascii="Arial" w:hAnsi="Arial"/>
        </w:rPr>
        <w:t xml:space="preserve"> (Accessed: 18 July 2026).</w:t>
      </w:r>
    </w:p>
    <w:p w14:paraId="4E1E4977" w14:textId="77777777" w:rsidR="00022081" w:rsidRPr="00543AFF" w:rsidRDefault="00022081" w:rsidP="00025015">
      <w:pPr>
        <w:spacing w:line="360" w:lineRule="auto"/>
        <w:rPr>
          <w:rFonts w:ascii="Arial" w:hAnsi="Arial"/>
        </w:rPr>
      </w:pPr>
      <w:r w:rsidRPr="00543AFF">
        <w:rPr>
          <w:rFonts w:ascii="Arial" w:hAnsi="Arial"/>
        </w:rPr>
        <w:t xml:space="preserve">Atanasova, D., Koteyko, N., Brown, B. and Crawford, P. (2019) ‘Representations of mental health and arts participation in the national and local British press, 2007–2015’, </w:t>
      </w:r>
      <w:r w:rsidRPr="00543AFF">
        <w:rPr>
          <w:rFonts w:ascii="Arial" w:hAnsi="Arial"/>
          <w:i/>
          <w:iCs/>
        </w:rPr>
        <w:t>Health</w:t>
      </w:r>
      <w:r w:rsidRPr="00543AFF">
        <w:rPr>
          <w:rFonts w:ascii="Arial" w:hAnsi="Arial"/>
        </w:rPr>
        <w:t xml:space="preserve">, 23(1), pp. 3–20. Available at: </w:t>
      </w:r>
      <w:hyperlink r:id="rId10" w:tgtFrame="_new" w:history="1">
        <w:r w:rsidRPr="00543AFF">
          <w:rPr>
            <w:rStyle w:val="Hyperlink"/>
            <w:rFonts w:ascii="Arial" w:hAnsi="Arial"/>
          </w:rPr>
          <w:t>https://doi.org/10.1177/1363459317708823</w:t>
        </w:r>
      </w:hyperlink>
      <w:r w:rsidRPr="00543AFF">
        <w:rPr>
          <w:rFonts w:ascii="Arial" w:hAnsi="Arial"/>
        </w:rPr>
        <w:t>.</w:t>
      </w:r>
    </w:p>
    <w:p w14:paraId="7AF52BE6" w14:textId="77777777" w:rsidR="00022081" w:rsidRPr="00543AFF" w:rsidRDefault="00022081" w:rsidP="00025015">
      <w:pPr>
        <w:spacing w:line="360" w:lineRule="auto"/>
        <w:rPr>
          <w:rFonts w:ascii="Arial" w:hAnsi="Arial"/>
        </w:rPr>
      </w:pPr>
      <w:r w:rsidRPr="00543AFF">
        <w:rPr>
          <w:rFonts w:ascii="Arial" w:hAnsi="Arial"/>
        </w:rPr>
        <w:t xml:space="preserve">Gadot, R. </w:t>
      </w:r>
      <w:r w:rsidRPr="00543AFF">
        <w:rPr>
          <w:rFonts w:ascii="Arial" w:hAnsi="Arial"/>
          <w:i/>
          <w:iCs/>
        </w:rPr>
        <w:t>et al.</w:t>
      </w:r>
      <w:r w:rsidRPr="00543AFF">
        <w:rPr>
          <w:rFonts w:ascii="Arial" w:hAnsi="Arial"/>
        </w:rPr>
        <w:t xml:space="preserve"> (2022) ‘Efficacy of deep brain stimulation for treatment-resistant obsessive-compulsive disorder: systematic review and meta-analysis’, </w:t>
      </w:r>
      <w:r w:rsidRPr="00543AFF">
        <w:rPr>
          <w:rFonts w:ascii="Arial" w:hAnsi="Arial"/>
          <w:i/>
          <w:iCs/>
        </w:rPr>
        <w:t>Journal of Neurology, Neurosurgery and Psychiatry</w:t>
      </w:r>
      <w:r w:rsidRPr="00543AFF">
        <w:rPr>
          <w:rFonts w:ascii="Arial" w:hAnsi="Arial"/>
        </w:rPr>
        <w:t xml:space="preserve">, 93(11), pp. 1166–1173. Available at: </w:t>
      </w:r>
      <w:hyperlink r:id="rId11" w:tgtFrame="_new" w:history="1">
        <w:r w:rsidRPr="00543AFF">
          <w:rPr>
            <w:rStyle w:val="Hyperlink"/>
            <w:rFonts w:ascii="Arial" w:hAnsi="Arial"/>
          </w:rPr>
          <w:t>https://jnnp.bmj.com/content/93/11/1166</w:t>
        </w:r>
      </w:hyperlink>
      <w:r w:rsidRPr="00543AFF">
        <w:rPr>
          <w:rFonts w:ascii="Arial" w:hAnsi="Arial"/>
        </w:rPr>
        <w:t>.</w:t>
      </w:r>
    </w:p>
    <w:p w14:paraId="2AA2164F" w14:textId="77777777" w:rsidR="00022081" w:rsidRPr="00543AFF" w:rsidRDefault="00022081" w:rsidP="00025015">
      <w:pPr>
        <w:spacing w:line="360" w:lineRule="auto"/>
        <w:rPr>
          <w:rFonts w:ascii="Arial" w:hAnsi="Arial"/>
        </w:rPr>
      </w:pPr>
      <w:r w:rsidRPr="00543AFF">
        <w:rPr>
          <w:rFonts w:ascii="Arial" w:hAnsi="Arial"/>
        </w:rPr>
        <w:t xml:space="preserve">Haslam, N. (2016) ‘Concept creep: Psychology’s expanding concepts of harm and pathology’, </w:t>
      </w:r>
      <w:r w:rsidRPr="00543AFF">
        <w:rPr>
          <w:rFonts w:ascii="Arial" w:hAnsi="Arial"/>
          <w:i/>
          <w:iCs/>
        </w:rPr>
        <w:t>Psychological Inquiry</w:t>
      </w:r>
      <w:r w:rsidRPr="00543AFF">
        <w:rPr>
          <w:rFonts w:ascii="Arial" w:hAnsi="Arial"/>
        </w:rPr>
        <w:t xml:space="preserve">, 27(1), pp. 1–17. Available at: </w:t>
      </w:r>
      <w:hyperlink r:id="rId12" w:tgtFrame="_new" w:history="1">
        <w:r w:rsidRPr="00543AFF">
          <w:rPr>
            <w:rStyle w:val="Hyperlink"/>
            <w:rFonts w:ascii="Arial" w:hAnsi="Arial"/>
          </w:rPr>
          <w:t>https://doi.org/10.1080/1047840X.2016.1082418</w:t>
        </w:r>
      </w:hyperlink>
      <w:r w:rsidRPr="00543AFF">
        <w:rPr>
          <w:rFonts w:ascii="Arial" w:hAnsi="Arial"/>
        </w:rPr>
        <w:t>.</w:t>
      </w:r>
    </w:p>
    <w:p w14:paraId="273EA300" w14:textId="44536C50" w:rsidR="00022081" w:rsidRPr="00022081" w:rsidRDefault="00022081" w:rsidP="00025015">
      <w:pPr>
        <w:spacing w:line="360" w:lineRule="auto"/>
        <w:rPr>
          <w:rFonts w:ascii="Arial" w:hAnsi="Arial"/>
        </w:rPr>
      </w:pPr>
      <w:r w:rsidRPr="00022081">
        <w:rPr>
          <w:rFonts w:ascii="Arial" w:hAnsi="Arial"/>
        </w:rPr>
        <w:t xml:space="preserve">Haslam, N., McGrath, M.J., Viechtbauer, W. and Kuppens, P. (2021) ‘Dimensions over categories: a meta-analysis of taxometric research’, </w:t>
      </w:r>
      <w:r w:rsidRPr="00022081">
        <w:rPr>
          <w:rFonts w:ascii="Arial" w:hAnsi="Arial"/>
          <w:i/>
          <w:iCs/>
        </w:rPr>
        <w:t>Psychological Medicine</w:t>
      </w:r>
      <w:r w:rsidRPr="00022081">
        <w:rPr>
          <w:rFonts w:ascii="Arial" w:hAnsi="Arial"/>
        </w:rPr>
        <w:t xml:space="preserve">, 51(9), pp. 1418–1432. Available at: </w:t>
      </w:r>
      <w:hyperlink r:id="rId13" w:history="1">
        <w:r w:rsidR="00876635" w:rsidRPr="00876635">
          <w:rPr>
            <w:rStyle w:val="Hyperlink"/>
          </w:rPr>
          <w:t>https://www.cambridge.org/core/journals/psychological-medicine</w:t>
        </w:r>
      </w:hyperlink>
      <w:r w:rsidR="00876635" w:rsidRPr="00876635">
        <w:t xml:space="preserve"> </w:t>
      </w:r>
      <w:r w:rsidRPr="00022081">
        <w:rPr>
          <w:rFonts w:ascii="Arial" w:hAnsi="Arial"/>
        </w:rPr>
        <w:t xml:space="preserve">(Accessed: 18 July 2026). </w:t>
      </w:r>
    </w:p>
    <w:p w14:paraId="290009B9" w14:textId="77777777" w:rsidR="00022081" w:rsidRPr="00543AFF" w:rsidRDefault="00022081" w:rsidP="00025015">
      <w:pPr>
        <w:spacing w:line="360" w:lineRule="auto"/>
        <w:rPr>
          <w:rFonts w:ascii="Arial" w:hAnsi="Arial"/>
        </w:rPr>
      </w:pPr>
      <w:r w:rsidRPr="00543AFF">
        <w:rPr>
          <w:rFonts w:ascii="Arial" w:hAnsi="Arial"/>
        </w:rPr>
        <w:t xml:space="preserve">Haslam, N., Tse, J.S.Y. and De Deyne, S. (2021) ‘Concept creep and psychiatrization’, </w:t>
      </w:r>
      <w:r w:rsidRPr="00543AFF">
        <w:rPr>
          <w:rFonts w:ascii="Arial" w:hAnsi="Arial"/>
          <w:i/>
          <w:iCs/>
        </w:rPr>
        <w:t>Frontiers in Sociology</w:t>
      </w:r>
      <w:r w:rsidRPr="00543AFF">
        <w:rPr>
          <w:rFonts w:ascii="Arial" w:hAnsi="Arial"/>
        </w:rPr>
        <w:t xml:space="preserve">, 6, 806147. Available at: </w:t>
      </w:r>
      <w:hyperlink r:id="rId14" w:tgtFrame="_new" w:history="1">
        <w:r w:rsidRPr="00543AFF">
          <w:rPr>
            <w:rStyle w:val="Hyperlink"/>
            <w:rFonts w:ascii="Arial" w:hAnsi="Arial"/>
          </w:rPr>
          <w:t>https://doi.org/10.3389/fsoc.2021.806147</w:t>
        </w:r>
      </w:hyperlink>
      <w:r w:rsidRPr="00543AFF">
        <w:rPr>
          <w:rFonts w:ascii="Arial" w:hAnsi="Arial"/>
        </w:rPr>
        <w:t>.</w:t>
      </w:r>
    </w:p>
    <w:p w14:paraId="0181C611" w14:textId="77777777" w:rsidR="00022081" w:rsidRDefault="00022081" w:rsidP="00025015">
      <w:pPr>
        <w:spacing w:line="360" w:lineRule="auto"/>
        <w:rPr>
          <w:rFonts w:ascii="Arial" w:hAnsi="Arial"/>
        </w:rPr>
      </w:pPr>
      <w:r w:rsidRPr="00543AFF">
        <w:rPr>
          <w:rFonts w:ascii="Arial" w:hAnsi="Arial"/>
        </w:rPr>
        <w:t xml:space="preserve">Mao, L., Hu, M., Luo, L., Wu, Y., Lu, Z. and Zou, J. (2022) ‘The effectiveness of exposure and response prevention combined with pharmacotherapy for obsessive-compulsive disorder: A systematic review and meta-analysis’, </w:t>
      </w:r>
      <w:r w:rsidRPr="00543AFF">
        <w:rPr>
          <w:rFonts w:ascii="Arial" w:hAnsi="Arial"/>
          <w:i/>
          <w:iCs/>
        </w:rPr>
        <w:t>Frontiers in Psychiatry</w:t>
      </w:r>
      <w:r w:rsidRPr="00543AFF">
        <w:rPr>
          <w:rFonts w:ascii="Arial" w:hAnsi="Arial"/>
        </w:rPr>
        <w:t xml:space="preserve">, 13, 973838. Available at: </w:t>
      </w:r>
      <w:hyperlink r:id="rId15" w:history="1">
        <w:r w:rsidRPr="00141231">
          <w:rPr>
            <w:rStyle w:val="Hyperlink"/>
            <w:rFonts w:ascii="Arial" w:hAnsi="Arial"/>
          </w:rPr>
          <w:t>https://doi.org/10.3389/fpsyt.2022.973838</w:t>
        </w:r>
      </w:hyperlink>
      <w:r w:rsidRPr="00543AFF">
        <w:rPr>
          <w:rFonts w:ascii="Arial" w:hAnsi="Arial"/>
        </w:rPr>
        <w:t>.</w:t>
      </w:r>
    </w:p>
    <w:p w14:paraId="6A983511" w14:textId="77777777" w:rsidR="00022081" w:rsidRPr="000C54B5" w:rsidRDefault="00022081" w:rsidP="00025015">
      <w:pPr>
        <w:spacing w:line="360" w:lineRule="auto"/>
        <w:rPr>
          <w:rFonts w:ascii="Arial" w:hAnsi="Arial"/>
        </w:rPr>
      </w:pPr>
      <w:r w:rsidRPr="000C54B5">
        <w:rPr>
          <w:rFonts w:ascii="Arial" w:hAnsi="Arial"/>
        </w:rPr>
        <w:lastRenderedPageBreak/>
        <w:t xml:space="preserve">Mental Capacity Act (2005) </w:t>
      </w:r>
      <w:r w:rsidRPr="000C54B5">
        <w:rPr>
          <w:rFonts w:ascii="Arial" w:hAnsi="Arial"/>
          <w:i/>
          <w:iCs/>
        </w:rPr>
        <w:t>Mental Capacity Act 2005</w:t>
      </w:r>
      <w:r w:rsidRPr="000C54B5">
        <w:rPr>
          <w:rFonts w:ascii="Arial" w:hAnsi="Arial"/>
        </w:rPr>
        <w:t xml:space="preserve">. London: The Stationery Office. Available at: </w:t>
      </w:r>
      <w:hyperlink r:id="rId16" w:tgtFrame="_new" w:history="1">
        <w:r w:rsidRPr="000C54B5">
          <w:rPr>
            <w:rStyle w:val="Hyperlink"/>
            <w:rFonts w:ascii="Arial" w:hAnsi="Arial"/>
          </w:rPr>
          <w:t>https://www.legislation.gov.uk/ukpga/2005/9</w:t>
        </w:r>
      </w:hyperlink>
      <w:r w:rsidRPr="000C54B5">
        <w:rPr>
          <w:rFonts w:ascii="Arial" w:hAnsi="Arial"/>
        </w:rPr>
        <w:t xml:space="preserve"> (Accessed: 18 July 2026). </w:t>
      </w:r>
    </w:p>
    <w:p w14:paraId="6C38C489" w14:textId="77777777" w:rsidR="00022081" w:rsidRPr="000C54B5" w:rsidRDefault="00022081" w:rsidP="00025015">
      <w:pPr>
        <w:spacing w:line="360" w:lineRule="auto"/>
        <w:rPr>
          <w:rFonts w:ascii="Arial" w:hAnsi="Arial"/>
        </w:rPr>
      </w:pPr>
      <w:r w:rsidRPr="000C54B5">
        <w:rPr>
          <w:rFonts w:ascii="Arial" w:hAnsi="Arial"/>
        </w:rPr>
        <w:t xml:space="preserve">Mental Health Act (1983) </w:t>
      </w:r>
      <w:r w:rsidRPr="000C54B5">
        <w:rPr>
          <w:rFonts w:ascii="Arial" w:hAnsi="Arial"/>
          <w:i/>
          <w:iCs/>
        </w:rPr>
        <w:t>Mental Health Act 1983</w:t>
      </w:r>
      <w:r w:rsidRPr="000C54B5">
        <w:rPr>
          <w:rFonts w:ascii="Arial" w:hAnsi="Arial"/>
        </w:rPr>
        <w:t xml:space="preserve">. London: The Stationery Office. Available at: </w:t>
      </w:r>
      <w:hyperlink r:id="rId17" w:tgtFrame="_new" w:history="1">
        <w:r w:rsidRPr="000C54B5">
          <w:rPr>
            <w:rStyle w:val="Hyperlink"/>
            <w:rFonts w:ascii="Arial" w:hAnsi="Arial"/>
          </w:rPr>
          <w:t>https://www.legislation.gov.uk/ukpga/1983/20</w:t>
        </w:r>
      </w:hyperlink>
      <w:r w:rsidRPr="000C54B5">
        <w:rPr>
          <w:rFonts w:ascii="Arial" w:hAnsi="Arial"/>
        </w:rPr>
        <w:t xml:space="preserve"> (Accessed: 18 July 2026). </w:t>
      </w:r>
    </w:p>
    <w:p w14:paraId="58D8AEA2" w14:textId="77777777" w:rsidR="00022081" w:rsidRPr="00543AFF" w:rsidRDefault="00022081" w:rsidP="00025015">
      <w:pPr>
        <w:spacing w:line="360" w:lineRule="auto"/>
        <w:rPr>
          <w:rFonts w:ascii="Arial" w:hAnsi="Arial"/>
        </w:rPr>
      </w:pPr>
      <w:r w:rsidRPr="000C54B5">
        <w:rPr>
          <w:rFonts w:ascii="Arial" w:hAnsi="Arial"/>
        </w:rPr>
        <w:t xml:space="preserve">Mental Health Act (2007) </w:t>
      </w:r>
      <w:r w:rsidRPr="000C54B5">
        <w:rPr>
          <w:rFonts w:ascii="Arial" w:hAnsi="Arial"/>
          <w:i/>
          <w:iCs/>
        </w:rPr>
        <w:t>Mental Health Act 2007</w:t>
      </w:r>
      <w:r w:rsidRPr="000C54B5">
        <w:rPr>
          <w:rFonts w:ascii="Arial" w:hAnsi="Arial"/>
        </w:rPr>
        <w:t xml:space="preserve">. London: The Stationery Office. Available at: </w:t>
      </w:r>
      <w:hyperlink r:id="rId18" w:tgtFrame="_new" w:history="1">
        <w:r w:rsidRPr="000C54B5">
          <w:rPr>
            <w:rStyle w:val="Hyperlink"/>
            <w:rFonts w:ascii="Arial" w:hAnsi="Arial"/>
          </w:rPr>
          <w:t>https://www.legislation.gov.uk/ukpga/2007/12</w:t>
        </w:r>
      </w:hyperlink>
      <w:r w:rsidRPr="000C54B5">
        <w:rPr>
          <w:rFonts w:ascii="Arial" w:hAnsi="Arial"/>
        </w:rPr>
        <w:t xml:space="preserve"> (Accessed: 18 July 2026).</w:t>
      </w:r>
    </w:p>
    <w:p w14:paraId="0BB0683A" w14:textId="249CD57A" w:rsidR="00022081" w:rsidRPr="00543AFF" w:rsidRDefault="00022081" w:rsidP="00025015">
      <w:pPr>
        <w:spacing w:line="360" w:lineRule="auto"/>
        <w:rPr>
          <w:rFonts w:ascii="Arial" w:hAnsi="Arial"/>
        </w:rPr>
      </w:pPr>
      <w:r w:rsidRPr="00543AFF">
        <w:rPr>
          <w:rFonts w:ascii="Arial" w:hAnsi="Arial"/>
        </w:rPr>
        <w:t xml:space="preserve">Mind (2024a) </w:t>
      </w:r>
      <w:r w:rsidRPr="00543AFF">
        <w:rPr>
          <w:rFonts w:ascii="Arial" w:hAnsi="Arial"/>
          <w:i/>
          <w:iCs/>
        </w:rPr>
        <w:t>Self-care for obsessive-compulsive disorder</w:t>
      </w:r>
      <w:r w:rsidRPr="00543AFF">
        <w:rPr>
          <w:rFonts w:ascii="Arial" w:hAnsi="Arial"/>
        </w:rPr>
        <w:t xml:space="preserve">. Available at: </w:t>
      </w:r>
      <w:hyperlink r:id="rId19" w:history="1">
        <w:r w:rsidR="00597558" w:rsidRPr="00597558">
          <w:rPr>
            <w:rStyle w:val="Hyperlink"/>
          </w:rPr>
          <w:t>https://www.mind.org.uk/information-support/types-of-mental-health-problems/obsessive-compulsive-disorder-ocd/self-care-for-ocd/</w:t>
        </w:r>
      </w:hyperlink>
      <w:r w:rsidRPr="00543AFF">
        <w:rPr>
          <w:rFonts w:ascii="Arial" w:hAnsi="Arial"/>
        </w:rPr>
        <w:t xml:space="preserve"> (Accessed: 17 July 2026).</w:t>
      </w:r>
    </w:p>
    <w:p w14:paraId="099B37B7" w14:textId="4B8409AB" w:rsidR="00022081" w:rsidRPr="00543AFF" w:rsidRDefault="00022081" w:rsidP="00025015">
      <w:pPr>
        <w:spacing w:line="360" w:lineRule="auto"/>
        <w:rPr>
          <w:rFonts w:ascii="Arial" w:hAnsi="Arial"/>
        </w:rPr>
      </w:pPr>
      <w:r w:rsidRPr="00543AFF">
        <w:rPr>
          <w:rFonts w:ascii="Arial" w:hAnsi="Arial"/>
        </w:rPr>
        <w:t xml:space="preserve">Mind (2024b) </w:t>
      </w:r>
      <w:r w:rsidRPr="00543AFF">
        <w:rPr>
          <w:rFonts w:ascii="Arial" w:hAnsi="Arial"/>
          <w:i/>
          <w:iCs/>
        </w:rPr>
        <w:t>Treatment for obsessive-compulsive disorder</w:t>
      </w:r>
      <w:r w:rsidRPr="00543AFF">
        <w:rPr>
          <w:rFonts w:ascii="Arial" w:hAnsi="Arial"/>
        </w:rPr>
        <w:t xml:space="preserve">. Available at: </w:t>
      </w:r>
      <w:hyperlink r:id="rId20" w:history="1">
        <w:r w:rsidR="00597558" w:rsidRPr="00597558">
          <w:rPr>
            <w:rStyle w:val="Hyperlink"/>
          </w:rPr>
          <w:t>https://www.mind.org.uk/information-support/types-of-mental-health-problems/obsessive-compulsive-disorder-ocd/treatment-for-ocd/</w:t>
        </w:r>
      </w:hyperlink>
      <w:r w:rsidRPr="00543AFF">
        <w:rPr>
          <w:rFonts w:ascii="Arial" w:hAnsi="Arial"/>
        </w:rPr>
        <w:t xml:space="preserve"> (Accessed: 17 July 2026).</w:t>
      </w:r>
    </w:p>
    <w:p w14:paraId="22B51544" w14:textId="26B57EF4" w:rsidR="00022081" w:rsidRPr="00543AFF" w:rsidRDefault="00022081" w:rsidP="00025015">
      <w:pPr>
        <w:spacing w:line="360" w:lineRule="auto"/>
        <w:rPr>
          <w:rFonts w:ascii="Arial" w:hAnsi="Arial"/>
        </w:rPr>
      </w:pPr>
      <w:r w:rsidRPr="00543AFF">
        <w:rPr>
          <w:rFonts w:ascii="Arial" w:hAnsi="Arial"/>
        </w:rPr>
        <w:t xml:space="preserve">National Health Service (NHS) (2021) </w:t>
      </w:r>
      <w:r w:rsidRPr="00543AFF">
        <w:rPr>
          <w:rFonts w:ascii="Arial" w:hAnsi="Arial"/>
          <w:i/>
          <w:iCs/>
        </w:rPr>
        <w:t>Treatment: Obsessive-compulsive disorder</w:t>
      </w:r>
      <w:r w:rsidRPr="00543AFF">
        <w:rPr>
          <w:rFonts w:ascii="Arial" w:hAnsi="Arial"/>
        </w:rPr>
        <w:t xml:space="preserve">. Available at: </w:t>
      </w:r>
      <w:hyperlink r:id="rId21" w:history="1">
        <w:r w:rsidR="00597558" w:rsidRPr="00597558">
          <w:rPr>
            <w:rStyle w:val="Hyperlink"/>
          </w:rPr>
          <w:t>https://www.nhs.uk/mental-health/conditions/obsessive-compulsive-disorder-ocd/treatment/</w:t>
        </w:r>
      </w:hyperlink>
      <w:r w:rsidR="00597558" w:rsidRPr="00597558">
        <w:t xml:space="preserve"> </w:t>
      </w:r>
      <w:r w:rsidRPr="00543AFF">
        <w:rPr>
          <w:rFonts w:ascii="Arial" w:hAnsi="Arial"/>
        </w:rPr>
        <w:t>(Accessed: 17 July 2026).</w:t>
      </w:r>
    </w:p>
    <w:p w14:paraId="17FD8482" w14:textId="581B7540" w:rsidR="00022081" w:rsidRPr="00597558" w:rsidRDefault="00022081" w:rsidP="00025015">
      <w:pPr>
        <w:spacing w:line="360" w:lineRule="auto"/>
      </w:pPr>
      <w:r w:rsidRPr="00022081">
        <w:rPr>
          <w:rFonts w:ascii="Arial" w:hAnsi="Arial"/>
        </w:rPr>
        <w:t xml:space="preserve">National Health Service (NHS) (2023) </w:t>
      </w:r>
      <w:r w:rsidRPr="00022081">
        <w:rPr>
          <w:rFonts w:ascii="Arial" w:hAnsi="Arial"/>
          <w:i/>
          <w:iCs/>
        </w:rPr>
        <w:t>Obsessive Compulsive Disorder (OCD).</w:t>
      </w:r>
      <w:r w:rsidRPr="00022081">
        <w:rPr>
          <w:rFonts w:ascii="Arial" w:hAnsi="Arial"/>
        </w:rPr>
        <w:t xml:space="preserve"> Available at: </w:t>
      </w:r>
      <w:hyperlink r:id="rId22" w:tgtFrame="_new" w:history="1">
        <w:r w:rsidR="00597558" w:rsidRPr="00597558">
          <w:rPr>
            <w:rStyle w:val="Hyperlink"/>
          </w:rPr>
          <w:t>https://www.nhs.uk/mental-health/conditions/obsessive-compulsive-disorder-ocd/</w:t>
        </w:r>
      </w:hyperlink>
      <w:r w:rsidRPr="00022081">
        <w:rPr>
          <w:rFonts w:ascii="Arial" w:hAnsi="Arial"/>
        </w:rPr>
        <w:t xml:space="preserve"> (Accessed: 18 July 2026). </w:t>
      </w:r>
    </w:p>
    <w:p w14:paraId="3A0D5AFA" w14:textId="77777777" w:rsidR="00022081" w:rsidRPr="00A15B36" w:rsidRDefault="00022081" w:rsidP="00025015">
      <w:pPr>
        <w:spacing w:line="360" w:lineRule="auto"/>
        <w:rPr>
          <w:rFonts w:ascii="Arial" w:hAnsi="Arial"/>
        </w:rPr>
      </w:pPr>
      <w:r w:rsidRPr="00A15B36">
        <w:rPr>
          <w:rFonts w:ascii="Arial" w:hAnsi="Arial"/>
        </w:rPr>
        <w:t xml:space="preserve">National Institute for Health and Care Excellence (NICE) (2022) </w:t>
      </w:r>
      <w:proofErr w:type="gramStart"/>
      <w:r w:rsidRPr="00A15B36">
        <w:rPr>
          <w:rFonts w:ascii="Arial" w:hAnsi="Arial"/>
          <w:i/>
          <w:iCs/>
        </w:rPr>
        <w:t>Obsessive-compulsive disorder</w:t>
      </w:r>
      <w:proofErr w:type="gramEnd"/>
      <w:r w:rsidRPr="00A15B36">
        <w:rPr>
          <w:rFonts w:ascii="Arial" w:hAnsi="Arial"/>
          <w:i/>
          <w:iCs/>
        </w:rPr>
        <w:t xml:space="preserve"> and body dysmorphic disorder: treatment (CG31).</w:t>
      </w:r>
      <w:r w:rsidRPr="00A15B36">
        <w:rPr>
          <w:rFonts w:ascii="Arial" w:hAnsi="Arial"/>
        </w:rPr>
        <w:t xml:space="preserve"> Updated 2022. Available at: </w:t>
      </w:r>
      <w:hyperlink r:id="rId23" w:tgtFrame="_new" w:history="1">
        <w:r w:rsidRPr="00A15B36">
          <w:rPr>
            <w:rStyle w:val="Hyperlink"/>
            <w:rFonts w:ascii="Arial" w:hAnsi="Arial"/>
          </w:rPr>
          <w:t>https://www.nice.org.uk/guidance/cg31</w:t>
        </w:r>
      </w:hyperlink>
      <w:r w:rsidRPr="00A15B36">
        <w:rPr>
          <w:rFonts w:ascii="Arial" w:hAnsi="Arial"/>
        </w:rPr>
        <w:t xml:space="preserve"> (Accessed: 18 July 2026).</w:t>
      </w:r>
    </w:p>
    <w:p w14:paraId="2D67F3AD" w14:textId="77777777" w:rsidR="00022081" w:rsidRPr="00543AFF" w:rsidRDefault="00022081" w:rsidP="00025015">
      <w:pPr>
        <w:spacing w:line="360" w:lineRule="auto"/>
        <w:rPr>
          <w:rFonts w:ascii="Arial" w:hAnsi="Arial"/>
        </w:rPr>
      </w:pPr>
      <w:r w:rsidRPr="00543AFF">
        <w:rPr>
          <w:rFonts w:ascii="Arial" w:hAnsi="Arial"/>
        </w:rPr>
        <w:t xml:space="preserve">Reid, J.E., Laws, K.R., Drummond, L., Vismara, M., Grancini, B., Mpavaenda, D. and Fineberg, N.A. (2021) ‘Cognitive behavioural therapy with exposure and response prevention in the treatment of obsessive-compulsive disorder: A systematic review and meta-analysis of randomised controlled trials’, </w:t>
      </w:r>
      <w:r w:rsidRPr="00543AFF">
        <w:rPr>
          <w:rFonts w:ascii="Arial" w:hAnsi="Arial"/>
          <w:i/>
          <w:iCs/>
        </w:rPr>
        <w:t>Comprehensive Psychiatry</w:t>
      </w:r>
      <w:r w:rsidRPr="00543AFF">
        <w:rPr>
          <w:rFonts w:ascii="Arial" w:hAnsi="Arial"/>
        </w:rPr>
        <w:t xml:space="preserve">, 106, 152223. Available at: </w:t>
      </w:r>
      <w:hyperlink r:id="rId24" w:tgtFrame="_new" w:history="1">
        <w:r w:rsidRPr="00543AFF">
          <w:rPr>
            <w:rStyle w:val="Hyperlink"/>
            <w:rFonts w:ascii="Arial" w:hAnsi="Arial"/>
          </w:rPr>
          <w:t>https://pubmed.ncbi.nlm.nih.gov/33618297/</w:t>
        </w:r>
      </w:hyperlink>
      <w:r w:rsidRPr="00543AFF">
        <w:rPr>
          <w:rFonts w:ascii="Arial" w:hAnsi="Arial"/>
        </w:rPr>
        <w:t>.</w:t>
      </w:r>
    </w:p>
    <w:p w14:paraId="07FBF8EF" w14:textId="77777777" w:rsidR="00022081" w:rsidRPr="00543AFF" w:rsidRDefault="00022081" w:rsidP="00025015">
      <w:pPr>
        <w:spacing w:line="360" w:lineRule="auto"/>
        <w:rPr>
          <w:rFonts w:ascii="Arial" w:hAnsi="Arial"/>
        </w:rPr>
      </w:pPr>
      <w:r w:rsidRPr="00543AFF">
        <w:rPr>
          <w:rFonts w:ascii="Arial" w:hAnsi="Arial"/>
        </w:rPr>
        <w:lastRenderedPageBreak/>
        <w:t xml:space="preserve">Simpson, H.B., Reddy, Y.C.J., Obsessive-Compulsive Disorder Working Group and others (2014) ‘Obsessive-compulsive disorder for ICD-11: proposed changes to the diagnostic guidelines and specifiers’, </w:t>
      </w:r>
      <w:r w:rsidRPr="00543AFF">
        <w:rPr>
          <w:rFonts w:ascii="Arial" w:hAnsi="Arial"/>
          <w:i/>
          <w:iCs/>
        </w:rPr>
        <w:t>Brazilian Journal of Psychiatry</w:t>
      </w:r>
      <w:r w:rsidRPr="00543AFF">
        <w:rPr>
          <w:rFonts w:ascii="Arial" w:hAnsi="Arial"/>
        </w:rPr>
        <w:t xml:space="preserve">, 36(Suppl. 1), pp. 3–13. Available at: </w:t>
      </w:r>
      <w:hyperlink r:id="rId25" w:tgtFrame="_new" w:history="1">
        <w:r w:rsidRPr="00543AFF">
          <w:rPr>
            <w:rStyle w:val="Hyperlink"/>
            <w:rFonts w:ascii="Arial" w:hAnsi="Arial"/>
          </w:rPr>
          <w:t>https://pmc.ncbi.nlm.nih.gov/articles/PMC5125074/</w:t>
        </w:r>
      </w:hyperlink>
      <w:r w:rsidRPr="00543AFF">
        <w:rPr>
          <w:rFonts w:ascii="Arial" w:hAnsi="Arial"/>
        </w:rPr>
        <w:t>.</w:t>
      </w:r>
    </w:p>
    <w:p w14:paraId="6889AE6E" w14:textId="77777777" w:rsidR="00022081" w:rsidRPr="00022081" w:rsidRDefault="00022081" w:rsidP="00025015">
      <w:pPr>
        <w:spacing w:line="360" w:lineRule="auto"/>
        <w:rPr>
          <w:rFonts w:ascii="Arial" w:hAnsi="Arial"/>
        </w:rPr>
      </w:pPr>
      <w:r w:rsidRPr="00022081">
        <w:rPr>
          <w:rFonts w:ascii="Arial" w:hAnsi="Arial"/>
        </w:rPr>
        <w:t xml:space="preserve">Stein, D.J., Costa, D.L.C., Lochner, C., Miguel, E.C., Reddy, Y.C.J., Shavitt, R.G., van den Heuvel, O.A. and Simpson, H.B. (2019) 'Obsessive–compulsive disorder', </w:t>
      </w:r>
      <w:r w:rsidRPr="00022081">
        <w:rPr>
          <w:rFonts w:ascii="Arial" w:hAnsi="Arial"/>
          <w:i/>
          <w:iCs/>
        </w:rPr>
        <w:t>Nature Reviews Disease Primers</w:t>
      </w:r>
      <w:r w:rsidRPr="00022081">
        <w:rPr>
          <w:rFonts w:ascii="Arial" w:hAnsi="Arial"/>
        </w:rPr>
        <w:t xml:space="preserve">, 5, Article 52. </w:t>
      </w:r>
      <w:hyperlink r:id="rId26" w:tgtFrame="_new" w:history="1">
        <w:r w:rsidRPr="00022081">
          <w:rPr>
            <w:rStyle w:val="Hyperlink"/>
            <w:rFonts w:ascii="Arial" w:hAnsi="Arial"/>
          </w:rPr>
          <w:t>https://doi.org/10.1038/s41572-019-0102-3</w:t>
        </w:r>
      </w:hyperlink>
      <w:r w:rsidRPr="00022081">
        <w:rPr>
          <w:rFonts w:ascii="Arial" w:hAnsi="Arial"/>
        </w:rPr>
        <w:t xml:space="preserve">. </w:t>
      </w:r>
    </w:p>
    <w:p w14:paraId="04F5A85A" w14:textId="77777777" w:rsidR="00022081" w:rsidRPr="00543AFF" w:rsidRDefault="00022081" w:rsidP="00025015">
      <w:pPr>
        <w:spacing w:line="360" w:lineRule="auto"/>
        <w:rPr>
          <w:rFonts w:ascii="Arial" w:hAnsi="Arial"/>
        </w:rPr>
      </w:pPr>
      <w:r w:rsidRPr="00543AFF">
        <w:rPr>
          <w:rFonts w:ascii="Arial" w:hAnsi="Arial"/>
        </w:rPr>
        <w:t xml:space="preserve">World Health Organization (WHO) (2012) </w:t>
      </w:r>
      <w:r w:rsidRPr="00543AFF">
        <w:rPr>
          <w:rFonts w:ascii="Arial" w:hAnsi="Arial"/>
          <w:i/>
          <w:iCs/>
        </w:rPr>
        <w:t>Measuring health and disability: Manual for WHO Disability Assessment Schedule 2.0</w:t>
      </w:r>
      <w:r w:rsidRPr="00543AFF">
        <w:rPr>
          <w:rFonts w:ascii="Arial" w:hAnsi="Arial"/>
        </w:rPr>
        <w:t>. Geneva: WHO. Available at: WHO WHODAS 2.0 manual (Accessed: 17 July 2026).</w:t>
      </w:r>
    </w:p>
    <w:p w14:paraId="5F4837DF" w14:textId="531BD809" w:rsidR="00022081" w:rsidRPr="00543AFF" w:rsidRDefault="00022081" w:rsidP="00025015">
      <w:pPr>
        <w:spacing w:line="360" w:lineRule="auto"/>
        <w:rPr>
          <w:rFonts w:ascii="Arial" w:hAnsi="Arial"/>
        </w:rPr>
      </w:pPr>
      <w:r w:rsidRPr="00543AFF">
        <w:rPr>
          <w:rFonts w:ascii="Arial" w:hAnsi="Arial"/>
        </w:rPr>
        <w:t xml:space="preserve">World Health Organization (WHO) (2024a) </w:t>
      </w:r>
      <w:r w:rsidRPr="00543AFF">
        <w:rPr>
          <w:rFonts w:ascii="Arial" w:hAnsi="Arial"/>
          <w:i/>
          <w:iCs/>
        </w:rPr>
        <w:t>ICD-11 for Mortality and Morbidity Statistics</w:t>
      </w:r>
      <w:r w:rsidRPr="00543AFF">
        <w:rPr>
          <w:rFonts w:ascii="Arial" w:hAnsi="Arial"/>
        </w:rPr>
        <w:t>. Available at</w:t>
      </w:r>
      <w:r w:rsidRPr="00A15B36">
        <w:rPr>
          <w:rFonts w:ascii="Arial" w:hAnsi="Arial"/>
        </w:rPr>
        <w:t xml:space="preserve"> </w:t>
      </w:r>
      <w:hyperlink r:id="rId27" w:history="1">
        <w:r w:rsidRPr="00597558">
          <w:rPr>
            <w:rStyle w:val="Hyperlink"/>
            <w:rFonts w:ascii="Arial" w:hAnsi="Arial"/>
          </w:rPr>
          <w:t xml:space="preserve">https://icd.who.int/browse/2024-01/mms/en#334423054 </w:t>
        </w:r>
      </w:hyperlink>
      <w:r w:rsidRPr="00543AFF">
        <w:rPr>
          <w:rFonts w:ascii="Arial" w:hAnsi="Arial"/>
        </w:rPr>
        <w:t xml:space="preserve"> (Accessed: 17 July 2026).</w:t>
      </w:r>
    </w:p>
    <w:p w14:paraId="7094422C" w14:textId="7A60CB57" w:rsidR="00022081" w:rsidRPr="00543AFF" w:rsidRDefault="00022081" w:rsidP="00025015">
      <w:pPr>
        <w:spacing w:line="360" w:lineRule="auto"/>
        <w:rPr>
          <w:rFonts w:ascii="Arial" w:hAnsi="Arial"/>
        </w:rPr>
      </w:pPr>
      <w:r w:rsidRPr="00543AFF">
        <w:rPr>
          <w:rFonts w:ascii="Arial" w:hAnsi="Arial"/>
        </w:rPr>
        <w:t xml:space="preserve">World Health Organization (WHO) (2024b) </w:t>
      </w:r>
      <w:r w:rsidRPr="00543AFF">
        <w:rPr>
          <w:rFonts w:ascii="Arial" w:hAnsi="Arial"/>
          <w:i/>
          <w:iCs/>
        </w:rPr>
        <w:t>Clinical descriptions and diagnostic requirements for ICD-11 mental, behavioural and neurodevelopmental disorders</w:t>
      </w:r>
      <w:r w:rsidRPr="00543AFF">
        <w:rPr>
          <w:rFonts w:ascii="Arial" w:hAnsi="Arial"/>
        </w:rPr>
        <w:t xml:space="preserve">. Geneva: WHO. Available at: </w:t>
      </w:r>
      <w:hyperlink r:id="rId28" w:history="1">
        <w:r w:rsidR="00597558" w:rsidRPr="00597558">
          <w:rPr>
            <w:rStyle w:val="Hyperlink"/>
          </w:rPr>
          <w:t>https://www.who.int/publications/i/item/9789240077263</w:t>
        </w:r>
      </w:hyperlink>
      <w:r w:rsidRPr="00543AFF">
        <w:rPr>
          <w:rFonts w:ascii="Arial" w:hAnsi="Arial"/>
        </w:rPr>
        <w:t xml:space="preserve"> (Accessed: 17 July 2026).</w:t>
      </w:r>
    </w:p>
    <w:sectPr w:rsidR="00022081" w:rsidRPr="00543AFF" w:rsidSect="00E01E49">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15713" w14:textId="77777777" w:rsidR="00FF2CF8" w:rsidRDefault="00FF2CF8" w:rsidP="00290E1C">
      <w:pPr>
        <w:spacing w:after="0" w:line="240" w:lineRule="auto"/>
      </w:pPr>
      <w:r>
        <w:separator/>
      </w:r>
    </w:p>
  </w:endnote>
  <w:endnote w:type="continuationSeparator" w:id="0">
    <w:p w14:paraId="25D42391" w14:textId="77777777" w:rsidR="00FF2CF8" w:rsidRDefault="00FF2CF8" w:rsidP="00290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8059928"/>
      <w:docPartObj>
        <w:docPartGallery w:val="Page Numbers (Bottom of Page)"/>
        <w:docPartUnique/>
      </w:docPartObj>
    </w:sdtPr>
    <w:sdtEndPr>
      <w:rPr>
        <w:noProof/>
      </w:rPr>
    </w:sdtEndPr>
    <w:sdtContent>
      <w:p w14:paraId="43EF3A2B" w14:textId="07317D54" w:rsidR="00290E1C" w:rsidRDefault="00290E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FC4F2D" w14:textId="77777777" w:rsidR="00290E1C" w:rsidRDefault="00290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32EDE" w14:textId="77777777" w:rsidR="00FF2CF8" w:rsidRDefault="00FF2CF8" w:rsidP="00290E1C">
      <w:pPr>
        <w:spacing w:after="0" w:line="240" w:lineRule="auto"/>
      </w:pPr>
      <w:r>
        <w:separator/>
      </w:r>
    </w:p>
  </w:footnote>
  <w:footnote w:type="continuationSeparator" w:id="0">
    <w:p w14:paraId="6AAACA27" w14:textId="77777777" w:rsidR="00FF2CF8" w:rsidRDefault="00FF2CF8" w:rsidP="00290E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A78"/>
    <w:rsid w:val="00022081"/>
    <w:rsid w:val="00025015"/>
    <w:rsid w:val="000B1964"/>
    <w:rsid w:val="000C54B5"/>
    <w:rsid w:val="00160596"/>
    <w:rsid w:val="001F218A"/>
    <w:rsid w:val="00290E1C"/>
    <w:rsid w:val="002E2A78"/>
    <w:rsid w:val="003076FD"/>
    <w:rsid w:val="0032140C"/>
    <w:rsid w:val="003C217D"/>
    <w:rsid w:val="00480E77"/>
    <w:rsid w:val="00543AFF"/>
    <w:rsid w:val="00597558"/>
    <w:rsid w:val="005E379F"/>
    <w:rsid w:val="005E3E9B"/>
    <w:rsid w:val="00645E6A"/>
    <w:rsid w:val="006578EB"/>
    <w:rsid w:val="00661D31"/>
    <w:rsid w:val="00796577"/>
    <w:rsid w:val="007A6462"/>
    <w:rsid w:val="007C3F09"/>
    <w:rsid w:val="00876635"/>
    <w:rsid w:val="008D4D60"/>
    <w:rsid w:val="00922DFC"/>
    <w:rsid w:val="00A15B36"/>
    <w:rsid w:val="00A56916"/>
    <w:rsid w:val="00AE3728"/>
    <w:rsid w:val="00B04E0E"/>
    <w:rsid w:val="00B13C70"/>
    <w:rsid w:val="00B168BC"/>
    <w:rsid w:val="00BA1F67"/>
    <w:rsid w:val="00CC0E65"/>
    <w:rsid w:val="00CC316D"/>
    <w:rsid w:val="00D16428"/>
    <w:rsid w:val="00D25289"/>
    <w:rsid w:val="00E01E49"/>
    <w:rsid w:val="00E91E47"/>
    <w:rsid w:val="00F04EAC"/>
    <w:rsid w:val="00F2524E"/>
    <w:rsid w:val="00FF2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4FAA2"/>
  <w15:chartTrackingRefBased/>
  <w15:docId w15:val="{185D378C-1923-4329-8280-46834AFB5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A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2A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2A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2A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2A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2A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A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A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A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A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2A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2A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2A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2A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2A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2A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2A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2A78"/>
    <w:rPr>
      <w:rFonts w:eastAsiaTheme="majorEastAsia" w:cstheme="majorBidi"/>
      <w:color w:val="272727" w:themeColor="text1" w:themeTint="D8"/>
    </w:rPr>
  </w:style>
  <w:style w:type="paragraph" w:styleId="Title">
    <w:name w:val="Title"/>
    <w:basedOn w:val="Normal"/>
    <w:next w:val="Normal"/>
    <w:link w:val="TitleChar"/>
    <w:uiPriority w:val="10"/>
    <w:qFormat/>
    <w:rsid w:val="002E2A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A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2A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A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2A78"/>
    <w:pPr>
      <w:spacing w:before="160"/>
      <w:jc w:val="center"/>
    </w:pPr>
    <w:rPr>
      <w:i/>
      <w:iCs/>
      <w:color w:val="404040" w:themeColor="text1" w:themeTint="BF"/>
    </w:rPr>
  </w:style>
  <w:style w:type="character" w:customStyle="1" w:styleId="QuoteChar">
    <w:name w:val="Quote Char"/>
    <w:basedOn w:val="DefaultParagraphFont"/>
    <w:link w:val="Quote"/>
    <w:uiPriority w:val="29"/>
    <w:rsid w:val="002E2A78"/>
    <w:rPr>
      <w:i/>
      <w:iCs/>
      <w:color w:val="404040" w:themeColor="text1" w:themeTint="BF"/>
    </w:rPr>
  </w:style>
  <w:style w:type="paragraph" w:styleId="ListParagraph">
    <w:name w:val="List Paragraph"/>
    <w:basedOn w:val="Normal"/>
    <w:uiPriority w:val="34"/>
    <w:qFormat/>
    <w:rsid w:val="002E2A78"/>
    <w:pPr>
      <w:ind w:left="720"/>
      <w:contextualSpacing/>
    </w:pPr>
  </w:style>
  <w:style w:type="character" w:styleId="IntenseEmphasis">
    <w:name w:val="Intense Emphasis"/>
    <w:basedOn w:val="DefaultParagraphFont"/>
    <w:uiPriority w:val="21"/>
    <w:qFormat/>
    <w:rsid w:val="002E2A78"/>
    <w:rPr>
      <w:i/>
      <w:iCs/>
      <w:color w:val="0F4761" w:themeColor="accent1" w:themeShade="BF"/>
    </w:rPr>
  </w:style>
  <w:style w:type="paragraph" w:styleId="IntenseQuote">
    <w:name w:val="Intense Quote"/>
    <w:basedOn w:val="Normal"/>
    <w:next w:val="Normal"/>
    <w:link w:val="IntenseQuoteChar"/>
    <w:uiPriority w:val="30"/>
    <w:qFormat/>
    <w:rsid w:val="002E2A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2A78"/>
    <w:rPr>
      <w:i/>
      <w:iCs/>
      <w:color w:val="0F4761" w:themeColor="accent1" w:themeShade="BF"/>
    </w:rPr>
  </w:style>
  <w:style w:type="character" w:styleId="IntenseReference">
    <w:name w:val="Intense Reference"/>
    <w:basedOn w:val="DefaultParagraphFont"/>
    <w:uiPriority w:val="32"/>
    <w:qFormat/>
    <w:rsid w:val="002E2A78"/>
    <w:rPr>
      <w:b/>
      <w:bCs/>
      <w:smallCaps/>
      <w:color w:val="0F4761" w:themeColor="accent1" w:themeShade="BF"/>
      <w:spacing w:val="5"/>
    </w:rPr>
  </w:style>
  <w:style w:type="character" w:styleId="Hyperlink">
    <w:name w:val="Hyperlink"/>
    <w:basedOn w:val="DefaultParagraphFont"/>
    <w:uiPriority w:val="99"/>
    <w:unhideWhenUsed/>
    <w:rsid w:val="00543AFF"/>
    <w:rPr>
      <w:color w:val="467886" w:themeColor="hyperlink"/>
      <w:u w:val="single"/>
    </w:rPr>
  </w:style>
  <w:style w:type="character" w:styleId="UnresolvedMention">
    <w:name w:val="Unresolved Mention"/>
    <w:basedOn w:val="DefaultParagraphFont"/>
    <w:uiPriority w:val="99"/>
    <w:semiHidden/>
    <w:unhideWhenUsed/>
    <w:rsid w:val="00543AFF"/>
    <w:rPr>
      <w:color w:val="605E5C"/>
      <w:shd w:val="clear" w:color="auto" w:fill="E1DFDD"/>
    </w:rPr>
  </w:style>
  <w:style w:type="paragraph" w:styleId="TOCHeading">
    <w:name w:val="TOC Heading"/>
    <w:basedOn w:val="Heading1"/>
    <w:next w:val="Normal"/>
    <w:uiPriority w:val="39"/>
    <w:unhideWhenUsed/>
    <w:qFormat/>
    <w:rsid w:val="00E01E4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01E49"/>
    <w:pPr>
      <w:spacing w:after="100"/>
    </w:pPr>
  </w:style>
  <w:style w:type="paragraph" w:styleId="TOC2">
    <w:name w:val="toc 2"/>
    <w:basedOn w:val="Normal"/>
    <w:next w:val="Normal"/>
    <w:autoRedefine/>
    <w:uiPriority w:val="39"/>
    <w:unhideWhenUsed/>
    <w:rsid w:val="00E01E49"/>
    <w:pPr>
      <w:spacing w:after="100"/>
      <w:ind w:left="240"/>
    </w:pPr>
  </w:style>
  <w:style w:type="paragraph" w:styleId="TOC3">
    <w:name w:val="toc 3"/>
    <w:basedOn w:val="Normal"/>
    <w:next w:val="Normal"/>
    <w:autoRedefine/>
    <w:uiPriority w:val="39"/>
    <w:unhideWhenUsed/>
    <w:rsid w:val="00E01E49"/>
    <w:pPr>
      <w:spacing w:after="100"/>
      <w:ind w:left="480"/>
    </w:pPr>
  </w:style>
  <w:style w:type="paragraph" w:styleId="NoSpacing">
    <w:name w:val="No Spacing"/>
    <w:link w:val="NoSpacingChar"/>
    <w:uiPriority w:val="1"/>
    <w:qFormat/>
    <w:rsid w:val="00E01E4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01E49"/>
    <w:rPr>
      <w:rFonts w:eastAsiaTheme="minorEastAsia"/>
      <w:kern w:val="0"/>
      <w:sz w:val="22"/>
      <w:szCs w:val="22"/>
      <w:lang w:val="en-US"/>
      <w14:ligatures w14:val="none"/>
    </w:rPr>
  </w:style>
  <w:style w:type="paragraph" w:styleId="Header">
    <w:name w:val="header"/>
    <w:basedOn w:val="Normal"/>
    <w:link w:val="HeaderChar"/>
    <w:uiPriority w:val="99"/>
    <w:unhideWhenUsed/>
    <w:rsid w:val="00290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E1C"/>
  </w:style>
  <w:style w:type="paragraph" w:styleId="Footer">
    <w:name w:val="footer"/>
    <w:basedOn w:val="Normal"/>
    <w:link w:val="FooterChar"/>
    <w:uiPriority w:val="99"/>
    <w:unhideWhenUsed/>
    <w:rsid w:val="00290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E1C"/>
  </w:style>
  <w:style w:type="character" w:styleId="FollowedHyperlink">
    <w:name w:val="FollowedHyperlink"/>
    <w:basedOn w:val="DefaultParagraphFont"/>
    <w:uiPriority w:val="99"/>
    <w:semiHidden/>
    <w:unhideWhenUsed/>
    <w:rsid w:val="00A15B36"/>
    <w:rPr>
      <w:color w:val="96607D" w:themeColor="followedHyperlink"/>
      <w:u w:val="single"/>
    </w:rPr>
  </w:style>
  <w:style w:type="paragraph" w:styleId="Caption">
    <w:name w:val="caption"/>
    <w:basedOn w:val="Normal"/>
    <w:next w:val="Normal"/>
    <w:uiPriority w:val="35"/>
    <w:unhideWhenUsed/>
    <w:qFormat/>
    <w:rsid w:val="00B04E0E"/>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org/core/journals/psychological-medicine%20" TargetMode="External"/><Relationship Id="rId18" Type="http://schemas.openxmlformats.org/officeDocument/2006/relationships/hyperlink" Target="https://www.legislation.gov.uk/ukpga/2007/12" TargetMode="External"/><Relationship Id="rId26" Type="http://schemas.openxmlformats.org/officeDocument/2006/relationships/hyperlink" Target="https://doi.org/10.1038/s41572-019-0102-3" TargetMode="External"/><Relationship Id="rId3" Type="http://schemas.openxmlformats.org/officeDocument/2006/relationships/styles" Target="styles.xml"/><Relationship Id="rId21" Type="http://schemas.openxmlformats.org/officeDocument/2006/relationships/hyperlink" Target="https://www.nhs.uk/mental-health/conditions/obsessive-compulsive-disorder-ocd/treatment/%20" TargetMode="External"/><Relationship Id="rId7" Type="http://schemas.openxmlformats.org/officeDocument/2006/relationships/endnotes" Target="endnotes.xml"/><Relationship Id="rId12" Type="http://schemas.openxmlformats.org/officeDocument/2006/relationships/hyperlink" Target="https://doi.org/10.1080/1047840X.2016.1082418" TargetMode="External"/><Relationship Id="rId17" Type="http://schemas.openxmlformats.org/officeDocument/2006/relationships/hyperlink" Target="https://www.legislation.gov.uk/ukpga/1983/20" TargetMode="External"/><Relationship Id="rId25" Type="http://schemas.openxmlformats.org/officeDocument/2006/relationships/hyperlink" Target="https://pmc.ncbi.nlm.nih.gov/articles/PMC5125074/?utm_source=chatgpt.com" TargetMode="External"/><Relationship Id="rId2" Type="http://schemas.openxmlformats.org/officeDocument/2006/relationships/customXml" Target="../customXml/item2.xml"/><Relationship Id="rId16" Type="http://schemas.openxmlformats.org/officeDocument/2006/relationships/hyperlink" Target="https://www.legislation.gov.uk/ukpga/2005/9" TargetMode="External"/><Relationship Id="rId20" Type="http://schemas.openxmlformats.org/officeDocument/2006/relationships/hyperlink" Target="https://www.mind.org.uk/information-support/types-of-mental-health-problems/obsessive-compulsive-disorder-ocd/treatment-for-ocd/"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nnp.bmj.com/content/93/11/1166?utm_source=chatgpt.com" TargetMode="External"/><Relationship Id="rId24" Type="http://schemas.openxmlformats.org/officeDocument/2006/relationships/hyperlink" Target="https://pubmed.ncbi.nlm.nih.gov/33618297/?utm_source=chatgpt.com" TargetMode="External"/><Relationship Id="rId5" Type="http://schemas.openxmlformats.org/officeDocument/2006/relationships/webSettings" Target="webSettings.xml"/><Relationship Id="rId15" Type="http://schemas.openxmlformats.org/officeDocument/2006/relationships/hyperlink" Target="https://doi.org/10.3389/fpsyt.2022.973838" TargetMode="External"/><Relationship Id="rId23" Type="http://schemas.openxmlformats.org/officeDocument/2006/relationships/hyperlink" Target="https://www.nice.org.uk/guidance/cg31" TargetMode="External"/><Relationship Id="rId28" Type="http://schemas.openxmlformats.org/officeDocument/2006/relationships/hyperlink" Target="https://www.who.int/publications/i/item/9789240077263%20" TargetMode="External"/><Relationship Id="rId10" Type="http://schemas.openxmlformats.org/officeDocument/2006/relationships/hyperlink" Target="https://doi.org/10.1177/1363459317708823" TargetMode="External"/><Relationship Id="rId19" Type="http://schemas.openxmlformats.org/officeDocument/2006/relationships/hyperlink" Target="https://www.mind.org.uk/information-support/types-of-mental-health-problems/obsessive-compulsive-disorder-ocd/self-care-for-ocd/%2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sychiatry.org/psychiatrists/practice/dsm%20" TargetMode="External"/><Relationship Id="rId14" Type="http://schemas.openxmlformats.org/officeDocument/2006/relationships/hyperlink" Target="https://doi.org/10.3389/fsoc.2021.806147" TargetMode="External"/><Relationship Id="rId22" Type="http://schemas.openxmlformats.org/officeDocument/2006/relationships/hyperlink" Target="https://www.nhs.uk/mental-health/conditions/obsessive-compulsive-disorder-ocd/?utm_source=chatgpt.com" TargetMode="External"/><Relationship Id="rId27" Type="http://schemas.openxmlformats.org/officeDocument/2006/relationships/hyperlink" Target="https://icd.who.int/browse/2024-01/mms/en%23334423054%20%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AEB377-AA5C-41D3-B741-3D8947544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3535</Words>
  <Characters>20153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Component 2 – Written Assignment Report</vt:lpstr>
    </vt:vector>
  </TitlesOfParts>
  <Company>Student number: 2320441</Company>
  <LinksUpToDate>false</LinksUpToDate>
  <CharactersWithSpaces>23641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Written Assignment Report</dc:title>
  <dc:subject>Psychological Classifications and Provisions</dc:subject>
  <dc:creator>Iftekhar Rashid</dc:creator>
  <cp:keywords/>
  <dc:description/>
  <cp:lastModifiedBy>Iftekhar Rashid</cp:lastModifiedBy>
  <cp:revision>20</cp:revision>
  <dcterms:created xsi:type="dcterms:W3CDTF">2026-07-18T00:06:00Z</dcterms:created>
  <dcterms:modified xsi:type="dcterms:W3CDTF">2026-07-19T19:28:00Z</dcterms:modified>
</cp:coreProperties>
</file>