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3CC0964C" w:rsidP="67D79859" w:rsidRDefault="3CC0964C" w14:paraId="1D77294E" w14:textId="202396A1">
      <w:pPr>
        <w:pStyle w:val="Normal"/>
        <w:spacing w:line="360" w:lineRule="auto"/>
      </w:pPr>
      <w:r w:rsidR="3CC0964C">
        <w:rPr/>
        <w:t xml:space="preserve">Ryan Thomas </w:t>
      </w:r>
    </w:p>
    <w:p w:rsidR="3CC0964C" w:rsidP="67D79859" w:rsidRDefault="3CC0964C" w14:paraId="7F8784EA" w14:textId="216C8631">
      <w:pPr>
        <w:pStyle w:val="Normal"/>
        <w:spacing w:line="360" w:lineRule="auto"/>
      </w:pPr>
      <w:r w:rsidR="3CC0964C">
        <w:rPr/>
        <w:t xml:space="preserve">Module Code - </w:t>
      </w:r>
      <w:r w:rsidRPr="67D79859" w:rsidR="3CC0964C">
        <w:rPr>
          <w:rFonts w:ascii="Calibri" w:hAnsi="Calibri" w:eastAsia="Calibri" w:cs="Calibri"/>
          <w:noProof w:val="0"/>
          <w:sz w:val="22"/>
          <w:szCs w:val="22"/>
          <w:lang w:val="en-GB"/>
        </w:rPr>
        <w:t>BMPL4009</w:t>
      </w:r>
    </w:p>
    <w:p w:rsidR="7A71312B" w:rsidP="4E1A6E70" w:rsidRDefault="7A71312B" w14:paraId="1F024EBE" w14:textId="2B238D25">
      <w:pPr>
        <w:pStyle w:val="Normal"/>
        <w:spacing w:line="360" w:lineRule="auto"/>
      </w:pPr>
      <w:r w:rsidR="7A71312B">
        <w:rPr/>
        <w:t>Th</w:t>
      </w:r>
      <w:r w:rsidR="75B0BA3B">
        <w:rPr/>
        <w:t>e</w:t>
      </w:r>
      <w:r w:rsidR="7A71312B">
        <w:rPr/>
        <w:t xml:space="preserve"> purpose of this essay is to analyse a scenario question </w:t>
      </w:r>
      <w:r w:rsidR="086F2D89">
        <w:rPr/>
        <w:t xml:space="preserve">that has been </w:t>
      </w:r>
      <w:r w:rsidR="086F2D89">
        <w:rPr/>
        <w:t>provided</w:t>
      </w:r>
      <w:r w:rsidR="086F2D89">
        <w:rPr/>
        <w:t xml:space="preserve"> and then discuss the criminal liability of the individuals involved. </w:t>
      </w:r>
      <w:r w:rsidR="1B977BD0">
        <w:rPr/>
        <w:t xml:space="preserve">The </w:t>
      </w:r>
      <w:r w:rsidR="28A76C57">
        <w:rPr/>
        <w:t xml:space="preserve">scenario question entails </w:t>
      </w:r>
      <w:r w:rsidR="5EC49161">
        <w:rPr/>
        <w:t xml:space="preserve">a married couple </w:t>
      </w:r>
      <w:r w:rsidR="5D2DDBFC">
        <w:rPr/>
        <w:t>named Carla and Jamie. According to the scenario, Carla had</w:t>
      </w:r>
      <w:r w:rsidR="1E88F6CB">
        <w:rPr/>
        <w:t xml:space="preserve"> </w:t>
      </w:r>
      <w:r w:rsidR="2B7A36B6">
        <w:rPr/>
        <w:t xml:space="preserve">received news of an affair from her husband and ran to get a knife, then </w:t>
      </w:r>
      <w:r w:rsidR="2B7A36B6">
        <w:rPr/>
        <w:t>proceeded</w:t>
      </w:r>
      <w:r w:rsidR="2B7A36B6">
        <w:rPr/>
        <w:t xml:space="preserve"> to stab Jamie</w:t>
      </w:r>
      <w:r w:rsidR="6CD55184">
        <w:rPr/>
        <w:t xml:space="preserve"> in the chest which caused him serious injuries. The offence that </w:t>
      </w:r>
      <w:r w:rsidR="10A2B35F">
        <w:rPr/>
        <w:t xml:space="preserve">appears to </w:t>
      </w:r>
      <w:r w:rsidR="6CD55184">
        <w:rPr/>
        <w:t>ha</w:t>
      </w:r>
      <w:r w:rsidR="4A4CFD39">
        <w:rPr/>
        <w:t>ve</w:t>
      </w:r>
      <w:r w:rsidR="6CD55184">
        <w:rPr/>
        <w:t xml:space="preserve"> </w:t>
      </w:r>
      <w:r w:rsidR="6CD55184">
        <w:rPr/>
        <w:t>occurred here is</w:t>
      </w:r>
      <w:r w:rsidR="6F5AA114">
        <w:rPr/>
        <w:t xml:space="preserve"> </w:t>
      </w:r>
      <w:r w:rsidR="6CD55184">
        <w:rPr/>
        <w:t>attempted</w:t>
      </w:r>
      <w:r w:rsidR="6CD55184">
        <w:rPr/>
        <w:t xml:space="preserve"> murder</w:t>
      </w:r>
      <w:r w:rsidR="78E85AFD">
        <w:rPr/>
        <w:t xml:space="preserve">. However, under certain circumstances, the offence may </w:t>
      </w:r>
      <w:r w:rsidR="7A5516D2">
        <w:rPr/>
        <w:t>be</w:t>
      </w:r>
      <w:r w:rsidR="78E85AFD">
        <w:rPr/>
        <w:t xml:space="preserve"> grievous</w:t>
      </w:r>
      <w:r w:rsidR="292960B4">
        <w:rPr/>
        <w:t xml:space="preserve"> bodily harm</w:t>
      </w:r>
      <w:r w:rsidR="26E15B56">
        <w:rPr/>
        <w:t xml:space="preserve"> (GBH)</w:t>
      </w:r>
      <w:r w:rsidR="6CD55184">
        <w:rPr/>
        <w:t xml:space="preserve">. This is </w:t>
      </w:r>
      <w:r w:rsidR="6CD55184">
        <w:rPr/>
        <w:t>demonstrated</w:t>
      </w:r>
      <w:r w:rsidR="6CD55184">
        <w:rPr/>
        <w:t xml:space="preserve"> </w:t>
      </w:r>
      <w:r w:rsidR="0D82DEEC">
        <w:rPr/>
        <w:t xml:space="preserve">by the actus reus of </w:t>
      </w:r>
      <w:r w:rsidR="3446E595">
        <w:rPr/>
        <w:t xml:space="preserve">Carla grabbing a knife and </w:t>
      </w:r>
      <w:r w:rsidR="0D82DEEC">
        <w:rPr/>
        <w:t>stabbing Jamie in the chest</w:t>
      </w:r>
      <w:r w:rsidR="7F0EE986">
        <w:rPr/>
        <w:t>,</w:t>
      </w:r>
      <w:r w:rsidR="0D82DEEC">
        <w:rPr/>
        <w:t xml:space="preserve"> but </w:t>
      </w:r>
      <w:r w:rsidR="10391489">
        <w:rPr/>
        <w:t xml:space="preserve">it </w:t>
      </w:r>
      <w:r w:rsidR="650B6A84">
        <w:rPr/>
        <w:t>would not</w:t>
      </w:r>
      <w:r w:rsidR="10391489">
        <w:rPr/>
        <w:t xml:space="preserve"> be </w:t>
      </w:r>
      <w:r w:rsidR="10391489">
        <w:rPr/>
        <w:t>deemed</w:t>
      </w:r>
      <w:r w:rsidR="10391489">
        <w:rPr/>
        <w:t xml:space="preserve"> as murder as it is described that </w:t>
      </w:r>
      <w:r w:rsidR="0D82DEEC">
        <w:rPr/>
        <w:t xml:space="preserve">Jamie </w:t>
      </w:r>
      <w:r w:rsidR="67808674">
        <w:rPr/>
        <w:t>did not</w:t>
      </w:r>
      <w:r w:rsidR="0D82DEEC">
        <w:rPr/>
        <w:t xml:space="preserve"> </w:t>
      </w:r>
      <w:r w:rsidR="0D0CE5E4">
        <w:rPr/>
        <w:t>succumb to</w:t>
      </w:r>
      <w:r w:rsidR="0D82DEEC">
        <w:rPr/>
        <w:t xml:space="preserve"> his injuries</w:t>
      </w:r>
      <w:r w:rsidR="6F8B8721">
        <w:rPr/>
        <w:t>.</w:t>
      </w:r>
      <w:r w:rsidR="445DDD1D">
        <w:rPr/>
        <w:t xml:space="preserve"> </w:t>
      </w:r>
      <w:r w:rsidR="50BF0C43">
        <w:rPr/>
        <w:t xml:space="preserve">From this, we can also argue </w:t>
      </w:r>
      <w:r w:rsidR="65474AAF">
        <w:rPr/>
        <w:t xml:space="preserve">the men’s rea of the offence would be </w:t>
      </w:r>
      <w:r w:rsidR="50BF0C43">
        <w:rPr/>
        <w:t>that Carla had</w:t>
      </w:r>
      <w:r w:rsidR="2D9A0C88">
        <w:rPr/>
        <w:t xml:space="preserve"> the</w:t>
      </w:r>
      <w:r w:rsidR="50BF0C43">
        <w:rPr/>
        <w:t xml:space="preserve"> direct intention to stab her Husband Jamie</w:t>
      </w:r>
      <w:r w:rsidR="166253FE">
        <w:rPr/>
        <w:t>.</w:t>
      </w:r>
    </w:p>
    <w:p w:rsidR="6025F5A1" w:rsidP="4E1A6E70" w:rsidRDefault="6025F5A1" w14:paraId="3DF87F03" w14:textId="1BFEB615">
      <w:pPr>
        <w:pStyle w:val="Normal"/>
        <w:spacing w:line="360" w:lineRule="auto"/>
      </w:pPr>
    </w:p>
    <w:p w:rsidR="73D6726A" w:rsidP="4E1A6E70" w:rsidRDefault="73D6726A" w14:paraId="2B9FC1C6" w14:textId="6E1F51DF">
      <w:pPr>
        <w:pStyle w:val="Normal"/>
        <w:spacing w:line="360" w:lineRule="auto"/>
      </w:pPr>
      <w:r w:rsidR="4FBF2C7A">
        <w:rPr/>
        <w:t xml:space="preserve">The first act to be defined is </w:t>
      </w:r>
      <w:r w:rsidR="4FBF2C7A">
        <w:rPr/>
        <w:t>attempted</w:t>
      </w:r>
      <w:r w:rsidR="4FBF2C7A">
        <w:rPr/>
        <w:t xml:space="preserve"> murder. </w:t>
      </w:r>
      <w:r w:rsidR="43EE0748">
        <w:rPr/>
        <w:t xml:space="preserve">Attempted murder is legislated under </w:t>
      </w:r>
      <w:r w:rsidR="27CFB704">
        <w:rPr/>
        <w:t>chapter 47 of th</w:t>
      </w:r>
      <w:r w:rsidR="7BDA62DC">
        <w:rPr/>
        <w:t>e</w:t>
      </w:r>
      <w:r w:rsidR="0053FAED">
        <w:rPr/>
        <w:t xml:space="preserve"> </w:t>
      </w:r>
      <w:r w:rsidR="55B026BC">
        <w:rPr/>
        <w:t>(</w:t>
      </w:r>
      <w:r w:rsidR="0053FAED">
        <w:rPr/>
        <w:t>Criminal Attempts Act 1981</w:t>
      </w:r>
      <w:r w:rsidR="5090DE03">
        <w:rPr/>
        <w:t>)</w:t>
      </w:r>
      <w:r w:rsidR="513BD980">
        <w:rPr/>
        <w:t xml:space="preserve">. To first define attempted murder, the definition of murder must be explained. </w:t>
      </w:r>
      <w:r w:rsidR="7573CC78">
        <w:rPr/>
        <w:t>According to Herring</w:t>
      </w:r>
      <w:r w:rsidR="6EA08C44">
        <w:rPr/>
        <w:t xml:space="preserve"> (2022, p. 220), the definition of murder is “The offence of murder is committed where the defendant caused the death of the victim and intended to kill or cause serious bodily harm.”</w:t>
      </w:r>
      <w:r w:rsidR="32C957DA">
        <w:rPr/>
        <w:t>, which would come under the statute (</w:t>
      </w:r>
      <w:r w:rsidR="1B389674">
        <w:rPr/>
        <w:t xml:space="preserve">Homicide Act 1957) chapter 11. </w:t>
      </w:r>
      <w:r w:rsidR="2F18F713">
        <w:rPr/>
        <w:t xml:space="preserve">Section 1(1) of the </w:t>
      </w:r>
      <w:r w:rsidR="7C9E88A1">
        <w:rPr/>
        <w:t xml:space="preserve">(Criminal Attempts Act 1981) </w:t>
      </w:r>
      <w:r w:rsidR="650DC73B">
        <w:rPr/>
        <w:t>continues</w:t>
      </w:r>
      <w:r w:rsidR="7C9E88A1">
        <w:rPr/>
        <w:t xml:space="preserve"> onto this definition, </w:t>
      </w:r>
      <w:r w:rsidR="1DB8BC10">
        <w:rPr/>
        <w:t>adding that</w:t>
      </w:r>
      <w:r w:rsidR="12044F49">
        <w:rPr/>
        <w:t xml:space="preserve"> </w:t>
      </w:r>
      <w:r w:rsidR="04AE9831">
        <w:rPr/>
        <w:t xml:space="preserve">a person is liable for attempted </w:t>
      </w:r>
      <w:r w:rsidR="273D31CC">
        <w:rPr/>
        <w:t>murder if</w:t>
      </w:r>
      <w:r w:rsidR="04AE9831">
        <w:rPr/>
        <w:t xml:space="preserve"> they</w:t>
      </w:r>
      <w:r w:rsidR="4609B2FF">
        <w:rPr/>
        <w:t xml:space="preserve"> undergo more than the preparat</w:t>
      </w:r>
      <w:r w:rsidR="2E9418C3">
        <w:rPr/>
        <w:t>ion of committing murder.</w:t>
      </w:r>
      <w:r w:rsidR="5625C2DE">
        <w:rPr/>
        <w:t xml:space="preserve"> The other offence </w:t>
      </w:r>
      <w:r w:rsidR="706CB9E1">
        <w:rPr/>
        <w:t xml:space="preserve">to be defined is grievous bodily harm, which </w:t>
      </w:r>
      <w:r w:rsidR="427E53F9">
        <w:rPr/>
        <w:t>is under the statue (Offences against the Person Act 18</w:t>
      </w:r>
      <w:r w:rsidR="6F74DC06">
        <w:rPr/>
        <w:t xml:space="preserve">61) chapter 100. Herring (2022, p. </w:t>
      </w:r>
      <w:r w:rsidR="125CB34C">
        <w:rPr/>
        <w:t xml:space="preserve">329) defines </w:t>
      </w:r>
      <w:r w:rsidR="45348996">
        <w:rPr/>
        <w:t>GBH as a person causing “really serious bodily harm” towards another person. The Jury of the trial woul</w:t>
      </w:r>
      <w:r w:rsidR="65E216FD">
        <w:rPr/>
        <w:t xml:space="preserve">d have to define for themselves what would constitute serious bodily harm. </w:t>
      </w:r>
    </w:p>
    <w:p w:rsidR="6025F5A1" w:rsidP="4E1A6E70" w:rsidRDefault="6025F5A1" w14:paraId="15BC5F1B" w14:textId="31B59B7B">
      <w:pPr>
        <w:pStyle w:val="Normal"/>
        <w:spacing w:line="360" w:lineRule="auto"/>
      </w:pPr>
    </w:p>
    <w:p w:rsidR="73D6726A" w:rsidP="4E1A6E70" w:rsidRDefault="73D6726A" w14:paraId="155AA24C" w14:textId="7B37A819">
      <w:pPr>
        <w:pStyle w:val="Normal"/>
        <w:spacing w:line="360" w:lineRule="auto"/>
      </w:pPr>
      <w:r w:rsidR="35C0934A">
        <w:rPr/>
        <w:t xml:space="preserve">In the </w:t>
      </w:r>
      <w:r w:rsidR="354EB97C">
        <w:rPr/>
        <w:t xml:space="preserve">scenario question, </w:t>
      </w:r>
      <w:r w:rsidR="771BAE18">
        <w:rPr/>
        <w:t xml:space="preserve">we can see that </w:t>
      </w:r>
      <w:r w:rsidR="627AB26A">
        <w:rPr/>
        <w:t>Carla</w:t>
      </w:r>
      <w:r w:rsidR="771BAE18">
        <w:rPr/>
        <w:t xml:space="preserve"> has passed the stage of preparing to stab her husband, Jamie, using a kitchen knife.</w:t>
      </w:r>
      <w:r w:rsidR="1162A51C">
        <w:rPr/>
        <w:t xml:space="preserve"> </w:t>
      </w:r>
      <w:r w:rsidR="630145FD">
        <w:rPr/>
        <w:t xml:space="preserve">The actus reus for attempted murder can be seen in the case of R v </w:t>
      </w:r>
      <w:r w:rsidR="630145FD">
        <w:rPr/>
        <w:t>Geough</w:t>
      </w:r>
      <w:r w:rsidR="630145FD">
        <w:rPr/>
        <w:t>, where a man was convicted of attempted murde</w:t>
      </w:r>
      <w:r w:rsidR="35868BCE">
        <w:rPr/>
        <w:t xml:space="preserve">r for </w:t>
      </w:r>
      <w:r w:rsidR="630145FD">
        <w:rPr/>
        <w:t>attempt</w:t>
      </w:r>
      <w:r w:rsidR="32DE8F4B">
        <w:rPr/>
        <w:t>ing</w:t>
      </w:r>
      <w:r w:rsidR="630145FD">
        <w:rPr/>
        <w:t xml:space="preserve"> to </w:t>
      </w:r>
      <w:r w:rsidR="36457587">
        <w:rPr/>
        <w:t xml:space="preserve">shoot and kill </w:t>
      </w:r>
      <w:r w:rsidR="36457587">
        <w:rPr/>
        <w:t>another man, failing as the man survived with injuries. The second aspect of attempted murder to consider</w:t>
      </w:r>
      <w:r w:rsidR="17206B5A">
        <w:rPr/>
        <w:t xml:space="preserve"> is the men’s rea for the offence. As quoted previously by Herring (2022, p. 220)</w:t>
      </w:r>
      <w:r w:rsidR="58EA4ED2">
        <w:rPr/>
        <w:t>, the assailant must have “intended to kill or cause serious bodily harm.”</w:t>
      </w:r>
      <w:r w:rsidR="6BA5FA1C">
        <w:rPr/>
        <w:t xml:space="preserve"> </w:t>
      </w:r>
      <w:r w:rsidR="20F680C2">
        <w:rPr/>
        <w:t>J (1952) also argues that if the intention was to cause the victim death or grievous bodily harm then the defendant</w:t>
      </w:r>
      <w:r w:rsidR="41A40E29">
        <w:rPr/>
        <w:t xml:space="preserve"> is guilty of attempted murder. This specifies the term “serious bodily harm” </w:t>
      </w:r>
      <w:r w:rsidR="365C4769">
        <w:rPr/>
        <w:t xml:space="preserve">from the </w:t>
      </w:r>
      <w:r w:rsidR="365C4769">
        <w:rPr/>
        <w:t>previous</w:t>
      </w:r>
      <w:r w:rsidR="365C4769">
        <w:rPr/>
        <w:t xml:space="preserve"> quote; suggesting that the damage caused to the victim to amount</w:t>
      </w:r>
      <w:r w:rsidR="740E31CE">
        <w:rPr/>
        <w:t xml:space="preserve"> to </w:t>
      </w:r>
      <w:r w:rsidR="740E31CE">
        <w:rPr/>
        <w:t>attempted</w:t>
      </w:r>
      <w:r w:rsidR="740E31CE">
        <w:rPr/>
        <w:t xml:space="preserve"> murder must be d</w:t>
      </w:r>
      <w:r w:rsidR="6507D12D">
        <w:rPr/>
        <w:t xml:space="preserve">efined and unanimously decided on </w:t>
      </w:r>
      <w:r w:rsidR="39127D06">
        <w:rPr/>
        <w:t xml:space="preserve">by a jury. </w:t>
      </w:r>
      <w:r w:rsidR="47107963">
        <w:rPr/>
        <w:t xml:space="preserve">In the </w:t>
      </w:r>
      <w:r w:rsidR="39127D06">
        <w:rPr/>
        <w:t xml:space="preserve">scenario question, </w:t>
      </w:r>
      <w:r w:rsidR="086B9432">
        <w:rPr/>
        <w:t>we ge</w:t>
      </w:r>
      <w:r w:rsidR="3E7EE840">
        <w:rPr/>
        <w:t xml:space="preserve">t the </w:t>
      </w:r>
      <w:r w:rsidR="3E7EE840">
        <w:rPr/>
        <w:t>indication</w:t>
      </w:r>
      <w:r w:rsidR="3E7EE840">
        <w:rPr/>
        <w:t xml:space="preserve"> of direct intention for murder where she rushes to the kitchen to get a knife.</w:t>
      </w:r>
      <w:r w:rsidR="52E37B01">
        <w:rPr/>
        <w:t xml:space="preserve"> </w:t>
      </w:r>
      <w:r w:rsidR="0B9FDC0A">
        <w:rPr/>
        <w:t>According to</w:t>
      </w:r>
      <w:r w:rsidR="44E141FA">
        <w:rPr/>
        <w:t xml:space="preserve"> Lexis+ UK (2024), the element of direct intention is that there must be evidence that</w:t>
      </w:r>
      <w:r w:rsidR="36E3459D">
        <w:rPr/>
        <w:t xml:space="preserve"> the defendant, or in this case Carla, had knowledge that the harm done would have</w:t>
      </w:r>
      <w:r w:rsidR="62D899C4">
        <w:rPr/>
        <w:t xml:space="preserve"> resulted in the death of the victim.</w:t>
      </w:r>
      <w:r w:rsidR="0B9FDC0A">
        <w:rPr/>
        <w:t xml:space="preserve"> </w:t>
      </w:r>
      <w:r w:rsidR="4E740703">
        <w:rPr/>
        <w:t>The jury would have to agree on whether a reasonable person would have</w:t>
      </w:r>
      <w:r w:rsidR="27829DFF">
        <w:rPr/>
        <w:t xml:space="preserve"> </w:t>
      </w:r>
      <w:r w:rsidR="7C4AF9DF">
        <w:rPr/>
        <w:t>appreciated</w:t>
      </w:r>
      <w:r w:rsidR="4FEB0C46">
        <w:rPr/>
        <w:t xml:space="preserve"> </w:t>
      </w:r>
      <w:r w:rsidR="4E740703">
        <w:rPr/>
        <w:t>that</w:t>
      </w:r>
      <w:r w:rsidR="4E740703">
        <w:rPr/>
        <w:t xml:space="preserve"> a stab </w:t>
      </w:r>
      <w:r w:rsidR="4E740703">
        <w:rPr/>
        <w:t xml:space="preserve">to the chest would have resulted in </w:t>
      </w:r>
      <w:r w:rsidR="342D1000">
        <w:rPr/>
        <w:t xml:space="preserve">the death of the </w:t>
      </w:r>
      <w:r w:rsidR="50887846">
        <w:rPr/>
        <w:t>victim</w:t>
      </w:r>
      <w:r w:rsidR="3587E000">
        <w:rPr/>
        <w:t xml:space="preserve">. </w:t>
      </w:r>
      <w:r w:rsidR="3B9444D3">
        <w:rPr/>
        <w:t>This would relate to the case of R v Nedrick where a man poured petrol into a letter</w:t>
      </w:r>
      <w:r w:rsidR="55DB3BD6">
        <w:rPr/>
        <w:t>box and li</w:t>
      </w:r>
      <w:r w:rsidR="5EF807D7">
        <w:rPr/>
        <w:t>t</w:t>
      </w:r>
      <w:r w:rsidR="55DB3BD6">
        <w:rPr/>
        <w:t xml:space="preserve"> it</w:t>
      </w:r>
      <w:r w:rsidR="2D4A0D2E">
        <w:rPr/>
        <w:t xml:space="preserve"> on fire</w:t>
      </w:r>
      <w:r w:rsidR="55DB3BD6">
        <w:rPr/>
        <w:t>; the fire killed a child inside the house</w:t>
      </w:r>
      <w:r w:rsidR="570A81BA">
        <w:rPr/>
        <w:t xml:space="preserve">. </w:t>
      </w:r>
      <w:r w:rsidR="098B4635">
        <w:rPr/>
        <w:t>From this, it can be argued that Carla could be liable for attempted murder as the actus re</w:t>
      </w:r>
      <w:r w:rsidR="41C99502">
        <w:rPr/>
        <w:t>us has been met, the act of stabbing her husband in the chest</w:t>
      </w:r>
      <w:r w:rsidR="06D51098">
        <w:rPr/>
        <w:t>. The men's rea could also be argued has be</w:t>
      </w:r>
      <w:r w:rsidR="7DB84496">
        <w:rPr/>
        <w:t>en</w:t>
      </w:r>
      <w:r w:rsidR="06D51098">
        <w:rPr/>
        <w:t xml:space="preserve"> met, as a reasonable person would have knowledge that stabbing a chest with a knife</w:t>
      </w:r>
      <w:r w:rsidR="3F135F65">
        <w:rPr/>
        <w:t xml:space="preserve"> would have a high probability of causing death, due to vital organs being </w:t>
      </w:r>
      <w:r w:rsidR="3F135F65">
        <w:rPr/>
        <w:t>located</w:t>
      </w:r>
      <w:r w:rsidR="3F135F65">
        <w:rPr/>
        <w:t xml:space="preserve"> around the ch</w:t>
      </w:r>
      <w:r w:rsidR="717D941F">
        <w:rPr/>
        <w:t>est area.</w:t>
      </w:r>
      <w:r w:rsidR="51505D3D">
        <w:rPr/>
        <w:t xml:space="preserve"> However, </w:t>
      </w:r>
      <w:r w:rsidR="42C3C02C">
        <w:rPr/>
        <w:t xml:space="preserve">it should be discussed whether </w:t>
      </w:r>
      <w:r w:rsidR="51505D3D">
        <w:rPr/>
        <w:t>Carla may be liable for grie</w:t>
      </w:r>
      <w:r w:rsidR="63714D93">
        <w:rPr/>
        <w:t>vous bodily harm</w:t>
      </w:r>
      <w:r w:rsidR="5A143493">
        <w:rPr/>
        <w:t xml:space="preserve"> (ABH)</w:t>
      </w:r>
      <w:r w:rsidR="217F3311">
        <w:rPr/>
        <w:t xml:space="preserve">. </w:t>
      </w:r>
      <w:r w:rsidR="35576B9D">
        <w:rPr/>
        <w:t xml:space="preserve">According to </w:t>
      </w:r>
      <w:r w:rsidR="76B2866B">
        <w:rPr/>
        <w:t>Herring (2022</w:t>
      </w:r>
      <w:r w:rsidR="176013D3">
        <w:rPr/>
        <w:t>, p. 329</w:t>
      </w:r>
      <w:r w:rsidR="76B2866B">
        <w:rPr/>
        <w:t>)</w:t>
      </w:r>
      <w:r w:rsidR="35576B9D">
        <w:rPr/>
        <w:t>, GBH is</w:t>
      </w:r>
      <w:r w:rsidR="650348D7">
        <w:rPr/>
        <w:t xml:space="preserve"> inflicting </w:t>
      </w:r>
      <w:r w:rsidR="228067E0">
        <w:rPr/>
        <w:t>“</w:t>
      </w:r>
      <w:r w:rsidR="650348D7">
        <w:rPr/>
        <w:t>really serious bodily harm”</w:t>
      </w:r>
      <w:r w:rsidR="0A1F8449">
        <w:rPr/>
        <w:t xml:space="preserve"> onto another person</w:t>
      </w:r>
      <w:r w:rsidR="134CAE8B">
        <w:rPr/>
        <w:t>. Furthermore, (C</w:t>
      </w:r>
      <w:r w:rsidR="3D1707F3">
        <w:rPr/>
        <w:t>PS</w:t>
      </w:r>
      <w:r w:rsidR="134CAE8B">
        <w:rPr/>
        <w:t>, 2022) adds onto this definition, includi</w:t>
      </w:r>
      <w:r w:rsidR="0CE61827">
        <w:rPr/>
        <w:t xml:space="preserve">ng that GBH and actual bodily harm </w:t>
      </w:r>
      <w:r w:rsidR="4E4132F5">
        <w:rPr/>
        <w:t>must involve “wounding”</w:t>
      </w:r>
      <w:r w:rsidR="35B64665">
        <w:rPr/>
        <w:t xml:space="preserve"> which </w:t>
      </w:r>
      <w:r w:rsidR="409784E6">
        <w:rPr/>
        <w:t xml:space="preserve">is defined as </w:t>
      </w:r>
      <w:r w:rsidR="12528361">
        <w:rPr/>
        <w:t xml:space="preserve">“a break in the continuity of the whole skin.” The severity of the wound would </w:t>
      </w:r>
      <w:r w:rsidR="12528361">
        <w:rPr/>
        <w:t>determine</w:t>
      </w:r>
      <w:r w:rsidR="12528361">
        <w:rPr/>
        <w:t xml:space="preserve"> if </w:t>
      </w:r>
      <w:r w:rsidR="490D430E">
        <w:rPr/>
        <w:t xml:space="preserve">the offence were ABH or GBH; </w:t>
      </w:r>
      <w:r w:rsidR="1508B8FE">
        <w:rPr/>
        <w:t>an indication</w:t>
      </w:r>
      <w:r w:rsidR="1508B8FE">
        <w:rPr/>
        <w:t xml:space="preserve"> of GBH would be if a victim needed blood transfusions or</w:t>
      </w:r>
      <w:r w:rsidR="5663D3CC">
        <w:rPr/>
        <w:t xml:space="preserve"> intensive care (CPS, 2022).</w:t>
      </w:r>
      <w:r w:rsidR="3ED31266">
        <w:rPr/>
        <w:t xml:space="preserve"> </w:t>
      </w:r>
      <w:r w:rsidR="4AD23F50">
        <w:rPr/>
        <w:t xml:space="preserve">The application of this definition can be seen in the case of JJC v Eisenhower [1983]. </w:t>
      </w:r>
      <w:r w:rsidR="180DE011">
        <w:rPr/>
        <w:t>A</w:t>
      </w:r>
      <w:r w:rsidR="3ED31266">
        <w:rPr/>
        <w:t xml:space="preserve"> stab to the chest would certainly require intensive c</w:t>
      </w:r>
      <w:r w:rsidR="386C7C02">
        <w:rPr/>
        <w:t xml:space="preserve">are, suggesting that the crime </w:t>
      </w:r>
      <w:r w:rsidR="0C33AE15">
        <w:rPr/>
        <w:t>would qualify as</w:t>
      </w:r>
      <w:r w:rsidR="386C7C02">
        <w:rPr/>
        <w:t xml:space="preserve"> GBH.</w:t>
      </w:r>
      <w:r w:rsidR="79C796D0">
        <w:rPr/>
        <w:t xml:space="preserve"> </w:t>
      </w:r>
      <w:r w:rsidR="094AF936">
        <w:rPr/>
        <w:t xml:space="preserve">The men's rea of Carla </w:t>
      </w:r>
      <w:r w:rsidR="408F1CD9">
        <w:rPr/>
        <w:t>has not change from direct intentions</w:t>
      </w:r>
      <w:r w:rsidR="408F1CD9">
        <w:rPr/>
        <w:t>. However, the scenar</w:t>
      </w:r>
      <w:r w:rsidR="613CAA40">
        <w:rPr/>
        <w:t xml:space="preserve">io question does not specify if Carla wanted to kill or seriously injury Jamie, implying that </w:t>
      </w:r>
      <w:r w:rsidR="55F4E380">
        <w:rPr/>
        <w:t>a jury would have to decide on which was the intention</w:t>
      </w:r>
      <w:r w:rsidR="5EAEA4AB">
        <w:rPr/>
        <w:t>; despite that</w:t>
      </w:r>
      <w:r w:rsidR="6DD4BDFE">
        <w:rPr/>
        <w:t>,</w:t>
      </w:r>
      <w:r w:rsidR="5EAEA4AB">
        <w:rPr/>
        <w:t xml:space="preserve"> the men’s rea for attempted murder and the men’s rea for GBH is the same</w:t>
      </w:r>
      <w:r w:rsidR="19A32916">
        <w:rPr/>
        <w:t>, as the definition of attempted murder includes GBH (Storey, 2014)</w:t>
      </w:r>
      <w:r w:rsidR="55F4E380">
        <w:rPr/>
        <w:t>.</w:t>
      </w:r>
      <w:r w:rsidR="37C872AC">
        <w:rPr/>
        <w:t xml:space="preserve"> Out of these two offences, the crime that Carla should be </w:t>
      </w:r>
      <w:r w:rsidR="7CD3EE41">
        <w:rPr/>
        <w:t>convicted</w:t>
      </w:r>
      <w:r w:rsidR="37C872AC">
        <w:rPr/>
        <w:t xml:space="preserve"> of is </w:t>
      </w:r>
      <w:r w:rsidR="37C872AC">
        <w:rPr/>
        <w:t>attempted</w:t>
      </w:r>
      <w:r w:rsidR="37C872AC">
        <w:rPr/>
        <w:t xml:space="preserve"> murder due to the severity of </w:t>
      </w:r>
      <w:r w:rsidR="3254D714">
        <w:rPr/>
        <w:t>injuries caused, the location of the stab wound and Carla meeting the men's rea for the offence</w:t>
      </w:r>
      <w:r w:rsidR="35BD32F8">
        <w:rPr/>
        <w:t>.</w:t>
      </w:r>
    </w:p>
    <w:p w:rsidR="6025F5A1" w:rsidP="4E1A6E70" w:rsidRDefault="6025F5A1" w14:paraId="719FECD2" w14:textId="43D3F705">
      <w:pPr>
        <w:pStyle w:val="Normal"/>
        <w:spacing w:line="360" w:lineRule="auto"/>
      </w:pPr>
    </w:p>
    <w:p w:rsidR="75385010" w:rsidP="4E1A6E70" w:rsidRDefault="75385010" w14:paraId="6E1615FE" w14:textId="1DB776E7">
      <w:pPr>
        <w:pStyle w:val="Normal"/>
        <w:spacing w:line="360" w:lineRule="auto"/>
      </w:pPr>
      <w:r w:rsidR="7C120AE6">
        <w:rPr/>
        <w:t xml:space="preserve">The first defence that can </w:t>
      </w:r>
      <w:r w:rsidR="7C120AE6">
        <w:rPr/>
        <w:t>be applicable</w:t>
      </w:r>
      <w:r w:rsidR="7C120AE6">
        <w:rPr/>
        <w:t xml:space="preserve"> to the scenario question is loss of control. Th</w:t>
      </w:r>
      <w:r w:rsidR="3D6D25B5">
        <w:rPr/>
        <w:t>is defence is legislated under</w:t>
      </w:r>
      <w:r w:rsidR="31508F48">
        <w:rPr/>
        <w:t xml:space="preserve"> chapter 25 of (Coroners and Justice Act 2009</w:t>
      </w:r>
      <w:r w:rsidR="45D5BDF6">
        <w:rPr/>
        <w:t>) and</w:t>
      </w:r>
      <w:r w:rsidR="31508F48">
        <w:rPr/>
        <w:t xml:space="preserve"> is defined as</w:t>
      </w:r>
      <w:r w:rsidR="19E069CF">
        <w:rPr/>
        <w:t xml:space="preserve"> the</w:t>
      </w:r>
      <w:r w:rsidR="66D7147F">
        <w:rPr/>
        <w:t xml:space="preserve"> killing of another due to </w:t>
      </w:r>
      <w:r w:rsidR="3DE13387">
        <w:rPr/>
        <w:t>the</w:t>
      </w:r>
      <w:r w:rsidR="19E069CF">
        <w:rPr/>
        <w:t xml:space="preserve"> loss of self-control </w:t>
      </w:r>
      <w:r w:rsidR="58418ECF">
        <w:rPr/>
        <w:t>from</w:t>
      </w:r>
      <w:r w:rsidR="19E069CF">
        <w:rPr/>
        <w:t xml:space="preserve"> a qualifying trigger, such as anger or fear</w:t>
      </w:r>
      <w:r w:rsidR="19E069CF">
        <w:rPr/>
        <w:t>.</w:t>
      </w:r>
      <w:r w:rsidR="26CD932A">
        <w:rPr/>
        <w:t xml:space="preserve"> The </w:t>
      </w:r>
      <w:r w:rsidR="062005C3">
        <w:rPr/>
        <w:t xml:space="preserve">two applicable </w:t>
      </w:r>
      <w:r w:rsidR="26CD932A">
        <w:rPr/>
        <w:t xml:space="preserve">qualifying </w:t>
      </w:r>
      <w:r w:rsidR="6572785B">
        <w:rPr/>
        <w:t>triggers</w:t>
      </w:r>
      <w:r w:rsidR="26CD932A">
        <w:rPr/>
        <w:t xml:space="preserve"> can be</w:t>
      </w:r>
      <w:r w:rsidR="18DEAF7B">
        <w:rPr/>
        <w:t>,</w:t>
      </w:r>
      <w:r w:rsidR="047AA328">
        <w:rPr/>
        <w:t xml:space="preserve"> </w:t>
      </w:r>
      <w:r w:rsidR="565BCE83">
        <w:rPr/>
        <w:t>firstly</w:t>
      </w:r>
      <w:r w:rsidR="01D973AD">
        <w:rPr/>
        <w:t>, the</w:t>
      </w:r>
      <w:r w:rsidR="257D73B1">
        <w:rPr/>
        <w:t xml:space="preserve"> fear of violence being i</w:t>
      </w:r>
      <w:r w:rsidR="27C08DF6">
        <w:rPr/>
        <w:t>nflicted on another person or themselves; secondly, the sense of being</w:t>
      </w:r>
      <w:r w:rsidR="2A7DF3F1">
        <w:rPr/>
        <w:t xml:space="preserve"> seriously wronged by something said by another party</w:t>
      </w:r>
      <w:r w:rsidR="01D973AD">
        <w:rPr/>
        <w:t xml:space="preserve"> </w:t>
      </w:r>
      <w:r w:rsidR="198AA224">
        <w:rPr/>
        <w:t xml:space="preserve">(Explanatory Notes to the Coroners and Justice Act 2009, C. 25). </w:t>
      </w:r>
      <w:r w:rsidR="047AA328">
        <w:rPr/>
        <w:t xml:space="preserve">In the scenario question, Jamie </w:t>
      </w:r>
      <w:r w:rsidR="431F8859">
        <w:rPr/>
        <w:t xml:space="preserve">was drunk and </w:t>
      </w:r>
      <w:r w:rsidR="047AA328">
        <w:rPr/>
        <w:t>had admitted that he has had an affair</w:t>
      </w:r>
      <w:r w:rsidR="565076F8">
        <w:rPr/>
        <w:t xml:space="preserve"> with a co-worker</w:t>
      </w:r>
      <w:r w:rsidR="28D89156">
        <w:rPr/>
        <w:t>, Carla becomes enraged and stabs Jamie with a knife</w:t>
      </w:r>
      <w:r w:rsidR="565076F8">
        <w:rPr/>
        <w:t>; this would qualify as a trigger for anger</w:t>
      </w:r>
      <w:r w:rsidR="6116E023">
        <w:rPr/>
        <w:t xml:space="preserve"> </w:t>
      </w:r>
      <w:r w:rsidR="0D0EA1EB">
        <w:rPr/>
        <w:t xml:space="preserve">as </w:t>
      </w:r>
      <w:r w:rsidR="54D0531D">
        <w:rPr/>
        <w:t xml:space="preserve">it should be considered </w:t>
      </w:r>
      <w:r w:rsidR="01346FEF">
        <w:rPr/>
        <w:t xml:space="preserve">to be an act of being seriously wrongs </w:t>
      </w:r>
      <w:r w:rsidR="6116E023">
        <w:rPr/>
        <w:t xml:space="preserve">and </w:t>
      </w:r>
      <w:r w:rsidR="65A98C52">
        <w:rPr/>
        <w:t>could cause someone to</w:t>
      </w:r>
      <w:r w:rsidR="6116E023">
        <w:rPr/>
        <w:t xml:space="preserve"> </w:t>
      </w:r>
      <w:r w:rsidR="0C819939">
        <w:rPr/>
        <w:t>lose their self-</w:t>
      </w:r>
      <w:r w:rsidR="6116E023">
        <w:rPr/>
        <w:t>control</w:t>
      </w:r>
      <w:r w:rsidR="4BB3871C">
        <w:rPr/>
        <w:t xml:space="preserve"> in a fit of rage</w:t>
      </w:r>
      <w:r w:rsidR="565076F8">
        <w:rPr/>
        <w:t>.</w:t>
      </w:r>
      <w:r w:rsidR="1DD919DF">
        <w:rPr/>
        <w:t xml:space="preserve"> At first, </w:t>
      </w:r>
      <w:bookmarkStart w:name="_Int_oweAE9xN" w:id="722455208"/>
      <w:r w:rsidR="1DD919DF">
        <w:rPr/>
        <w:t>it would seem that this</w:t>
      </w:r>
      <w:bookmarkEnd w:id="722455208"/>
      <w:r w:rsidR="1DD919DF">
        <w:rPr/>
        <w:t xml:space="preserve"> defence would be applicable in Carla trial. However, </w:t>
      </w:r>
      <w:r w:rsidR="26225BB9">
        <w:rPr/>
        <w:t xml:space="preserve">according to </w:t>
      </w:r>
      <w:r w:rsidRPr="4E1A6E70" w:rsidR="71103B90">
        <w:rPr>
          <w:rFonts w:ascii="Calibri" w:hAnsi="Calibri" w:eastAsia="Calibri" w:cs="Calibri"/>
          <w:noProof w:val="0"/>
          <w:sz w:val="22"/>
          <w:szCs w:val="22"/>
          <w:lang w:val="en-GB"/>
        </w:rPr>
        <w:t>Parsons</w:t>
      </w:r>
      <w:r w:rsidR="71103B90">
        <w:rPr/>
        <w:t xml:space="preserve"> (2015), </w:t>
      </w:r>
      <w:r w:rsidR="1DD919DF">
        <w:rPr/>
        <w:t xml:space="preserve">the defence </w:t>
      </w:r>
      <w:r w:rsidR="46CFE920">
        <w:rPr/>
        <w:t>“</w:t>
      </w:r>
      <w:r w:rsidR="1DD919DF">
        <w:rPr/>
        <w:t>loss of control</w:t>
      </w:r>
      <w:r w:rsidR="0B57D7D9">
        <w:rPr/>
        <w:t xml:space="preserve">” is only applicable in murder cases and </w:t>
      </w:r>
      <w:r w:rsidR="28761270">
        <w:rPr/>
        <w:t>since Jamie survived the stab to the chest, the defence would not be available for use.</w:t>
      </w:r>
      <w:r w:rsidR="05F30725">
        <w:rPr/>
        <w:t xml:space="preserve"> The next defence that Carla could use at her trial </w:t>
      </w:r>
      <w:r w:rsidR="16F15CF2">
        <w:rPr/>
        <w:t xml:space="preserve">is </w:t>
      </w:r>
      <w:r w:rsidR="03EE86D4">
        <w:rPr/>
        <w:t xml:space="preserve">diminished responsibility which </w:t>
      </w:r>
      <w:r w:rsidR="31B00EED">
        <w:rPr/>
        <w:t>is written under chapter 11 of the (Homicide Act 1957). It is defined</w:t>
      </w:r>
      <w:r w:rsidR="3816A551">
        <w:rPr/>
        <w:t xml:space="preserve"> “who kills or is a party to the killing of another is not to be convicted of murder if D was suffering from an abnormality of mental functioning” (H</w:t>
      </w:r>
      <w:r w:rsidR="03048529">
        <w:rPr/>
        <w:t>o</w:t>
      </w:r>
      <w:r w:rsidR="3816A551">
        <w:rPr/>
        <w:t>mic</w:t>
      </w:r>
      <w:r w:rsidR="63DD6252">
        <w:rPr/>
        <w:t xml:space="preserve">ide Act 1957). The scenario question </w:t>
      </w:r>
      <w:r w:rsidR="63DD6252">
        <w:rPr/>
        <w:t>states</w:t>
      </w:r>
      <w:r w:rsidR="63DD6252">
        <w:rPr/>
        <w:t xml:space="preserve"> that </w:t>
      </w:r>
      <w:r w:rsidR="0E4C4BE9">
        <w:rPr/>
        <w:t>Carla and Jamie have been having marital problems for quite a long time, which may have caused a mental disorder, such as depression</w:t>
      </w:r>
      <w:r w:rsidR="6D9EBE81">
        <w:rPr/>
        <w:t xml:space="preserve">; meeting the requirements of an abnormality of the mind. However, just like the last defence, this defence is only applicable </w:t>
      </w:r>
      <w:r w:rsidR="371BF18C">
        <w:rPr/>
        <w:t xml:space="preserve">in murder trials, </w:t>
      </w:r>
      <w:bookmarkStart w:name="_Int_khBRZJrG" w:id="1965000519"/>
      <w:r w:rsidR="371BF18C">
        <w:rPr/>
        <w:t>in order to</w:t>
      </w:r>
      <w:bookmarkEnd w:id="1965000519"/>
      <w:r w:rsidR="371BF18C">
        <w:rPr/>
        <w:t xml:space="preserve"> </w:t>
      </w:r>
      <w:r w:rsidR="07B36539">
        <w:rPr/>
        <w:t>lower the murder conviction down to manslaughter</w:t>
      </w:r>
      <w:r w:rsidR="56A0B0C8">
        <w:rPr/>
        <w:t xml:space="preserve"> </w:t>
      </w:r>
      <w:r w:rsidR="56A0B0C8">
        <w:rPr/>
        <w:t>(Cambridge University Press, 2014)</w:t>
      </w:r>
      <w:r w:rsidR="1FFAA90D">
        <w:rPr/>
        <w:t>.</w:t>
      </w:r>
      <w:r w:rsidR="1FF8341C">
        <w:rPr/>
        <w:t xml:space="preserve"> </w:t>
      </w:r>
    </w:p>
    <w:p w:rsidR="6025F5A1" w:rsidP="4E1A6E70" w:rsidRDefault="6025F5A1" w14:paraId="5B4727F3" w14:textId="4B3094A4">
      <w:pPr>
        <w:pStyle w:val="Normal"/>
        <w:spacing w:line="276" w:lineRule="auto"/>
      </w:pPr>
    </w:p>
    <w:p w:rsidR="73D6726A" w:rsidP="4E1A6E70" w:rsidRDefault="73D6726A" w14:paraId="5F0F6980" w14:textId="5A51EAC3">
      <w:pPr>
        <w:pStyle w:val="Normal"/>
        <w:spacing w:line="360" w:lineRule="auto"/>
      </w:pPr>
      <w:r w:rsidR="52708335">
        <w:rPr/>
        <w:t>To finish off, to connect</w:t>
      </w:r>
      <w:r w:rsidR="2BE0918C">
        <w:rPr/>
        <w:t xml:space="preserve"> the scenario question to</w:t>
      </w:r>
      <w:r w:rsidR="52708335">
        <w:rPr/>
        <w:t xml:space="preserve"> everything that has been discussed in the </w:t>
      </w:r>
      <w:r w:rsidR="52708335">
        <w:rPr/>
        <w:t>previous</w:t>
      </w:r>
      <w:r w:rsidR="52708335">
        <w:rPr/>
        <w:t xml:space="preserve"> paragr</w:t>
      </w:r>
      <w:r w:rsidR="2579FB28">
        <w:rPr/>
        <w:t>aphs</w:t>
      </w:r>
      <w:r w:rsidR="0DCDEBE7">
        <w:rPr/>
        <w:t>.</w:t>
      </w:r>
      <w:r w:rsidR="19D11AE2">
        <w:rPr/>
        <w:t xml:space="preserve"> Firstly, </w:t>
      </w:r>
      <w:r w:rsidR="13EEB6A0">
        <w:rPr/>
        <w:t xml:space="preserve">the </w:t>
      </w:r>
      <w:r w:rsidR="05BB9413">
        <w:rPr/>
        <w:t>crime that</w:t>
      </w:r>
      <w:r w:rsidR="6A331F25">
        <w:rPr/>
        <w:t xml:space="preserve"> Carla should be criminally liable for is </w:t>
      </w:r>
      <w:r w:rsidR="6A331F25">
        <w:rPr/>
        <w:t>attempted</w:t>
      </w:r>
      <w:r w:rsidR="6A331F25">
        <w:rPr/>
        <w:t xml:space="preserve"> murder</w:t>
      </w:r>
      <w:r w:rsidR="08A8201C">
        <w:rPr/>
        <w:t xml:space="preserve">, is under C. 47 of the </w:t>
      </w:r>
      <w:r w:rsidR="19D24B1E">
        <w:rPr/>
        <w:t>(Criminal Attempts Act 1981)</w:t>
      </w:r>
      <w:r w:rsidR="6A331F25">
        <w:rPr/>
        <w:t xml:space="preserve">. She meets the </w:t>
      </w:r>
      <w:r w:rsidR="11AE7A0B">
        <w:rPr/>
        <w:t xml:space="preserve">actus reus </w:t>
      </w:r>
      <w:r w:rsidR="6A331F25">
        <w:rPr/>
        <w:t xml:space="preserve">elements of attempted murder as </w:t>
      </w:r>
      <w:r w:rsidR="5C557CC6">
        <w:rPr/>
        <w:t>she</w:t>
      </w:r>
      <w:r w:rsidR="64B7F1FD">
        <w:rPr/>
        <w:t xml:space="preserve"> advanced past the preparatory stages of attempt, which is seen when she prepares for the offence by grabbing the knife and then </w:t>
      </w:r>
      <w:r w:rsidR="64B7F1FD">
        <w:rPr/>
        <w:t>proc</w:t>
      </w:r>
      <w:r w:rsidR="5C9C59E2">
        <w:rPr/>
        <w:t>eeds</w:t>
      </w:r>
      <w:r w:rsidR="5C9C59E2">
        <w:rPr/>
        <w:t xml:space="preserve"> to stab Jamie in his chest. Secondly, </w:t>
      </w:r>
      <w:r w:rsidR="091826A8">
        <w:rPr/>
        <w:t>the men’s rea for attempted murder would be direct intentions. T</w:t>
      </w:r>
      <w:r w:rsidR="5C9C59E2">
        <w:rPr/>
        <w:t xml:space="preserve">he Jury of the court would have to decide on whether a </w:t>
      </w:r>
      <w:r w:rsidR="360C6839">
        <w:rPr/>
        <w:t xml:space="preserve">reasonable person would appreciate that a </w:t>
      </w:r>
      <w:r w:rsidR="5C9C59E2">
        <w:rPr/>
        <w:t xml:space="preserve">stab wound </w:t>
      </w:r>
      <w:r w:rsidR="4ED9FCA9">
        <w:rPr/>
        <w:t>to the chest could kill another person</w:t>
      </w:r>
      <w:r w:rsidR="02B19044">
        <w:rPr/>
        <w:t xml:space="preserve"> (Lexis, 2024).</w:t>
      </w:r>
      <w:r w:rsidR="4ED9FCA9">
        <w:rPr/>
        <w:t xml:space="preserve"> </w:t>
      </w:r>
      <w:r w:rsidR="3B741133">
        <w:rPr/>
        <w:t xml:space="preserve">Since the scenario question does not outline any serious mental disorders or lack of intelligence, Carla </w:t>
      </w:r>
      <w:r w:rsidR="2038E182">
        <w:rPr/>
        <w:t xml:space="preserve">would qualify as a reasonable person and </w:t>
      </w:r>
      <w:r w:rsidR="3B741133">
        <w:rPr/>
        <w:t xml:space="preserve">should </w:t>
      </w:r>
      <w:r w:rsidR="4A65085C">
        <w:rPr/>
        <w:t xml:space="preserve">have appreciated that stabbing Jamie in the chest </w:t>
      </w:r>
      <w:r w:rsidR="3684A7BD">
        <w:rPr/>
        <w:t>had</w:t>
      </w:r>
      <w:r w:rsidR="4A65085C">
        <w:rPr/>
        <w:t xml:space="preserve"> </w:t>
      </w:r>
      <w:r w:rsidR="4A65085C">
        <w:rPr/>
        <w:t>the risk of killing him.</w:t>
      </w:r>
      <w:r w:rsidR="7990A088">
        <w:rPr/>
        <w:t xml:space="preserve"> </w:t>
      </w:r>
      <w:r w:rsidR="643A6BAD">
        <w:rPr/>
        <w:t xml:space="preserve">The scenario question </w:t>
      </w:r>
      <w:r w:rsidR="171C1581">
        <w:rPr/>
        <w:t xml:space="preserve">exposes that Jamie had an affair, leading to Carla </w:t>
      </w:r>
      <w:r w:rsidR="7CD51E7D">
        <w:rPr/>
        <w:t xml:space="preserve">emotional state </w:t>
      </w:r>
      <w:r w:rsidR="171C1581">
        <w:rPr/>
        <w:t>becoming angered and stricken with sad</w:t>
      </w:r>
      <w:r w:rsidR="1307B25B">
        <w:rPr/>
        <w:t>ness</w:t>
      </w:r>
      <w:r w:rsidR="00B9D4B1">
        <w:rPr/>
        <w:t xml:space="preserve">. </w:t>
      </w:r>
      <w:r w:rsidR="643A6BAD">
        <w:rPr/>
        <w:t xml:space="preserve">The defences that are could </w:t>
      </w:r>
      <w:r w:rsidR="038C5690">
        <w:rPr/>
        <w:t>potentially</w:t>
      </w:r>
      <w:r w:rsidR="643A6BAD">
        <w:rPr/>
        <w:t xml:space="preserve"> be available to</w:t>
      </w:r>
      <w:r w:rsidR="68D1E7FC">
        <w:rPr/>
        <w:t xml:space="preserve"> Carla</w:t>
      </w:r>
      <w:r w:rsidR="415C67F1">
        <w:rPr/>
        <w:t>, due to her mental state at the time and due to years of martial problems,</w:t>
      </w:r>
      <w:r w:rsidR="68D1E7FC">
        <w:rPr/>
        <w:t xml:space="preserve"> </w:t>
      </w:r>
      <w:r w:rsidR="68D1E7FC">
        <w:rPr/>
        <w:t>are not applicable to her</w:t>
      </w:r>
      <w:r w:rsidR="1465DFE4">
        <w:rPr/>
        <w:t xml:space="preserve"> trial. This is </w:t>
      </w:r>
      <w:r w:rsidR="1465DFE4">
        <w:rPr/>
        <w:t>consequently</w:t>
      </w:r>
      <w:r w:rsidR="1465DFE4">
        <w:rPr/>
        <w:t xml:space="preserve"> </w:t>
      </w:r>
      <w:bookmarkStart w:name="_Int_wzWji31q" w:id="1614400680"/>
      <w:r w:rsidR="1465DFE4">
        <w:rPr/>
        <w:t>due to t</w:t>
      </w:r>
      <w:bookmarkStart w:name="_Int_7P8nodde" w:id="560483397"/>
      <w:r w:rsidR="68D1E7FC">
        <w:rPr/>
        <w:t>he fact that</w:t>
      </w:r>
      <w:bookmarkEnd w:id="560483397"/>
      <w:bookmarkEnd w:id="1614400680"/>
      <w:r w:rsidR="68D1E7FC">
        <w:rPr/>
        <w:t xml:space="preserve"> the defences </w:t>
      </w:r>
      <w:r w:rsidR="46B90CEB">
        <w:rPr/>
        <w:t>(</w:t>
      </w:r>
      <w:r w:rsidR="68D1E7FC">
        <w:rPr/>
        <w:t xml:space="preserve">loss of control and diminished </w:t>
      </w:r>
      <w:r w:rsidR="5B1D9FAC">
        <w:rPr/>
        <w:t>responsibility</w:t>
      </w:r>
      <w:r w:rsidR="711F4E73">
        <w:rPr/>
        <w:t>)</w:t>
      </w:r>
      <w:r w:rsidR="68D1E7FC">
        <w:rPr/>
        <w:t xml:space="preserve"> </w:t>
      </w:r>
      <w:r w:rsidR="5906D5CB">
        <w:rPr/>
        <w:t>are only applicable in trials of murder.</w:t>
      </w:r>
      <w:r w:rsidR="73425974">
        <w:rPr/>
        <w:t xml:space="preserve"> Due to Carla </w:t>
      </w:r>
      <w:r w:rsidR="383F9BF0">
        <w:rPr/>
        <w:t xml:space="preserve">direct intentions of grabbing a knife, stabbing Jamie in the chest, Jamie surviving the attack with </w:t>
      </w:r>
      <w:r w:rsidR="76E48121">
        <w:rPr/>
        <w:t>serious</w:t>
      </w:r>
      <w:r w:rsidR="383F9BF0">
        <w:rPr/>
        <w:t xml:space="preserve"> injuries, and the lack of defences </w:t>
      </w:r>
      <w:r w:rsidR="26BC97DB">
        <w:rPr/>
        <w:t>available; Carla would be criminally liable for attempted murder with direct intentions.</w:t>
      </w:r>
    </w:p>
    <w:p w:rsidR="67D79859" w:rsidRDefault="67D79859" w14:paraId="039B5F81" w14:textId="79A76A02">
      <w:r>
        <w:br w:type="page"/>
      </w:r>
    </w:p>
    <w:p w:rsidR="73D6726A" w:rsidP="4E1A6E70" w:rsidRDefault="73D6726A" w14:paraId="12BB4F70" w14:textId="7A6CDD9D">
      <w:pPr>
        <w:pStyle w:val="Normal"/>
        <w:spacing w:line="276" w:lineRule="auto"/>
      </w:pPr>
    </w:p>
    <w:p w:rsidR="73D6726A" w:rsidP="4E1A6E70" w:rsidRDefault="73D6726A" w14:paraId="15DE8EE8" w14:textId="05ED9B2E">
      <w:pPr>
        <w:pStyle w:val="Normal"/>
        <w:spacing w:line="276" w:lineRule="auto"/>
      </w:pPr>
      <w:r w:rsidR="68984C9A">
        <w:rPr/>
        <w:t>Case Law</w:t>
      </w:r>
    </w:p>
    <w:p w:rsidR="6B7FCCB7" w:rsidP="4E1A6E70" w:rsidRDefault="6B7FCCB7" w14:paraId="3BD0EF53" w14:textId="5C102AFD">
      <w:pPr>
        <w:pStyle w:val="Normal"/>
        <w:spacing w:line="276" w:lineRule="auto"/>
      </w:pPr>
      <w:r w:rsidR="6B7FCCB7">
        <w:rPr/>
        <w:t>JJC (A Minor) v Eisenhower [1983] 3 WLR 537</w:t>
      </w:r>
    </w:p>
    <w:p w:rsidR="7DFD6ADE" w:rsidP="4E1A6E70" w:rsidRDefault="7DFD6ADE" w14:paraId="271FEFAF" w14:textId="134F8402">
      <w:pPr>
        <w:pStyle w:val="Normal"/>
        <w:spacing w:line="276" w:lineRule="auto"/>
      </w:pPr>
      <w:r w:rsidR="7DFD6ADE">
        <w:rPr/>
        <w:t>R v Mc Geough [2015] All ER (D) 180</w:t>
      </w:r>
    </w:p>
    <w:p w:rsidR="79D87203" w:rsidP="4E1A6E70" w:rsidRDefault="79D87203" w14:paraId="30EA7749" w14:textId="0AE6EA92">
      <w:pPr>
        <w:pStyle w:val="Normal"/>
        <w:spacing w:line="276" w:lineRule="auto"/>
      </w:pPr>
      <w:r w:rsidR="79D87203">
        <w:rPr/>
        <w:t>R v Nedrick [1986] 1 WLR 1025</w:t>
      </w:r>
    </w:p>
    <w:p w:rsidR="4E1A6E70" w:rsidP="4E1A6E70" w:rsidRDefault="4E1A6E70" w14:paraId="328BA621" w14:textId="5AD48232">
      <w:pPr>
        <w:pStyle w:val="Normal"/>
        <w:spacing w:line="276" w:lineRule="auto"/>
      </w:pPr>
    </w:p>
    <w:p w:rsidR="2CB98F96" w:rsidP="73D6726A" w:rsidRDefault="2CB98F96" w14:paraId="6CD60FDC" w14:textId="18C3FB73">
      <w:pPr>
        <w:pStyle w:val="Normal"/>
      </w:pPr>
      <w:r w:rsidR="2CB98F96">
        <w:rPr/>
        <w:t>Reference list</w:t>
      </w:r>
    </w:p>
    <w:p w:rsidR="65281F40" w:rsidP="4E1A6E70" w:rsidRDefault="65281F40" w14:paraId="4B4C5B71" w14:textId="07F7E878">
      <w:pPr>
        <w:pStyle w:val="Normal"/>
        <w:suppressLineNumbers w:val="0"/>
        <w:bidi w:val="0"/>
        <w:ind w:left="360" w:right="-20" w:hanging="380"/>
        <w:jc w:val="left"/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</w:pPr>
      <w:r w:rsidRPr="4E1A6E70" w:rsidR="65281F40">
        <w:rPr>
          <w:i w:val="0"/>
          <w:iCs w:val="0"/>
        </w:rPr>
        <w:t xml:space="preserve">Cambridge University Press (2014) </w:t>
      </w:r>
      <w:r w:rsidRPr="4E1A6E70" w:rsidR="65281F40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Crime, Reason and History: A Critical Introduction to Criminal Law.</w:t>
      </w:r>
      <w:r w:rsidRPr="4E1A6E70" w:rsidR="572A22E3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4E1A6E70" w:rsidR="6A811167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Cambridge:  Cambridge University Press.</w:t>
      </w:r>
      <w:r w:rsidRPr="4E1A6E70" w:rsidR="503A1A64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4E1A6E70" w:rsidR="503A1A64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p.237-273</w:t>
      </w:r>
      <w:r w:rsidRPr="4E1A6E70" w:rsidR="503A1A64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  <w:t>.</w:t>
      </w:r>
      <w:r w:rsidRPr="4E1A6E70" w:rsidR="6A811167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 Available at: </w:t>
      </w:r>
      <w:hyperlink r:id="R7728c70d7d57461e">
        <w:r w:rsidRPr="4E1A6E70" w:rsidR="6A811167">
          <w:rPr>
            <w:rStyle w:val="Hyperlink"/>
            <w:rFonts w:ascii="Calibri" w:hAnsi="Calibri" w:eastAsia="Calibri" w:cs="Calibri"/>
            <w:i w:val="0"/>
            <w:iCs w:val="0"/>
            <w:noProof w:val="0"/>
            <w:sz w:val="22"/>
            <w:szCs w:val="22"/>
            <w:lang w:val="en-GB"/>
          </w:rPr>
          <w:t>https://www.cambridge.org/core/books/crime-reason-and</w:t>
        </w:r>
        <w:r w:rsidRPr="4E1A6E70" w:rsidR="4076D674">
          <w:rPr>
            <w:rStyle w:val="Hyperlink"/>
            <w:rFonts w:ascii="Calibri" w:hAnsi="Calibri" w:eastAsia="Calibri" w:cs="Calibri"/>
            <w:i w:val="0"/>
            <w:iCs w:val="0"/>
            <w:noProof w:val="0"/>
            <w:sz w:val="22"/>
            <w:szCs w:val="22"/>
            <w:lang w:val="en-GB"/>
          </w:rPr>
          <w:t xml:space="preserve"> </w:t>
        </w:r>
        <w:r w:rsidRPr="4E1A6E70" w:rsidR="6A811167">
          <w:rPr>
            <w:rStyle w:val="Hyperlink"/>
            <w:rFonts w:ascii="Calibri" w:hAnsi="Calibri" w:eastAsia="Calibri" w:cs="Calibri"/>
            <w:i w:val="0"/>
            <w:iCs w:val="0"/>
            <w:noProof w:val="0"/>
            <w:sz w:val="22"/>
            <w:szCs w:val="22"/>
            <w:lang w:val="en-GB"/>
          </w:rPr>
          <w:t>history/58E0E135465FCCDA979103F95E8884DB</w:t>
        </w:r>
      </w:hyperlink>
      <w:r w:rsidRPr="4E1A6E70" w:rsidR="5F6A5FF1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4E1A6E70" w:rsidR="12ADFA0C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(Accessed: 8</w:t>
      </w:r>
      <w:r w:rsidRPr="4E1A6E70" w:rsidR="12ADFA0C">
        <w:rPr>
          <w:rFonts w:ascii="Calibri" w:hAnsi="Calibri" w:eastAsia="Calibri" w:cs="Calibri"/>
          <w:i w:val="0"/>
          <w:iCs w:val="0"/>
          <w:noProof w:val="0"/>
          <w:sz w:val="22"/>
          <w:szCs w:val="22"/>
          <w:vertAlign w:val="superscript"/>
          <w:lang w:val="en-GB"/>
        </w:rPr>
        <w:t>th</w:t>
      </w:r>
      <w:r w:rsidRPr="4E1A6E70" w:rsidR="12ADFA0C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 January 2024)</w:t>
      </w:r>
    </w:p>
    <w:p w:rsidR="6763E356" w:rsidP="4E1A6E70" w:rsidRDefault="6763E356" w14:paraId="53BD6441" w14:textId="270236CF">
      <w:pPr>
        <w:pStyle w:val="Normal"/>
        <w:suppressLineNumbers w:val="0"/>
        <w:bidi w:val="0"/>
        <w:spacing w:before="0" w:beforeAutospacing="off" w:after="120" w:afterAutospacing="off" w:line="240" w:lineRule="auto"/>
        <w:ind w:left="360" w:right="0" w:hanging="360"/>
        <w:jc w:val="left"/>
      </w:pPr>
      <w:r w:rsidRPr="4E1A6E70" w:rsidR="6763E356">
        <w:rPr>
          <w:i w:val="1"/>
          <w:iCs w:val="1"/>
        </w:rPr>
        <w:t>Coroners and Justice Act 2009</w:t>
      </w:r>
      <w:r w:rsidR="6763E356">
        <w:rPr/>
        <w:t>.</w:t>
      </w:r>
      <w:r w:rsidRPr="4E1A6E70" w:rsidR="6763E356">
        <w:rPr>
          <w:i w:val="1"/>
          <w:iCs w:val="1"/>
        </w:rPr>
        <w:t xml:space="preserve"> C. 25</w:t>
      </w:r>
      <w:r w:rsidR="762E7A39">
        <w:rPr/>
        <w:t xml:space="preserve">, Legislation.gov.uk, </w:t>
      </w:r>
      <w:hyperlink r:id="R5a95d51595d04165">
        <w:r w:rsidRPr="4E1A6E70" w:rsidR="762E7A39">
          <w:rPr>
            <w:rStyle w:val="Hyperlink"/>
          </w:rPr>
          <w:t>https://www.legislation.gov.uk/ukpga/2009/25/part/2/chapter/1/crossheading/partial-defence-to-murder-loss-of-control</w:t>
        </w:r>
      </w:hyperlink>
      <w:r w:rsidR="762E7A39">
        <w:rPr/>
        <w:t xml:space="preserve"> (A</w:t>
      </w:r>
      <w:r w:rsidR="2608C888">
        <w:rPr/>
        <w:t>ccessed: 7</w:t>
      </w:r>
      <w:r w:rsidRPr="4E1A6E70" w:rsidR="2608C888">
        <w:rPr>
          <w:vertAlign w:val="superscript"/>
        </w:rPr>
        <w:t>th</w:t>
      </w:r>
      <w:r w:rsidR="2608C888">
        <w:rPr/>
        <w:t xml:space="preserve"> January 2024)</w:t>
      </w:r>
    </w:p>
    <w:p w:rsidR="6D3D4A54" w:rsidP="4E1A6E70" w:rsidRDefault="6D3D4A54" w14:paraId="1D6C675E" w14:textId="12F37FED">
      <w:pPr>
        <w:pStyle w:val="Normal"/>
        <w:suppressLineNumbers w:val="0"/>
        <w:bidi w:val="0"/>
        <w:spacing w:before="0" w:beforeAutospacing="off" w:after="120" w:afterAutospacing="off" w:line="240" w:lineRule="auto"/>
        <w:ind w:left="360" w:right="0" w:hanging="360"/>
        <w:jc w:val="left"/>
        <w:rPr>
          <w:i w:val="0"/>
          <w:iCs w:val="0"/>
        </w:rPr>
      </w:pPr>
      <w:r w:rsidR="6D3D4A54">
        <w:rPr/>
        <w:t xml:space="preserve">CPS (2022) </w:t>
      </w:r>
      <w:r w:rsidRPr="4E1A6E70" w:rsidR="6D3D4A54">
        <w:rPr>
          <w:i w:val="1"/>
          <w:iCs w:val="1"/>
        </w:rPr>
        <w:t>Offences against the Person, incorporating the Charging Standard</w:t>
      </w:r>
      <w:r w:rsidRPr="4E1A6E70" w:rsidR="6D3D4A54">
        <w:rPr>
          <w:i w:val="0"/>
          <w:iCs w:val="0"/>
        </w:rPr>
        <w:t xml:space="preserve">. Available at: </w:t>
      </w:r>
      <w:hyperlink w:anchor=":~:text=A%20%22wound%22%20means%20a%20break,a%20small%20cut%20or%20laceration" r:id="R01c2af582ebe4418">
        <w:r w:rsidRPr="4E1A6E70" w:rsidR="6D3D4A54">
          <w:rPr>
            <w:rStyle w:val="Hyperlink"/>
            <w:i w:val="0"/>
            <w:iCs w:val="0"/>
          </w:rPr>
          <w:t>https://www.cps.gov.uk/legal-guidance/offences-against-person-incorporating-charging-standard#:~:text=A%20%22wound%22%20means%20a%20break,a%20small%20cut%20or%20laceration</w:t>
        </w:r>
      </w:hyperlink>
      <w:r w:rsidRPr="4E1A6E70" w:rsidR="6D3D4A54">
        <w:rPr>
          <w:i w:val="0"/>
          <w:iCs w:val="0"/>
        </w:rPr>
        <w:t>. (A</w:t>
      </w:r>
      <w:r w:rsidRPr="4E1A6E70" w:rsidR="7B343C28">
        <w:rPr>
          <w:i w:val="0"/>
          <w:iCs w:val="0"/>
        </w:rPr>
        <w:t>cc</w:t>
      </w:r>
      <w:r w:rsidRPr="4E1A6E70" w:rsidR="6D3D4A54">
        <w:rPr>
          <w:i w:val="0"/>
          <w:iCs w:val="0"/>
        </w:rPr>
        <w:t>essed: 7</w:t>
      </w:r>
      <w:r w:rsidRPr="4E1A6E70" w:rsidR="6D3D4A54">
        <w:rPr>
          <w:i w:val="0"/>
          <w:iCs w:val="0"/>
          <w:vertAlign w:val="superscript"/>
        </w:rPr>
        <w:t>th</w:t>
      </w:r>
      <w:r w:rsidRPr="4E1A6E70" w:rsidR="6D3D4A54">
        <w:rPr>
          <w:i w:val="0"/>
          <w:iCs w:val="0"/>
        </w:rPr>
        <w:t xml:space="preserve"> January 2024)</w:t>
      </w:r>
    </w:p>
    <w:p w:rsidR="73D6726A" w:rsidP="4E1A6E70" w:rsidRDefault="73D6726A" w14:paraId="61688719" w14:textId="47B815E5">
      <w:pPr>
        <w:pStyle w:val="Normal"/>
        <w:spacing w:after="120" w:afterAutospacing="off" w:line="240" w:lineRule="auto"/>
        <w:ind w:left="360" w:hanging="360"/>
      </w:pPr>
      <w:r w:rsidRPr="4E1A6E70" w:rsidR="24B1E91B">
        <w:rPr>
          <w:i w:val="1"/>
          <w:iCs w:val="1"/>
        </w:rPr>
        <w:t>Criminal Attempts Act 1981</w:t>
      </w:r>
      <w:r w:rsidRPr="4E1A6E70" w:rsidR="24B1E91B">
        <w:rPr>
          <w:i w:val="1"/>
          <w:iCs w:val="1"/>
        </w:rPr>
        <w:t>. C. 47</w:t>
      </w:r>
      <w:r w:rsidR="24B1E91B">
        <w:rPr/>
        <w:t>, Legislation.gov.uk</w:t>
      </w:r>
      <w:r w:rsidR="1E4B52B7">
        <w:rPr/>
        <w:t xml:space="preserve">, </w:t>
      </w:r>
      <w:hyperlink w:anchor=":~:text=An%20Act%20to%20amend%20the,thieves%3B%20to%20make%20provision%20against" r:id="Rc48ad06ac9d348a7">
        <w:r w:rsidRPr="4E1A6E70" w:rsidR="1E4B52B7">
          <w:rPr>
            <w:rStyle w:val="Hyperlink"/>
          </w:rPr>
          <w:t>https://www.legislation.gov.uk/ukpga/1981/47#:~:text=An%20Act%20to%20amend%20the,thieves%3B%20to%20make%20provision%20against</w:t>
        </w:r>
      </w:hyperlink>
      <w:r w:rsidR="1E4B52B7">
        <w:rPr/>
        <w:t xml:space="preserve"> (Accessed: 4</w:t>
      </w:r>
      <w:r w:rsidRPr="4E1A6E70" w:rsidR="1E4B52B7">
        <w:rPr>
          <w:vertAlign w:val="superscript"/>
        </w:rPr>
        <w:t>th</w:t>
      </w:r>
      <w:r w:rsidR="1E4B52B7">
        <w:rPr/>
        <w:t xml:space="preserve"> January 2024)</w:t>
      </w:r>
    </w:p>
    <w:p w:rsidR="6EC61D91" w:rsidP="4E1A6E70" w:rsidRDefault="6EC61D91" w14:paraId="5C520FC0" w14:textId="58A96B79">
      <w:pPr>
        <w:pStyle w:val="Normal"/>
        <w:spacing w:after="120" w:afterAutospacing="off" w:line="240" w:lineRule="auto"/>
        <w:ind w:left="360" w:hanging="360"/>
      </w:pPr>
      <w:r w:rsidRPr="4E1A6E70" w:rsidR="6EC61D91">
        <w:rPr>
          <w:i w:val="1"/>
          <w:iCs w:val="1"/>
        </w:rPr>
        <w:t>Explanatory Notes to the Coroners and Justice Act 2009. C.</w:t>
      </w:r>
      <w:r w:rsidRPr="4E1A6E70" w:rsidR="4E18902A">
        <w:rPr>
          <w:i w:val="1"/>
          <w:iCs w:val="1"/>
        </w:rPr>
        <w:t xml:space="preserve"> 25</w:t>
      </w:r>
      <w:r w:rsidRPr="4E1A6E70" w:rsidR="33D19927">
        <w:rPr>
          <w:i w:val="0"/>
          <w:iCs w:val="0"/>
        </w:rPr>
        <w:t xml:space="preserve">, Legislation.gov.uk, </w:t>
      </w:r>
      <w:hyperlink r:id="Rfe570535fe7b4a9a">
        <w:r w:rsidRPr="4E1A6E70" w:rsidR="33D19927">
          <w:rPr>
            <w:rStyle w:val="Hyperlink"/>
            <w:i w:val="0"/>
            <w:iCs w:val="0"/>
          </w:rPr>
          <w:t>https://www.legislation.gov.uk/ukpga/2009/25/notes/division/5/1/2/1/4?view=plain</w:t>
        </w:r>
      </w:hyperlink>
      <w:r w:rsidRPr="4E1A6E70" w:rsidR="33D19927">
        <w:rPr>
          <w:i w:val="0"/>
          <w:iCs w:val="0"/>
        </w:rPr>
        <w:t xml:space="preserve"> (Accessed 7</w:t>
      </w:r>
      <w:r w:rsidRPr="4E1A6E70" w:rsidR="33D19927">
        <w:rPr>
          <w:i w:val="0"/>
          <w:iCs w:val="0"/>
          <w:vertAlign w:val="superscript"/>
        </w:rPr>
        <w:t>th</w:t>
      </w:r>
      <w:r w:rsidRPr="4E1A6E70" w:rsidR="33D19927">
        <w:rPr>
          <w:i w:val="0"/>
          <w:iCs w:val="0"/>
        </w:rPr>
        <w:t xml:space="preserve"> January 2024) </w:t>
      </w:r>
    </w:p>
    <w:p w:rsidR="7333742C" w:rsidP="4E1A6E70" w:rsidRDefault="7333742C" w14:paraId="247EE08A" w14:textId="71ADEBE5">
      <w:pPr>
        <w:pStyle w:val="Normal"/>
        <w:spacing w:after="120" w:afterAutospacing="off" w:line="240" w:lineRule="auto"/>
        <w:ind w:left="360" w:hanging="360"/>
      </w:pPr>
      <w:r w:rsidR="7333742C">
        <w:rPr/>
        <w:t>Herring, J. (2022) Criminal law: text, cases, and materials. Tenth edition. Oxford: Oxford University Press.</w:t>
      </w:r>
    </w:p>
    <w:p w:rsidR="7333742C" w:rsidP="4E1A6E70" w:rsidRDefault="7333742C" w14:paraId="2A17B4F8" w14:textId="0D0BF97C">
      <w:pPr>
        <w:pStyle w:val="Normal"/>
        <w:spacing w:after="120" w:afterAutospacing="off" w:line="240" w:lineRule="auto"/>
        <w:ind w:left="360" w:hanging="360"/>
      </w:pPr>
      <w:r w:rsidRPr="4E1A6E70" w:rsidR="7333742C">
        <w:rPr>
          <w:i w:val="1"/>
          <w:iCs w:val="1"/>
        </w:rPr>
        <w:t>Homicide Act 1957. C. 11</w:t>
      </w:r>
      <w:r w:rsidR="7333742C">
        <w:rPr/>
        <w:t xml:space="preserve">, Legislation.gov.uk, </w:t>
      </w:r>
      <w:hyperlink r:id="R6d5a5d10eeb644fa">
        <w:r w:rsidRPr="4E1A6E70" w:rsidR="7333742C">
          <w:rPr>
            <w:rStyle w:val="Hyperlink"/>
          </w:rPr>
          <w:t>https://www.legislation.gov.uk/ukpga/Eliz2/5-6/11/contents</w:t>
        </w:r>
      </w:hyperlink>
      <w:r w:rsidR="7333742C">
        <w:rPr/>
        <w:t xml:space="preserve"> (Accessed: 4</w:t>
      </w:r>
      <w:r w:rsidRPr="4E1A6E70" w:rsidR="7333742C">
        <w:rPr>
          <w:vertAlign w:val="superscript"/>
        </w:rPr>
        <w:t>th</w:t>
      </w:r>
      <w:r w:rsidR="7333742C">
        <w:rPr/>
        <w:t xml:space="preserve"> January 2024)</w:t>
      </w:r>
    </w:p>
    <w:p w:rsidR="7333742C" w:rsidP="4E1A6E70" w:rsidRDefault="7333742C" w14:paraId="23916948" w14:textId="5DA982EC">
      <w:pPr>
        <w:pStyle w:val="Normal"/>
        <w:spacing w:after="120" w:afterAutospacing="off" w:line="240" w:lineRule="auto"/>
        <w:ind w:left="360" w:hanging="360"/>
      </w:pPr>
      <w:r w:rsidR="7333742C">
        <w:rPr/>
        <w:t xml:space="preserve">J. P. C. (1952) ‘Criminal Law—Attempted Murder—Men's Rea’, Cambridge law journal, 11(2), pp. 289–289. Available at: </w:t>
      </w:r>
      <w:hyperlink r:id="R2fb94f4ae75b460b">
        <w:r w:rsidRPr="4E1A6E70" w:rsidR="7333742C">
          <w:rPr>
            <w:rStyle w:val="Hyperlink"/>
          </w:rPr>
          <w:t>https://doi.org/10.1017/S0008197300005341</w:t>
        </w:r>
      </w:hyperlink>
      <w:r w:rsidR="7333742C">
        <w:rPr/>
        <w:t>.</w:t>
      </w:r>
    </w:p>
    <w:p w:rsidR="5FC9B8C3" w:rsidP="4E1A6E70" w:rsidRDefault="5FC9B8C3" w14:paraId="56A621A1" w14:textId="39082EFF">
      <w:pPr>
        <w:pStyle w:val="Normal"/>
        <w:spacing w:after="120" w:afterAutospacing="off" w:line="240" w:lineRule="auto"/>
        <w:rPr>
          <w:i w:val="0"/>
          <w:iCs w:val="0"/>
        </w:rPr>
      </w:pPr>
      <w:r w:rsidR="5FC9B8C3">
        <w:rPr/>
        <w:t xml:space="preserve">Lexis+ UK (2024) </w:t>
      </w:r>
      <w:r w:rsidRPr="4E1A6E70" w:rsidR="5FC9B8C3">
        <w:rPr>
          <w:i w:val="1"/>
          <w:iCs w:val="1"/>
        </w:rPr>
        <w:t>Glanville Williams &amp; Dennis Baker Treatise of Criminal Law.</w:t>
      </w:r>
      <w:r w:rsidRPr="4E1A6E70" w:rsidR="5FC9B8C3">
        <w:rPr>
          <w:i w:val="0"/>
          <w:iCs w:val="0"/>
        </w:rPr>
        <w:t xml:space="preserve"> 5</w:t>
      </w:r>
      <w:r w:rsidRPr="4E1A6E70" w:rsidR="5FC9B8C3">
        <w:rPr>
          <w:i w:val="0"/>
          <w:iCs w:val="0"/>
          <w:vertAlign w:val="superscript"/>
        </w:rPr>
        <w:t>th</w:t>
      </w:r>
      <w:r w:rsidRPr="4E1A6E70" w:rsidR="5FC9B8C3">
        <w:rPr>
          <w:i w:val="0"/>
          <w:iCs w:val="0"/>
        </w:rPr>
        <w:t xml:space="preserve"> </w:t>
      </w:r>
      <w:r w:rsidRPr="4E1A6E70" w:rsidR="5FC9B8C3">
        <w:rPr>
          <w:i w:val="0"/>
          <w:iCs w:val="0"/>
        </w:rPr>
        <w:t>edn</w:t>
      </w:r>
      <w:r w:rsidRPr="4E1A6E70" w:rsidR="5FC9B8C3">
        <w:rPr>
          <w:i w:val="0"/>
          <w:iCs w:val="0"/>
        </w:rPr>
        <w:t>. LNUK.</w:t>
      </w:r>
    </w:p>
    <w:p w:rsidR="75F1F152" w:rsidP="4E1A6E70" w:rsidRDefault="75F1F152" w14:paraId="4C767E9D" w14:textId="0F3D0626">
      <w:pPr>
        <w:pStyle w:val="Normal"/>
        <w:spacing w:after="120" w:afterAutospacing="off" w:line="240" w:lineRule="auto"/>
      </w:pPr>
      <w:r w:rsidR="75F1F152">
        <w:rPr/>
        <w:t>Lexis</w:t>
      </w:r>
      <w:r w:rsidR="51B3B129">
        <w:rPr/>
        <w:t>+ UK</w:t>
      </w:r>
      <w:r w:rsidR="75F1F152">
        <w:rPr/>
        <w:t xml:space="preserve"> (2010) </w:t>
      </w:r>
      <w:r w:rsidRPr="4E1A6E70" w:rsidR="2BD697FC">
        <w:rPr>
          <w:i w:val="1"/>
          <w:iCs w:val="1"/>
        </w:rPr>
        <w:t>Halsbury’s Laws of England</w:t>
      </w:r>
      <w:r w:rsidR="2BD697FC">
        <w:rPr/>
        <w:t>. Butterworths.</w:t>
      </w:r>
    </w:p>
    <w:p w:rsidR="07CA952E" w:rsidP="4E1A6E70" w:rsidRDefault="07CA952E" w14:paraId="3358D5CC" w14:textId="34999B54">
      <w:pPr>
        <w:pStyle w:val="Normal"/>
        <w:spacing w:after="120" w:afterAutospacing="off" w:line="240" w:lineRule="auto"/>
        <w:ind w:left="360" w:hanging="360"/>
      </w:pPr>
      <w:r w:rsidR="07CA952E">
        <w:rPr/>
        <w:t xml:space="preserve">Norrie, A. (2014) </w:t>
      </w:r>
      <w:r w:rsidRPr="4E1A6E70" w:rsidR="07CA952E">
        <w:rPr>
          <w:i w:val="1"/>
          <w:iCs w:val="1"/>
        </w:rPr>
        <w:t>Insanity and diminished responsibility</w:t>
      </w:r>
      <w:r w:rsidR="07CA952E">
        <w:rPr/>
        <w:t xml:space="preserve">. In Crime, Reason and History, pp. 237–273. Available at: </w:t>
      </w:r>
      <w:hyperlink r:id="Rf51d97d03176455e">
        <w:r w:rsidRPr="4E1A6E70" w:rsidR="07CA952E">
          <w:rPr>
            <w:rStyle w:val="Hyperlink"/>
          </w:rPr>
          <w:t>https://doi.org/10.1017/CBO9781139031851.017</w:t>
        </w:r>
      </w:hyperlink>
      <w:r w:rsidR="07CA952E">
        <w:rPr/>
        <w:t xml:space="preserve">. </w:t>
      </w:r>
    </w:p>
    <w:p w:rsidR="73D6726A" w:rsidP="4E1A6E70" w:rsidRDefault="73D6726A" w14:paraId="42BAEDD6" w14:textId="0DED64C3">
      <w:pPr>
        <w:pStyle w:val="Normal"/>
        <w:spacing w:after="120" w:afterAutospacing="off" w:line="240" w:lineRule="auto"/>
        <w:ind w:left="360" w:hanging="360"/>
      </w:pPr>
      <w:r w:rsidRPr="4E1A6E70" w:rsidR="6425B673">
        <w:rPr>
          <w:i w:val="1"/>
          <w:iCs w:val="1"/>
        </w:rPr>
        <w:t>Offences against the Person Act 1861. C.</w:t>
      </w:r>
      <w:r w:rsidRPr="4E1A6E70" w:rsidR="7223B2D0">
        <w:rPr>
          <w:i w:val="1"/>
          <w:iCs w:val="1"/>
        </w:rPr>
        <w:t xml:space="preserve"> 100</w:t>
      </w:r>
      <w:r w:rsidR="7223B2D0">
        <w:rPr/>
        <w:t xml:space="preserve">, Legislation.gov.uk, </w:t>
      </w:r>
      <w:hyperlink r:id="R591659a2e5f14637">
        <w:r w:rsidRPr="4E1A6E70" w:rsidR="7223B2D0">
          <w:rPr>
            <w:rStyle w:val="Hyperlink"/>
          </w:rPr>
          <w:t>https://www.legislation.gov.uk/ukpga/Vict/24-25/100/section/20</w:t>
        </w:r>
      </w:hyperlink>
      <w:r w:rsidR="7223B2D0">
        <w:rPr/>
        <w:t xml:space="preserve"> (Accessed 4</w:t>
      </w:r>
      <w:r w:rsidRPr="4E1A6E70" w:rsidR="7223B2D0">
        <w:rPr>
          <w:vertAlign w:val="superscript"/>
        </w:rPr>
        <w:t>th</w:t>
      </w:r>
      <w:r w:rsidR="7223B2D0">
        <w:rPr/>
        <w:t xml:space="preserve"> January 2024)</w:t>
      </w:r>
    </w:p>
    <w:p w:rsidR="0574CE52" w:rsidP="4E1A6E70" w:rsidRDefault="0574CE52" w14:paraId="35F68133" w14:textId="47391BD1">
      <w:pPr>
        <w:ind w:left="360" w:right="-20" w:hanging="380"/>
      </w:pPr>
      <w:r w:rsidRPr="4E1A6E70" w:rsidR="0574CE5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Parsons, S. (2015) </w:t>
      </w:r>
      <w:r w:rsidRPr="4E1A6E70" w:rsidR="0574CE52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The Loss of Control Defence—Fit for Purpose?</w:t>
      </w:r>
      <w:r w:rsidRPr="4E1A6E70" w:rsidR="0574CE5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Journal of criminal law (Hertford), 79(2), pp. 94–101. Available at: </w:t>
      </w:r>
      <w:hyperlink r:id="R04d96ff606554ec7">
        <w:r w:rsidRPr="4E1A6E70" w:rsidR="0574CE52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https://doi.org/10.1177/0022018315574819</w:t>
        </w:r>
      </w:hyperlink>
      <w:r w:rsidRPr="4E1A6E70" w:rsidR="0574CE52">
        <w:rPr>
          <w:rFonts w:ascii="Calibri" w:hAnsi="Calibri" w:eastAsia="Calibri" w:cs="Calibri"/>
          <w:noProof w:val="0"/>
          <w:sz w:val="22"/>
          <w:szCs w:val="22"/>
          <w:lang w:val="en-GB"/>
        </w:rPr>
        <w:t>.</w:t>
      </w:r>
    </w:p>
    <w:p w:rsidR="2CB98F96" w:rsidP="4E1A6E70" w:rsidRDefault="2CB98F96" w14:paraId="699FD2F3" w14:textId="2EEDCF39">
      <w:pPr>
        <w:pStyle w:val="Normal"/>
        <w:spacing w:after="120" w:afterAutospacing="off" w:line="240" w:lineRule="auto"/>
        <w:ind w:left="360" w:hanging="360"/>
      </w:pPr>
      <w:r w:rsidR="7191D948">
        <w:rPr/>
        <w:t xml:space="preserve">Storey, T. (2014) </w:t>
      </w:r>
      <w:r w:rsidRPr="4E1A6E70" w:rsidR="7191D948">
        <w:rPr>
          <w:i w:val="1"/>
          <w:iCs w:val="1"/>
        </w:rPr>
        <w:t xml:space="preserve">Transferred Malice, Joint </w:t>
      </w:r>
      <w:bookmarkStart w:name="_Int_eR5y9OVv" w:id="1886044532"/>
      <w:r w:rsidRPr="4E1A6E70" w:rsidR="7191D948">
        <w:rPr>
          <w:i w:val="1"/>
          <w:iCs w:val="1"/>
        </w:rPr>
        <w:t>Enterprise</w:t>
      </w:r>
      <w:bookmarkEnd w:id="1886044532"/>
      <w:r w:rsidRPr="4E1A6E70" w:rsidR="7191D948">
        <w:rPr>
          <w:i w:val="1"/>
          <w:iCs w:val="1"/>
        </w:rPr>
        <w:t xml:space="preserve"> and Attempted Murder: R v Grant (Nathaniel) [2014] EWCA Crim 143. </w:t>
      </w:r>
      <w:r w:rsidR="7191D948">
        <w:rPr/>
        <w:t xml:space="preserve">Journal of criminal law (Hertford), 78(3), pp. 214–219. Available at: </w:t>
      </w:r>
      <w:hyperlink r:id="Rb807407185874940">
        <w:r w:rsidRPr="4E1A6E70" w:rsidR="7191D948">
          <w:rPr>
            <w:rStyle w:val="Hyperlink"/>
          </w:rPr>
          <w:t>https://doi.org/10.1350/1740-5580-78.3.214</w:t>
        </w:r>
      </w:hyperlink>
      <w:r w:rsidR="7191D948">
        <w:rPr/>
        <w:t xml:space="preserve">. </w:t>
      </w:r>
    </w:p>
    <w:p w:rsidR="131464E5" w:rsidP="4E1A6E70" w:rsidRDefault="131464E5" w14:paraId="7D4C9836" w14:textId="60CA29AE">
      <w:pPr>
        <w:pStyle w:val="Heading4"/>
        <w:ind w:left="360" w:hanging="360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1"/>
          <w:szCs w:val="21"/>
        </w:rPr>
      </w:pPr>
      <w:r w:rsidRPr="4E1A6E70" w:rsidR="131464E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1"/>
          <w:szCs w:val="21"/>
        </w:rPr>
        <w:t>Stuart Miller Solicitors</w:t>
      </w:r>
      <w:r w:rsidRPr="4E1A6E70" w:rsidR="131464E5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1"/>
          <w:szCs w:val="21"/>
        </w:rPr>
        <w:t xml:space="preserve"> </w:t>
      </w:r>
      <w:r w:rsidRPr="4E1A6E70" w:rsidR="131464E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1"/>
          <w:szCs w:val="21"/>
        </w:rPr>
        <w:t xml:space="preserve">(2023) </w:t>
      </w:r>
      <w:r w:rsidRPr="4E1A6E70" w:rsidR="131464E5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1"/>
          <w:szCs w:val="21"/>
        </w:rPr>
        <w:t>A Guide to Attempted Murder Defences from Expert Lawyers</w:t>
      </w:r>
      <w:r w:rsidRPr="4E1A6E70" w:rsidR="131464E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1"/>
          <w:szCs w:val="21"/>
        </w:rPr>
        <w:t xml:space="preserve">. Available at: </w:t>
      </w:r>
      <w:hyperlink w:anchor=":~:text=Loss%20of%20control%3A%20This%20defence,to%20you%20in%20the%20circumstances" r:id="R0c1337567c274459">
        <w:r w:rsidRPr="4E1A6E70" w:rsidR="131464E5">
          <w:rPr>
            <w:rStyle w:val="Hyperlink"/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sz w:val="21"/>
            <w:szCs w:val="21"/>
          </w:rPr>
          <w:t>https://www.stuartmillersolicitors.co.uk/a-guide-to-attempted-murder-defences/#:~:text=Loss%20of%20control%3A%20This%20defence,to%20you%20in%20the%20circumstances</w:t>
        </w:r>
      </w:hyperlink>
      <w:r w:rsidRPr="4E1A6E70" w:rsidR="131464E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1"/>
          <w:szCs w:val="21"/>
        </w:rPr>
        <w:t>. (Accessed: 6</w:t>
      </w:r>
      <w:r w:rsidRPr="4E1A6E70" w:rsidR="78C8DB2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1"/>
          <w:szCs w:val="21"/>
          <w:vertAlign w:val="superscript"/>
        </w:rPr>
        <w:t>th</w:t>
      </w:r>
      <w:r w:rsidRPr="4E1A6E70" w:rsidR="131464E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1"/>
          <w:szCs w:val="21"/>
        </w:rPr>
        <w:t xml:space="preserve"> </w:t>
      </w:r>
      <w:r w:rsidRPr="4E1A6E70" w:rsidR="131464E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1"/>
          <w:szCs w:val="21"/>
        </w:rPr>
        <w:t>January 2024)</w:t>
      </w:r>
    </w:p>
    <w:p w:rsidR="4E1A6E70" w:rsidP="4E1A6E70" w:rsidRDefault="4E1A6E70" w14:paraId="4AAD8D51" w14:textId="41ADD595">
      <w:pPr>
        <w:pStyle w:val="Normal"/>
        <w:spacing w:after="120" w:afterAutospacing="off" w:line="240" w:lineRule="auto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Y7rxyEYEGk+h8X" int2:id="XK8ti1X0">
      <int2:state int2:type="AugLoop_Text_Critique" int2:value="Rejected"/>
    </int2:textHash>
    <int2:textHash int2:hashCode="3xQnMF/BYS5nUw" int2:id="jpyIcSwy">
      <int2:state int2:type="AugLoop_Text_Critique" int2:value="Rejected"/>
    </int2:textHash>
    <int2:bookmark int2:bookmarkName="_Int_wzWji31q" int2:invalidationBookmarkName="" int2:hashCode="v9fu1ddnFE+IM7" int2:id="aoqwrkZx">
      <int2:state int2:type="AugLoop_Text_Critique" int2:value="Rejected"/>
    </int2:bookmark>
    <int2:bookmark int2:bookmarkName="_Int_7P8nodde" int2:invalidationBookmarkName="" int2:hashCode="v9fu1ddnFE+IM7" int2:id="rJb57o3g">
      <int2:state int2:type="AugLoop_Text_Critique" int2:value="Rejected"/>
    </int2:bookmark>
    <int2:bookmark int2:bookmarkName="_Int_khBRZJrG" int2:invalidationBookmarkName="" int2:hashCode="e0dMsLOcF3PXGS" int2:id="95UbrZum">
      <int2:state int2:type="AugLoop_Text_Critique" int2:value="Rejected"/>
    </int2:bookmark>
    <int2:bookmark int2:bookmarkName="_Int_oweAE9xN" int2:invalidationBookmarkName="" int2:hashCode="Drjzwtn0GeeOkB" int2:id="zM7zuSi8">
      <int2:state int2:type="AugLoop_Text_Critique" int2:value="Rejected"/>
    </int2:bookmark>
    <int2:bookmark int2:bookmarkName="_Int_eR5y9OVv" int2:invalidationBookmarkName="" int2:hashCode="tK//MX+xibkCDF" int2:id="er80iKZj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72BE072"/>
    <w:rsid w:val="001DB66B"/>
    <w:rsid w:val="003B2A35"/>
    <w:rsid w:val="0053FAED"/>
    <w:rsid w:val="009714F5"/>
    <w:rsid w:val="00B9D4B1"/>
    <w:rsid w:val="00C1E768"/>
    <w:rsid w:val="01346FEF"/>
    <w:rsid w:val="0161935A"/>
    <w:rsid w:val="01B5C908"/>
    <w:rsid w:val="01D973AD"/>
    <w:rsid w:val="02ABC114"/>
    <w:rsid w:val="02B19044"/>
    <w:rsid w:val="02C730B9"/>
    <w:rsid w:val="03048529"/>
    <w:rsid w:val="03168C18"/>
    <w:rsid w:val="0372CAF7"/>
    <w:rsid w:val="038081D7"/>
    <w:rsid w:val="038C5690"/>
    <w:rsid w:val="03B04F9F"/>
    <w:rsid w:val="03EE86D4"/>
    <w:rsid w:val="0463011A"/>
    <w:rsid w:val="047AA328"/>
    <w:rsid w:val="04AE9831"/>
    <w:rsid w:val="04ED69CA"/>
    <w:rsid w:val="050E9B58"/>
    <w:rsid w:val="0574CE52"/>
    <w:rsid w:val="0595588B"/>
    <w:rsid w:val="05B8F7EC"/>
    <w:rsid w:val="05BB9413"/>
    <w:rsid w:val="05ED838A"/>
    <w:rsid w:val="05F30725"/>
    <w:rsid w:val="05FED17B"/>
    <w:rsid w:val="062005C3"/>
    <w:rsid w:val="06D51098"/>
    <w:rsid w:val="06D96C11"/>
    <w:rsid w:val="06E7F061"/>
    <w:rsid w:val="0713095C"/>
    <w:rsid w:val="07B36539"/>
    <w:rsid w:val="07BB76BA"/>
    <w:rsid w:val="07CA952E"/>
    <w:rsid w:val="07D0D4DE"/>
    <w:rsid w:val="07D8C264"/>
    <w:rsid w:val="0853F2FA"/>
    <w:rsid w:val="086B9432"/>
    <w:rsid w:val="086F2D89"/>
    <w:rsid w:val="08A8201C"/>
    <w:rsid w:val="08F23E3A"/>
    <w:rsid w:val="0914186F"/>
    <w:rsid w:val="091826A8"/>
    <w:rsid w:val="09238742"/>
    <w:rsid w:val="0936723D"/>
    <w:rsid w:val="094AF936"/>
    <w:rsid w:val="0957471B"/>
    <w:rsid w:val="098B4635"/>
    <w:rsid w:val="0996E135"/>
    <w:rsid w:val="0A1F8449"/>
    <w:rsid w:val="0ACC4BCC"/>
    <w:rsid w:val="0B57D7D9"/>
    <w:rsid w:val="0B9FDC0A"/>
    <w:rsid w:val="0BEE8FE5"/>
    <w:rsid w:val="0C049A0F"/>
    <w:rsid w:val="0C33AE15"/>
    <w:rsid w:val="0C3E0D10"/>
    <w:rsid w:val="0C819939"/>
    <w:rsid w:val="0CE61827"/>
    <w:rsid w:val="0D0BB975"/>
    <w:rsid w:val="0D0CE5E4"/>
    <w:rsid w:val="0D0EA1EB"/>
    <w:rsid w:val="0D53CB22"/>
    <w:rsid w:val="0D82DEEC"/>
    <w:rsid w:val="0DCDEBE7"/>
    <w:rsid w:val="0DE78992"/>
    <w:rsid w:val="0E2AB83E"/>
    <w:rsid w:val="0E4803E8"/>
    <w:rsid w:val="0E4C4BE9"/>
    <w:rsid w:val="0EA789D6"/>
    <w:rsid w:val="0EB0AA0D"/>
    <w:rsid w:val="0FF3127A"/>
    <w:rsid w:val="10391489"/>
    <w:rsid w:val="10421ED7"/>
    <w:rsid w:val="10435A37"/>
    <w:rsid w:val="104C7A6E"/>
    <w:rsid w:val="10883BDD"/>
    <w:rsid w:val="10A2B35F"/>
    <w:rsid w:val="10FD501F"/>
    <w:rsid w:val="1162A51C"/>
    <w:rsid w:val="11A253E0"/>
    <w:rsid w:val="11AE7A0B"/>
    <w:rsid w:val="12044F49"/>
    <w:rsid w:val="121BCA73"/>
    <w:rsid w:val="12240C3E"/>
    <w:rsid w:val="12273C45"/>
    <w:rsid w:val="12528361"/>
    <w:rsid w:val="125CB34C"/>
    <w:rsid w:val="127BC919"/>
    <w:rsid w:val="12ADFA0C"/>
    <w:rsid w:val="12C9D264"/>
    <w:rsid w:val="1307B25B"/>
    <w:rsid w:val="131464E5"/>
    <w:rsid w:val="13252342"/>
    <w:rsid w:val="132AB33C"/>
    <w:rsid w:val="134CAE8B"/>
    <w:rsid w:val="13BFDC9F"/>
    <w:rsid w:val="13EEB6A0"/>
    <w:rsid w:val="140F6518"/>
    <w:rsid w:val="145D132F"/>
    <w:rsid w:val="1465A2C5"/>
    <w:rsid w:val="1465DFE4"/>
    <w:rsid w:val="14B7456C"/>
    <w:rsid w:val="14C6839D"/>
    <w:rsid w:val="1508B8FE"/>
    <w:rsid w:val="151305E3"/>
    <w:rsid w:val="1548B672"/>
    <w:rsid w:val="155EDD07"/>
    <w:rsid w:val="15D0C142"/>
    <w:rsid w:val="1614F545"/>
    <w:rsid w:val="1640475F"/>
    <w:rsid w:val="166253FE"/>
    <w:rsid w:val="16BC96AF"/>
    <w:rsid w:val="16F15CF2"/>
    <w:rsid w:val="16FE13D7"/>
    <w:rsid w:val="171C1581"/>
    <w:rsid w:val="17206B5A"/>
    <w:rsid w:val="173656A5"/>
    <w:rsid w:val="176013D3"/>
    <w:rsid w:val="176C91A3"/>
    <w:rsid w:val="17AC99D7"/>
    <w:rsid w:val="17AE56CC"/>
    <w:rsid w:val="180DE011"/>
    <w:rsid w:val="185469E1"/>
    <w:rsid w:val="18DEAF7B"/>
    <w:rsid w:val="19086204"/>
    <w:rsid w:val="194A272D"/>
    <w:rsid w:val="19747F22"/>
    <w:rsid w:val="198AA224"/>
    <w:rsid w:val="19A32916"/>
    <w:rsid w:val="19AB6D00"/>
    <w:rsid w:val="19BC89B8"/>
    <w:rsid w:val="19D11AE2"/>
    <w:rsid w:val="19D24B1E"/>
    <w:rsid w:val="19E069CF"/>
    <w:rsid w:val="19E73CE1"/>
    <w:rsid w:val="19EB4A91"/>
    <w:rsid w:val="1A08F385"/>
    <w:rsid w:val="1B389674"/>
    <w:rsid w:val="1B799C47"/>
    <w:rsid w:val="1B977BD0"/>
    <w:rsid w:val="1BA4C3E6"/>
    <w:rsid w:val="1BD2C12E"/>
    <w:rsid w:val="1C974DA5"/>
    <w:rsid w:val="1D064151"/>
    <w:rsid w:val="1D22EB53"/>
    <w:rsid w:val="1D66BEE5"/>
    <w:rsid w:val="1DB8BC10"/>
    <w:rsid w:val="1DD919DF"/>
    <w:rsid w:val="1E4B52B7"/>
    <w:rsid w:val="1E88F6CB"/>
    <w:rsid w:val="1EB66DBD"/>
    <w:rsid w:val="1ED0B977"/>
    <w:rsid w:val="1ED64971"/>
    <w:rsid w:val="1EE145CE"/>
    <w:rsid w:val="1F028F46"/>
    <w:rsid w:val="1FD77DFD"/>
    <w:rsid w:val="1FF8341C"/>
    <w:rsid w:val="1FFAA90D"/>
    <w:rsid w:val="20029602"/>
    <w:rsid w:val="2038E182"/>
    <w:rsid w:val="205A8C15"/>
    <w:rsid w:val="206C89D8"/>
    <w:rsid w:val="20895841"/>
    <w:rsid w:val="20C54C36"/>
    <w:rsid w:val="20F680C2"/>
    <w:rsid w:val="213C7001"/>
    <w:rsid w:val="21734E5E"/>
    <w:rsid w:val="217F3311"/>
    <w:rsid w:val="21F65C76"/>
    <w:rsid w:val="220DEA33"/>
    <w:rsid w:val="223A3008"/>
    <w:rsid w:val="228067E0"/>
    <w:rsid w:val="228558AD"/>
    <w:rsid w:val="23A42A9A"/>
    <w:rsid w:val="23ABB915"/>
    <w:rsid w:val="23C2708B"/>
    <w:rsid w:val="23D60069"/>
    <w:rsid w:val="24B1E91B"/>
    <w:rsid w:val="251591EB"/>
    <w:rsid w:val="2571D0CA"/>
    <w:rsid w:val="2579FB28"/>
    <w:rsid w:val="257D73B1"/>
    <w:rsid w:val="258AB822"/>
    <w:rsid w:val="25C946C9"/>
    <w:rsid w:val="25E0544B"/>
    <w:rsid w:val="2608C888"/>
    <w:rsid w:val="26225BB9"/>
    <w:rsid w:val="264825D6"/>
    <w:rsid w:val="264AA56D"/>
    <w:rsid w:val="26BC97DB"/>
    <w:rsid w:val="26CD932A"/>
    <w:rsid w:val="26E15B56"/>
    <w:rsid w:val="270DA12B"/>
    <w:rsid w:val="27291839"/>
    <w:rsid w:val="273D31CC"/>
    <w:rsid w:val="2753125E"/>
    <w:rsid w:val="2765172A"/>
    <w:rsid w:val="277E715D"/>
    <w:rsid w:val="27829DFF"/>
    <w:rsid w:val="27C08DF6"/>
    <w:rsid w:val="27CFB704"/>
    <w:rsid w:val="27D9132D"/>
    <w:rsid w:val="28761270"/>
    <w:rsid w:val="28779BBD"/>
    <w:rsid w:val="287D2BB7"/>
    <w:rsid w:val="287F2A38"/>
    <w:rsid w:val="28A76C57"/>
    <w:rsid w:val="28D89156"/>
    <w:rsid w:val="2917F50D"/>
    <w:rsid w:val="292960B4"/>
    <w:rsid w:val="29A3B6C7"/>
    <w:rsid w:val="29DBC8FD"/>
    <w:rsid w:val="2A1AFA99"/>
    <w:rsid w:val="2A624C92"/>
    <w:rsid w:val="2A7DF3F1"/>
    <w:rsid w:val="2A9CB7EC"/>
    <w:rsid w:val="2A9F2064"/>
    <w:rsid w:val="2AB3C56E"/>
    <w:rsid w:val="2AB6121F"/>
    <w:rsid w:val="2B3F8728"/>
    <w:rsid w:val="2B7A36B6"/>
    <w:rsid w:val="2BBD1313"/>
    <w:rsid w:val="2BD697FC"/>
    <w:rsid w:val="2BE0918C"/>
    <w:rsid w:val="2BE1124E"/>
    <w:rsid w:val="2C174550"/>
    <w:rsid w:val="2C4F95CF"/>
    <w:rsid w:val="2CB98F96"/>
    <w:rsid w:val="2D4A0D2E"/>
    <w:rsid w:val="2D5A74DF"/>
    <w:rsid w:val="2D7CE2AF"/>
    <w:rsid w:val="2D9A0C88"/>
    <w:rsid w:val="2E07670A"/>
    <w:rsid w:val="2E3633CD"/>
    <w:rsid w:val="2E9418C3"/>
    <w:rsid w:val="2EF4B3D5"/>
    <w:rsid w:val="2EF64540"/>
    <w:rsid w:val="2F18B310"/>
    <w:rsid w:val="2F18F713"/>
    <w:rsid w:val="2F1C05B2"/>
    <w:rsid w:val="2F873691"/>
    <w:rsid w:val="2FD2042E"/>
    <w:rsid w:val="2FE42512"/>
    <w:rsid w:val="3022F027"/>
    <w:rsid w:val="3049DB2B"/>
    <w:rsid w:val="30748FB5"/>
    <w:rsid w:val="307F62D0"/>
    <w:rsid w:val="30A3EC58"/>
    <w:rsid w:val="30BC2FF2"/>
    <w:rsid w:val="30BFACC7"/>
    <w:rsid w:val="314B4A75"/>
    <w:rsid w:val="31508F48"/>
    <w:rsid w:val="31B00EED"/>
    <w:rsid w:val="322BFB83"/>
    <w:rsid w:val="322C5497"/>
    <w:rsid w:val="3254D714"/>
    <w:rsid w:val="32C957DA"/>
    <w:rsid w:val="32DE8F4B"/>
    <w:rsid w:val="3309A4F0"/>
    <w:rsid w:val="335CCB4C"/>
    <w:rsid w:val="33A002AA"/>
    <w:rsid w:val="33C824F8"/>
    <w:rsid w:val="33D19927"/>
    <w:rsid w:val="342D1000"/>
    <w:rsid w:val="3446E595"/>
    <w:rsid w:val="345AA7B4"/>
    <w:rsid w:val="3489CAA9"/>
    <w:rsid w:val="34A57551"/>
    <w:rsid w:val="3543C091"/>
    <w:rsid w:val="354EB97C"/>
    <w:rsid w:val="35576B9D"/>
    <w:rsid w:val="35639C45"/>
    <w:rsid w:val="35868BCE"/>
    <w:rsid w:val="3587E000"/>
    <w:rsid w:val="3587F494"/>
    <w:rsid w:val="35896653"/>
    <w:rsid w:val="35B64665"/>
    <w:rsid w:val="35BD32F8"/>
    <w:rsid w:val="35C0934A"/>
    <w:rsid w:val="35F67815"/>
    <w:rsid w:val="360C6839"/>
    <w:rsid w:val="36259B0A"/>
    <w:rsid w:val="36457587"/>
    <w:rsid w:val="365C4769"/>
    <w:rsid w:val="3684A7BD"/>
    <w:rsid w:val="368C4CB2"/>
    <w:rsid w:val="36E3459D"/>
    <w:rsid w:val="371BF18C"/>
    <w:rsid w:val="372BE072"/>
    <w:rsid w:val="37C16B6B"/>
    <w:rsid w:val="37C872AC"/>
    <w:rsid w:val="3816A551"/>
    <w:rsid w:val="383CF409"/>
    <w:rsid w:val="383F9BF0"/>
    <w:rsid w:val="386C7C02"/>
    <w:rsid w:val="387B6153"/>
    <w:rsid w:val="389B3D07"/>
    <w:rsid w:val="38BF9556"/>
    <w:rsid w:val="38F9FC04"/>
    <w:rsid w:val="39127D06"/>
    <w:rsid w:val="3981078F"/>
    <w:rsid w:val="3A1731B4"/>
    <w:rsid w:val="3A370D68"/>
    <w:rsid w:val="3A47D5D9"/>
    <w:rsid w:val="3A5A98AB"/>
    <w:rsid w:val="3A5B65B7"/>
    <w:rsid w:val="3A9198B9"/>
    <w:rsid w:val="3AA8C470"/>
    <w:rsid w:val="3B042A7E"/>
    <w:rsid w:val="3B2007F7"/>
    <w:rsid w:val="3B22706F"/>
    <w:rsid w:val="3B5D9878"/>
    <w:rsid w:val="3B741133"/>
    <w:rsid w:val="3B9444D3"/>
    <w:rsid w:val="3BB30215"/>
    <w:rsid w:val="3BF73618"/>
    <w:rsid w:val="3C42AA98"/>
    <w:rsid w:val="3CC0964C"/>
    <w:rsid w:val="3D1707F3"/>
    <w:rsid w:val="3D4ED276"/>
    <w:rsid w:val="3D6D25B5"/>
    <w:rsid w:val="3D9D42B0"/>
    <w:rsid w:val="3DE13387"/>
    <w:rsid w:val="3E011744"/>
    <w:rsid w:val="3E5A1131"/>
    <w:rsid w:val="3E7EE840"/>
    <w:rsid w:val="3EB8A204"/>
    <w:rsid w:val="3EB95E72"/>
    <w:rsid w:val="3ED31266"/>
    <w:rsid w:val="3F04EE91"/>
    <w:rsid w:val="3F12C525"/>
    <w:rsid w:val="3F135F65"/>
    <w:rsid w:val="3F2ED6DA"/>
    <w:rsid w:val="3F36835B"/>
    <w:rsid w:val="3F391311"/>
    <w:rsid w:val="3FF5E192"/>
    <w:rsid w:val="3FF6DF89"/>
    <w:rsid w:val="400DDF9C"/>
    <w:rsid w:val="404D64E3"/>
    <w:rsid w:val="4076D674"/>
    <w:rsid w:val="40867338"/>
    <w:rsid w:val="408F1CD9"/>
    <w:rsid w:val="409784E6"/>
    <w:rsid w:val="40A64EEC"/>
    <w:rsid w:val="40CAA73B"/>
    <w:rsid w:val="41161BBB"/>
    <w:rsid w:val="4158458B"/>
    <w:rsid w:val="415C67F1"/>
    <w:rsid w:val="41A40E29"/>
    <w:rsid w:val="41C99502"/>
    <w:rsid w:val="41CCD9FC"/>
    <w:rsid w:val="42161203"/>
    <w:rsid w:val="42224399"/>
    <w:rsid w:val="4266779C"/>
    <w:rsid w:val="427E53F9"/>
    <w:rsid w:val="42C3C02C"/>
    <w:rsid w:val="42E0E8B3"/>
    <w:rsid w:val="431F8859"/>
    <w:rsid w:val="4368AA5D"/>
    <w:rsid w:val="437BA19E"/>
    <w:rsid w:val="43EE0748"/>
    <w:rsid w:val="440C8434"/>
    <w:rsid w:val="44155ED9"/>
    <w:rsid w:val="44274028"/>
    <w:rsid w:val="445DDD1D"/>
    <w:rsid w:val="448FE64D"/>
    <w:rsid w:val="44A0FC87"/>
    <w:rsid w:val="44BA0743"/>
    <w:rsid w:val="44C3BA36"/>
    <w:rsid w:val="44E141FA"/>
    <w:rsid w:val="45047ABE"/>
    <w:rsid w:val="45348996"/>
    <w:rsid w:val="458206A9"/>
    <w:rsid w:val="45A85495"/>
    <w:rsid w:val="45D5BDF6"/>
    <w:rsid w:val="4609B2FF"/>
    <w:rsid w:val="4638BF38"/>
    <w:rsid w:val="465A75DC"/>
    <w:rsid w:val="46B90CEB"/>
    <w:rsid w:val="46BCA667"/>
    <w:rsid w:val="46CFE920"/>
    <w:rsid w:val="47107963"/>
    <w:rsid w:val="474CFF9B"/>
    <w:rsid w:val="4822F323"/>
    <w:rsid w:val="4846839D"/>
    <w:rsid w:val="48496AD4"/>
    <w:rsid w:val="485876C8"/>
    <w:rsid w:val="48E8CFFC"/>
    <w:rsid w:val="490D430E"/>
    <w:rsid w:val="49746DAA"/>
    <w:rsid w:val="499CC3D8"/>
    <w:rsid w:val="49C6AF00"/>
    <w:rsid w:val="49E253FE"/>
    <w:rsid w:val="4A4CFD39"/>
    <w:rsid w:val="4A65085C"/>
    <w:rsid w:val="4A793602"/>
    <w:rsid w:val="4AD23F50"/>
    <w:rsid w:val="4AEC5275"/>
    <w:rsid w:val="4B223BCE"/>
    <w:rsid w:val="4B2DE6FF"/>
    <w:rsid w:val="4B389439"/>
    <w:rsid w:val="4BB3871C"/>
    <w:rsid w:val="4C3C545A"/>
    <w:rsid w:val="4C44F31A"/>
    <w:rsid w:val="4CAC0E6C"/>
    <w:rsid w:val="4DD65119"/>
    <w:rsid w:val="4DE3CACD"/>
    <w:rsid w:val="4E18902A"/>
    <w:rsid w:val="4E1A6E70"/>
    <w:rsid w:val="4E4132F5"/>
    <w:rsid w:val="4E740703"/>
    <w:rsid w:val="4ED9FCA9"/>
    <w:rsid w:val="4FBF2C7A"/>
    <w:rsid w:val="4FEB0C46"/>
    <w:rsid w:val="503A1A64"/>
    <w:rsid w:val="503B4D46"/>
    <w:rsid w:val="50887846"/>
    <w:rsid w:val="5090DE03"/>
    <w:rsid w:val="50A9347A"/>
    <w:rsid w:val="50BF0C43"/>
    <w:rsid w:val="513BD980"/>
    <w:rsid w:val="51505D3D"/>
    <w:rsid w:val="51A7D5BD"/>
    <w:rsid w:val="51B3B129"/>
    <w:rsid w:val="51C3121C"/>
    <w:rsid w:val="5231D6A2"/>
    <w:rsid w:val="5262A85D"/>
    <w:rsid w:val="52708335"/>
    <w:rsid w:val="52E37B01"/>
    <w:rsid w:val="532D4DB3"/>
    <w:rsid w:val="54C91E14"/>
    <w:rsid w:val="54D0531D"/>
    <w:rsid w:val="55697764"/>
    <w:rsid w:val="55B026BC"/>
    <w:rsid w:val="55DB3BD6"/>
    <w:rsid w:val="55F4E380"/>
    <w:rsid w:val="5625C2DE"/>
    <w:rsid w:val="565076F8"/>
    <w:rsid w:val="565BCE83"/>
    <w:rsid w:val="5663D3CC"/>
    <w:rsid w:val="566D21AC"/>
    <w:rsid w:val="56833466"/>
    <w:rsid w:val="56A0B0C8"/>
    <w:rsid w:val="570A81BA"/>
    <w:rsid w:val="572A22E3"/>
    <w:rsid w:val="57AD64C7"/>
    <w:rsid w:val="57E41AA0"/>
    <w:rsid w:val="580373F2"/>
    <w:rsid w:val="58064ED0"/>
    <w:rsid w:val="580FB955"/>
    <w:rsid w:val="581F04C7"/>
    <w:rsid w:val="58418ECF"/>
    <w:rsid w:val="58BD1900"/>
    <w:rsid w:val="58EA4ED2"/>
    <w:rsid w:val="5906D5CB"/>
    <w:rsid w:val="596E3B87"/>
    <w:rsid w:val="59BAD528"/>
    <w:rsid w:val="59C3A3C4"/>
    <w:rsid w:val="5A143493"/>
    <w:rsid w:val="5A4F3F47"/>
    <w:rsid w:val="5A58E961"/>
    <w:rsid w:val="5A87B624"/>
    <w:rsid w:val="5AE50589"/>
    <w:rsid w:val="5B1D9FAC"/>
    <w:rsid w:val="5B47ED37"/>
    <w:rsid w:val="5B56A589"/>
    <w:rsid w:val="5B87400C"/>
    <w:rsid w:val="5BD8B8E8"/>
    <w:rsid w:val="5C557CC6"/>
    <w:rsid w:val="5C9C59E2"/>
    <w:rsid w:val="5CF275EA"/>
    <w:rsid w:val="5D2DDBFC"/>
    <w:rsid w:val="5D3FA218"/>
    <w:rsid w:val="5D908A23"/>
    <w:rsid w:val="5DBA75C0"/>
    <w:rsid w:val="5E385D39"/>
    <w:rsid w:val="5E567812"/>
    <w:rsid w:val="5E605EB6"/>
    <w:rsid w:val="5EAEA4AB"/>
    <w:rsid w:val="5EBEE0CE"/>
    <w:rsid w:val="5EC49161"/>
    <w:rsid w:val="5ED8092B"/>
    <w:rsid w:val="5EF807D7"/>
    <w:rsid w:val="5F1059AA"/>
    <w:rsid w:val="5F2C5A84"/>
    <w:rsid w:val="5F6A5FF1"/>
    <w:rsid w:val="5FAC1340"/>
    <w:rsid w:val="5FC9B8C3"/>
    <w:rsid w:val="5FCF0A76"/>
    <w:rsid w:val="5FD42D9A"/>
    <w:rsid w:val="6025F5A1"/>
    <w:rsid w:val="6045530B"/>
    <w:rsid w:val="6073D98C"/>
    <w:rsid w:val="60AC2A0B"/>
    <w:rsid w:val="60CCF25D"/>
    <w:rsid w:val="6116E023"/>
    <w:rsid w:val="613CAA40"/>
    <w:rsid w:val="61B86108"/>
    <w:rsid w:val="61C5E70D"/>
    <w:rsid w:val="61D935E6"/>
    <w:rsid w:val="61F68190"/>
    <w:rsid w:val="620FA9ED"/>
    <w:rsid w:val="627AB26A"/>
    <w:rsid w:val="62D899C4"/>
    <w:rsid w:val="62E3B402"/>
    <w:rsid w:val="630145FD"/>
    <w:rsid w:val="630BCE5C"/>
    <w:rsid w:val="632925C3"/>
    <w:rsid w:val="6340AF4A"/>
    <w:rsid w:val="63714D93"/>
    <w:rsid w:val="639251F1"/>
    <w:rsid w:val="63A19022"/>
    <w:rsid w:val="63DD6252"/>
    <w:rsid w:val="63E93E93"/>
    <w:rsid w:val="63FAF816"/>
    <w:rsid w:val="6425B673"/>
    <w:rsid w:val="643A6BAD"/>
    <w:rsid w:val="64A79EBD"/>
    <w:rsid w:val="64B7F1FD"/>
    <w:rsid w:val="64F495F9"/>
    <w:rsid w:val="650348D7"/>
    <w:rsid w:val="6507D12D"/>
    <w:rsid w:val="650B6A84"/>
    <w:rsid w:val="650DC73B"/>
    <w:rsid w:val="65281F40"/>
    <w:rsid w:val="65474AAF"/>
    <w:rsid w:val="6572785B"/>
    <w:rsid w:val="65850EF4"/>
    <w:rsid w:val="65A98C52"/>
    <w:rsid w:val="65B463A3"/>
    <w:rsid w:val="65E216FD"/>
    <w:rsid w:val="66436F1E"/>
    <w:rsid w:val="66D7147F"/>
    <w:rsid w:val="66E31B10"/>
    <w:rsid w:val="674940D3"/>
    <w:rsid w:val="6763E356"/>
    <w:rsid w:val="6776D5C8"/>
    <w:rsid w:val="6779C749"/>
    <w:rsid w:val="67808674"/>
    <w:rsid w:val="67BE06CA"/>
    <w:rsid w:val="67D79859"/>
    <w:rsid w:val="6814206D"/>
    <w:rsid w:val="68984C9A"/>
    <w:rsid w:val="68C64F8F"/>
    <w:rsid w:val="68D1E7FC"/>
    <w:rsid w:val="690A2AA8"/>
    <w:rsid w:val="697B0FE0"/>
    <w:rsid w:val="69947FE3"/>
    <w:rsid w:val="69D0F8F2"/>
    <w:rsid w:val="69EEC507"/>
    <w:rsid w:val="6A331F25"/>
    <w:rsid w:val="6A621FF0"/>
    <w:rsid w:val="6A811167"/>
    <w:rsid w:val="6AA5FB09"/>
    <w:rsid w:val="6AAC917F"/>
    <w:rsid w:val="6B6CC953"/>
    <w:rsid w:val="6B7FCCB7"/>
    <w:rsid w:val="6B8805B2"/>
    <w:rsid w:val="6BA5FA1C"/>
    <w:rsid w:val="6BCBCDB1"/>
    <w:rsid w:val="6C41CB6A"/>
    <w:rsid w:val="6C4861E0"/>
    <w:rsid w:val="6CD55184"/>
    <w:rsid w:val="6CF66F82"/>
    <w:rsid w:val="6D22FCCA"/>
    <w:rsid w:val="6D3D4A54"/>
    <w:rsid w:val="6D9EBE81"/>
    <w:rsid w:val="6DD4BDFE"/>
    <w:rsid w:val="6E6016F5"/>
    <w:rsid w:val="6E85A939"/>
    <w:rsid w:val="6EA08C44"/>
    <w:rsid w:val="6EA4811D"/>
    <w:rsid w:val="6EC61D91"/>
    <w:rsid w:val="6F4F24D8"/>
    <w:rsid w:val="6F5AA114"/>
    <w:rsid w:val="6F745771"/>
    <w:rsid w:val="6F74DC06"/>
    <w:rsid w:val="6F8002A2"/>
    <w:rsid w:val="6F8B8721"/>
    <w:rsid w:val="7040517E"/>
    <w:rsid w:val="704E5AE3"/>
    <w:rsid w:val="705A9D8C"/>
    <w:rsid w:val="706CB9E1"/>
    <w:rsid w:val="70EAF539"/>
    <w:rsid w:val="711027D2"/>
    <w:rsid w:val="71103B90"/>
    <w:rsid w:val="711F4E73"/>
    <w:rsid w:val="7172585D"/>
    <w:rsid w:val="717D941F"/>
    <w:rsid w:val="7191D948"/>
    <w:rsid w:val="71F74736"/>
    <w:rsid w:val="7223B2D0"/>
    <w:rsid w:val="72701D13"/>
    <w:rsid w:val="7286C59A"/>
    <w:rsid w:val="72FC3593"/>
    <w:rsid w:val="730E28BE"/>
    <w:rsid w:val="7333742C"/>
    <w:rsid w:val="73425974"/>
    <w:rsid w:val="7351CE22"/>
    <w:rsid w:val="73D6726A"/>
    <w:rsid w:val="7404B49A"/>
    <w:rsid w:val="740E31CE"/>
    <w:rsid w:val="7414E9DA"/>
    <w:rsid w:val="74190966"/>
    <w:rsid w:val="7521CC06"/>
    <w:rsid w:val="75385010"/>
    <w:rsid w:val="7573CC78"/>
    <w:rsid w:val="75B0BA3B"/>
    <w:rsid w:val="75F1F152"/>
    <w:rsid w:val="7609828E"/>
    <w:rsid w:val="762E7A39"/>
    <w:rsid w:val="76B2866B"/>
    <w:rsid w:val="76C6784D"/>
    <w:rsid w:val="76E48121"/>
    <w:rsid w:val="771BAE18"/>
    <w:rsid w:val="775A36BD"/>
    <w:rsid w:val="78C8DB20"/>
    <w:rsid w:val="78E85AFD"/>
    <w:rsid w:val="79272251"/>
    <w:rsid w:val="796989DE"/>
    <w:rsid w:val="796B7717"/>
    <w:rsid w:val="7990A088"/>
    <w:rsid w:val="79C796D0"/>
    <w:rsid w:val="79D87203"/>
    <w:rsid w:val="79FAE908"/>
    <w:rsid w:val="7A27D370"/>
    <w:rsid w:val="7A5516D2"/>
    <w:rsid w:val="7A6FAA98"/>
    <w:rsid w:val="7A71312B"/>
    <w:rsid w:val="7ABC1ED3"/>
    <w:rsid w:val="7ADCF3B1"/>
    <w:rsid w:val="7B074778"/>
    <w:rsid w:val="7B343C28"/>
    <w:rsid w:val="7B99E970"/>
    <w:rsid w:val="7BDA62DC"/>
    <w:rsid w:val="7C120AE6"/>
    <w:rsid w:val="7C4AF9DF"/>
    <w:rsid w:val="7C5D87B3"/>
    <w:rsid w:val="7C9E88A1"/>
    <w:rsid w:val="7CD3EE41"/>
    <w:rsid w:val="7CD51E7D"/>
    <w:rsid w:val="7CEC6F97"/>
    <w:rsid w:val="7D5F7432"/>
    <w:rsid w:val="7DB84496"/>
    <w:rsid w:val="7DC97841"/>
    <w:rsid w:val="7DFD6ADE"/>
    <w:rsid w:val="7E304C86"/>
    <w:rsid w:val="7E648FC7"/>
    <w:rsid w:val="7E9F59D3"/>
    <w:rsid w:val="7EFB4493"/>
    <w:rsid w:val="7F0EE986"/>
    <w:rsid w:val="7F6548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72BE072"/>
  <w15:chartTrackingRefBased/>
  <w15:docId w15:val="{8EFB54F2-354A-4CFF-8D2E-B5B74FD5064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73D6726A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link w:val="Heading1Char"/>
    <w:qFormat/>
    <w:rsid w:val="73D6726A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  <w:sz w:val="32"/>
      <w:szCs w:val="32"/>
    </w:rPr>
    <w:pPr>
      <w:keepNext w:val="1"/>
      <w:keepLines w:val="1"/>
      <w:spacing w:before="240" w:after="0"/>
      <w:outlineLvl w:val="0"/>
    </w:p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73D6726A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  <w:sz w:val="26"/>
      <w:szCs w:val="26"/>
    </w:rPr>
    <w:pPr>
      <w:keepNext w:val="1"/>
      <w:keepLines w:val="1"/>
      <w:spacing w:before="40" w:after="0"/>
      <w:outlineLvl w:val="1"/>
    </w:p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73D6726A"/>
    <w:rPr>
      <w:rFonts w:ascii="Calibri Light" w:hAnsi="Calibri Light" w:eastAsia="" w:cs="" w:asciiTheme="majorAscii" w:hAnsiTheme="majorAscii" w:eastAsiaTheme="majorEastAsia" w:cstheme="majorBidi"/>
      <w:color w:val="1F3763"/>
      <w:sz w:val="24"/>
      <w:szCs w:val="24"/>
    </w:rPr>
    <w:pPr>
      <w:keepNext w:val="1"/>
      <w:keepLines w:val="1"/>
      <w:spacing w:before="40" w:after="0"/>
      <w:outlineLvl w:val="2"/>
    </w:p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73D6726A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F5496" w:themeColor="accent1" w:themeTint="FF" w:themeShade="BF"/>
    </w:rPr>
    <w:pPr>
      <w:keepNext w:val="1"/>
      <w:keepLines w:val="1"/>
      <w:spacing w:before="40" w:after="0"/>
      <w:outlineLvl w:val="3"/>
    </w:p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73D6726A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</w:rPr>
    <w:pPr>
      <w:keepNext w:val="1"/>
      <w:keepLines w:val="1"/>
      <w:spacing w:before="40" w:after="0"/>
      <w:outlineLvl w:val="4"/>
    </w:p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73D6726A"/>
    <w:rPr>
      <w:rFonts w:ascii="Calibri Light" w:hAnsi="Calibri Light" w:eastAsia="" w:cs="" w:asciiTheme="majorAscii" w:hAnsiTheme="majorAscii" w:eastAsiaTheme="majorEastAsia" w:cstheme="majorBidi"/>
      <w:color w:val="1F3763"/>
    </w:rPr>
    <w:pPr>
      <w:keepNext w:val="1"/>
      <w:keepLines w:val="1"/>
      <w:spacing w:before="40" w:after="0"/>
      <w:outlineLvl w:val="5"/>
    </w:p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73D6726A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1F3763"/>
    </w:rPr>
    <w:pPr>
      <w:keepNext w:val="1"/>
      <w:keepLines w:val="1"/>
      <w:spacing w:before="40" w:after="0"/>
      <w:outlineLvl w:val="6"/>
    </w:p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73D6726A"/>
    <w:rPr>
      <w:rFonts w:ascii="Calibri Light" w:hAnsi="Calibri Light" w:eastAsia="" w:cs="" w:asciiTheme="majorAscii" w:hAnsiTheme="majorAscii" w:eastAsiaTheme="majorEastAsia" w:cstheme="majorBidi"/>
      <w:color w:val="272727"/>
      <w:sz w:val="21"/>
      <w:szCs w:val="21"/>
    </w:rPr>
    <w:pPr>
      <w:keepNext w:val="1"/>
      <w:keepLines w:val="1"/>
      <w:spacing w:before="40" w:after="0"/>
      <w:outlineLvl w:val="7"/>
    </w:p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73D6726A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72727"/>
      <w:sz w:val="21"/>
      <w:szCs w:val="21"/>
    </w:rPr>
    <w:pPr>
      <w:keepNext w:val="1"/>
      <w:keepLines w:val="1"/>
      <w:spacing w:before="40" w:after="0"/>
      <w:outlineLvl w:val="8"/>
    </w:pPr>
  </w:style>
  <w:style w:type="paragraph" w:styleId="Title">
    <w:uiPriority w:val="10"/>
    <w:name w:val="Title"/>
    <w:basedOn w:val="Normal"/>
    <w:next w:val="Normal"/>
    <w:link w:val="TitleChar"/>
    <w:qFormat/>
    <w:rsid w:val="73D6726A"/>
    <w:rPr>
      <w:rFonts w:ascii="Calibri Light" w:hAnsi="Calibri Light" w:eastAsia="" w:cs="" w:asciiTheme="majorAscii" w:hAnsiTheme="majorAscii" w:eastAsiaTheme="majorEastAsia" w:cstheme="majorBidi"/>
      <w:sz w:val="56"/>
      <w:szCs w:val="56"/>
    </w:rPr>
    <w:pPr>
      <w:spacing w:after="0"/>
      <w:contextualSpacing/>
    </w:pPr>
  </w:style>
  <w:style w:type="paragraph" w:styleId="Subtitle">
    <w:uiPriority w:val="11"/>
    <w:name w:val="Subtitle"/>
    <w:basedOn w:val="Normal"/>
    <w:next w:val="Normal"/>
    <w:link w:val="SubtitleChar"/>
    <w:qFormat/>
    <w:rsid w:val="73D6726A"/>
    <w:rPr>
      <w:rFonts w:ascii="Calibri" w:hAnsi="Calibri" w:eastAsia="" w:cs="" w:asciiTheme="minorAscii" w:hAnsiTheme="minorAscii" w:eastAsiaTheme="minorEastAsia" w:cstheme="minorBidi"/>
      <w:color w:val="5A5A5A"/>
    </w:rPr>
  </w:style>
  <w:style w:type="paragraph" w:styleId="Quote">
    <w:uiPriority w:val="29"/>
    <w:name w:val="Quote"/>
    <w:basedOn w:val="Normal"/>
    <w:next w:val="Normal"/>
    <w:link w:val="QuoteChar"/>
    <w:qFormat/>
    <w:rsid w:val="73D6726A"/>
    <w:rPr>
      <w:i w:val="1"/>
      <w:iCs w:val="1"/>
      <w:color w:val="404040" w:themeColor="text1" w:themeTint="BF" w:themeShade="FF"/>
    </w:rPr>
    <w:pPr>
      <w:spacing w:before="200"/>
      <w:ind w:left="864" w:right="864"/>
      <w:jc w:val="center"/>
    </w:pPr>
  </w:style>
  <w:style w:type="paragraph" w:styleId="IntenseQuote">
    <w:uiPriority w:val="30"/>
    <w:name w:val="Intense Quote"/>
    <w:basedOn w:val="Normal"/>
    <w:next w:val="Normal"/>
    <w:link w:val="IntenseQuoteChar"/>
    <w:qFormat/>
    <w:rsid w:val="73D6726A"/>
    <w:rPr>
      <w:i w:val="1"/>
      <w:iCs w:val="1"/>
      <w:color w:val="4472C4" w:themeColor="accent1" w:themeTint="FF" w:themeShade="FF"/>
    </w:rPr>
    <w:pPr>
      <w:spacing w:before="360" w:after="360"/>
      <w:ind w:left="864" w:right="864"/>
      <w:jc w:val="center"/>
    </w:pPr>
  </w:style>
  <w:style w:type="paragraph" w:styleId="ListParagraph">
    <w:uiPriority w:val="34"/>
    <w:name w:val="List Paragraph"/>
    <w:basedOn w:val="Normal"/>
    <w:qFormat/>
    <w:rsid w:val="73D6726A"/>
    <w:pPr>
      <w:spacing/>
      <w:ind w:left="720"/>
      <w:contextualSpacing/>
    </w:pPr>
  </w:style>
  <w:style w:type="character" w:styleId="Heading1Char" w:customStyle="true">
    <w:uiPriority w:val="9"/>
    <w:name w:val="Heading 1 Char"/>
    <w:basedOn w:val="DefaultParagraphFont"/>
    <w:link w:val="Heading1"/>
    <w:rsid w:val="73D6726A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32"/>
      <w:szCs w:val="32"/>
      <w:lang w:val="en-GB"/>
    </w:rPr>
  </w:style>
  <w:style w:type="character" w:styleId="Heading2Char" w:customStyle="true">
    <w:uiPriority w:val="9"/>
    <w:name w:val="Heading 2 Char"/>
    <w:basedOn w:val="DefaultParagraphFont"/>
    <w:link w:val="Heading2"/>
    <w:rsid w:val="73D6726A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26"/>
      <w:szCs w:val="26"/>
      <w:lang w:val="en-GB"/>
    </w:rPr>
  </w:style>
  <w:style w:type="character" w:styleId="Heading3Char" w:customStyle="true">
    <w:uiPriority w:val="9"/>
    <w:name w:val="Heading 3 Char"/>
    <w:basedOn w:val="DefaultParagraphFont"/>
    <w:link w:val="Heading3"/>
    <w:rsid w:val="73D6726A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sz w:val="24"/>
      <w:szCs w:val="24"/>
      <w:lang w:val="en-GB"/>
    </w:rPr>
  </w:style>
  <w:style w:type="character" w:styleId="Heading4Char" w:customStyle="true">
    <w:uiPriority w:val="9"/>
    <w:name w:val="Heading 4 Char"/>
    <w:basedOn w:val="DefaultParagraphFont"/>
    <w:link w:val="Heading4"/>
    <w:rsid w:val="73D6726A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F5496" w:themeColor="accent1" w:themeTint="FF" w:themeShade="BF"/>
      <w:lang w:val="en-GB"/>
    </w:rPr>
  </w:style>
  <w:style w:type="character" w:styleId="Heading5Char" w:customStyle="true">
    <w:uiPriority w:val="9"/>
    <w:name w:val="Heading 5 Char"/>
    <w:basedOn w:val="DefaultParagraphFont"/>
    <w:link w:val="Heading5"/>
    <w:rsid w:val="73D6726A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lang w:val="en-GB"/>
    </w:rPr>
  </w:style>
  <w:style w:type="character" w:styleId="Heading6Char" w:customStyle="true">
    <w:uiPriority w:val="9"/>
    <w:name w:val="Heading 6 Char"/>
    <w:basedOn w:val="DefaultParagraphFont"/>
    <w:link w:val="Heading6"/>
    <w:rsid w:val="73D6726A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lang w:val="en-GB"/>
    </w:rPr>
  </w:style>
  <w:style w:type="character" w:styleId="Heading7Char" w:customStyle="true">
    <w:uiPriority w:val="9"/>
    <w:name w:val="Heading 7 Char"/>
    <w:basedOn w:val="DefaultParagraphFont"/>
    <w:link w:val="Heading7"/>
    <w:rsid w:val="73D6726A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1F3763"/>
      <w:lang w:val="en-GB"/>
    </w:rPr>
  </w:style>
  <w:style w:type="character" w:styleId="Heading8Char" w:customStyle="true">
    <w:uiPriority w:val="9"/>
    <w:name w:val="Heading 8 Char"/>
    <w:basedOn w:val="DefaultParagraphFont"/>
    <w:link w:val="Heading8"/>
    <w:rsid w:val="73D6726A"/>
    <w:rPr>
      <w:rFonts w:ascii="Calibri Light" w:hAnsi="Calibri Light" w:eastAsia="" w:cs="" w:asciiTheme="majorAscii" w:hAnsiTheme="majorAscii" w:eastAsiaTheme="majorEastAsia" w:cstheme="majorBidi"/>
      <w:noProof w:val="0"/>
      <w:color w:val="272727"/>
      <w:sz w:val="21"/>
      <w:szCs w:val="21"/>
      <w:lang w:val="en-GB"/>
    </w:rPr>
  </w:style>
  <w:style w:type="character" w:styleId="Heading9Char" w:customStyle="true">
    <w:uiPriority w:val="9"/>
    <w:name w:val="Heading 9 Char"/>
    <w:basedOn w:val="DefaultParagraphFont"/>
    <w:link w:val="Heading9"/>
    <w:rsid w:val="73D6726A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72727"/>
      <w:sz w:val="21"/>
      <w:szCs w:val="21"/>
      <w:lang w:val="en-GB"/>
    </w:rPr>
  </w:style>
  <w:style w:type="character" w:styleId="TitleChar" w:customStyle="true">
    <w:uiPriority w:val="10"/>
    <w:name w:val="Title Char"/>
    <w:basedOn w:val="DefaultParagraphFont"/>
    <w:link w:val="Title"/>
    <w:rsid w:val="73D6726A"/>
    <w:rPr>
      <w:rFonts w:ascii="Calibri Light" w:hAnsi="Calibri Light" w:eastAsia="" w:cs="" w:asciiTheme="majorAscii" w:hAnsiTheme="majorAscii" w:eastAsiaTheme="majorEastAsia" w:cstheme="majorBidi"/>
      <w:noProof w:val="0"/>
      <w:sz w:val="56"/>
      <w:szCs w:val="56"/>
      <w:lang w:val="en-GB"/>
    </w:rPr>
  </w:style>
  <w:style w:type="character" w:styleId="SubtitleChar" w:customStyle="true">
    <w:uiPriority w:val="11"/>
    <w:name w:val="Subtitle Char"/>
    <w:basedOn w:val="DefaultParagraphFont"/>
    <w:link w:val="Subtitle"/>
    <w:rsid w:val="73D6726A"/>
    <w:rPr>
      <w:rFonts w:ascii="Calibri" w:hAnsi="Calibri" w:eastAsia="" w:cs="" w:asciiTheme="minorAscii" w:hAnsiTheme="minorAscii" w:eastAsiaTheme="minorEastAsia" w:cstheme="minorBidi"/>
      <w:noProof w:val="0"/>
      <w:color w:val="5A5A5A"/>
      <w:lang w:val="en-GB"/>
    </w:rPr>
  </w:style>
  <w:style w:type="character" w:styleId="QuoteChar" w:customStyle="true">
    <w:uiPriority w:val="29"/>
    <w:name w:val="Quote Char"/>
    <w:basedOn w:val="DefaultParagraphFont"/>
    <w:link w:val="Quote"/>
    <w:rsid w:val="73D6726A"/>
    <w:rPr>
      <w:i w:val="1"/>
      <w:iCs w:val="1"/>
      <w:noProof w:val="0"/>
      <w:color w:val="404040" w:themeColor="text1" w:themeTint="BF" w:themeShade="FF"/>
      <w:lang w:val="en-GB"/>
    </w:rPr>
  </w:style>
  <w:style w:type="character" w:styleId="IntenseQuoteChar" w:customStyle="true">
    <w:uiPriority w:val="30"/>
    <w:name w:val="Intense Quote Char"/>
    <w:basedOn w:val="DefaultParagraphFont"/>
    <w:link w:val="IntenseQuote"/>
    <w:rsid w:val="73D6726A"/>
    <w:rPr>
      <w:i w:val="1"/>
      <w:iCs w:val="1"/>
      <w:noProof w:val="0"/>
      <w:color w:val="4472C4" w:themeColor="accent1" w:themeTint="FF" w:themeShade="FF"/>
      <w:lang w:val="en-GB"/>
    </w:rPr>
  </w:style>
  <w:style w:type="paragraph" w:styleId="TOC1">
    <w:uiPriority w:val="39"/>
    <w:name w:val="toc 1"/>
    <w:basedOn w:val="Normal"/>
    <w:next w:val="Normal"/>
    <w:unhideWhenUsed/>
    <w:rsid w:val="73D6726A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73D6726A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73D6726A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73D6726A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73D6726A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73D6726A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73D6726A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73D6726A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73D6726A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73D6726A"/>
    <w:rPr>
      <w:sz w:val="20"/>
      <w:szCs w:val="20"/>
    </w:rPr>
    <w:pPr>
      <w:spacing w:after="0"/>
    </w:pPr>
  </w:style>
  <w:style w:type="character" w:styleId="EndnoteTextChar" w:customStyle="true">
    <w:uiPriority w:val="99"/>
    <w:name w:val="Endnote Text Char"/>
    <w:basedOn w:val="DefaultParagraphFont"/>
    <w:semiHidden/>
    <w:link w:val="EndnoteText"/>
    <w:rsid w:val="73D6726A"/>
    <w:rPr>
      <w:noProof w:val="0"/>
      <w:sz w:val="20"/>
      <w:szCs w:val="20"/>
      <w:lang w:val="en-GB"/>
    </w:rPr>
  </w:style>
  <w:style w:type="paragraph" w:styleId="Footer">
    <w:uiPriority w:val="99"/>
    <w:name w:val="footer"/>
    <w:basedOn w:val="Normal"/>
    <w:unhideWhenUsed/>
    <w:link w:val="FooterChar"/>
    <w:rsid w:val="73D6726A"/>
    <w:pPr>
      <w:tabs>
        <w:tab w:val="center" w:leader="none" w:pos="4680"/>
        <w:tab w:val="right" w:leader="none" w:pos="9360"/>
      </w:tabs>
      <w:spacing w:after="0"/>
    </w:pPr>
  </w:style>
  <w:style w:type="character" w:styleId="FooterChar" w:customStyle="true">
    <w:uiPriority w:val="99"/>
    <w:name w:val="Footer Char"/>
    <w:basedOn w:val="DefaultParagraphFont"/>
    <w:link w:val="Footer"/>
    <w:rsid w:val="73D6726A"/>
    <w:rPr>
      <w:noProof w:val="0"/>
      <w:lang w:val="en-GB"/>
    </w:rPr>
  </w:style>
  <w:style w:type="paragraph" w:styleId="FootnoteText">
    <w:uiPriority w:val="99"/>
    <w:name w:val="footnote text"/>
    <w:basedOn w:val="Normal"/>
    <w:semiHidden/>
    <w:unhideWhenUsed/>
    <w:link w:val="FootnoteTextChar"/>
    <w:rsid w:val="73D6726A"/>
    <w:rPr>
      <w:sz w:val="20"/>
      <w:szCs w:val="20"/>
    </w:rPr>
    <w:pPr>
      <w:spacing w:after="0"/>
    </w:pPr>
  </w:style>
  <w:style w:type="character" w:styleId="FootnoteTextChar" w:customStyle="true">
    <w:uiPriority w:val="99"/>
    <w:name w:val="Footnote Text Char"/>
    <w:basedOn w:val="DefaultParagraphFont"/>
    <w:semiHidden/>
    <w:link w:val="FootnoteText"/>
    <w:rsid w:val="73D6726A"/>
    <w:rPr>
      <w:noProof w:val="0"/>
      <w:sz w:val="20"/>
      <w:szCs w:val="20"/>
      <w:lang w:val="en-GB"/>
    </w:rPr>
  </w:style>
  <w:style w:type="paragraph" w:styleId="Header">
    <w:uiPriority w:val="99"/>
    <w:name w:val="header"/>
    <w:basedOn w:val="Normal"/>
    <w:unhideWhenUsed/>
    <w:link w:val="HeaderChar"/>
    <w:rsid w:val="73D6726A"/>
    <w:pPr>
      <w:tabs>
        <w:tab w:val="center" w:leader="none" w:pos="4680"/>
        <w:tab w:val="right" w:leader="none" w:pos="9360"/>
      </w:tabs>
      <w:spacing w:after="0"/>
    </w:pPr>
  </w:style>
  <w:style w:type="character" w:styleId="HeaderChar" w:customStyle="true">
    <w:uiPriority w:val="99"/>
    <w:name w:val="Header Char"/>
    <w:basedOn w:val="DefaultParagraphFont"/>
    <w:link w:val="Header"/>
    <w:rsid w:val="73D6726A"/>
    <w:rPr>
      <w:noProof w:val="0"/>
      <w:lang w:val="en-GB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cambridge.org/core/books/crime-reason-and-history/58E0E135465FCCDA979103F95E8884DB" TargetMode="External" Id="R7728c70d7d57461e" /><Relationship Type="http://schemas.openxmlformats.org/officeDocument/2006/relationships/hyperlink" Target="https://www.legislation.gov.uk/ukpga/2009/25/part/2/chapter/1/crossheading/partial-defence-to-murder-loss-of-control" TargetMode="External" Id="R5a95d51595d04165" /><Relationship Type="http://schemas.openxmlformats.org/officeDocument/2006/relationships/hyperlink" Target="https://www.cps.gov.uk/legal-guidance/offences-against-person-incorporating-charging-standard" TargetMode="External" Id="R01c2af582ebe4418" /><Relationship Type="http://schemas.openxmlformats.org/officeDocument/2006/relationships/hyperlink" Target="https://www.legislation.gov.uk/ukpga/1981/47" TargetMode="External" Id="Rc48ad06ac9d348a7" /><Relationship Type="http://schemas.openxmlformats.org/officeDocument/2006/relationships/hyperlink" Target="https://www.legislation.gov.uk/ukpga/2009/25/notes/division/5/1/2/1/4?view=plain" TargetMode="External" Id="Rfe570535fe7b4a9a" /><Relationship Type="http://schemas.openxmlformats.org/officeDocument/2006/relationships/hyperlink" Target="https://www.legislation.gov.uk/ukpga/Eliz2/5-6/11/contents" TargetMode="External" Id="R6d5a5d10eeb644fa" /><Relationship Type="http://schemas.openxmlformats.org/officeDocument/2006/relationships/hyperlink" Target="https://doi.org/10.1017/S0008197300005341" TargetMode="External" Id="R2fb94f4ae75b460b" /><Relationship Type="http://schemas.openxmlformats.org/officeDocument/2006/relationships/hyperlink" Target="https://doi.org/10.1017/CBO9781139031851.017" TargetMode="External" Id="Rf51d97d03176455e" /><Relationship Type="http://schemas.openxmlformats.org/officeDocument/2006/relationships/hyperlink" Target="https://www.legislation.gov.uk/ukpga/Vict/24-25/100/section/20" TargetMode="External" Id="R591659a2e5f14637" /><Relationship Type="http://schemas.openxmlformats.org/officeDocument/2006/relationships/hyperlink" Target="https://doi.org/10.1177/0022018315574819" TargetMode="External" Id="R04d96ff606554ec7" /><Relationship Type="http://schemas.openxmlformats.org/officeDocument/2006/relationships/hyperlink" Target="https://doi.org/10.1350/1740-5580-78.3.214" TargetMode="External" Id="Rb807407185874940" /><Relationship Type="http://schemas.openxmlformats.org/officeDocument/2006/relationships/hyperlink" Target="https://www.stuartmillersolicitors.co.uk/a-guide-to-attempted-murder-defences/" TargetMode="External" Id="R0c1337567c274459" /><Relationship Type="http://schemas.microsoft.com/office/2020/10/relationships/intelligence" Target="intelligence2.xml" Id="R0b76e7d15e48462e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2024-01-04T21:54:41.5817324Z</dcterms:created>
  <dcterms:modified xsi:type="dcterms:W3CDTF">2024-01-12T20:13:43.8470497Z</dcterms:modified>
  <dc:creator>Ryan Thomas (2204305)</dc:creator>
  <lastModifiedBy>Ryan Thomas (2204305)</lastModifiedBy>
</coreProperties>
</file>