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C99E8" w14:textId="5E32877B" w:rsidR="00397FFE" w:rsidRPr="00A774D2" w:rsidRDefault="00397FFE" w:rsidP="00E53C6E">
      <w:pPr>
        <w:jc w:val="center"/>
        <w:rPr>
          <w:rFonts w:ascii="Arial" w:hAnsi="Arial" w:cs="Arial"/>
          <w:b/>
          <w:bCs/>
          <w:sz w:val="40"/>
          <w:szCs w:val="40"/>
        </w:rPr>
      </w:pPr>
      <w:r w:rsidRPr="00A774D2">
        <w:rPr>
          <w:rFonts w:ascii="Arial" w:hAnsi="Arial" w:cs="Arial"/>
          <w:b/>
          <w:bCs/>
          <w:sz w:val="40"/>
          <w:szCs w:val="40"/>
        </w:rPr>
        <w:t>BA</w:t>
      </w:r>
      <w:r>
        <w:rPr>
          <w:rFonts w:ascii="Arial" w:hAnsi="Arial" w:cs="Arial"/>
          <w:b/>
          <w:bCs/>
          <w:sz w:val="40"/>
          <w:szCs w:val="40"/>
        </w:rPr>
        <w:t xml:space="preserve"> (Hons)</w:t>
      </w:r>
      <w:r w:rsidRPr="00A774D2">
        <w:rPr>
          <w:rFonts w:ascii="Arial" w:hAnsi="Arial" w:cs="Arial"/>
          <w:b/>
          <w:bCs/>
          <w:sz w:val="40"/>
          <w:szCs w:val="40"/>
        </w:rPr>
        <w:t xml:space="preserve"> International Hotel Management</w:t>
      </w:r>
    </w:p>
    <w:p w14:paraId="76D91645" w14:textId="77777777" w:rsidR="00397FFE" w:rsidRDefault="00397FFE" w:rsidP="00397FFE">
      <w:pPr>
        <w:jc w:val="center"/>
        <w:rPr>
          <w:rFonts w:ascii="Arial" w:hAnsi="Arial" w:cs="Arial"/>
          <w:b/>
          <w:bCs/>
          <w:sz w:val="32"/>
          <w:szCs w:val="32"/>
        </w:rPr>
      </w:pPr>
    </w:p>
    <w:p w14:paraId="5D8E4D6B" w14:textId="77777777" w:rsidR="00C36ECB" w:rsidRDefault="00C36ECB" w:rsidP="00397FFE">
      <w:pPr>
        <w:jc w:val="center"/>
        <w:rPr>
          <w:rFonts w:ascii="Arial" w:hAnsi="Arial" w:cs="Arial"/>
          <w:b/>
          <w:bCs/>
          <w:sz w:val="32"/>
          <w:szCs w:val="32"/>
        </w:rPr>
      </w:pPr>
    </w:p>
    <w:p w14:paraId="01384FBA" w14:textId="327F6D3B" w:rsidR="00397FFE" w:rsidRPr="00A774D2" w:rsidRDefault="00397FFE" w:rsidP="00397FFE">
      <w:pPr>
        <w:jc w:val="center"/>
        <w:rPr>
          <w:rFonts w:ascii="Arial" w:hAnsi="Arial" w:cs="Arial"/>
          <w:b/>
          <w:bCs/>
          <w:sz w:val="32"/>
          <w:szCs w:val="32"/>
        </w:rPr>
      </w:pPr>
      <w:r w:rsidRPr="00A774D2">
        <w:rPr>
          <w:rFonts w:ascii="Arial" w:hAnsi="Arial" w:cs="Arial"/>
          <w:b/>
          <w:bCs/>
          <w:sz w:val="32"/>
          <w:szCs w:val="32"/>
        </w:rPr>
        <w:t>Module Title: Financial Management for the Hotel Industry</w:t>
      </w:r>
    </w:p>
    <w:p w14:paraId="68575362" w14:textId="77777777" w:rsidR="00397FFE" w:rsidRPr="00A774D2" w:rsidRDefault="00397FFE" w:rsidP="00397FFE">
      <w:pPr>
        <w:rPr>
          <w:rFonts w:ascii="Arial" w:hAnsi="Arial" w:cs="Arial"/>
          <w:sz w:val="36"/>
          <w:szCs w:val="36"/>
        </w:rPr>
      </w:pPr>
      <w:r>
        <w:rPr>
          <w:rFonts w:ascii="Arial" w:hAnsi="Arial" w:cs="Arial"/>
          <w:sz w:val="36"/>
          <w:szCs w:val="36"/>
        </w:rPr>
        <w:t xml:space="preserve">                                   </w:t>
      </w:r>
      <w:r w:rsidRPr="00963054">
        <w:rPr>
          <w:rFonts w:ascii="Arial" w:hAnsi="Arial" w:cs="Arial"/>
          <w:b/>
          <w:bCs/>
          <w:sz w:val="36"/>
          <w:szCs w:val="36"/>
        </w:rPr>
        <w:t xml:space="preserve"> Code</w:t>
      </w:r>
      <w:r w:rsidRPr="00780D77">
        <w:rPr>
          <w:rFonts w:ascii="Arial" w:hAnsi="Arial" w:cs="Arial"/>
          <w:sz w:val="36"/>
          <w:szCs w:val="36"/>
        </w:rPr>
        <w:t>: BMIH5007</w:t>
      </w:r>
    </w:p>
    <w:p w14:paraId="7CC1F8DB" w14:textId="77777777" w:rsidR="00C36ECB" w:rsidRDefault="00C36ECB" w:rsidP="00397FFE">
      <w:pPr>
        <w:jc w:val="center"/>
        <w:rPr>
          <w:rFonts w:ascii="Arial" w:hAnsi="Arial" w:cs="Arial"/>
          <w:sz w:val="40"/>
        </w:rPr>
      </w:pPr>
    </w:p>
    <w:p w14:paraId="1EC63DF5" w14:textId="77777777" w:rsidR="00C36ECB" w:rsidRDefault="00C36ECB" w:rsidP="00C36ECB">
      <w:pPr>
        <w:rPr>
          <w:rFonts w:ascii="Arial" w:hAnsi="Arial" w:cs="Arial"/>
          <w:sz w:val="40"/>
        </w:rPr>
      </w:pPr>
    </w:p>
    <w:p w14:paraId="7926B502" w14:textId="191A3DEC" w:rsidR="00397FFE" w:rsidRPr="00176312" w:rsidRDefault="00397FFE" w:rsidP="00C36ECB">
      <w:pPr>
        <w:jc w:val="center"/>
        <w:rPr>
          <w:rFonts w:ascii="Arial" w:hAnsi="Arial" w:cs="Arial"/>
          <w:sz w:val="40"/>
        </w:rPr>
      </w:pPr>
      <w:r>
        <w:rPr>
          <w:rFonts w:ascii="Arial" w:hAnsi="Arial" w:cs="Arial"/>
          <w:sz w:val="40"/>
        </w:rPr>
        <w:t xml:space="preserve">Title: </w:t>
      </w:r>
      <w:r w:rsidRPr="00176312">
        <w:rPr>
          <w:rFonts w:ascii="Arial" w:hAnsi="Arial" w:cs="Arial"/>
          <w:sz w:val="40"/>
        </w:rPr>
        <w:t>Comparison of Corinthia and Ibis Hotels</w:t>
      </w:r>
    </w:p>
    <w:p w14:paraId="5CFB144C" w14:textId="77777777" w:rsidR="00397FFE" w:rsidRDefault="00397FFE" w:rsidP="00397FFE">
      <w:pPr>
        <w:spacing w:line="259" w:lineRule="auto"/>
        <w:jc w:val="left"/>
        <w:rPr>
          <w:rFonts w:ascii="Arial" w:hAnsi="Arial" w:cs="Arial"/>
        </w:rPr>
      </w:pPr>
    </w:p>
    <w:p w14:paraId="27468A24" w14:textId="77777777" w:rsidR="00397FFE" w:rsidRPr="00A774D2" w:rsidRDefault="00397FFE" w:rsidP="00397FFE">
      <w:pPr>
        <w:spacing w:line="480" w:lineRule="auto"/>
        <w:jc w:val="center"/>
        <w:rPr>
          <w:rFonts w:ascii="Arial" w:hAnsi="Arial" w:cs="Arial"/>
          <w:sz w:val="32"/>
          <w:szCs w:val="32"/>
        </w:rPr>
      </w:pPr>
      <w:r w:rsidRPr="00A774D2">
        <w:rPr>
          <w:rFonts w:ascii="Arial" w:hAnsi="Arial" w:cs="Arial"/>
          <w:sz w:val="32"/>
          <w:szCs w:val="32"/>
        </w:rPr>
        <w:t xml:space="preserve">Student name: </w:t>
      </w:r>
      <w:r w:rsidRPr="00963054">
        <w:rPr>
          <w:rFonts w:ascii="Arial" w:hAnsi="Arial" w:cs="Arial"/>
          <w:sz w:val="32"/>
          <w:szCs w:val="32"/>
        </w:rPr>
        <w:t>Mohamm</w:t>
      </w:r>
      <w:r>
        <w:rPr>
          <w:rFonts w:ascii="Arial" w:hAnsi="Arial" w:cs="Arial"/>
          <w:sz w:val="32"/>
          <w:szCs w:val="32"/>
        </w:rPr>
        <w:t>e</w:t>
      </w:r>
      <w:r w:rsidRPr="00963054">
        <w:rPr>
          <w:rFonts w:ascii="Arial" w:hAnsi="Arial" w:cs="Arial"/>
          <w:sz w:val="32"/>
          <w:szCs w:val="32"/>
        </w:rPr>
        <w:t>d Somru Miah</w:t>
      </w:r>
    </w:p>
    <w:p w14:paraId="582E5B72" w14:textId="77777777" w:rsidR="00397FFE" w:rsidRPr="00A774D2" w:rsidRDefault="00397FFE" w:rsidP="00397FFE">
      <w:pPr>
        <w:spacing w:before="40" w:after="40" w:line="480" w:lineRule="auto"/>
        <w:jc w:val="center"/>
        <w:rPr>
          <w:rFonts w:ascii="Arial" w:hAnsi="Arial" w:cs="Arial"/>
          <w:sz w:val="32"/>
          <w:szCs w:val="32"/>
        </w:rPr>
      </w:pPr>
      <w:r w:rsidRPr="00A774D2">
        <w:rPr>
          <w:rFonts w:ascii="Arial" w:hAnsi="Arial" w:cs="Arial"/>
          <w:sz w:val="32"/>
          <w:szCs w:val="32"/>
        </w:rPr>
        <w:t xml:space="preserve">Student ID: </w:t>
      </w:r>
      <w:r>
        <w:rPr>
          <w:rFonts w:ascii="Arial" w:hAnsi="Arial" w:cs="Arial"/>
          <w:sz w:val="32"/>
          <w:szCs w:val="32"/>
        </w:rPr>
        <w:t>2129682</w:t>
      </w:r>
    </w:p>
    <w:p w14:paraId="0577127D" w14:textId="77777777" w:rsidR="00397FFE" w:rsidRDefault="00397FFE" w:rsidP="00397FFE">
      <w:pPr>
        <w:spacing w:line="480" w:lineRule="auto"/>
        <w:jc w:val="center"/>
        <w:rPr>
          <w:rFonts w:ascii="Arial" w:hAnsi="Arial" w:cs="Arial"/>
          <w:sz w:val="32"/>
          <w:szCs w:val="32"/>
        </w:rPr>
      </w:pPr>
      <w:r w:rsidRPr="00A774D2">
        <w:rPr>
          <w:rFonts w:ascii="Arial" w:hAnsi="Arial" w:cs="Arial"/>
          <w:sz w:val="32"/>
          <w:szCs w:val="32"/>
        </w:rPr>
        <w:t>Lecturer Name: Tristan Hawkins</w:t>
      </w:r>
    </w:p>
    <w:p w14:paraId="49FC9679" w14:textId="7AD6AF91" w:rsidR="00397FFE" w:rsidRDefault="00397FFE" w:rsidP="00C36ECB">
      <w:pPr>
        <w:spacing w:line="480" w:lineRule="auto"/>
        <w:jc w:val="center"/>
        <w:rPr>
          <w:rFonts w:ascii="Arial" w:hAnsi="Arial" w:cs="Arial"/>
          <w:sz w:val="32"/>
          <w:szCs w:val="32"/>
        </w:rPr>
      </w:pPr>
      <w:r>
        <w:rPr>
          <w:rFonts w:ascii="Arial" w:hAnsi="Arial" w:cs="Arial"/>
          <w:sz w:val="32"/>
          <w:szCs w:val="32"/>
        </w:rPr>
        <w:t>Word count:</w:t>
      </w:r>
      <w:r w:rsidR="00051407">
        <w:rPr>
          <w:rFonts w:ascii="Arial" w:hAnsi="Arial" w:cs="Arial"/>
          <w:sz w:val="32"/>
          <w:szCs w:val="32"/>
        </w:rPr>
        <w:t xml:space="preserve"> 2185</w:t>
      </w:r>
    </w:p>
    <w:p w14:paraId="5443E54B" w14:textId="3FBAD963" w:rsidR="00680519" w:rsidRDefault="00680519" w:rsidP="00680519">
      <w:pPr>
        <w:spacing w:line="259" w:lineRule="auto"/>
        <w:jc w:val="left"/>
        <w:rPr>
          <w:rFonts w:ascii="Arial" w:eastAsiaTheme="majorEastAsia" w:hAnsi="Arial" w:cs="Arial"/>
          <w:b/>
          <w:sz w:val="32"/>
          <w:szCs w:val="32"/>
          <w:lang w:val="en-US"/>
        </w:rPr>
      </w:pPr>
    </w:p>
    <w:p w14:paraId="46954F14" w14:textId="77777777" w:rsidR="00017C15" w:rsidRDefault="00017C15" w:rsidP="00680519">
      <w:pPr>
        <w:spacing w:line="259" w:lineRule="auto"/>
        <w:jc w:val="left"/>
        <w:rPr>
          <w:rFonts w:ascii="Arial" w:eastAsiaTheme="majorEastAsia" w:hAnsi="Arial" w:cs="Arial"/>
          <w:b/>
          <w:sz w:val="32"/>
          <w:szCs w:val="32"/>
          <w:lang w:val="en-US"/>
        </w:rPr>
      </w:pPr>
    </w:p>
    <w:p w14:paraId="1A011947" w14:textId="77777777" w:rsidR="00E53C6E" w:rsidRDefault="00E53C6E" w:rsidP="00017C15">
      <w:pPr>
        <w:jc w:val="center"/>
        <w:rPr>
          <w:rFonts w:ascii="Arial" w:hAnsi="Arial" w:cs="Arial"/>
          <w:b/>
          <w:sz w:val="32"/>
          <w:szCs w:val="32"/>
        </w:rPr>
      </w:pPr>
    </w:p>
    <w:p w14:paraId="2BC39C59" w14:textId="77777777" w:rsidR="00E53C6E" w:rsidRDefault="00E53C6E" w:rsidP="00017C15">
      <w:pPr>
        <w:jc w:val="center"/>
        <w:rPr>
          <w:rFonts w:ascii="Arial" w:hAnsi="Arial" w:cs="Arial"/>
          <w:b/>
          <w:sz w:val="32"/>
          <w:szCs w:val="32"/>
        </w:rPr>
      </w:pPr>
    </w:p>
    <w:p w14:paraId="4EE1C9D3" w14:textId="061697A1" w:rsidR="00017C15" w:rsidRPr="009A3B8B" w:rsidRDefault="00017C15" w:rsidP="00E53C6E">
      <w:pPr>
        <w:jc w:val="center"/>
        <w:rPr>
          <w:rFonts w:ascii="Arial" w:hAnsi="Arial" w:cs="Arial"/>
          <w:b/>
          <w:sz w:val="32"/>
          <w:szCs w:val="32"/>
        </w:rPr>
      </w:pPr>
      <w:r w:rsidRPr="009A3B8B">
        <w:rPr>
          <w:rFonts w:ascii="Arial" w:hAnsi="Arial" w:cs="Arial"/>
          <w:b/>
          <w:sz w:val="32"/>
          <w:szCs w:val="32"/>
        </w:rPr>
        <w:lastRenderedPageBreak/>
        <w:t>Executive Summary</w:t>
      </w:r>
    </w:p>
    <w:p w14:paraId="470878B2" w14:textId="77777777" w:rsidR="00017C15" w:rsidRPr="009A3B8B" w:rsidRDefault="00017C15" w:rsidP="00017C15">
      <w:pPr>
        <w:rPr>
          <w:rFonts w:ascii="Arial" w:hAnsi="Arial" w:cs="Arial"/>
        </w:rPr>
      </w:pPr>
      <w:r w:rsidRPr="009A3B8B">
        <w:rPr>
          <w:rFonts w:ascii="Arial" w:hAnsi="Arial" w:cs="Arial"/>
        </w:rPr>
        <w:t>Financial management and operations of Corinthia Hotel Group and Ibis Hotels, two of the most successful hospitality brands, are examined in this report. The 1962-founded Corinthia Hotel Group has luxurious accommodations, whereas the 1974-founded Ibis Hotels provide cheaper ones. The report examines revenue, market position, growth, and CSR financial commitment. Corinthia earned 300 million euros in 2022 from premium services, proving its financial strength (Corinthia Group, 2023). Ibis Hotels, with 200 million euros in revenue, targets poor customers. Both organizations use accrual accounting, but market strategies and financial controls differ. Corinthia's complicated financial methods support its high-end market, whereas Ibis' straightforward accounting standards meet its budget-friendly strategy. Strategic investments, marketing, and sustainable practises can enhance growth and CSR for both brands.</w:t>
      </w:r>
    </w:p>
    <w:p w14:paraId="5F691291" w14:textId="77777777" w:rsidR="00017C15" w:rsidRDefault="00017C15" w:rsidP="00680519">
      <w:pPr>
        <w:spacing w:line="259" w:lineRule="auto"/>
        <w:jc w:val="left"/>
        <w:rPr>
          <w:rFonts w:ascii="Arial" w:eastAsiaTheme="majorEastAsia" w:hAnsi="Arial" w:cs="Arial"/>
          <w:b/>
          <w:sz w:val="32"/>
          <w:szCs w:val="32"/>
          <w:lang w:val="en-US"/>
        </w:rPr>
      </w:pPr>
    </w:p>
    <w:p w14:paraId="073448CB" w14:textId="77777777" w:rsidR="00017C15" w:rsidRDefault="00017C15" w:rsidP="00680519">
      <w:pPr>
        <w:spacing w:line="259" w:lineRule="auto"/>
        <w:jc w:val="left"/>
        <w:rPr>
          <w:rFonts w:ascii="Arial" w:eastAsiaTheme="majorEastAsia" w:hAnsi="Arial" w:cs="Arial"/>
          <w:b/>
          <w:sz w:val="32"/>
          <w:szCs w:val="32"/>
          <w:lang w:val="en-US"/>
        </w:rPr>
      </w:pPr>
    </w:p>
    <w:p w14:paraId="5C17CA26" w14:textId="77777777" w:rsidR="00017C15" w:rsidRDefault="00017C15" w:rsidP="00680519">
      <w:pPr>
        <w:spacing w:line="259" w:lineRule="auto"/>
        <w:jc w:val="left"/>
        <w:rPr>
          <w:rFonts w:ascii="Arial" w:eastAsiaTheme="majorEastAsia" w:hAnsi="Arial" w:cs="Arial"/>
          <w:b/>
          <w:sz w:val="32"/>
          <w:szCs w:val="32"/>
          <w:lang w:val="en-US"/>
        </w:rPr>
      </w:pPr>
    </w:p>
    <w:p w14:paraId="4A69F58A" w14:textId="77777777" w:rsidR="00017C15" w:rsidRDefault="00017C15" w:rsidP="00680519">
      <w:pPr>
        <w:spacing w:line="259" w:lineRule="auto"/>
        <w:jc w:val="left"/>
        <w:rPr>
          <w:rFonts w:ascii="Arial" w:eastAsiaTheme="majorEastAsia" w:hAnsi="Arial" w:cs="Arial"/>
          <w:b/>
          <w:sz w:val="32"/>
          <w:szCs w:val="32"/>
          <w:lang w:val="en-US"/>
        </w:rPr>
      </w:pPr>
    </w:p>
    <w:p w14:paraId="61D5D1A1" w14:textId="77777777" w:rsidR="00017C15" w:rsidRDefault="00017C15" w:rsidP="00680519">
      <w:pPr>
        <w:spacing w:line="259" w:lineRule="auto"/>
        <w:jc w:val="left"/>
        <w:rPr>
          <w:rFonts w:ascii="Arial" w:eastAsiaTheme="majorEastAsia" w:hAnsi="Arial" w:cs="Arial"/>
          <w:b/>
          <w:sz w:val="32"/>
          <w:szCs w:val="32"/>
          <w:lang w:val="en-US"/>
        </w:rPr>
      </w:pPr>
    </w:p>
    <w:p w14:paraId="111444B5" w14:textId="77777777" w:rsidR="00017C15" w:rsidRDefault="00017C15" w:rsidP="00680519">
      <w:pPr>
        <w:spacing w:line="259" w:lineRule="auto"/>
        <w:jc w:val="left"/>
        <w:rPr>
          <w:rFonts w:ascii="Arial" w:eastAsiaTheme="majorEastAsia" w:hAnsi="Arial" w:cs="Arial"/>
          <w:b/>
          <w:sz w:val="32"/>
          <w:szCs w:val="32"/>
          <w:lang w:val="en-US"/>
        </w:rPr>
      </w:pPr>
    </w:p>
    <w:p w14:paraId="7CBD76F2" w14:textId="77777777" w:rsidR="00017C15" w:rsidRDefault="00017C15" w:rsidP="00680519">
      <w:pPr>
        <w:spacing w:line="259" w:lineRule="auto"/>
        <w:jc w:val="left"/>
        <w:rPr>
          <w:rFonts w:ascii="Arial" w:eastAsiaTheme="majorEastAsia" w:hAnsi="Arial" w:cs="Arial"/>
          <w:b/>
          <w:sz w:val="32"/>
          <w:szCs w:val="32"/>
          <w:lang w:val="en-US"/>
        </w:rPr>
      </w:pPr>
    </w:p>
    <w:p w14:paraId="28F4135E" w14:textId="77777777" w:rsidR="00017C15" w:rsidRDefault="00017C15" w:rsidP="00680519">
      <w:pPr>
        <w:spacing w:line="259" w:lineRule="auto"/>
        <w:jc w:val="left"/>
        <w:rPr>
          <w:rFonts w:ascii="Arial" w:eastAsiaTheme="majorEastAsia" w:hAnsi="Arial" w:cs="Arial"/>
          <w:b/>
          <w:sz w:val="32"/>
          <w:szCs w:val="32"/>
          <w:lang w:val="en-US"/>
        </w:rPr>
      </w:pPr>
    </w:p>
    <w:p w14:paraId="58E9CE1C" w14:textId="77777777" w:rsidR="00017C15" w:rsidRDefault="00017C15" w:rsidP="00680519">
      <w:pPr>
        <w:spacing w:line="259" w:lineRule="auto"/>
        <w:jc w:val="left"/>
        <w:rPr>
          <w:rFonts w:ascii="Arial" w:eastAsiaTheme="majorEastAsia" w:hAnsi="Arial" w:cs="Arial"/>
          <w:b/>
          <w:sz w:val="32"/>
          <w:szCs w:val="32"/>
          <w:lang w:val="en-US"/>
        </w:rPr>
      </w:pPr>
    </w:p>
    <w:p w14:paraId="1AF0CDC0" w14:textId="77777777" w:rsidR="00017C15" w:rsidRDefault="00017C15" w:rsidP="00680519">
      <w:pPr>
        <w:spacing w:line="259" w:lineRule="auto"/>
        <w:jc w:val="left"/>
        <w:rPr>
          <w:rFonts w:ascii="Arial" w:eastAsiaTheme="majorEastAsia" w:hAnsi="Arial" w:cs="Arial"/>
          <w:b/>
          <w:sz w:val="32"/>
          <w:szCs w:val="32"/>
          <w:lang w:val="en-US"/>
        </w:rPr>
      </w:pPr>
    </w:p>
    <w:p w14:paraId="041BBA83" w14:textId="77777777" w:rsidR="00017C15" w:rsidRDefault="00017C15" w:rsidP="00680519">
      <w:pPr>
        <w:spacing w:line="259" w:lineRule="auto"/>
        <w:jc w:val="left"/>
        <w:rPr>
          <w:rFonts w:ascii="Arial" w:eastAsiaTheme="majorEastAsia" w:hAnsi="Arial" w:cs="Arial"/>
          <w:b/>
          <w:sz w:val="32"/>
          <w:szCs w:val="32"/>
          <w:lang w:val="en-US"/>
        </w:rPr>
      </w:pPr>
    </w:p>
    <w:p w14:paraId="792B2492" w14:textId="77777777" w:rsidR="00017C15" w:rsidRDefault="00017C15" w:rsidP="00680519">
      <w:pPr>
        <w:spacing w:line="259" w:lineRule="auto"/>
        <w:jc w:val="left"/>
        <w:rPr>
          <w:rFonts w:ascii="Arial" w:eastAsiaTheme="majorEastAsia" w:hAnsi="Arial" w:cs="Arial"/>
          <w:b/>
          <w:sz w:val="32"/>
          <w:szCs w:val="32"/>
          <w:lang w:val="en-US"/>
        </w:rPr>
      </w:pPr>
    </w:p>
    <w:p w14:paraId="7D4A754E" w14:textId="77777777" w:rsidR="00017C15" w:rsidRPr="00CB5F71" w:rsidRDefault="00017C15" w:rsidP="00680519">
      <w:pPr>
        <w:spacing w:line="259" w:lineRule="auto"/>
        <w:jc w:val="left"/>
        <w:rPr>
          <w:rFonts w:ascii="Arial" w:eastAsiaTheme="majorEastAsia" w:hAnsi="Arial" w:cs="Arial"/>
          <w:b/>
          <w:sz w:val="32"/>
          <w:szCs w:val="32"/>
          <w:lang w:val="en-US"/>
        </w:rPr>
      </w:pPr>
    </w:p>
    <w:sdt>
      <w:sdtPr>
        <w:rPr>
          <w:rFonts w:ascii="Arial" w:eastAsiaTheme="minorHAnsi" w:hAnsi="Arial" w:cs="Arial"/>
          <w:color w:val="auto"/>
          <w:sz w:val="24"/>
          <w:szCs w:val="22"/>
          <w:lang w:val="en-GB"/>
        </w:rPr>
        <w:id w:val="-1436830512"/>
        <w:docPartObj>
          <w:docPartGallery w:val="Table of Contents"/>
          <w:docPartUnique/>
        </w:docPartObj>
      </w:sdtPr>
      <w:sdtEndPr>
        <w:rPr>
          <w:b/>
          <w:bCs/>
          <w:noProof/>
        </w:rPr>
      </w:sdtEndPr>
      <w:sdtContent>
        <w:p w14:paraId="4BC05B44" w14:textId="77777777" w:rsidR="00680519" w:rsidRPr="00CB5F71" w:rsidRDefault="00680519" w:rsidP="00680519">
          <w:pPr>
            <w:pStyle w:val="TOCHeading"/>
            <w:jc w:val="center"/>
            <w:rPr>
              <w:rFonts w:ascii="Arial" w:hAnsi="Arial" w:cs="Arial"/>
              <w:b/>
              <w:color w:val="auto"/>
            </w:rPr>
          </w:pPr>
          <w:r w:rsidRPr="00CB5F71">
            <w:rPr>
              <w:rFonts w:ascii="Arial" w:hAnsi="Arial" w:cs="Arial"/>
              <w:b/>
              <w:color w:val="auto"/>
            </w:rPr>
            <w:t>Table of Contents</w:t>
          </w:r>
        </w:p>
        <w:p w14:paraId="2D7A248F" w14:textId="3B2C4387" w:rsidR="00680519" w:rsidRPr="00017C15" w:rsidRDefault="00680519" w:rsidP="00680519">
          <w:pPr>
            <w:pStyle w:val="TOC1"/>
            <w:tabs>
              <w:tab w:val="right" w:leader="dot" w:pos="9350"/>
            </w:tabs>
            <w:rPr>
              <w:rFonts w:ascii="Arial" w:eastAsiaTheme="minorEastAsia" w:hAnsi="Arial" w:cs="Arial"/>
              <w:noProof/>
              <w:sz w:val="22"/>
              <w:lang w:val="en-US"/>
            </w:rPr>
          </w:pPr>
          <w:r w:rsidRPr="00CB5F71">
            <w:rPr>
              <w:rFonts w:ascii="Arial" w:hAnsi="Arial" w:cs="Arial"/>
            </w:rPr>
            <w:fldChar w:fldCharType="begin"/>
          </w:r>
          <w:r w:rsidRPr="00CB5F71">
            <w:rPr>
              <w:rFonts w:ascii="Arial" w:hAnsi="Arial" w:cs="Arial"/>
            </w:rPr>
            <w:instrText xml:space="preserve"> TOC \o "1-3" \h \z \u </w:instrText>
          </w:r>
          <w:r w:rsidRPr="00CB5F71">
            <w:rPr>
              <w:rFonts w:ascii="Arial" w:hAnsi="Arial" w:cs="Arial"/>
            </w:rPr>
            <w:fldChar w:fldCharType="separate"/>
          </w:r>
          <w:r w:rsidR="00017C15">
            <w:rPr>
              <w:rFonts w:ascii="Arial" w:hAnsi="Arial" w:cs="Arial"/>
            </w:rPr>
            <w:t>Introduction……………………………………………………………………………………....4</w:t>
          </w:r>
        </w:p>
        <w:p w14:paraId="41D94828" w14:textId="6BA01A4D" w:rsidR="00680519" w:rsidRPr="00CB5F71" w:rsidRDefault="00017C15" w:rsidP="00680519">
          <w:pPr>
            <w:pStyle w:val="TOC1"/>
            <w:tabs>
              <w:tab w:val="right" w:leader="dot" w:pos="9350"/>
            </w:tabs>
            <w:rPr>
              <w:rFonts w:ascii="Arial" w:eastAsiaTheme="minorEastAsia" w:hAnsi="Arial" w:cs="Arial"/>
              <w:noProof/>
              <w:sz w:val="22"/>
              <w:lang w:val="en-US"/>
            </w:rPr>
          </w:pPr>
          <w:r>
            <w:rPr>
              <w:rFonts w:ascii="Arial" w:hAnsi="Arial" w:cs="Arial"/>
              <w:noProof/>
            </w:rPr>
            <w:t>Total Revenue Analysis………………………………………………………………………...5</w:t>
          </w:r>
        </w:p>
        <w:p w14:paraId="47B207F0" w14:textId="35D1D606" w:rsidR="00680519" w:rsidRPr="00E53C6E" w:rsidRDefault="00553EEC" w:rsidP="00680519">
          <w:pPr>
            <w:pStyle w:val="TOC1"/>
            <w:tabs>
              <w:tab w:val="right" w:leader="dot" w:pos="9350"/>
            </w:tabs>
            <w:rPr>
              <w:rFonts w:ascii="Arial" w:eastAsiaTheme="minorEastAsia" w:hAnsi="Arial" w:cs="Arial"/>
              <w:noProof/>
              <w:sz w:val="22"/>
              <w:lang w:val="en-US"/>
            </w:rPr>
          </w:pPr>
          <w:r w:rsidRPr="00553EEC">
            <w:rPr>
              <w:rFonts w:ascii="Arial" w:hAnsi="Arial" w:cs="Arial"/>
            </w:rPr>
            <w:t>Marke</w:t>
          </w:r>
          <w:r>
            <w:rPr>
              <w:rFonts w:ascii="Arial" w:hAnsi="Arial" w:cs="Arial"/>
            </w:rPr>
            <w:t xml:space="preserve">t </w:t>
          </w:r>
          <w:r w:rsidRPr="00553EEC">
            <w:rPr>
              <w:rFonts w:ascii="Arial" w:hAnsi="Arial" w:cs="Arial"/>
            </w:rPr>
            <w:t>position</w:t>
          </w:r>
          <w:r w:rsidR="00017C15">
            <w:t xml:space="preserve"> </w:t>
          </w:r>
          <w:r w:rsidR="00017C15">
            <w:rPr>
              <w:rFonts w:ascii="Arial" w:hAnsi="Arial" w:cs="Arial"/>
            </w:rPr>
            <w:t>Assessment</w:t>
          </w:r>
          <w:r>
            <w:t>……</w:t>
          </w:r>
          <w:r w:rsidR="00017C15">
            <w:t>..</w:t>
          </w:r>
          <w:r>
            <w:t>…………………………………………………………….</w:t>
          </w:r>
          <w:r w:rsidR="00E53C6E">
            <w:rPr>
              <w:rFonts w:ascii="Arial" w:hAnsi="Arial" w:cs="Arial"/>
            </w:rPr>
            <w:t>7</w:t>
          </w:r>
        </w:p>
        <w:p w14:paraId="13E76120" w14:textId="6EEFA82B" w:rsidR="00680519" w:rsidRPr="00017C15" w:rsidRDefault="00017C15" w:rsidP="00680519">
          <w:pPr>
            <w:pStyle w:val="TOC1"/>
            <w:tabs>
              <w:tab w:val="right" w:leader="dot" w:pos="9350"/>
            </w:tabs>
            <w:rPr>
              <w:rFonts w:ascii="Arial" w:eastAsiaTheme="minorEastAsia" w:hAnsi="Arial" w:cs="Arial"/>
              <w:noProof/>
              <w:sz w:val="22"/>
              <w:lang w:val="en-US"/>
            </w:rPr>
          </w:pPr>
          <w:r>
            <w:rPr>
              <w:rFonts w:ascii="Arial" w:hAnsi="Arial" w:cs="Arial"/>
            </w:rPr>
            <w:t>Growth Potential Evaluation……………………………………………………………………9</w:t>
          </w:r>
        </w:p>
        <w:p w14:paraId="2E85C16C" w14:textId="0FD967D9" w:rsidR="00680519" w:rsidRPr="00017C15" w:rsidRDefault="00017C15" w:rsidP="00680519">
          <w:pPr>
            <w:pStyle w:val="TOC1"/>
            <w:tabs>
              <w:tab w:val="right" w:leader="dot" w:pos="9350"/>
            </w:tabs>
            <w:rPr>
              <w:rFonts w:ascii="Arial" w:eastAsiaTheme="minorEastAsia" w:hAnsi="Arial" w:cs="Arial"/>
              <w:noProof/>
              <w:sz w:val="22"/>
              <w:lang w:val="en-US"/>
            </w:rPr>
          </w:pPr>
          <w:r>
            <w:rPr>
              <w:rFonts w:ascii="Arial" w:hAnsi="Arial" w:cs="Arial"/>
            </w:rPr>
            <w:t>Financial Commitment to CSR Analysis…………………………………………………….11</w:t>
          </w:r>
        </w:p>
        <w:p w14:paraId="5C5A19EF" w14:textId="7E8428FF" w:rsidR="00680519" w:rsidRPr="006135B7" w:rsidRDefault="006135B7" w:rsidP="00680519">
          <w:pPr>
            <w:pStyle w:val="TOC1"/>
            <w:tabs>
              <w:tab w:val="right" w:leader="dot" w:pos="9350"/>
            </w:tabs>
            <w:rPr>
              <w:rFonts w:ascii="Arial" w:eastAsiaTheme="minorEastAsia" w:hAnsi="Arial" w:cs="Arial"/>
              <w:noProof/>
              <w:sz w:val="22"/>
              <w:lang w:val="en-US"/>
            </w:rPr>
          </w:pPr>
          <w:r>
            <w:rPr>
              <w:rFonts w:ascii="Arial" w:hAnsi="Arial" w:cs="Arial"/>
            </w:rPr>
            <w:t>Conclusion……………………………………………………………………………………...1</w:t>
          </w:r>
          <w:r w:rsidR="00E53C6E">
            <w:rPr>
              <w:rFonts w:ascii="Arial" w:hAnsi="Arial" w:cs="Arial"/>
            </w:rPr>
            <w:t>2</w:t>
          </w:r>
        </w:p>
        <w:p w14:paraId="07A1CD87" w14:textId="52AA5739" w:rsidR="00680519" w:rsidRPr="006135B7" w:rsidRDefault="006135B7" w:rsidP="00680519">
          <w:pPr>
            <w:pStyle w:val="TOC1"/>
            <w:tabs>
              <w:tab w:val="right" w:leader="dot" w:pos="9350"/>
            </w:tabs>
            <w:rPr>
              <w:rFonts w:ascii="Arial" w:eastAsiaTheme="minorEastAsia" w:hAnsi="Arial" w:cs="Arial"/>
              <w:noProof/>
              <w:sz w:val="22"/>
              <w:lang w:val="en-US"/>
            </w:rPr>
          </w:pPr>
          <w:r>
            <w:rPr>
              <w:rFonts w:ascii="Arial" w:hAnsi="Arial" w:cs="Arial"/>
            </w:rPr>
            <w:t>Recommendations…………………………………………………………………………….1</w:t>
          </w:r>
          <w:r w:rsidR="00E53C6E">
            <w:rPr>
              <w:rFonts w:ascii="Arial" w:hAnsi="Arial" w:cs="Arial"/>
            </w:rPr>
            <w:t>3</w:t>
          </w:r>
        </w:p>
        <w:p w14:paraId="65567681" w14:textId="304B5FF5" w:rsidR="00680519" w:rsidRPr="006135B7" w:rsidRDefault="006135B7" w:rsidP="00680519">
          <w:pPr>
            <w:pStyle w:val="TOC1"/>
            <w:tabs>
              <w:tab w:val="right" w:leader="dot" w:pos="9350"/>
            </w:tabs>
            <w:rPr>
              <w:rFonts w:ascii="Arial" w:eastAsiaTheme="minorEastAsia" w:hAnsi="Arial" w:cs="Arial"/>
              <w:noProof/>
              <w:sz w:val="22"/>
              <w:lang w:val="en-US"/>
            </w:rPr>
          </w:pPr>
          <w:r>
            <w:rPr>
              <w:rFonts w:ascii="Arial" w:hAnsi="Arial" w:cs="Arial"/>
            </w:rPr>
            <w:t>Reference list…………………………………………………………………………………..1</w:t>
          </w:r>
          <w:r w:rsidR="00E53C6E">
            <w:rPr>
              <w:rFonts w:ascii="Arial" w:hAnsi="Arial" w:cs="Arial"/>
            </w:rPr>
            <w:t>4</w:t>
          </w:r>
        </w:p>
        <w:p w14:paraId="4E894994" w14:textId="23B66C64" w:rsidR="000D1A5D" w:rsidRDefault="00680519" w:rsidP="000D1A5D">
          <w:pPr>
            <w:rPr>
              <w:rFonts w:ascii="Arial" w:hAnsi="Arial" w:cs="Arial"/>
            </w:rPr>
          </w:pPr>
          <w:r w:rsidRPr="00CB5F71">
            <w:rPr>
              <w:rFonts w:ascii="Arial" w:hAnsi="Arial" w:cs="Arial"/>
              <w:b/>
              <w:bCs/>
              <w:noProof/>
            </w:rPr>
            <w:fldChar w:fldCharType="end"/>
          </w:r>
        </w:p>
      </w:sdtContent>
    </w:sdt>
    <w:bookmarkStart w:id="0" w:name="_Toc157705265" w:displacedByCustomXml="prev"/>
    <w:p w14:paraId="244C56DB" w14:textId="77777777" w:rsidR="000D1A5D" w:rsidRDefault="000D1A5D" w:rsidP="00680519">
      <w:pPr>
        <w:pStyle w:val="Heading1"/>
        <w:rPr>
          <w:rFonts w:ascii="Arial" w:hAnsi="Arial" w:cs="Arial"/>
        </w:rPr>
      </w:pPr>
    </w:p>
    <w:p w14:paraId="43BA0B4F" w14:textId="77777777" w:rsidR="000D1A5D" w:rsidRDefault="000D1A5D" w:rsidP="00680519">
      <w:pPr>
        <w:pStyle w:val="Heading1"/>
        <w:rPr>
          <w:rFonts w:ascii="Arial" w:hAnsi="Arial" w:cs="Arial"/>
        </w:rPr>
      </w:pPr>
    </w:p>
    <w:p w14:paraId="5A81E642" w14:textId="77777777" w:rsidR="000D1A5D" w:rsidRDefault="000D1A5D" w:rsidP="00680519">
      <w:pPr>
        <w:pStyle w:val="Heading1"/>
        <w:rPr>
          <w:rFonts w:ascii="Arial" w:hAnsi="Arial" w:cs="Arial"/>
        </w:rPr>
      </w:pPr>
    </w:p>
    <w:p w14:paraId="668CDCF6" w14:textId="77777777" w:rsidR="000D1A5D" w:rsidRDefault="000D1A5D" w:rsidP="00680519">
      <w:pPr>
        <w:pStyle w:val="Heading1"/>
        <w:rPr>
          <w:rFonts w:ascii="Arial" w:hAnsi="Arial" w:cs="Arial"/>
        </w:rPr>
      </w:pPr>
    </w:p>
    <w:p w14:paraId="73FAD1C0" w14:textId="0B15DBF8" w:rsidR="00680519" w:rsidRDefault="000D1A5D" w:rsidP="00680519">
      <w:pPr>
        <w:pStyle w:val="Heading1"/>
        <w:rPr>
          <w:rFonts w:ascii="Arial" w:hAnsi="Arial" w:cs="Arial"/>
        </w:rPr>
      </w:pPr>
      <w:r>
        <w:rPr>
          <w:rFonts w:ascii="Arial" w:hAnsi="Arial" w:cs="Arial"/>
        </w:rPr>
        <w:t xml:space="preserve">                                                                                    </w:t>
      </w:r>
      <w:bookmarkEnd w:id="0"/>
    </w:p>
    <w:p w14:paraId="1CB847CD" w14:textId="77777777" w:rsidR="000D1A5D" w:rsidRDefault="000D1A5D" w:rsidP="000D1A5D"/>
    <w:p w14:paraId="02B6A31E" w14:textId="77777777" w:rsidR="000D1A5D" w:rsidRPr="000D1A5D" w:rsidRDefault="000D1A5D" w:rsidP="000D1A5D"/>
    <w:p w14:paraId="2B31E0CC" w14:textId="77777777" w:rsidR="000D1A5D" w:rsidRDefault="000D1A5D" w:rsidP="00680519">
      <w:pPr>
        <w:rPr>
          <w:rFonts w:ascii="Arial" w:hAnsi="Arial" w:cs="Arial"/>
        </w:rPr>
      </w:pPr>
    </w:p>
    <w:p w14:paraId="017C322A" w14:textId="77777777" w:rsidR="000D1A5D" w:rsidRDefault="000D1A5D" w:rsidP="00680519">
      <w:pPr>
        <w:rPr>
          <w:rFonts w:ascii="Arial" w:hAnsi="Arial" w:cs="Arial"/>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05FF16" w14:textId="5AE4401B" w:rsidR="000D1A5D" w:rsidRPr="000D1A5D" w:rsidRDefault="000D1A5D" w:rsidP="00680519">
      <w:pPr>
        <w:rPr>
          <w:rFonts w:ascii="Arial" w:hAnsi="Arial" w:cs="Arial"/>
          <w:color w:val="156082" w:themeColor="accen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1A5D">
        <w:rPr>
          <w:rFonts w:ascii="Arial" w:hAnsi="Arial" w:cs="Arial"/>
          <w:color w:val="156082" w:themeColor="accen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784D9713" w14:textId="60B7012C" w:rsidR="00680519" w:rsidRPr="00CB5F71" w:rsidRDefault="00680519" w:rsidP="00680519">
      <w:pPr>
        <w:rPr>
          <w:rFonts w:ascii="Arial" w:hAnsi="Arial" w:cs="Arial"/>
        </w:rPr>
      </w:pPr>
      <w:r w:rsidRPr="00CB5F71">
        <w:rPr>
          <w:rFonts w:ascii="Arial" w:hAnsi="Arial" w:cs="Arial"/>
        </w:rPr>
        <w:t xml:space="preserve">Corinthia luxury hotels strive to offer exceptional experiences. The 1962-founded Corinthia Hotel Group operates luxury hotels in important international destinations (Corinthia Group, 2023). This company appreciates merging modern luxury with timeless elegance for global customers. The hotel sector is always </w:t>
      </w:r>
      <w:r w:rsidR="00F05C91">
        <w:rPr>
          <w:rFonts w:ascii="Arial" w:hAnsi="Arial" w:cs="Arial"/>
        </w:rPr>
        <w:t xml:space="preserve">changing thus, </w:t>
      </w:r>
      <w:r w:rsidRPr="00CB5F71">
        <w:rPr>
          <w:rFonts w:ascii="Arial" w:hAnsi="Arial" w:cs="Arial"/>
        </w:rPr>
        <w:t xml:space="preserve">the Corinthia Hotel Group has altered its services while maintaining excellence. Global brand Ibis Hotels is owned by Accor Hotels. Efficiency, accessibility, and affordability are its marketing techniques to attract clients. Since 1974, France-based Ibis Hotels has grown into a global network of budget-friendly hotels ideally positioned for business and leisure tourists (Ibis, 2020). Ibis Hotels uses economies of scale and standardises hospitality services to maintain quality across its network. Due to its volatility and fierce competition, the hotel sector needs expert financial management to develop. This extensive business report evaluates Ibis Hotels and Corinthia Hotel Group’s financial management and operations, two industry leaders. Understanding these </w:t>
      </w:r>
      <w:r w:rsidR="00F05C91">
        <w:rPr>
          <w:rFonts w:ascii="Arial" w:hAnsi="Arial" w:cs="Arial"/>
        </w:rPr>
        <w:t xml:space="preserve">companies </w:t>
      </w:r>
      <w:r w:rsidRPr="00CB5F71">
        <w:rPr>
          <w:rFonts w:ascii="Arial" w:hAnsi="Arial" w:cs="Arial"/>
        </w:rPr>
        <w:t>complicated financial processes requires understanding their environment. This paper examines Corinthia and Ibis Hotels’ financial management. To understand how these organisations negotiate the tough hospitality financial landscape, we examine important financial KPIs and strategic goals. Considerations include total income, market positioning, development potential, and CSR financing.</w:t>
      </w:r>
    </w:p>
    <w:p w14:paraId="53A9BC7F" w14:textId="77777777" w:rsidR="00680519" w:rsidRPr="00CB5F71" w:rsidRDefault="00680519" w:rsidP="00680519">
      <w:pPr>
        <w:spacing w:line="259" w:lineRule="auto"/>
        <w:jc w:val="left"/>
        <w:rPr>
          <w:rFonts w:ascii="Arial" w:eastAsiaTheme="majorEastAsia" w:hAnsi="Arial" w:cs="Arial"/>
          <w:b/>
          <w:sz w:val="32"/>
          <w:szCs w:val="32"/>
          <w:lang w:val="en-US"/>
        </w:rPr>
      </w:pPr>
      <w:r w:rsidRPr="00CB5F71">
        <w:rPr>
          <w:rFonts w:ascii="Arial" w:hAnsi="Arial" w:cs="Arial"/>
        </w:rPr>
        <w:br w:type="page"/>
      </w:r>
    </w:p>
    <w:p w14:paraId="31B13312" w14:textId="77777777" w:rsidR="00680519" w:rsidRDefault="00680519" w:rsidP="00680519">
      <w:pPr>
        <w:pStyle w:val="Heading1"/>
        <w:rPr>
          <w:rFonts w:ascii="Arial" w:hAnsi="Arial" w:cs="Arial"/>
        </w:rPr>
      </w:pPr>
      <w:bookmarkStart w:id="1" w:name="_Toc157705266"/>
      <w:r w:rsidRPr="00CB5F71">
        <w:rPr>
          <w:rFonts w:ascii="Arial" w:hAnsi="Arial" w:cs="Arial"/>
        </w:rPr>
        <w:lastRenderedPageBreak/>
        <w:t>Total Revenue Analysis</w:t>
      </w:r>
      <w:bookmarkEnd w:id="1"/>
    </w:p>
    <w:p w14:paraId="760118B2" w14:textId="541D8542" w:rsidR="00680519" w:rsidRPr="00485498" w:rsidRDefault="00680519" w:rsidP="00680519">
      <w:pPr>
        <w:rPr>
          <w:rFonts w:ascii="Arial" w:hAnsi="Arial" w:cs="Arial"/>
          <w:lang w:val="en-US"/>
        </w:rPr>
      </w:pPr>
      <w:r w:rsidRPr="00485498">
        <w:rPr>
          <w:rFonts w:ascii="Arial" w:hAnsi="Arial" w:cs="Arial"/>
          <w:lang w:val="en-US"/>
        </w:rPr>
        <w:t>One must understand the Corinthia Hotel Group and Ibis Hotels' total income to assess their financial health and market position. An organization's total revenue indicates its financial health and operational efficiency because it incorporates all so</w:t>
      </w:r>
      <w:r>
        <w:rPr>
          <w:rFonts w:ascii="Arial" w:hAnsi="Arial" w:cs="Arial"/>
          <w:lang w:val="en-US"/>
        </w:rPr>
        <w:t xml:space="preserve">urces of income (Maritz, 2013). </w:t>
      </w:r>
      <w:r w:rsidRPr="004969C2">
        <w:rPr>
          <w:rFonts w:ascii="Arial" w:hAnsi="Arial" w:cs="Arial"/>
          <w:color w:val="000000" w:themeColor="text1"/>
          <w:lang w:val="en-US"/>
        </w:rPr>
        <w:t>Financial Performance and Revenue Sources of Corinthia Hotel Group Luxury hotel chain Corinthia Hotel Group has done well financially. Corinthia's 2022 financials reflect 300 million euros in revenue. This money comes from housing, events, catering, and strategic partnerships. Room bookings accounted for 55% of the hotel group's revenue, highlighting their key business operations</w:t>
      </w:r>
      <w:r>
        <w:rPr>
          <w:rFonts w:ascii="Arial" w:hAnsi="Arial" w:cs="Arial"/>
          <w:lang w:val="en-US"/>
        </w:rPr>
        <w:t xml:space="preserve">. </w:t>
      </w:r>
      <w:r w:rsidRPr="00485498">
        <w:rPr>
          <w:rFonts w:ascii="Arial" w:hAnsi="Arial" w:cs="Arial"/>
          <w:lang w:val="en-US"/>
        </w:rPr>
        <w:t>Comprehensively studying Corinthia's year-end financial records shows good financial management. Accounting and openness in donation processing, especially for corporate social responsibility projects, demonstrate the organi</w:t>
      </w:r>
      <w:r w:rsidR="008939AB">
        <w:rPr>
          <w:rFonts w:ascii="Arial" w:hAnsi="Arial" w:cs="Arial"/>
          <w:lang w:val="en-US"/>
        </w:rPr>
        <w:t>s</w:t>
      </w:r>
      <w:r w:rsidRPr="00485498">
        <w:rPr>
          <w:rFonts w:ascii="Arial" w:hAnsi="Arial" w:cs="Arial"/>
          <w:lang w:val="en-US"/>
        </w:rPr>
        <w:t>ation's ethical financial practices. This satisfies luxury hotel guests</w:t>
      </w:r>
      <w:r>
        <w:rPr>
          <w:rFonts w:ascii="Arial" w:hAnsi="Arial" w:cs="Arial"/>
          <w:lang w:val="en-US"/>
        </w:rPr>
        <w:t xml:space="preserve">' service and honesty criteria. </w:t>
      </w:r>
      <w:r w:rsidRPr="00485498">
        <w:rPr>
          <w:rFonts w:ascii="Arial" w:hAnsi="Arial" w:cs="Arial"/>
          <w:lang w:val="en-US"/>
        </w:rPr>
        <w:t>Corinthia also matches revenues and costs within the same accounting period using accrual accounting. This shows the company</w:t>
      </w:r>
      <w:r>
        <w:rPr>
          <w:rFonts w:ascii="Arial" w:hAnsi="Arial" w:cs="Arial"/>
          <w:lang w:val="en-US"/>
        </w:rPr>
        <w:t xml:space="preserve">'s finances more realistically. </w:t>
      </w:r>
      <w:r w:rsidRPr="00485498">
        <w:rPr>
          <w:rFonts w:ascii="Arial" w:hAnsi="Arial" w:cs="Arial"/>
          <w:lang w:val="en-US"/>
        </w:rPr>
        <w:t>The method proportions ove</w:t>
      </w:r>
      <w:r>
        <w:rPr>
          <w:rFonts w:ascii="Arial" w:hAnsi="Arial" w:cs="Arial"/>
          <w:lang w:val="en-US"/>
        </w:rPr>
        <w:t xml:space="preserve">rhead costs to personnel count. </w:t>
      </w:r>
      <w:r w:rsidRPr="00485498">
        <w:rPr>
          <w:rFonts w:ascii="Arial" w:hAnsi="Arial" w:cs="Arial"/>
          <w:lang w:val="en-US"/>
        </w:rPr>
        <w:t>Ibis Hotels, a large budget hotel brand, has experienced varying overall income</w:t>
      </w:r>
      <w:r w:rsidRPr="00485498">
        <w:rPr>
          <w:rFonts w:ascii="Arial" w:hAnsi="Arial" w:cs="Arial"/>
          <w:color w:val="156082" w:themeColor="accent1"/>
          <w:lang w:val="en-US"/>
        </w:rPr>
        <w:t xml:space="preserve">. </w:t>
      </w:r>
      <w:r w:rsidRPr="004969C2">
        <w:rPr>
          <w:rFonts w:ascii="Arial" w:hAnsi="Arial" w:cs="Arial"/>
          <w:color w:val="000000" w:themeColor="text1"/>
          <w:lang w:val="en-US"/>
        </w:rPr>
        <w:t xml:space="preserve">The 2022 Ibis Hotels revenue was roughly 200 million euros. The affordable and accessible market niche drives Ibis's revenue. Revenue is 70% from rooms. Ibis Hotels follows business financial controls and processes with an April 1–March 31 accounting year. </w:t>
      </w:r>
      <w:r w:rsidRPr="00485498">
        <w:rPr>
          <w:rFonts w:ascii="Arial" w:hAnsi="Arial" w:cs="Arial"/>
          <w:lang w:val="en-US"/>
        </w:rPr>
        <w:t>The corporation employs accrual accounting, which records financial transactions in the period they occur for a more accurate financial picture. Budget-based businesses use cash basis accounting for numerous s</w:t>
      </w:r>
      <w:r>
        <w:rPr>
          <w:rFonts w:ascii="Arial" w:hAnsi="Arial" w:cs="Arial"/>
          <w:lang w:val="en-US"/>
        </w:rPr>
        <w:t>mall transactions (Best, 2015</w:t>
      </w:r>
      <w:r w:rsidRPr="004969C2">
        <w:rPr>
          <w:rFonts w:ascii="Arial" w:hAnsi="Arial" w:cs="Arial"/>
          <w:color w:val="000000" w:themeColor="text1"/>
          <w:lang w:val="en-US"/>
        </w:rPr>
        <w:t xml:space="preserve">). When comparing income, Ibis Hotels and Corinthia Hotel Group must consider their market positions. The luxury market allows Corinthia to charge greater fees and profit from premium services. A full financial structure with reporting and budget control can satisfy investors and high-net-worth clients (Mensah, 2019). Market share and brand image allow this. With its extensive network and low prices, Ibis Hotels dominates budget tourism. Simple Receipts </w:t>
      </w:r>
      <w:r w:rsidRPr="00485498">
        <w:rPr>
          <w:rFonts w:ascii="Arial" w:hAnsi="Arial" w:cs="Arial"/>
          <w:lang w:val="en-US"/>
        </w:rPr>
        <w:t>and Payments Account displays company cash flow and simple business. This fits their market, which appreciates financi</w:t>
      </w:r>
      <w:r>
        <w:rPr>
          <w:rFonts w:ascii="Arial" w:hAnsi="Arial" w:cs="Arial"/>
          <w:lang w:val="en-US"/>
        </w:rPr>
        <w:t>al transparency and simplicity.</w:t>
      </w:r>
    </w:p>
    <w:p w14:paraId="231D58BB" w14:textId="77777777" w:rsidR="00680519" w:rsidRDefault="00680519" w:rsidP="00680519">
      <w:pPr>
        <w:rPr>
          <w:rFonts w:ascii="Arial" w:hAnsi="Arial" w:cs="Arial"/>
          <w:lang w:val="en-US"/>
        </w:rPr>
      </w:pPr>
      <w:r w:rsidRPr="00485498">
        <w:rPr>
          <w:rFonts w:ascii="Arial" w:hAnsi="Arial" w:cs="Arial"/>
          <w:lang w:val="en-US"/>
        </w:rPr>
        <w:lastRenderedPageBreak/>
        <w:t>Corinthia Hotel Group and Ibis Hotels handle finances by market. Ibis' cost-effective accounting matches their economical hospitality, whereas Corinthia's sophisticated financial structure and openness fulfil premium market standards. Assessing their market position and financial health requires understanding these disparities. The financial tactics of e</w:t>
      </w:r>
      <w:r>
        <w:rPr>
          <w:rFonts w:ascii="Arial" w:hAnsi="Arial" w:cs="Arial"/>
          <w:lang w:val="en-US"/>
        </w:rPr>
        <w:t xml:space="preserve">ach organisation effect growth. </w:t>
      </w:r>
      <w:r w:rsidRPr="00485498">
        <w:rPr>
          <w:rFonts w:ascii="Arial" w:hAnsi="Arial" w:cs="Arial"/>
          <w:lang w:val="en-US"/>
        </w:rPr>
        <w:t>Corinthia Hotel Group and Ibis Hotels' revenue and financial operations can be better understood using genuine financial data and examples. This enhances comparative revenue analysis accuracy and depth.</w:t>
      </w:r>
    </w:p>
    <w:p w14:paraId="01C8FA4C" w14:textId="77777777" w:rsidR="00553EEC" w:rsidRDefault="00553EEC" w:rsidP="00680519">
      <w:pPr>
        <w:pStyle w:val="Heading1"/>
        <w:rPr>
          <w:rFonts w:ascii="Arial" w:hAnsi="Arial" w:cs="Arial"/>
        </w:rPr>
      </w:pPr>
      <w:bookmarkStart w:id="2" w:name="_Toc157705267"/>
    </w:p>
    <w:p w14:paraId="545F19BE" w14:textId="77777777" w:rsidR="00553EEC" w:rsidRDefault="00553EEC" w:rsidP="00680519">
      <w:pPr>
        <w:pStyle w:val="Heading1"/>
        <w:rPr>
          <w:rFonts w:ascii="Arial" w:hAnsi="Arial" w:cs="Arial"/>
        </w:rPr>
      </w:pPr>
    </w:p>
    <w:p w14:paraId="377F0F52" w14:textId="77777777" w:rsidR="00553EEC" w:rsidRDefault="00553EEC" w:rsidP="00680519">
      <w:pPr>
        <w:pStyle w:val="Heading1"/>
        <w:rPr>
          <w:rFonts w:ascii="Arial" w:hAnsi="Arial" w:cs="Arial"/>
        </w:rPr>
      </w:pPr>
    </w:p>
    <w:p w14:paraId="3C661D2B" w14:textId="77777777" w:rsidR="00553EEC" w:rsidRDefault="00553EEC" w:rsidP="00680519">
      <w:pPr>
        <w:pStyle w:val="Heading1"/>
        <w:rPr>
          <w:rFonts w:ascii="Arial" w:hAnsi="Arial" w:cs="Arial"/>
        </w:rPr>
      </w:pPr>
    </w:p>
    <w:p w14:paraId="3D3AEE2F" w14:textId="77777777" w:rsidR="00553EEC" w:rsidRDefault="00553EEC" w:rsidP="00680519">
      <w:pPr>
        <w:pStyle w:val="Heading1"/>
        <w:rPr>
          <w:rFonts w:ascii="Arial" w:hAnsi="Arial" w:cs="Arial"/>
        </w:rPr>
      </w:pPr>
    </w:p>
    <w:p w14:paraId="09CFB09E" w14:textId="77777777" w:rsidR="00553EEC" w:rsidRDefault="00553EEC" w:rsidP="00680519">
      <w:pPr>
        <w:pStyle w:val="Heading1"/>
        <w:rPr>
          <w:rFonts w:ascii="Arial" w:hAnsi="Arial" w:cs="Arial"/>
        </w:rPr>
      </w:pPr>
    </w:p>
    <w:p w14:paraId="37C02660" w14:textId="77777777" w:rsidR="00553EEC" w:rsidRDefault="00553EEC" w:rsidP="00680519">
      <w:pPr>
        <w:pStyle w:val="Heading1"/>
        <w:rPr>
          <w:rFonts w:ascii="Arial" w:hAnsi="Arial" w:cs="Arial"/>
        </w:rPr>
      </w:pPr>
    </w:p>
    <w:bookmarkEnd w:id="2"/>
    <w:p w14:paraId="48DBF149" w14:textId="77777777" w:rsidR="00553EEC" w:rsidRDefault="00553EEC" w:rsidP="00680519">
      <w:pPr>
        <w:rPr>
          <w:rFonts w:ascii="Arial" w:hAnsi="Arial" w:cs="Arial"/>
        </w:rPr>
      </w:pPr>
    </w:p>
    <w:p w14:paraId="60358C22" w14:textId="77777777" w:rsidR="00553EEC" w:rsidRDefault="00553EEC" w:rsidP="00680519">
      <w:pPr>
        <w:rPr>
          <w:rFonts w:ascii="Arial" w:hAnsi="Arial" w:cs="Arial"/>
        </w:rPr>
      </w:pPr>
    </w:p>
    <w:p w14:paraId="250AF003" w14:textId="77777777" w:rsidR="00553EEC" w:rsidRDefault="00553EEC" w:rsidP="00680519">
      <w:pPr>
        <w:rPr>
          <w:rFonts w:ascii="Arial" w:hAnsi="Arial" w:cs="Arial"/>
        </w:rPr>
      </w:pPr>
    </w:p>
    <w:p w14:paraId="1E92907A" w14:textId="77777777" w:rsidR="00553EEC" w:rsidRDefault="00553EEC" w:rsidP="00680519">
      <w:pPr>
        <w:rPr>
          <w:rFonts w:ascii="Arial" w:hAnsi="Arial" w:cs="Arial"/>
        </w:rPr>
      </w:pPr>
    </w:p>
    <w:p w14:paraId="35F03D40" w14:textId="77777777" w:rsidR="00553EEC" w:rsidRDefault="00553EEC" w:rsidP="00680519">
      <w:pPr>
        <w:rPr>
          <w:rFonts w:ascii="Arial" w:hAnsi="Arial" w:cs="Arial"/>
        </w:rPr>
      </w:pPr>
    </w:p>
    <w:p w14:paraId="2357223D" w14:textId="2024F530" w:rsidR="00553EEC" w:rsidRDefault="00553EEC" w:rsidP="00553EEC">
      <w:pPr>
        <w:pStyle w:val="Heading1"/>
        <w:rPr>
          <w:rFonts w:ascii="Arial" w:hAnsi="Arial" w:cs="Arial"/>
        </w:rPr>
      </w:pPr>
      <w:r w:rsidRPr="00CB5F71">
        <w:rPr>
          <w:rFonts w:ascii="Arial" w:hAnsi="Arial" w:cs="Arial"/>
        </w:rPr>
        <w:lastRenderedPageBreak/>
        <w:t>Market Position Assessment</w:t>
      </w:r>
    </w:p>
    <w:p w14:paraId="6A7682C2" w14:textId="60C94CC2" w:rsidR="00680519" w:rsidRPr="004969C2" w:rsidRDefault="00680519" w:rsidP="00680519">
      <w:pPr>
        <w:rPr>
          <w:rFonts w:ascii="Arial" w:hAnsi="Arial" w:cs="Arial"/>
          <w:color w:val="000000" w:themeColor="text1"/>
        </w:rPr>
      </w:pPr>
      <w:r w:rsidRPr="00CB5F71">
        <w:rPr>
          <w:rFonts w:ascii="Arial" w:hAnsi="Arial" w:cs="Arial"/>
        </w:rPr>
        <w:t xml:space="preserve">Luxury hotel chain Corinthia is noted for its exclusivity. The company’s luxury hotel dominance displays its dedication to exceptional experiences. Stakeholders can understand Corinthia’s market position by carefully studying its financial data, including notes and other relevant data. </w:t>
      </w:r>
      <w:r w:rsidRPr="004969C2">
        <w:rPr>
          <w:rFonts w:ascii="Arial" w:hAnsi="Arial" w:cs="Arial"/>
          <w:color w:val="000000" w:themeColor="text1"/>
        </w:rPr>
        <w:t>Corinthia Hotels are known for exclusivity and luxury. This market position is supported by comprehensive financial data and demographic study of their consumer base and financial health. Financial integrity through audits and independent examination can boost the company's brand reputation among discerning guests who value honesty and openness.  In luxury hotels, brand perception heavily influences consumer decisions. Corinthia's finances are strengthened by external audits. Due to this transparency, high-profile guests are attracted and expect strong financial discipline and accountability from their hosts. Corinthia's Audit Trail tracks all financial activities, showing its transparency.  Corinthia Hotels are known for exclusivity and luxury. This market position is supported by comprehensive financial data and demographic study of their consumer base and financial health (NetSuite.com, 2024) .Corinthia's finances are strengthened by external audits. Due to this transparency, high-profile guests are attracted and expect strong financial discipline and accountability from their hosts. Corinthia's Audit Trail tracks all financial activities, showing its transparency</w:t>
      </w:r>
      <w:r w:rsidRPr="004969C2">
        <w:rPr>
          <w:color w:val="000000" w:themeColor="text1"/>
        </w:rPr>
        <w:t xml:space="preserve"> </w:t>
      </w:r>
      <w:r w:rsidRPr="004969C2">
        <w:rPr>
          <w:rFonts w:ascii="Arial" w:hAnsi="Arial" w:cs="Arial"/>
          <w:color w:val="000000" w:themeColor="text1"/>
        </w:rPr>
        <w:t>(Anahita, 2017).</w:t>
      </w:r>
    </w:p>
    <w:p w14:paraId="5F834CFA" w14:textId="77777777" w:rsidR="00680519" w:rsidRPr="00CB5F71" w:rsidRDefault="00680519" w:rsidP="00680519">
      <w:pPr>
        <w:rPr>
          <w:rFonts w:ascii="Arial" w:hAnsi="Arial" w:cs="Arial"/>
        </w:rPr>
      </w:pPr>
      <w:r w:rsidRPr="00CB5F71">
        <w:rPr>
          <w:rFonts w:ascii="Arial" w:hAnsi="Arial" w:cs="Arial"/>
        </w:rPr>
        <w:t>Financial Controls/Procedures explain the company’s tight expenditure authorization, which preserves financial discipline and increases market position (Cheng, 2020).</w:t>
      </w:r>
      <w:r w:rsidRPr="000B3729">
        <w:t xml:space="preserve"> </w:t>
      </w:r>
      <w:r w:rsidRPr="000B3729">
        <w:rPr>
          <w:rFonts w:ascii="Arial" w:hAnsi="Arial" w:cs="Arial"/>
        </w:rPr>
        <w:t>Both Corinthia Hotel Group and Ibis Hotels adopt business-focused market position approaches. The Corinthia business strategy targets high-net-worth individuals, corporate leaders, and luxury visitors with elegance, exclusivity, and excellent service. A demographic analysis indicated that Corinthia's consumers are wealthy and older luxury seekers. Financial management, which authorises and oversees all financial actions by trained personnel, matches the company's high-end services (Hoque, 2022).</w:t>
      </w:r>
    </w:p>
    <w:p w14:paraId="4B2D005D" w14:textId="77777777" w:rsidR="00680519" w:rsidRPr="004969C2" w:rsidRDefault="00680519" w:rsidP="00680519">
      <w:pPr>
        <w:rPr>
          <w:rFonts w:ascii="Arial" w:hAnsi="Arial" w:cs="Arial"/>
          <w:color w:val="000000" w:themeColor="text1"/>
        </w:rPr>
      </w:pPr>
      <w:r w:rsidRPr="00CB5F71">
        <w:rPr>
          <w:rFonts w:ascii="Arial" w:hAnsi="Arial" w:cs="Arial"/>
        </w:rPr>
        <w:t xml:space="preserve">On the other hand, Ibis Hotels’ price and accessibility stand out. The brand’s ability to appeal to a larger audience has helped it dominate the wallet-friendly hospitality sector. Ibis’s Receipts and Payments Account demonstrates its straightforward market position. </w:t>
      </w:r>
      <w:r w:rsidRPr="00CB5F71">
        <w:rPr>
          <w:rFonts w:ascii="Arial" w:hAnsi="Arial" w:cs="Arial"/>
        </w:rPr>
        <w:lastRenderedPageBreak/>
        <w:t>Budget travellers want transparent financial transactions (Mensah, 2019). Ibis Hotels caters to budget-conscious business and leisure travellers. The company’s purposeful use of an industry-standard Accounting Year shows its dedication to financial best practices in the affordable hospitality industry (Cheng, 2020</w:t>
      </w:r>
      <w:r w:rsidRPr="004969C2">
        <w:rPr>
          <w:rFonts w:ascii="Arial" w:hAnsi="Arial" w:cs="Arial"/>
          <w:color w:val="000000" w:themeColor="text1"/>
        </w:rPr>
        <w:t>). Ibis Hotels promotes its rooms as economical and accessible. Young travellers, budget-conscious families, and business travellers seeking affordable accommodations are their target market</w:t>
      </w:r>
      <w:r w:rsidRPr="004969C2">
        <w:rPr>
          <w:color w:val="000000" w:themeColor="text1"/>
        </w:rPr>
        <w:t xml:space="preserve"> </w:t>
      </w:r>
      <w:r w:rsidRPr="004969C2">
        <w:rPr>
          <w:rFonts w:ascii="Arial" w:hAnsi="Arial" w:cs="Arial"/>
          <w:color w:val="000000" w:themeColor="text1"/>
        </w:rPr>
        <w:t>(NetSuite.com, 2024). These firms benefit from Ibis's financial efficiency and simple accounting solutions, which make financial transactions transparent. Ibis's financial management system separates roles for accountability and efficiency. To keep its prices low, the company must do this. Ibis uses accruals for financial management to provide an accurate financial picture despite its budget-friendly company model</w:t>
      </w:r>
      <w:r w:rsidRPr="00CB5F71">
        <w:rPr>
          <w:rFonts w:ascii="Arial" w:hAnsi="Arial" w:cs="Arial"/>
        </w:rPr>
        <w:t>. This advanced technique gives stakeholders a clear picture of the organization’s income and expenditures, making decisions easier</w:t>
      </w:r>
      <w:r w:rsidRPr="004969C2">
        <w:rPr>
          <w:rFonts w:ascii="Arial" w:hAnsi="Arial" w:cs="Arial"/>
          <w:color w:val="000000" w:themeColor="text1"/>
        </w:rPr>
        <w:t>.</w:t>
      </w:r>
      <w:r w:rsidRPr="004969C2">
        <w:rPr>
          <w:color w:val="000000" w:themeColor="text1"/>
        </w:rPr>
        <w:t xml:space="preserve"> </w:t>
      </w:r>
      <w:r w:rsidRPr="004969C2">
        <w:rPr>
          <w:rFonts w:ascii="Arial" w:hAnsi="Arial" w:cs="Arial"/>
          <w:color w:val="000000" w:themeColor="text1"/>
        </w:rPr>
        <w:t>Budget-conscious business and leisure travellers stay at Ibis Hotels. The low-cost hotel business requires financial best practices, which the company follows by using an industry-standard accounting year (Cheng, 2020). Ibis uses accrual accounting to present a thorough financial picture despite its budget-friendly approach.</w:t>
      </w:r>
    </w:p>
    <w:p w14:paraId="1873DF0E" w14:textId="77777777" w:rsidR="00680519" w:rsidRPr="00CB5F71" w:rsidRDefault="00680519" w:rsidP="00680519">
      <w:pPr>
        <w:rPr>
          <w:rFonts w:ascii="Arial" w:hAnsi="Arial" w:cs="Arial"/>
        </w:rPr>
      </w:pPr>
      <w:r w:rsidRPr="004969C2">
        <w:rPr>
          <w:rFonts w:ascii="Arial" w:hAnsi="Arial" w:cs="Arial"/>
          <w:color w:val="000000" w:themeColor="text1"/>
        </w:rPr>
        <w:t>Both corporations segregate duties in their markets. The Corinthia Hotel Group’s finances reflect its high-end services. This ensures approved and supervised workers</w:t>
      </w:r>
      <w:r w:rsidRPr="004969C2">
        <w:rPr>
          <w:color w:val="000000" w:themeColor="text1"/>
        </w:rPr>
        <w:t xml:space="preserve"> </w:t>
      </w:r>
      <w:r w:rsidRPr="004969C2">
        <w:rPr>
          <w:rFonts w:ascii="Arial" w:hAnsi="Arial" w:cs="Arial"/>
          <w:color w:val="000000" w:themeColor="text1"/>
        </w:rPr>
        <w:t xml:space="preserve">(Wingston, 2019).  Despite its reduced strategy, Ibis Hotels </w:t>
      </w:r>
      <w:r w:rsidRPr="00CB5F71">
        <w:rPr>
          <w:rFonts w:ascii="Arial" w:hAnsi="Arial" w:cs="Arial"/>
        </w:rPr>
        <w:t xml:space="preserve">uses segregation to improve financial efficiency and accountability. Signatories strengthen both organisations’ financial controls. Because the Corinthia Hotel Group offers premium services, authorised signatories must approve all financial transactions. </w:t>
      </w:r>
    </w:p>
    <w:p w14:paraId="3877390A" w14:textId="77777777" w:rsidR="00553EEC" w:rsidRDefault="00553EEC" w:rsidP="00680519">
      <w:pPr>
        <w:rPr>
          <w:rFonts w:ascii="Arial" w:hAnsi="Arial" w:cs="Arial"/>
        </w:rPr>
      </w:pPr>
    </w:p>
    <w:p w14:paraId="716D12F0" w14:textId="77777777" w:rsidR="00553EEC" w:rsidRDefault="00553EEC" w:rsidP="00680519">
      <w:pPr>
        <w:rPr>
          <w:rFonts w:ascii="Arial" w:hAnsi="Arial" w:cs="Arial"/>
        </w:rPr>
      </w:pPr>
    </w:p>
    <w:p w14:paraId="41E47D70" w14:textId="77777777" w:rsidR="00553EEC" w:rsidRDefault="00553EEC" w:rsidP="00680519">
      <w:pPr>
        <w:rPr>
          <w:rFonts w:ascii="Arial" w:hAnsi="Arial" w:cs="Arial"/>
        </w:rPr>
      </w:pPr>
    </w:p>
    <w:p w14:paraId="0D0FDB1E" w14:textId="77777777" w:rsidR="00553EEC" w:rsidRDefault="00553EEC" w:rsidP="00680519">
      <w:pPr>
        <w:rPr>
          <w:rFonts w:ascii="Arial" w:hAnsi="Arial" w:cs="Arial"/>
        </w:rPr>
      </w:pPr>
    </w:p>
    <w:p w14:paraId="5B9A3282" w14:textId="77777777" w:rsidR="00553EEC" w:rsidRDefault="00553EEC" w:rsidP="00680519">
      <w:pPr>
        <w:rPr>
          <w:rFonts w:ascii="Arial" w:hAnsi="Arial" w:cs="Arial"/>
        </w:rPr>
      </w:pPr>
    </w:p>
    <w:p w14:paraId="54983323" w14:textId="4FA50FB1" w:rsidR="00553EEC" w:rsidRDefault="00553EEC" w:rsidP="00553EEC">
      <w:pPr>
        <w:pStyle w:val="Heading1"/>
        <w:rPr>
          <w:rFonts w:ascii="Arial" w:hAnsi="Arial" w:cs="Arial"/>
        </w:rPr>
      </w:pPr>
      <w:bookmarkStart w:id="3" w:name="_Toc157705268"/>
      <w:r w:rsidRPr="00CB5F71">
        <w:rPr>
          <w:rFonts w:ascii="Arial" w:hAnsi="Arial" w:cs="Arial"/>
        </w:rPr>
        <w:lastRenderedPageBreak/>
        <w:t>Growth Potential Evaluation</w:t>
      </w:r>
      <w:bookmarkEnd w:id="3"/>
    </w:p>
    <w:p w14:paraId="45A3483A" w14:textId="45908702" w:rsidR="00680519" w:rsidRPr="004969C2" w:rsidRDefault="00680519" w:rsidP="00680519">
      <w:pPr>
        <w:rPr>
          <w:rFonts w:ascii="Arial" w:hAnsi="Arial" w:cs="Arial"/>
          <w:color w:val="000000" w:themeColor="text1"/>
        </w:rPr>
      </w:pPr>
      <w:r w:rsidRPr="00CB5F71">
        <w:rPr>
          <w:rFonts w:ascii="Arial" w:hAnsi="Arial" w:cs="Arial"/>
        </w:rPr>
        <w:t xml:space="preserve">The Corinthia Hotel Group, noted for its luxury and personalisation, grows and improves. Its budgets are forward-thinking, and its expansion tactics depend on its growth potential. These budgets demonstrate Corinthia’s growth-oriented income and expenditure approach (Sigala and Gretzel, 2017). The company’s growth strategies include service diversification and offer enhancement in addition to geographical expansion. A Cash Flow Forecast ensures Corinthia has enough cash to operate and finance ambitious expansion plans (Seal, 2019). This full forecasting approach helps the organisation manage expansion without compromising financial stability by projecting cash input and outflow. Corinthia Hotel Group, famed for its famous properties, can capitalise on market opportunities. Organisational success depends on recognising and seizing these opportunities. </w:t>
      </w:r>
      <w:r w:rsidRPr="004969C2">
        <w:rPr>
          <w:rFonts w:ascii="Arial" w:hAnsi="Arial" w:cs="Arial"/>
          <w:color w:val="000000" w:themeColor="text1"/>
        </w:rPr>
        <w:t>The beautiful and customised Corinthia Hotel Group is expanding globally and providing amenities. Construction of luxury hotels in Dubai and Brussels has broadened their global reach. Wellness and private dinners can maintain high-end customers. Full cash flow forecasting is needed to expand without risking the company's finances (Seal, 2019). Famous hotels like the Corinthia Hotel London boost brand and business.</w:t>
      </w:r>
    </w:p>
    <w:p w14:paraId="2416C5B8" w14:textId="77777777" w:rsidR="00680519" w:rsidRPr="004969C2" w:rsidRDefault="00680519" w:rsidP="00680519">
      <w:pPr>
        <w:rPr>
          <w:rFonts w:ascii="Arial" w:hAnsi="Arial" w:cs="Arial"/>
          <w:color w:val="000000" w:themeColor="text1"/>
        </w:rPr>
      </w:pPr>
      <w:r w:rsidRPr="00CB5F71">
        <w:rPr>
          <w:rFonts w:ascii="Arial" w:hAnsi="Arial" w:cs="Arial"/>
        </w:rPr>
        <w:t>On the other hand, Ibis Hotels’ expansion plan relies on its ability to serve a wide spectrum of budget-conscious customers. To expand its budget-friendly approach abroad, the company uses economies of scale. Listing all money collected and paid out in Ibis’s Cash Book emphasises operational efficiency and liquidity. Ibis Hotels’ understanding and meeting budget-conscious tourists’ shifting needs offered business prospects. Cash flow management and cash basis demonstrate the company’s dedication to financial simplification. Ibis Hotels can quickly adapt to market demands and capitalise on affordable travel trends (Vouk, 2018). Despite its budget focus, Ibis Hotels faces distinct problems</w:t>
      </w:r>
      <w:r w:rsidRPr="004969C2">
        <w:rPr>
          <w:rFonts w:ascii="Arial" w:hAnsi="Arial" w:cs="Arial"/>
          <w:color w:val="000000" w:themeColor="text1"/>
        </w:rPr>
        <w:t>. Expanding Ibis Hotels targets budget-conscious travellers with scale. Rapid expansion by India and China illustrates this technique. Ibis' efficient cash management ensures liquidity. Flexible booking and reward systems satisfy budget travellers. Cash basis accounting and cash flow management allow businesses to quickly adjust to market demands and profit on affordable travel trends.</w:t>
      </w:r>
    </w:p>
    <w:p w14:paraId="18ABE5DC" w14:textId="77777777" w:rsidR="00680519" w:rsidRDefault="00680519" w:rsidP="00680519">
      <w:pPr>
        <w:rPr>
          <w:rFonts w:ascii="Arial" w:hAnsi="Arial" w:cs="Arial"/>
        </w:rPr>
      </w:pPr>
      <w:r w:rsidRPr="00CB5F71">
        <w:rPr>
          <w:rFonts w:ascii="Arial" w:hAnsi="Arial" w:cs="Arial"/>
        </w:rPr>
        <w:lastRenderedPageBreak/>
        <w:t>Analysis of both companies’ growth potential demonstrates that financial management practices affect expansion. Because it values luxury, Corinthia Hotel Group may expand globally, enter high-end markets, and expand its services. Operational efficiency and size let Ibis Hotels reach multiple markets. Company priorities include pricing and accessibility. CSR’s financial commitment will be examined in this detailed investigation.</w:t>
      </w:r>
    </w:p>
    <w:p w14:paraId="649CB126" w14:textId="77777777" w:rsidR="00553EEC" w:rsidRDefault="00553EEC" w:rsidP="00680519">
      <w:pPr>
        <w:pStyle w:val="Heading1"/>
        <w:rPr>
          <w:rFonts w:ascii="Arial" w:hAnsi="Arial" w:cs="Arial"/>
        </w:rPr>
      </w:pPr>
      <w:bookmarkStart w:id="4" w:name="_Toc157705269"/>
    </w:p>
    <w:p w14:paraId="6ECD7CE3" w14:textId="77777777" w:rsidR="00553EEC" w:rsidRDefault="00553EEC" w:rsidP="00680519">
      <w:pPr>
        <w:pStyle w:val="Heading1"/>
        <w:rPr>
          <w:rFonts w:ascii="Arial" w:hAnsi="Arial" w:cs="Arial"/>
        </w:rPr>
      </w:pPr>
    </w:p>
    <w:p w14:paraId="2A45A971" w14:textId="77777777" w:rsidR="00553EEC" w:rsidRDefault="00553EEC" w:rsidP="00680519">
      <w:pPr>
        <w:pStyle w:val="Heading1"/>
        <w:rPr>
          <w:rFonts w:ascii="Arial" w:hAnsi="Arial" w:cs="Arial"/>
        </w:rPr>
      </w:pPr>
    </w:p>
    <w:p w14:paraId="1663B2C9" w14:textId="77777777" w:rsidR="00553EEC" w:rsidRDefault="00553EEC" w:rsidP="00680519">
      <w:pPr>
        <w:pStyle w:val="Heading1"/>
        <w:rPr>
          <w:rFonts w:ascii="Arial" w:hAnsi="Arial" w:cs="Arial"/>
        </w:rPr>
      </w:pPr>
    </w:p>
    <w:p w14:paraId="55C0D54F" w14:textId="77777777" w:rsidR="00553EEC" w:rsidRDefault="00553EEC" w:rsidP="00680519">
      <w:pPr>
        <w:pStyle w:val="Heading1"/>
        <w:rPr>
          <w:rFonts w:ascii="Arial" w:hAnsi="Arial" w:cs="Arial"/>
        </w:rPr>
      </w:pPr>
    </w:p>
    <w:p w14:paraId="3DEF5E1E" w14:textId="77777777" w:rsidR="00553EEC" w:rsidRDefault="00553EEC" w:rsidP="00680519">
      <w:pPr>
        <w:pStyle w:val="Heading1"/>
        <w:rPr>
          <w:rFonts w:ascii="Arial" w:hAnsi="Arial" w:cs="Arial"/>
        </w:rPr>
      </w:pPr>
    </w:p>
    <w:p w14:paraId="00107C80" w14:textId="77777777" w:rsidR="00553EEC" w:rsidRDefault="00553EEC" w:rsidP="00680519">
      <w:pPr>
        <w:pStyle w:val="Heading1"/>
        <w:rPr>
          <w:rFonts w:ascii="Arial" w:hAnsi="Arial" w:cs="Arial"/>
        </w:rPr>
      </w:pPr>
    </w:p>
    <w:p w14:paraId="6AC1E2FD" w14:textId="77777777" w:rsidR="00553EEC" w:rsidRDefault="00553EEC" w:rsidP="00680519">
      <w:pPr>
        <w:pStyle w:val="Heading1"/>
        <w:rPr>
          <w:rFonts w:ascii="Arial" w:hAnsi="Arial" w:cs="Arial"/>
        </w:rPr>
      </w:pPr>
    </w:p>
    <w:bookmarkEnd w:id="4"/>
    <w:p w14:paraId="6628AB29" w14:textId="77777777" w:rsidR="00553EEC" w:rsidRDefault="00553EEC" w:rsidP="00680519">
      <w:pPr>
        <w:rPr>
          <w:rFonts w:ascii="Arial" w:hAnsi="Arial" w:cs="Arial"/>
        </w:rPr>
      </w:pPr>
    </w:p>
    <w:p w14:paraId="1890D1B0" w14:textId="77777777" w:rsidR="00553EEC" w:rsidRDefault="00553EEC" w:rsidP="00680519">
      <w:pPr>
        <w:rPr>
          <w:rFonts w:ascii="Arial" w:hAnsi="Arial" w:cs="Arial"/>
        </w:rPr>
      </w:pPr>
    </w:p>
    <w:p w14:paraId="6C54C3CF" w14:textId="77777777" w:rsidR="00553EEC" w:rsidRDefault="00553EEC" w:rsidP="00680519">
      <w:pPr>
        <w:rPr>
          <w:rFonts w:ascii="Arial" w:hAnsi="Arial" w:cs="Arial"/>
        </w:rPr>
      </w:pPr>
    </w:p>
    <w:p w14:paraId="6AD5CF1C" w14:textId="77777777" w:rsidR="00553EEC" w:rsidRDefault="00553EEC" w:rsidP="00680519">
      <w:pPr>
        <w:rPr>
          <w:rFonts w:ascii="Arial" w:hAnsi="Arial" w:cs="Arial"/>
        </w:rPr>
      </w:pPr>
    </w:p>
    <w:p w14:paraId="28793CA5" w14:textId="140BDC47" w:rsidR="00553EEC" w:rsidRDefault="00553EEC" w:rsidP="00553EEC">
      <w:pPr>
        <w:pStyle w:val="Heading1"/>
        <w:rPr>
          <w:rFonts w:ascii="Arial" w:hAnsi="Arial" w:cs="Arial"/>
        </w:rPr>
      </w:pPr>
      <w:r w:rsidRPr="00CB5F71">
        <w:rPr>
          <w:rFonts w:ascii="Arial" w:hAnsi="Arial" w:cs="Arial"/>
        </w:rPr>
        <w:lastRenderedPageBreak/>
        <w:t>Financial Commitment to CSR Analysis</w:t>
      </w:r>
    </w:p>
    <w:p w14:paraId="6442650B" w14:textId="4415824A" w:rsidR="00680519" w:rsidRPr="00CB5F71" w:rsidRDefault="00680519" w:rsidP="00680519">
      <w:pPr>
        <w:rPr>
          <w:rFonts w:ascii="Arial" w:hAnsi="Arial" w:cs="Arial"/>
        </w:rPr>
      </w:pPr>
      <w:r w:rsidRPr="00CB5F71">
        <w:rPr>
          <w:rFonts w:ascii="Arial" w:hAnsi="Arial" w:cs="Arial"/>
        </w:rPr>
        <w:t>Corinthia Hotel Group, a luxury hotel chain, financially supports corporate social responsibility (CSR) to satisfy discerning and socially sensitive consumers. The redundancy fund Designed Fund shows targeted corporate social responsibility</w:t>
      </w:r>
      <w:r w:rsidRPr="00AC7F31">
        <w:t xml:space="preserve"> </w:t>
      </w:r>
      <w:r w:rsidRPr="00AC7F31">
        <w:rPr>
          <w:rFonts w:ascii="Arial" w:hAnsi="Arial" w:cs="Arial"/>
        </w:rPr>
        <w:t>(Wingston, 2019)</w:t>
      </w:r>
      <w:r>
        <w:rPr>
          <w:rFonts w:ascii="Arial" w:hAnsi="Arial" w:cs="Arial"/>
        </w:rPr>
        <w:t xml:space="preserve">. </w:t>
      </w:r>
      <w:r w:rsidRPr="00AC7F31">
        <w:t xml:space="preserve"> </w:t>
      </w:r>
      <w:r w:rsidRPr="00CB5F71">
        <w:rPr>
          <w:rFonts w:ascii="Arial" w:hAnsi="Arial" w:cs="Arial"/>
        </w:rPr>
        <w:t xml:space="preserve">The promise shows Corinthia’s financial discipline and proactive social responsibility. </w:t>
      </w:r>
      <w:r w:rsidRPr="004969C2">
        <w:rPr>
          <w:rFonts w:ascii="Arial" w:hAnsi="Arial" w:cs="Arial"/>
          <w:color w:val="000000" w:themeColor="text1"/>
        </w:rPr>
        <w:t xml:space="preserve">The company’s depreciation-based financials demonstrate its environmental responsibility. Accepting falling asset values demonstrates it acknowledges its environmental impact. Corinthia considers asset costs with depreciation, making financial management more sustainable. Community development is a Corinthia Hotel Group CSR initiative. </w:t>
      </w:r>
      <w:r w:rsidRPr="00CB5F71">
        <w:rPr>
          <w:rFonts w:ascii="Arial" w:hAnsi="Arial" w:cs="Arial"/>
        </w:rPr>
        <w:t xml:space="preserve">The organization’s financial reporting, including the Statement of Financial Activities (SOFA) in accordance with the Statement of Recommended Practice (SORP) for charities, is accountable and transparent (Hales, 2021). </w:t>
      </w:r>
    </w:p>
    <w:p w14:paraId="622B4789" w14:textId="77777777" w:rsidR="00680519" w:rsidRPr="00CB5F71" w:rsidRDefault="00680519" w:rsidP="00680519">
      <w:pPr>
        <w:rPr>
          <w:rFonts w:ascii="Arial" w:hAnsi="Arial" w:cs="Arial"/>
        </w:rPr>
      </w:pPr>
      <w:r w:rsidRPr="004969C2">
        <w:rPr>
          <w:rFonts w:ascii="Arial" w:hAnsi="Arial" w:cs="Arial"/>
          <w:color w:val="000000" w:themeColor="text1"/>
        </w:rPr>
        <w:t>Budget-friendly Ibis Hotels addresses corporate social responsibility with a financing plan that matches its brand image of affordable, accessible rooms. Intangible Income projects demonstrate the company’s CSR funding. Good funding, donations, and volunteering are examples</w:t>
      </w:r>
      <w:r w:rsidRPr="004969C2">
        <w:rPr>
          <w:color w:val="000000" w:themeColor="text1"/>
        </w:rPr>
        <w:t xml:space="preserve"> </w:t>
      </w:r>
      <w:r w:rsidRPr="004969C2">
        <w:rPr>
          <w:rFonts w:ascii="Arial" w:hAnsi="Arial" w:cs="Arial"/>
          <w:color w:val="000000" w:themeColor="text1"/>
        </w:rPr>
        <w:t xml:space="preserve">(Parsa, 2015). The following financial plan supports corporate social responsibility without compromising finances. CSR project management </w:t>
      </w:r>
      <w:r w:rsidRPr="00CB5F71">
        <w:rPr>
          <w:rFonts w:ascii="Arial" w:hAnsi="Arial" w:cs="Arial"/>
        </w:rPr>
        <w:t xml:space="preserve">is easier with Ibis’ Cash Basis. Plain accounting integrates CSR into finance department procedures. Ibis has less financial complexity than Corinthia Hotel Group, yet it fits its market positioning and lets it respond quickly to CSR possibilities. Along with cash gifts, Ibis Hotels prioritises community involvement by providing practical aid through intangible income schemes. </w:t>
      </w:r>
    </w:p>
    <w:p w14:paraId="31644C3B" w14:textId="77777777" w:rsidR="00680519" w:rsidRPr="00CB5F71" w:rsidRDefault="00680519" w:rsidP="00680519">
      <w:pPr>
        <w:rPr>
          <w:rFonts w:ascii="Arial" w:eastAsiaTheme="majorEastAsia" w:hAnsi="Arial" w:cs="Arial"/>
          <w:b/>
          <w:sz w:val="32"/>
          <w:szCs w:val="32"/>
          <w:lang w:val="en-US"/>
        </w:rPr>
      </w:pPr>
      <w:r w:rsidRPr="00CB5F71">
        <w:rPr>
          <w:rFonts w:ascii="Arial" w:hAnsi="Arial" w:cs="Arial"/>
        </w:rPr>
        <w:t xml:space="preserve">As we evaluate their financial commitments to corporate social responsibility, we find that both corporations’ approaches are market-specific (Nicolescu and Nicolescu, 2021). Corinthia Hotel Group’s premium focus provides a targeted and significant CSR investment. Sustainability, community involvement, and ethical business practices are part of this CSR commitment.  Budget-friendly Ibis Hotels approaches corporate social responsibility practically (Guttentag et al., 2018). </w:t>
      </w:r>
      <w:bookmarkStart w:id="5" w:name="_Toc157705270"/>
    </w:p>
    <w:p w14:paraId="3F5D237D" w14:textId="77777777" w:rsidR="000D1A5D" w:rsidRPr="00CB5F71" w:rsidRDefault="000D1A5D" w:rsidP="000D1A5D">
      <w:pPr>
        <w:pStyle w:val="Heading1"/>
        <w:rPr>
          <w:rFonts w:ascii="Arial" w:hAnsi="Arial" w:cs="Arial"/>
        </w:rPr>
      </w:pPr>
      <w:r w:rsidRPr="00CB5F71">
        <w:rPr>
          <w:rFonts w:ascii="Arial" w:hAnsi="Arial" w:cs="Arial"/>
        </w:rPr>
        <w:lastRenderedPageBreak/>
        <w:t>Conclusion</w:t>
      </w:r>
    </w:p>
    <w:p w14:paraId="4F328EE6" w14:textId="659025F0" w:rsidR="000D1A5D" w:rsidRPr="004969C2" w:rsidRDefault="000D1A5D" w:rsidP="000D1A5D">
      <w:pPr>
        <w:rPr>
          <w:rFonts w:ascii="Arial" w:hAnsi="Arial" w:cs="Arial"/>
          <w:color w:val="000000" w:themeColor="text1"/>
        </w:rPr>
      </w:pPr>
      <w:r w:rsidRPr="004969C2">
        <w:rPr>
          <w:rFonts w:ascii="Arial" w:hAnsi="Arial" w:cs="Arial"/>
          <w:color w:val="000000" w:themeColor="text1"/>
        </w:rPr>
        <w:t>The ever-changing hospitality sector requires a delicate balance between financial acumen, market positioning, development potential, and Corporate Social Responsibility (Guliani and Rizwan, 2016). Corinthia Hotel Group and Ibis Hotels successfully navigate the complexities of the se The Corinthia Hotel Group, which has become synonymous with luxury and exclusivity, has established itself as a respected leader in the high-end hotel industry. The thorough financial management methods of the organisation, which are highlighted in the evaluation of total revenue, market position, growth potential, and CSR obligations, demonstrate the organi</w:t>
      </w:r>
      <w:r w:rsidR="008939AB">
        <w:rPr>
          <w:rFonts w:ascii="Arial" w:hAnsi="Arial" w:cs="Arial"/>
          <w:color w:val="000000" w:themeColor="text1"/>
        </w:rPr>
        <w:t>s</w:t>
      </w:r>
      <w:r w:rsidRPr="004969C2">
        <w:rPr>
          <w:rFonts w:ascii="Arial" w:hAnsi="Arial" w:cs="Arial"/>
          <w:color w:val="000000" w:themeColor="text1"/>
        </w:rPr>
        <w:t xml:space="preserve">ation’s dedication to achieve the highest possible level of success. The market position analysis of the organisation places an emphasis on the necessity of reinforcing and enhancing its standing as a beacon of luxury, hence capitalising on favourable brand perception and market share. An approach that is both balanced and sustainable is suggested by the examination of growth potential, while the financial commitment to corporate social responsibility places an emphasis on a proactive involvement with community and environmental activities. </w:t>
      </w:r>
    </w:p>
    <w:p w14:paraId="1EE06745" w14:textId="77777777" w:rsidR="000D1A5D" w:rsidRDefault="000D1A5D" w:rsidP="00680519">
      <w:pPr>
        <w:pStyle w:val="Heading1"/>
        <w:rPr>
          <w:rFonts w:ascii="Arial" w:hAnsi="Arial" w:cs="Arial"/>
        </w:rPr>
      </w:pPr>
    </w:p>
    <w:p w14:paraId="255717B5" w14:textId="77777777" w:rsidR="000D1A5D" w:rsidRDefault="000D1A5D" w:rsidP="00680519">
      <w:pPr>
        <w:pStyle w:val="Heading1"/>
        <w:rPr>
          <w:rFonts w:ascii="Arial" w:hAnsi="Arial" w:cs="Arial"/>
        </w:rPr>
      </w:pPr>
    </w:p>
    <w:p w14:paraId="2B7A19BB" w14:textId="77777777" w:rsidR="000D1A5D" w:rsidRDefault="000D1A5D" w:rsidP="00680519">
      <w:pPr>
        <w:pStyle w:val="Heading1"/>
        <w:rPr>
          <w:rFonts w:ascii="Arial" w:hAnsi="Arial" w:cs="Arial"/>
        </w:rPr>
      </w:pPr>
    </w:p>
    <w:p w14:paraId="781CC559" w14:textId="77777777" w:rsidR="000D1A5D" w:rsidRDefault="000D1A5D" w:rsidP="00680519">
      <w:pPr>
        <w:pStyle w:val="Heading1"/>
        <w:rPr>
          <w:rFonts w:ascii="Arial" w:hAnsi="Arial" w:cs="Arial"/>
        </w:rPr>
      </w:pPr>
    </w:p>
    <w:bookmarkEnd w:id="5"/>
    <w:p w14:paraId="44F2CCF1" w14:textId="77777777" w:rsidR="000D1A5D" w:rsidRDefault="000D1A5D" w:rsidP="00680519">
      <w:pPr>
        <w:rPr>
          <w:rFonts w:ascii="Arial" w:hAnsi="Arial" w:cs="Arial"/>
          <w:b/>
        </w:rPr>
      </w:pPr>
    </w:p>
    <w:p w14:paraId="55C84C47" w14:textId="77777777" w:rsidR="000D1A5D" w:rsidRDefault="000D1A5D" w:rsidP="00680519">
      <w:pPr>
        <w:rPr>
          <w:rFonts w:ascii="Arial" w:hAnsi="Arial" w:cs="Arial"/>
          <w:b/>
        </w:rPr>
      </w:pPr>
    </w:p>
    <w:p w14:paraId="5F78580E" w14:textId="77777777" w:rsidR="000D1A5D" w:rsidRDefault="000D1A5D" w:rsidP="00680519">
      <w:pPr>
        <w:rPr>
          <w:rFonts w:ascii="Arial" w:hAnsi="Arial" w:cs="Arial"/>
          <w:b/>
        </w:rPr>
      </w:pPr>
    </w:p>
    <w:p w14:paraId="1EE55BD0" w14:textId="77777777" w:rsidR="000D1A5D" w:rsidRDefault="000D1A5D" w:rsidP="00680519">
      <w:pPr>
        <w:rPr>
          <w:rFonts w:ascii="Arial" w:hAnsi="Arial" w:cs="Arial"/>
          <w:b/>
        </w:rPr>
      </w:pPr>
    </w:p>
    <w:p w14:paraId="65EEE9A3" w14:textId="7CE74CBD" w:rsidR="000D1A5D" w:rsidRPr="000D1A5D" w:rsidRDefault="000D1A5D" w:rsidP="000D1A5D">
      <w:pPr>
        <w:pStyle w:val="Heading1"/>
        <w:rPr>
          <w:rFonts w:ascii="Arial" w:hAnsi="Arial" w:cs="Arial"/>
        </w:rPr>
      </w:pPr>
      <w:r w:rsidRPr="00CB5F71">
        <w:rPr>
          <w:rFonts w:ascii="Arial" w:hAnsi="Arial" w:cs="Arial"/>
        </w:rPr>
        <w:lastRenderedPageBreak/>
        <w:t>Recommendations</w:t>
      </w:r>
    </w:p>
    <w:p w14:paraId="2EE14D38" w14:textId="1985EDDB" w:rsidR="00680519" w:rsidRPr="00CB5F71" w:rsidRDefault="00680519" w:rsidP="00680519">
      <w:pPr>
        <w:rPr>
          <w:rFonts w:ascii="Arial" w:hAnsi="Arial" w:cs="Arial"/>
          <w:b/>
        </w:rPr>
      </w:pPr>
      <w:r w:rsidRPr="00CB5F71">
        <w:rPr>
          <w:rFonts w:ascii="Arial" w:hAnsi="Arial" w:cs="Arial"/>
          <w:b/>
        </w:rPr>
        <w:t>Corinthia Hotel Group</w:t>
      </w:r>
    </w:p>
    <w:p w14:paraId="145C304B" w14:textId="77777777" w:rsidR="00680519" w:rsidRPr="00CB5F71" w:rsidRDefault="00680519" w:rsidP="00680519">
      <w:pPr>
        <w:pStyle w:val="ListParagraph"/>
        <w:numPr>
          <w:ilvl w:val="0"/>
          <w:numId w:val="1"/>
        </w:numPr>
        <w:rPr>
          <w:rFonts w:ascii="Arial" w:hAnsi="Arial" w:cs="Arial"/>
        </w:rPr>
      </w:pPr>
      <w:r w:rsidRPr="00CB5F71">
        <w:rPr>
          <w:rFonts w:ascii="Arial" w:hAnsi="Arial" w:cs="Arial"/>
        </w:rPr>
        <w:t>The Corinthia Hotel Group’s focus on luxury and premium offerings makes it vital to capitalise on the positive trends in its overall revenue study. The company should invest in exclusive collaborations or unique experiences to expand its service portfolio.</w:t>
      </w:r>
    </w:p>
    <w:p w14:paraId="2FB563A5" w14:textId="77777777" w:rsidR="00680519" w:rsidRPr="00CB5F71" w:rsidRDefault="00680519" w:rsidP="00680519">
      <w:pPr>
        <w:pStyle w:val="ListParagraph"/>
        <w:numPr>
          <w:ilvl w:val="0"/>
          <w:numId w:val="1"/>
        </w:numPr>
        <w:rPr>
          <w:rFonts w:ascii="Arial" w:hAnsi="Arial" w:cs="Arial"/>
        </w:rPr>
      </w:pPr>
      <w:r w:rsidRPr="00CB5F71">
        <w:rPr>
          <w:rFonts w:ascii="Arial" w:hAnsi="Arial" w:cs="Arial"/>
        </w:rPr>
        <w:t>Corinthia’s dominant position in the luxury market and consumers’ positive opinion of the brand suggest focused marketing efforts that highlight the company’s exclusive offerings, engagement with high-profile influential people, and rigorous financial practices (Chopra, 2016).</w:t>
      </w:r>
    </w:p>
    <w:p w14:paraId="5CBC85D5" w14:textId="77777777" w:rsidR="00680519" w:rsidRPr="00AC7F31" w:rsidRDefault="00680519" w:rsidP="00680519">
      <w:pPr>
        <w:pStyle w:val="ListParagraph"/>
        <w:numPr>
          <w:ilvl w:val="0"/>
          <w:numId w:val="1"/>
        </w:numPr>
        <w:rPr>
          <w:rFonts w:ascii="Arial" w:hAnsi="Arial" w:cs="Arial"/>
          <w:b/>
        </w:rPr>
      </w:pPr>
      <w:r w:rsidRPr="00AC7F31">
        <w:rPr>
          <w:rFonts w:ascii="Arial" w:hAnsi="Arial" w:cs="Arial"/>
        </w:rPr>
        <w:t>Using the Designed Fund, the Corinthia Hotel Group can plan its future through smart property acquisitions and the identification of new luxury hospitality markets.</w:t>
      </w:r>
    </w:p>
    <w:p w14:paraId="476734DD" w14:textId="77777777" w:rsidR="00680519" w:rsidRPr="004969C2" w:rsidRDefault="00680519" w:rsidP="00680519">
      <w:pPr>
        <w:pStyle w:val="ListParagraph"/>
        <w:numPr>
          <w:ilvl w:val="0"/>
          <w:numId w:val="1"/>
        </w:numPr>
        <w:rPr>
          <w:rFonts w:ascii="Arial" w:hAnsi="Arial" w:cs="Arial"/>
          <w:color w:val="000000" w:themeColor="text1"/>
        </w:rPr>
      </w:pPr>
      <w:r w:rsidRPr="004969C2">
        <w:rPr>
          <w:rFonts w:ascii="Arial" w:hAnsi="Arial" w:cs="Arial"/>
          <w:color w:val="000000" w:themeColor="text1"/>
        </w:rPr>
        <w:t xml:space="preserve">Reduce your environmental effect with sustainable practices and depreciation-based financial management. </w:t>
      </w:r>
    </w:p>
    <w:p w14:paraId="5D63DF1F" w14:textId="77777777" w:rsidR="00680519" w:rsidRPr="004969C2" w:rsidRDefault="00680519" w:rsidP="00680519">
      <w:pPr>
        <w:pStyle w:val="ListParagraph"/>
        <w:numPr>
          <w:ilvl w:val="0"/>
          <w:numId w:val="1"/>
        </w:numPr>
        <w:rPr>
          <w:rFonts w:ascii="Arial" w:hAnsi="Arial" w:cs="Arial"/>
          <w:color w:val="000000" w:themeColor="text1"/>
        </w:rPr>
      </w:pPr>
      <w:r w:rsidRPr="004969C2">
        <w:rPr>
          <w:rFonts w:ascii="Arial" w:hAnsi="Arial" w:cs="Arial"/>
          <w:color w:val="000000" w:themeColor="text1"/>
        </w:rPr>
        <w:t xml:space="preserve">Supporting community development and social well-being projects is vital. </w:t>
      </w:r>
    </w:p>
    <w:p w14:paraId="5B73841F" w14:textId="77777777" w:rsidR="00680519" w:rsidRPr="004969C2" w:rsidRDefault="00680519" w:rsidP="00680519">
      <w:pPr>
        <w:pStyle w:val="ListParagraph"/>
        <w:numPr>
          <w:ilvl w:val="0"/>
          <w:numId w:val="1"/>
        </w:numPr>
        <w:rPr>
          <w:rFonts w:ascii="Arial" w:hAnsi="Arial" w:cs="Arial"/>
          <w:color w:val="000000" w:themeColor="text1"/>
        </w:rPr>
      </w:pPr>
      <w:r w:rsidRPr="004969C2">
        <w:rPr>
          <w:rFonts w:ascii="Arial" w:hAnsi="Arial" w:cs="Arial"/>
          <w:color w:val="000000" w:themeColor="text1"/>
        </w:rPr>
        <w:t>Transparency, accountability: Company social responsibility operations should have excellent financial reporting and accountability.</w:t>
      </w:r>
    </w:p>
    <w:p w14:paraId="79A08D9F" w14:textId="77777777" w:rsidR="00680519" w:rsidRPr="00AC7F31" w:rsidRDefault="00680519" w:rsidP="00680519">
      <w:pPr>
        <w:ind w:left="360"/>
        <w:rPr>
          <w:rFonts w:ascii="Arial" w:hAnsi="Arial" w:cs="Arial"/>
          <w:b/>
        </w:rPr>
      </w:pPr>
      <w:r w:rsidRPr="00AC7F31">
        <w:rPr>
          <w:rFonts w:ascii="Arial" w:hAnsi="Arial" w:cs="Arial"/>
          <w:b/>
        </w:rPr>
        <w:t>Ibis Hotels</w:t>
      </w:r>
    </w:p>
    <w:p w14:paraId="1F661057" w14:textId="77777777" w:rsidR="00680519" w:rsidRPr="00CB5F71" w:rsidRDefault="00680519" w:rsidP="00680519">
      <w:pPr>
        <w:pStyle w:val="ListParagraph"/>
        <w:numPr>
          <w:ilvl w:val="0"/>
          <w:numId w:val="2"/>
        </w:numPr>
        <w:rPr>
          <w:rFonts w:ascii="Arial" w:hAnsi="Arial" w:cs="Arial"/>
        </w:rPr>
      </w:pPr>
      <w:r w:rsidRPr="00CB5F71">
        <w:rPr>
          <w:rFonts w:ascii="Arial" w:hAnsi="Arial" w:cs="Arial"/>
        </w:rPr>
        <w:t>Ibis Hotels promotes accessibility and affordability, so take advantage of increased overall revenue by researching cost-effective and efficient technology developments. Digital platforms help streamline booking processes and increase client involvement, which could boost revenue.</w:t>
      </w:r>
    </w:p>
    <w:p w14:paraId="298D8B96" w14:textId="77777777" w:rsidR="00680519" w:rsidRPr="00AC7F31" w:rsidRDefault="00680519" w:rsidP="00680519">
      <w:pPr>
        <w:pStyle w:val="ListParagraph"/>
        <w:numPr>
          <w:ilvl w:val="0"/>
          <w:numId w:val="2"/>
        </w:numPr>
        <w:rPr>
          <w:rFonts w:ascii="Arial" w:hAnsi="Arial" w:cs="Arial"/>
        </w:rPr>
      </w:pPr>
      <w:r w:rsidRPr="00AC7F31">
        <w:rPr>
          <w:rFonts w:ascii="Arial" w:hAnsi="Arial" w:cs="Arial"/>
        </w:rPr>
        <w:t xml:space="preserve">This brand offers economical and accessible hospitality. Make sure CSR actions match this commitment. </w:t>
      </w:r>
    </w:p>
    <w:p w14:paraId="3630B2E3" w14:textId="77777777" w:rsidR="00680519" w:rsidRPr="00AC7F31" w:rsidRDefault="00680519" w:rsidP="00680519">
      <w:pPr>
        <w:pStyle w:val="ListParagraph"/>
        <w:numPr>
          <w:ilvl w:val="0"/>
          <w:numId w:val="2"/>
        </w:numPr>
        <w:rPr>
          <w:rFonts w:ascii="Arial" w:hAnsi="Arial" w:cs="Arial"/>
        </w:rPr>
      </w:pPr>
      <w:r w:rsidRPr="00AC7F31">
        <w:rPr>
          <w:rFonts w:ascii="Arial" w:hAnsi="Arial" w:cs="Arial"/>
        </w:rPr>
        <w:t xml:space="preserve">Help communities by volunteering and donating. </w:t>
      </w:r>
    </w:p>
    <w:p w14:paraId="054B8D8E" w14:textId="77777777" w:rsidR="00680519" w:rsidRPr="00CB5F71" w:rsidRDefault="00680519" w:rsidP="00680519">
      <w:pPr>
        <w:pStyle w:val="ListParagraph"/>
        <w:numPr>
          <w:ilvl w:val="0"/>
          <w:numId w:val="2"/>
        </w:numPr>
        <w:rPr>
          <w:rFonts w:ascii="Arial" w:hAnsi="Arial" w:cs="Arial"/>
        </w:rPr>
      </w:pPr>
      <w:r w:rsidRPr="00AC7F31">
        <w:rPr>
          <w:rFonts w:ascii="Arial" w:hAnsi="Arial" w:cs="Arial"/>
        </w:rPr>
        <w:t>Financial Integration Made Simple: Manage CSR efficiently using cash-based accounting.</w:t>
      </w:r>
    </w:p>
    <w:p w14:paraId="114DA47B" w14:textId="77777777" w:rsidR="00C36ECB" w:rsidRDefault="00C36ECB" w:rsidP="00553EEC">
      <w:pPr>
        <w:spacing w:line="259" w:lineRule="auto"/>
        <w:jc w:val="left"/>
        <w:rPr>
          <w:rFonts w:ascii="Arial" w:hAnsi="Arial" w:cs="Arial"/>
        </w:rPr>
      </w:pPr>
      <w:bookmarkStart w:id="6" w:name="_Toc157705272"/>
    </w:p>
    <w:p w14:paraId="4D2885EE" w14:textId="3B3592CD" w:rsidR="00680519" w:rsidRPr="00553EEC" w:rsidRDefault="00680519" w:rsidP="00553EEC">
      <w:pPr>
        <w:spacing w:line="259" w:lineRule="auto"/>
        <w:jc w:val="left"/>
        <w:rPr>
          <w:rFonts w:ascii="Arial" w:eastAsiaTheme="majorEastAsia" w:hAnsi="Arial" w:cs="Arial"/>
          <w:b/>
          <w:color w:val="156082" w:themeColor="accent1"/>
          <w:sz w:val="40"/>
          <w:szCs w:val="40"/>
          <w:lang w:val="en-US"/>
        </w:rPr>
      </w:pPr>
      <w:r w:rsidRPr="00553EEC">
        <w:rPr>
          <w:rFonts w:ascii="Arial" w:hAnsi="Arial" w:cs="Arial"/>
          <w:color w:val="156082" w:themeColor="accent1"/>
          <w:sz w:val="40"/>
          <w:szCs w:val="40"/>
        </w:rPr>
        <w:lastRenderedPageBreak/>
        <w:t>Reference list</w:t>
      </w:r>
      <w:bookmarkEnd w:id="6"/>
      <w:r w:rsidRPr="00553EEC">
        <w:rPr>
          <w:rFonts w:ascii="Arial" w:hAnsi="Arial" w:cs="Arial"/>
          <w:color w:val="156082" w:themeColor="accent1"/>
          <w:sz w:val="40"/>
          <w:szCs w:val="40"/>
        </w:rPr>
        <w:t xml:space="preserve"> </w:t>
      </w:r>
    </w:p>
    <w:p w14:paraId="26A6E38A" w14:textId="77777777" w:rsidR="00680519" w:rsidRPr="00CB5F71" w:rsidRDefault="00680519" w:rsidP="00680519">
      <w:pPr>
        <w:pStyle w:val="NormalWeb"/>
        <w:spacing w:before="0" w:beforeAutospacing="0" w:after="240" w:afterAutospacing="0" w:line="360" w:lineRule="auto"/>
        <w:jc w:val="both"/>
        <w:rPr>
          <w:rFonts w:ascii="Arial" w:hAnsi="Arial" w:cs="Arial"/>
        </w:rPr>
      </w:pPr>
    </w:p>
    <w:p w14:paraId="6B73E412" w14:textId="77777777" w:rsidR="00680519" w:rsidRDefault="00680519" w:rsidP="00680519">
      <w:pPr>
        <w:pStyle w:val="NormalWeb"/>
        <w:spacing w:before="0" w:beforeAutospacing="0" w:after="240" w:afterAutospacing="0" w:line="360" w:lineRule="auto"/>
        <w:jc w:val="both"/>
        <w:rPr>
          <w:rFonts w:ascii="Arial" w:hAnsi="Arial" w:cs="Arial"/>
        </w:rPr>
      </w:pPr>
      <w:r w:rsidRPr="00F21EAC">
        <w:rPr>
          <w:rFonts w:ascii="Arial" w:hAnsi="Arial" w:cs="Arial"/>
        </w:rPr>
        <w:t xml:space="preserve">Anahita, A. (2017). Journal of Hospitality Financial Management | University of Massachusetts Amherst. [online] scholarworks.umass.edu. Available at: </w:t>
      </w:r>
      <w:hyperlink r:id="rId7" w:history="1">
        <w:r w:rsidRPr="009D4797">
          <w:rPr>
            <w:rStyle w:val="Hyperlink"/>
            <w:rFonts w:ascii="Arial" w:hAnsi="Arial" w:cs="Arial"/>
          </w:rPr>
          <w:t>https://scholarworks.umass.edu/jhfm/</w:t>
        </w:r>
      </w:hyperlink>
      <w:r w:rsidRPr="00F21EAC">
        <w:rPr>
          <w:rFonts w:ascii="Arial" w:hAnsi="Arial" w:cs="Arial"/>
        </w:rPr>
        <w:t>.</w:t>
      </w:r>
    </w:p>
    <w:p w14:paraId="5801768E" w14:textId="77777777" w:rsidR="00680519" w:rsidRPr="00F21EAC" w:rsidRDefault="00680519" w:rsidP="00680519">
      <w:pPr>
        <w:pStyle w:val="NormalWeb"/>
        <w:spacing w:before="0" w:beforeAutospacing="0" w:after="240" w:afterAutospacing="0" w:line="360" w:lineRule="auto"/>
        <w:jc w:val="both"/>
        <w:rPr>
          <w:rFonts w:ascii="Arial" w:hAnsi="Arial" w:cs="Arial"/>
        </w:rPr>
      </w:pPr>
      <w:r w:rsidRPr="00F21EAC">
        <w:rPr>
          <w:rFonts w:ascii="Arial" w:hAnsi="Arial" w:cs="Arial"/>
        </w:rPr>
        <w:t>Barbara Beltran Torres (2021). Corporate Social Responsibility in the Hospitality Industry and its contribution to the welfare of local communities. The case of Hilton Hotels. GRIN Verlag.</w:t>
      </w:r>
    </w:p>
    <w:p w14:paraId="4B2E14B4"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Best, R.J. (2015). </w:t>
      </w:r>
      <w:r w:rsidRPr="00CB5F71">
        <w:rPr>
          <w:rFonts w:ascii="Arial" w:hAnsi="Arial" w:cs="Arial"/>
          <w:i/>
          <w:iCs/>
        </w:rPr>
        <w:t>Market-based management : strategies for growing customer value and profitability</w:t>
      </w:r>
      <w:r w:rsidRPr="00CB5F71">
        <w:rPr>
          <w:rFonts w:ascii="Arial" w:hAnsi="Arial" w:cs="Arial"/>
        </w:rPr>
        <w:t>. Upper Saddle River, N.J.: Pearson/Prentice Hall.</w:t>
      </w:r>
    </w:p>
    <w:p w14:paraId="41DD258B"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Cheng, J. (2020). Research and Suggestions on Declining Market Shares of Ibis Budget Hotels. </w:t>
      </w:r>
      <w:r w:rsidRPr="00CB5F71">
        <w:rPr>
          <w:rFonts w:ascii="Arial" w:hAnsi="Arial" w:cs="Arial"/>
          <w:i/>
          <w:iCs/>
        </w:rPr>
        <w:t>Open Journal of Social Sciences</w:t>
      </w:r>
      <w:r w:rsidRPr="00CB5F71">
        <w:rPr>
          <w:rFonts w:ascii="Arial" w:hAnsi="Arial" w:cs="Arial"/>
        </w:rPr>
        <w:t>, [online] 08(1), p.253. doi:https://doi.org/10.4236/jss.2020.81018.</w:t>
      </w:r>
    </w:p>
    <w:p w14:paraId="5BF60B67"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Chopra, S. (2016). </w:t>
      </w:r>
      <w:r w:rsidRPr="00CB5F71">
        <w:rPr>
          <w:rFonts w:ascii="Arial" w:hAnsi="Arial" w:cs="Arial"/>
          <w:i/>
          <w:iCs/>
        </w:rPr>
        <w:t>Supply chain management : Strategy, planning and operation</w:t>
      </w:r>
      <w:r w:rsidRPr="00CB5F71">
        <w:rPr>
          <w:rFonts w:ascii="Arial" w:hAnsi="Arial" w:cs="Arial"/>
        </w:rPr>
        <w:t>. 6th ed. New York, Ny: Pearson Education.</w:t>
      </w:r>
    </w:p>
    <w:p w14:paraId="09205A52"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Corinthia Group (2023). </w:t>
      </w:r>
      <w:r w:rsidRPr="00CB5F71">
        <w:rPr>
          <w:rFonts w:ascii="Arial" w:hAnsi="Arial" w:cs="Arial"/>
          <w:i/>
          <w:iCs/>
        </w:rPr>
        <w:t>Corinthia Group - Owners, Developers &amp; Operators of the Corinthia Hotels and Real Estate Brand</w:t>
      </w:r>
      <w:r w:rsidRPr="00CB5F71">
        <w:rPr>
          <w:rFonts w:ascii="Arial" w:hAnsi="Arial" w:cs="Arial"/>
        </w:rPr>
        <w:t xml:space="preserve">. [online] www.corinthiagroup.com. Available at: </w:t>
      </w:r>
      <w:hyperlink r:id="rId8" w:history="1">
        <w:r w:rsidRPr="00CB5F71">
          <w:rPr>
            <w:rStyle w:val="Hyperlink"/>
            <w:rFonts w:ascii="Arial" w:hAnsi="Arial" w:cs="Arial"/>
          </w:rPr>
          <w:t>https://www.corinthiagroup.com/</w:t>
        </w:r>
      </w:hyperlink>
      <w:r w:rsidRPr="00CB5F71">
        <w:rPr>
          <w:rFonts w:ascii="Arial" w:hAnsi="Arial" w:cs="Arial"/>
        </w:rPr>
        <w:t>.</w:t>
      </w:r>
    </w:p>
    <w:p w14:paraId="39359E7B" w14:textId="77777777" w:rsidR="00680519" w:rsidRPr="00CB5F71" w:rsidRDefault="00680519" w:rsidP="00680519">
      <w:pPr>
        <w:rPr>
          <w:rFonts w:ascii="Arial" w:hAnsi="Arial" w:cs="Arial"/>
        </w:rPr>
      </w:pPr>
      <w:r w:rsidRPr="00CB5F71">
        <w:rPr>
          <w:rFonts w:ascii="Arial" w:hAnsi="Arial" w:cs="Arial"/>
        </w:rPr>
        <w:t>Drury C (2021) (11th Ed) Management and Cost Accounting, London, Prentice Hall</w:t>
      </w:r>
    </w:p>
    <w:p w14:paraId="590DB258"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Go, F.M. and Pine, R. (2018). </w:t>
      </w:r>
      <w:r w:rsidRPr="00CB5F71">
        <w:rPr>
          <w:rFonts w:ascii="Arial" w:hAnsi="Arial" w:cs="Arial"/>
          <w:i/>
          <w:iCs/>
        </w:rPr>
        <w:t>Globalization strategy in the hotel industry</w:t>
      </w:r>
      <w:r w:rsidRPr="00CB5F71">
        <w:rPr>
          <w:rFonts w:ascii="Arial" w:hAnsi="Arial" w:cs="Arial"/>
        </w:rPr>
        <w:t>. London: Routledge.</w:t>
      </w:r>
    </w:p>
    <w:p w14:paraId="7D7FB5C1" w14:textId="77777777" w:rsidR="00680519" w:rsidRPr="00F21EAC" w:rsidRDefault="00680519" w:rsidP="00680519">
      <w:pPr>
        <w:pStyle w:val="NormalWeb"/>
        <w:spacing w:before="0" w:beforeAutospacing="0" w:after="240" w:afterAutospacing="0" w:line="360" w:lineRule="auto"/>
        <w:jc w:val="both"/>
        <w:rPr>
          <w:rFonts w:ascii="Arial" w:hAnsi="Arial" w:cs="Arial"/>
        </w:rPr>
      </w:pPr>
      <w:r w:rsidRPr="00F21EAC">
        <w:rPr>
          <w:rFonts w:ascii="Arial" w:hAnsi="Arial" w:cs="Arial"/>
        </w:rPr>
        <w:t>Guliani, L.K. and Rizwan, S.A. (2016). Corporate social responsibility in the hospitality and tourism industry. Hershey, Pennsylvania (701 E. Chocolate Avenue, Hershey, PA 17033, USA): IGI Global.</w:t>
      </w:r>
    </w:p>
    <w:p w14:paraId="276C9A83" w14:textId="77777777" w:rsidR="00680519"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lastRenderedPageBreak/>
        <w:t xml:space="preserve">Guttentag, D., Smith, S., Potwarka, L. and Havitz, M. (2018). Why Tourists Choose Airbnb: A Motivation-Based Segmentation Study. </w:t>
      </w:r>
      <w:r w:rsidRPr="00CB5F71">
        <w:rPr>
          <w:rFonts w:ascii="Arial" w:hAnsi="Arial" w:cs="Arial"/>
          <w:i/>
          <w:iCs/>
        </w:rPr>
        <w:t>Journal of Travel Research</w:t>
      </w:r>
      <w:r w:rsidRPr="00CB5F71">
        <w:rPr>
          <w:rFonts w:ascii="Arial" w:hAnsi="Arial" w:cs="Arial"/>
        </w:rPr>
        <w:t>, 57(3), pp.342–359. doi:https://doi.org/10.1177/0047287517696980.</w:t>
      </w:r>
    </w:p>
    <w:p w14:paraId="0C704E90"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Hales, J.A. (2021). </w:t>
      </w:r>
      <w:r w:rsidRPr="00CB5F71">
        <w:rPr>
          <w:rFonts w:ascii="Arial" w:hAnsi="Arial" w:cs="Arial"/>
          <w:i/>
          <w:iCs/>
        </w:rPr>
        <w:t>Accounting and financial analysis in the hospitality industry</w:t>
      </w:r>
      <w:r w:rsidRPr="00CB5F71">
        <w:rPr>
          <w:rFonts w:ascii="Arial" w:hAnsi="Arial" w:cs="Arial"/>
        </w:rPr>
        <w:t>. Boston, Ma: Pearson Education/Prentice Hall.</w:t>
      </w:r>
    </w:p>
    <w:p w14:paraId="4B829BEA"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Hoque, K. (2022). </w:t>
      </w:r>
      <w:r w:rsidRPr="00CB5F71">
        <w:rPr>
          <w:rFonts w:ascii="Arial" w:hAnsi="Arial" w:cs="Arial"/>
          <w:i/>
          <w:iCs/>
        </w:rPr>
        <w:t>Human Resource Management in the Hotel Industry</w:t>
      </w:r>
      <w:r w:rsidRPr="00CB5F71">
        <w:rPr>
          <w:rFonts w:ascii="Arial" w:hAnsi="Arial" w:cs="Arial"/>
        </w:rPr>
        <w:t>. Routledge.</w:t>
      </w:r>
    </w:p>
    <w:p w14:paraId="6CA44349"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Ibis (2020). </w:t>
      </w:r>
      <w:r w:rsidRPr="00CB5F71">
        <w:rPr>
          <w:rFonts w:ascii="Arial" w:hAnsi="Arial" w:cs="Arial"/>
          <w:i/>
          <w:iCs/>
        </w:rPr>
        <w:t>WHY INVETS IN IBIS STYLES Accor Global Development</w:t>
      </w:r>
      <w:r w:rsidRPr="00CB5F71">
        <w:rPr>
          <w:rFonts w:ascii="Arial" w:hAnsi="Arial" w:cs="Arial"/>
        </w:rPr>
        <w:t xml:space="preserve">. [online] Available at: </w:t>
      </w:r>
      <w:hyperlink r:id="rId9" w:history="1">
        <w:r w:rsidRPr="00CB5F71">
          <w:rPr>
            <w:rStyle w:val="Hyperlink"/>
            <w:rFonts w:ascii="Arial" w:hAnsi="Arial" w:cs="Arial"/>
          </w:rPr>
          <w:t>https://group.accor.com/-/media/Corporate/Hotel-development/PDF-for-pages/ibis-Styles/2020/S1/01_EN_Why-Invest-in-ibis-Styles_Accor-Global-Development_FEB2020.pdf</w:t>
        </w:r>
      </w:hyperlink>
      <w:r w:rsidRPr="00CB5F71">
        <w:rPr>
          <w:rFonts w:ascii="Arial" w:hAnsi="Arial" w:cs="Arial"/>
        </w:rPr>
        <w:t>.</w:t>
      </w:r>
    </w:p>
    <w:p w14:paraId="74B63B35"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Jerath, K., Netessine, S. and Veeraraghavan, S.K. (2010). Revenue Management with Strategic Customers: Last-Minute Selling and Opaque Selling. </w:t>
      </w:r>
      <w:r w:rsidRPr="00CB5F71">
        <w:rPr>
          <w:rFonts w:ascii="Arial" w:hAnsi="Arial" w:cs="Arial"/>
          <w:i/>
          <w:iCs/>
        </w:rPr>
        <w:t>Management Science</w:t>
      </w:r>
      <w:r w:rsidRPr="00CB5F71">
        <w:rPr>
          <w:rFonts w:ascii="Arial" w:hAnsi="Arial" w:cs="Arial"/>
        </w:rPr>
        <w:t>, 56(3), pp.430–448. doi:https://doi.org/10.1287/mnsc.1090.1125.</w:t>
      </w:r>
    </w:p>
    <w:p w14:paraId="0E0A4B7B"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Maritz, C.J. (2013). </w:t>
      </w:r>
      <w:r w:rsidRPr="00CB5F71">
        <w:rPr>
          <w:rFonts w:ascii="Arial" w:hAnsi="Arial" w:cs="Arial"/>
          <w:i/>
          <w:iCs/>
        </w:rPr>
        <w:t>Business accounting. Workbook</w:t>
      </w:r>
      <w:r w:rsidRPr="00CB5F71">
        <w:rPr>
          <w:rFonts w:ascii="Arial" w:hAnsi="Arial" w:cs="Arial"/>
        </w:rPr>
        <w:t>. Cape Town: Edge Learning Media.</w:t>
      </w:r>
    </w:p>
    <w:p w14:paraId="3BFE5E76"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Marriott, W. and Kathi Ann Brown (2020). </w:t>
      </w:r>
      <w:r w:rsidRPr="00CB5F71">
        <w:rPr>
          <w:rFonts w:ascii="Arial" w:hAnsi="Arial" w:cs="Arial"/>
          <w:i/>
          <w:iCs/>
        </w:rPr>
        <w:t>Without reservations: how a family root beer stand grew into a global hotel company</w:t>
      </w:r>
      <w:r w:rsidRPr="00CB5F71">
        <w:rPr>
          <w:rFonts w:ascii="Arial" w:hAnsi="Arial" w:cs="Arial"/>
        </w:rPr>
        <w:t>. San Diego: Luxury Custom Publishing.</w:t>
      </w:r>
    </w:p>
    <w:p w14:paraId="287AB839"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Mensah, I. (2019). </w:t>
      </w:r>
      <w:r w:rsidRPr="00CB5F71">
        <w:rPr>
          <w:rFonts w:ascii="Arial" w:hAnsi="Arial" w:cs="Arial"/>
          <w:i/>
          <w:iCs/>
        </w:rPr>
        <w:t>Environmental management concepts and practices for the hospitality industry</w:t>
      </w:r>
      <w:r w:rsidRPr="00CB5F71">
        <w:rPr>
          <w:rFonts w:ascii="Arial" w:hAnsi="Arial" w:cs="Arial"/>
        </w:rPr>
        <w:t>. Newcastle-upon-Tyne: Cambridge Scholars Publisher.</w:t>
      </w:r>
    </w:p>
    <w:p w14:paraId="06FA3701" w14:textId="77777777" w:rsidR="00680519" w:rsidRPr="00F21EAC" w:rsidRDefault="00680519" w:rsidP="00680519">
      <w:pPr>
        <w:pStyle w:val="NormalWeb"/>
        <w:spacing w:before="0" w:beforeAutospacing="0" w:after="240" w:afterAutospacing="0" w:line="360" w:lineRule="auto"/>
        <w:jc w:val="both"/>
        <w:rPr>
          <w:rFonts w:ascii="Arial" w:hAnsi="Arial" w:cs="Arial"/>
        </w:rPr>
      </w:pPr>
      <w:r w:rsidRPr="00F21EAC">
        <w:rPr>
          <w:rFonts w:ascii="Arial" w:hAnsi="Arial" w:cs="Arial"/>
        </w:rPr>
        <w:t>NetSuite.com (2024). The Hotel Budgeting Roadmap. [online] Oracle NetSuite. Available at: https://www.netsuite.com/portal/resource/articles/financial-management/hotel-budgeting.shtml.</w:t>
      </w:r>
    </w:p>
    <w:p w14:paraId="481CE21A"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Nicolescu, O. and Nicolescu, C. (2021). </w:t>
      </w:r>
      <w:r w:rsidRPr="00CB5F71">
        <w:rPr>
          <w:rFonts w:ascii="Arial" w:hAnsi="Arial" w:cs="Arial"/>
          <w:i/>
          <w:iCs/>
        </w:rPr>
        <w:t>Stakeholder Management and Social Responsibility</w:t>
      </w:r>
      <w:r w:rsidRPr="00CB5F71">
        <w:rPr>
          <w:rFonts w:ascii="Arial" w:hAnsi="Arial" w:cs="Arial"/>
        </w:rPr>
        <w:t>. Routledge.</w:t>
      </w:r>
    </w:p>
    <w:p w14:paraId="171AD6E4" w14:textId="77777777" w:rsidR="00680519"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Orams, J. (2023). </w:t>
      </w:r>
      <w:r w:rsidRPr="00CB5F71">
        <w:rPr>
          <w:rFonts w:ascii="Arial" w:hAnsi="Arial" w:cs="Arial"/>
          <w:i/>
          <w:iCs/>
        </w:rPr>
        <w:t>Hospitality ON</w:t>
      </w:r>
      <w:r w:rsidRPr="00CB5F71">
        <w:rPr>
          <w:rFonts w:ascii="Arial" w:hAnsi="Arial" w:cs="Arial"/>
        </w:rPr>
        <w:t xml:space="preserve">. [Online] Hospitality ON. Available at: </w:t>
      </w:r>
      <w:hyperlink r:id="rId10" w:history="1">
        <w:r w:rsidRPr="00CB5F71">
          <w:rPr>
            <w:rStyle w:val="Hyperlink"/>
            <w:rFonts w:ascii="Arial" w:hAnsi="Arial" w:cs="Arial"/>
          </w:rPr>
          <w:t>https://hospitality-on.com/en/worldwide-hospitality-awards/ibis/ibis-reinventing-guest-experience</w:t>
        </w:r>
      </w:hyperlink>
    </w:p>
    <w:p w14:paraId="7BB29B54"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F21EAC">
        <w:rPr>
          <w:rFonts w:ascii="Arial" w:hAnsi="Arial" w:cs="Arial"/>
        </w:rPr>
        <w:lastRenderedPageBreak/>
        <w:t>Parsa, H.G. (2015). Sustainability, social responsibility, and innovations in tourism and hospitality. Oakville, ON: Apple Academic Press.</w:t>
      </w:r>
    </w:p>
    <w:p w14:paraId="0DFDCFB1" w14:textId="77777777" w:rsidR="00680519" w:rsidRPr="00CB5F71" w:rsidRDefault="00680519" w:rsidP="00680519">
      <w:pPr>
        <w:rPr>
          <w:rFonts w:ascii="Arial" w:hAnsi="Arial" w:cs="Arial"/>
        </w:rPr>
      </w:pPr>
      <w:r w:rsidRPr="00CB5F71">
        <w:rPr>
          <w:rFonts w:ascii="Arial" w:hAnsi="Arial" w:cs="Arial"/>
        </w:rPr>
        <w:t>Seal W (2019) (6th Ed) Management Accounting, London, McGraw Hill</w:t>
      </w:r>
    </w:p>
    <w:p w14:paraId="5D157B9C"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Sigala, M. and Gretzel, U. (2017). </w:t>
      </w:r>
      <w:r w:rsidRPr="00CB5F71">
        <w:rPr>
          <w:rFonts w:ascii="Arial" w:hAnsi="Arial" w:cs="Arial"/>
          <w:i/>
          <w:iCs/>
        </w:rPr>
        <w:t>Advances in Social Media for Travel, Tourism and Hospitality</w:t>
      </w:r>
      <w:r w:rsidRPr="00CB5F71">
        <w:rPr>
          <w:rFonts w:ascii="Arial" w:hAnsi="Arial" w:cs="Arial"/>
        </w:rPr>
        <w:t>. Routledge.</w:t>
      </w:r>
    </w:p>
    <w:p w14:paraId="1C34065C"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 xml:space="preserve">Vouk, I. (2018). </w:t>
      </w:r>
      <w:r w:rsidRPr="00CB5F71">
        <w:rPr>
          <w:rFonts w:ascii="Arial" w:hAnsi="Arial" w:cs="Arial"/>
          <w:i/>
          <w:iCs/>
        </w:rPr>
        <w:t>Revenue management made easy for midscale and limited-service hotels: the 6 strategic steps for becoming the most valuable person at your property</w:t>
      </w:r>
      <w:r w:rsidRPr="00CB5F71">
        <w:rPr>
          <w:rFonts w:ascii="Arial" w:hAnsi="Arial" w:cs="Arial"/>
        </w:rPr>
        <w:t>. San Diego, Ca: Ira Vouk Revenue Management Services.</w:t>
      </w:r>
    </w:p>
    <w:p w14:paraId="12E4C679" w14:textId="77777777" w:rsidR="00680519" w:rsidRPr="00CB5F71" w:rsidRDefault="00680519" w:rsidP="00680519">
      <w:pPr>
        <w:pStyle w:val="NormalWeb"/>
        <w:spacing w:before="0" w:beforeAutospacing="0" w:after="240" w:afterAutospacing="0" w:line="360" w:lineRule="auto"/>
        <w:jc w:val="both"/>
        <w:rPr>
          <w:rFonts w:ascii="Arial" w:hAnsi="Arial" w:cs="Arial"/>
        </w:rPr>
      </w:pPr>
      <w:r w:rsidRPr="00CB5F71">
        <w:rPr>
          <w:rFonts w:ascii="Arial" w:hAnsi="Arial" w:cs="Arial"/>
        </w:rPr>
        <w:t>Walker J (2021). Introduction to Hospitality, Harlow, Pearson</w:t>
      </w:r>
    </w:p>
    <w:p w14:paraId="6D9EDBA2" w14:textId="77777777" w:rsidR="00680519" w:rsidRPr="00F21EAC" w:rsidRDefault="00680519" w:rsidP="00680519">
      <w:pPr>
        <w:pStyle w:val="NormalWeb"/>
        <w:spacing w:before="0" w:beforeAutospacing="0" w:after="240" w:afterAutospacing="0" w:line="360" w:lineRule="auto"/>
        <w:jc w:val="both"/>
        <w:rPr>
          <w:rFonts w:ascii="Arial" w:hAnsi="Arial" w:cs="Arial"/>
        </w:rPr>
      </w:pPr>
      <w:r w:rsidRPr="00F21EAC">
        <w:rPr>
          <w:rFonts w:ascii="Arial" w:hAnsi="Arial" w:cs="Arial"/>
        </w:rPr>
        <w:t>Wingston, S. (2019). About Corinthia | Corinthia Hotels International | Corinthia.com. [online] Corinthia. Available at: https://www.corinthia.com/en-gb/our-story/.</w:t>
      </w:r>
    </w:p>
    <w:p w14:paraId="025CC13A" w14:textId="77777777" w:rsidR="00680519" w:rsidRPr="00CB5F71" w:rsidRDefault="00680519" w:rsidP="00680519">
      <w:pPr>
        <w:rPr>
          <w:rFonts w:ascii="Arial" w:hAnsi="Arial" w:cs="Arial"/>
        </w:rPr>
      </w:pPr>
    </w:p>
    <w:p w14:paraId="1A203E53" w14:textId="77777777" w:rsidR="00FF6A5B" w:rsidRDefault="00FF6A5B"/>
    <w:sectPr w:rsidR="00FF6A5B" w:rsidSect="0068051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DE4D9" w14:textId="77777777" w:rsidR="00F04E0B" w:rsidRDefault="00F04E0B">
      <w:pPr>
        <w:spacing w:after="0" w:line="240" w:lineRule="auto"/>
      </w:pPr>
      <w:r>
        <w:separator/>
      </w:r>
    </w:p>
  </w:endnote>
  <w:endnote w:type="continuationSeparator" w:id="0">
    <w:p w14:paraId="45F3B3AC" w14:textId="77777777" w:rsidR="00F04E0B" w:rsidRDefault="00F04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6316665"/>
      <w:docPartObj>
        <w:docPartGallery w:val="Page Numbers (Bottom of Page)"/>
        <w:docPartUnique/>
      </w:docPartObj>
    </w:sdtPr>
    <w:sdtContent>
      <w:p w14:paraId="4F21DA70" w14:textId="23990CA3" w:rsidR="00553EEC" w:rsidRDefault="00553EEC" w:rsidP="007110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0993C6" w14:textId="77777777" w:rsidR="00AA3B8D" w:rsidRDefault="00AA3B8D" w:rsidP="00553E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3905126"/>
      <w:docPartObj>
        <w:docPartGallery w:val="Page Numbers (Bottom of Page)"/>
        <w:docPartUnique/>
      </w:docPartObj>
    </w:sdtPr>
    <w:sdtContent>
      <w:p w14:paraId="07589AE6" w14:textId="534CB4B6" w:rsidR="00553EEC" w:rsidRDefault="00553EEC" w:rsidP="007110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18D4C71" w14:textId="77777777" w:rsidR="00AA3B8D" w:rsidRDefault="00AA3B8D" w:rsidP="00553EE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E37B" w14:textId="77777777" w:rsidR="00AA3B8D" w:rsidRDefault="00AA3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CA268" w14:textId="77777777" w:rsidR="00F04E0B" w:rsidRDefault="00F04E0B">
      <w:pPr>
        <w:spacing w:after="0" w:line="240" w:lineRule="auto"/>
      </w:pPr>
      <w:r>
        <w:separator/>
      </w:r>
    </w:p>
  </w:footnote>
  <w:footnote w:type="continuationSeparator" w:id="0">
    <w:p w14:paraId="6032AB01" w14:textId="77777777" w:rsidR="00F04E0B" w:rsidRDefault="00F04E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D8CC9" w14:textId="77777777" w:rsidR="00AA3B8D" w:rsidRDefault="00AA3B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9C266" w14:textId="77777777" w:rsidR="00AA3B8D" w:rsidRDefault="00AA3B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DC73" w14:textId="77777777" w:rsidR="00AA3B8D" w:rsidRDefault="00AA3B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5AC"/>
    <w:multiLevelType w:val="hybridMultilevel"/>
    <w:tmpl w:val="FAE23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8702DA"/>
    <w:multiLevelType w:val="hybridMultilevel"/>
    <w:tmpl w:val="41084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3710407">
    <w:abstractNumId w:val="0"/>
  </w:num>
  <w:num w:numId="2" w16cid:durableId="1254440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519"/>
    <w:rsid w:val="00017C15"/>
    <w:rsid w:val="00051407"/>
    <w:rsid w:val="000B3D7A"/>
    <w:rsid w:val="000D1A5D"/>
    <w:rsid w:val="002017C9"/>
    <w:rsid w:val="002042FC"/>
    <w:rsid w:val="002557D5"/>
    <w:rsid w:val="00273895"/>
    <w:rsid w:val="00397FFE"/>
    <w:rsid w:val="00450B6F"/>
    <w:rsid w:val="005324B8"/>
    <w:rsid w:val="00553EEC"/>
    <w:rsid w:val="006135B7"/>
    <w:rsid w:val="00680519"/>
    <w:rsid w:val="008939AB"/>
    <w:rsid w:val="00A10E02"/>
    <w:rsid w:val="00AA3B8D"/>
    <w:rsid w:val="00B44AB3"/>
    <w:rsid w:val="00C36ECB"/>
    <w:rsid w:val="00E53C6E"/>
    <w:rsid w:val="00E86C61"/>
    <w:rsid w:val="00F04E0B"/>
    <w:rsid w:val="00F05C91"/>
    <w:rsid w:val="00FF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36E612"/>
  <w15:chartTrackingRefBased/>
  <w15:docId w15:val="{94B833C0-A4D6-FE49-8018-2A6E109CB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19"/>
    <w:pPr>
      <w:spacing w:after="16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6805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05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05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05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05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05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05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05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05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5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05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05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05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05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05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05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05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0519"/>
    <w:rPr>
      <w:rFonts w:eastAsiaTheme="majorEastAsia" w:cstheme="majorBidi"/>
      <w:color w:val="272727" w:themeColor="text1" w:themeTint="D8"/>
    </w:rPr>
  </w:style>
  <w:style w:type="paragraph" w:styleId="Title">
    <w:name w:val="Title"/>
    <w:basedOn w:val="Normal"/>
    <w:next w:val="Normal"/>
    <w:link w:val="TitleChar"/>
    <w:uiPriority w:val="10"/>
    <w:qFormat/>
    <w:rsid w:val="006805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5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5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5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0519"/>
    <w:pPr>
      <w:spacing w:before="160"/>
      <w:jc w:val="center"/>
    </w:pPr>
    <w:rPr>
      <w:i/>
      <w:iCs/>
      <w:color w:val="404040" w:themeColor="text1" w:themeTint="BF"/>
    </w:rPr>
  </w:style>
  <w:style w:type="character" w:customStyle="1" w:styleId="QuoteChar">
    <w:name w:val="Quote Char"/>
    <w:basedOn w:val="DefaultParagraphFont"/>
    <w:link w:val="Quote"/>
    <w:uiPriority w:val="29"/>
    <w:rsid w:val="00680519"/>
    <w:rPr>
      <w:i/>
      <w:iCs/>
      <w:color w:val="404040" w:themeColor="text1" w:themeTint="BF"/>
    </w:rPr>
  </w:style>
  <w:style w:type="paragraph" w:styleId="ListParagraph">
    <w:name w:val="List Paragraph"/>
    <w:basedOn w:val="Normal"/>
    <w:uiPriority w:val="34"/>
    <w:qFormat/>
    <w:rsid w:val="00680519"/>
    <w:pPr>
      <w:ind w:left="720"/>
      <w:contextualSpacing/>
    </w:pPr>
  </w:style>
  <w:style w:type="character" w:styleId="IntenseEmphasis">
    <w:name w:val="Intense Emphasis"/>
    <w:basedOn w:val="DefaultParagraphFont"/>
    <w:uiPriority w:val="21"/>
    <w:qFormat/>
    <w:rsid w:val="00680519"/>
    <w:rPr>
      <w:i/>
      <w:iCs/>
      <w:color w:val="0F4761" w:themeColor="accent1" w:themeShade="BF"/>
    </w:rPr>
  </w:style>
  <w:style w:type="paragraph" w:styleId="IntenseQuote">
    <w:name w:val="Intense Quote"/>
    <w:basedOn w:val="Normal"/>
    <w:next w:val="Normal"/>
    <w:link w:val="IntenseQuoteChar"/>
    <w:uiPriority w:val="30"/>
    <w:qFormat/>
    <w:rsid w:val="006805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0519"/>
    <w:rPr>
      <w:i/>
      <w:iCs/>
      <w:color w:val="0F4761" w:themeColor="accent1" w:themeShade="BF"/>
    </w:rPr>
  </w:style>
  <w:style w:type="character" w:styleId="IntenseReference">
    <w:name w:val="Intense Reference"/>
    <w:basedOn w:val="DefaultParagraphFont"/>
    <w:uiPriority w:val="32"/>
    <w:qFormat/>
    <w:rsid w:val="00680519"/>
    <w:rPr>
      <w:b/>
      <w:bCs/>
      <w:smallCaps/>
      <w:color w:val="0F4761" w:themeColor="accent1" w:themeShade="BF"/>
      <w:spacing w:val="5"/>
    </w:rPr>
  </w:style>
  <w:style w:type="paragraph" w:styleId="Header">
    <w:name w:val="header"/>
    <w:basedOn w:val="Normal"/>
    <w:link w:val="HeaderChar"/>
    <w:uiPriority w:val="99"/>
    <w:unhideWhenUsed/>
    <w:rsid w:val="006805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0519"/>
    <w:rPr>
      <w:rFonts w:ascii="Times New Roman" w:hAnsi="Times New Roman"/>
      <w:kern w:val="0"/>
      <w:szCs w:val="22"/>
      <w14:ligatures w14:val="none"/>
    </w:rPr>
  </w:style>
  <w:style w:type="paragraph" w:styleId="Footer">
    <w:name w:val="footer"/>
    <w:basedOn w:val="Normal"/>
    <w:link w:val="FooterChar"/>
    <w:uiPriority w:val="99"/>
    <w:unhideWhenUsed/>
    <w:rsid w:val="006805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519"/>
    <w:rPr>
      <w:rFonts w:ascii="Times New Roman" w:hAnsi="Times New Roman"/>
      <w:kern w:val="0"/>
      <w:szCs w:val="22"/>
      <w14:ligatures w14:val="none"/>
    </w:rPr>
  </w:style>
  <w:style w:type="table" w:styleId="TableGrid">
    <w:name w:val="Table Grid"/>
    <w:basedOn w:val="TableNormal"/>
    <w:uiPriority w:val="39"/>
    <w:rsid w:val="00680519"/>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80519"/>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680519"/>
    <w:pPr>
      <w:spacing w:after="100"/>
    </w:pPr>
  </w:style>
  <w:style w:type="character" w:styleId="Hyperlink">
    <w:name w:val="Hyperlink"/>
    <w:basedOn w:val="DefaultParagraphFont"/>
    <w:uiPriority w:val="99"/>
    <w:unhideWhenUsed/>
    <w:rsid w:val="00680519"/>
    <w:rPr>
      <w:color w:val="467886" w:themeColor="hyperlink"/>
      <w:u w:val="single"/>
    </w:rPr>
  </w:style>
  <w:style w:type="paragraph" w:styleId="NormalWeb">
    <w:name w:val="Normal (Web)"/>
    <w:basedOn w:val="Normal"/>
    <w:uiPriority w:val="99"/>
    <w:semiHidden/>
    <w:unhideWhenUsed/>
    <w:rsid w:val="00680519"/>
    <w:pPr>
      <w:spacing w:before="100" w:beforeAutospacing="1" w:after="100" w:afterAutospacing="1" w:line="240" w:lineRule="auto"/>
      <w:jc w:val="left"/>
    </w:pPr>
    <w:rPr>
      <w:rFonts w:eastAsia="Times New Roman" w:cs="Times New Roman"/>
      <w:szCs w:val="24"/>
      <w:lang w:val="en-US"/>
    </w:rPr>
  </w:style>
  <w:style w:type="character" w:styleId="PageNumber">
    <w:name w:val="page number"/>
    <w:basedOn w:val="DefaultParagraphFont"/>
    <w:uiPriority w:val="99"/>
    <w:semiHidden/>
    <w:unhideWhenUsed/>
    <w:rsid w:val="00553EEC"/>
  </w:style>
  <w:style w:type="paragraph" w:styleId="Revision">
    <w:name w:val="Revision"/>
    <w:hidden/>
    <w:uiPriority w:val="99"/>
    <w:semiHidden/>
    <w:rsid w:val="006135B7"/>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inthiagroup.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cholarworks.umass.edu/jhfm/"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hospitality-on.com/en/worldwide-hospitality-awards/ibis/ibis-reinventing-guest-experience" TargetMode="External"/><Relationship Id="rId4" Type="http://schemas.openxmlformats.org/officeDocument/2006/relationships/webSettings" Target="webSettings.xml"/><Relationship Id="rId9" Type="http://schemas.openxmlformats.org/officeDocument/2006/relationships/hyperlink" Target="https://group.accor.com/-/media/Corporate/Hotel-development/PDF-for-pages/ibis-Styles/2020/S1/01_EN_Why-Invest-in-ibis-Styles_Accor-Global-Development_FEB2020.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16</Pages>
  <Words>3412</Words>
  <Characters>19449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Somru Miah (2129682)</dc:creator>
  <cp:keywords/>
  <dc:description/>
  <cp:lastModifiedBy>Mohammed Somru Miah (2129682)</cp:lastModifiedBy>
  <cp:revision>5</cp:revision>
  <dcterms:created xsi:type="dcterms:W3CDTF">2024-05-31T17:06:00Z</dcterms:created>
  <dcterms:modified xsi:type="dcterms:W3CDTF">2024-05-31T22:04:00Z</dcterms:modified>
</cp:coreProperties>
</file>