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636875" w:rsidRDefault="00636875" w:rsidP="00636875">
      <w:pPr>
        <w:spacing w:after="0" w:line="240" w:lineRule="auto"/>
        <w:ind w:left="-180" w:right="-334"/>
        <w:jc w:val="right"/>
        <w:rPr>
          <w:rFonts w:ascii="Arial" w:eastAsia="SimSun" w:hAnsi="Arial" w:cs="Arial"/>
          <w:color w:val="000000"/>
          <w:lang w:eastAsia="zh-CN"/>
        </w:rPr>
      </w:pPr>
      <w:r w:rsidRPr="00612677">
        <w:rPr>
          <w:rFonts w:ascii="Arial" w:eastAsia="SimSun" w:hAnsi="Arial" w:cs="Arial"/>
          <w:color w:val="000000"/>
          <w:lang w:eastAsia="zh-CN"/>
        </w:rPr>
        <w:t>Student Name:</w:t>
      </w:r>
      <w:r>
        <w:rPr>
          <w:rFonts w:ascii="Arial" w:eastAsia="SimSun" w:hAnsi="Arial" w:cs="Arial"/>
          <w:color w:val="000000"/>
          <w:lang w:eastAsia="zh-CN"/>
        </w:rPr>
        <w:t xml:space="preserve"> David DEHOORNE                                                </w:t>
      </w:r>
      <w:r w:rsidRPr="00612677">
        <w:rPr>
          <w:rFonts w:ascii="Arial" w:eastAsia="SimSun" w:hAnsi="Arial" w:cs="Arial"/>
          <w:color w:val="000000"/>
          <w:lang w:eastAsia="zh-CN"/>
        </w:rPr>
        <w:t>Student University Number:</w:t>
      </w:r>
      <w:r>
        <w:rPr>
          <w:rFonts w:ascii="Arial" w:eastAsia="SimSun" w:hAnsi="Arial" w:cs="Arial"/>
          <w:color w:val="000000"/>
          <w:lang w:eastAsia="zh-CN"/>
        </w:rPr>
        <w:t>1704133</w:t>
      </w:r>
    </w:p>
    <w:p w:rsidR="00636875" w:rsidRDefault="00636875" w:rsidP="00636875">
      <w:pPr>
        <w:spacing w:after="0" w:line="240" w:lineRule="auto"/>
        <w:ind w:left="-180" w:right="-334"/>
        <w:rPr>
          <w:rFonts w:ascii="Georgia" w:eastAsia="SimSun" w:hAnsi="Georgia" w:cs="Times New Roman"/>
          <w:color w:val="000000"/>
          <w:sz w:val="21"/>
          <w:szCs w:val="21"/>
          <w:lang w:eastAsia="zh-CN"/>
        </w:rPr>
      </w:pPr>
    </w:p>
    <w:p w:rsidR="00636875" w:rsidRDefault="00636875" w:rsidP="00636875">
      <w:pPr>
        <w:spacing w:after="0" w:line="240" w:lineRule="auto"/>
        <w:ind w:left="-180" w:right="-334"/>
        <w:rPr>
          <w:rFonts w:ascii="Arial" w:eastAsia="SimSun" w:hAnsi="Arial" w:cs="Arial"/>
          <w:color w:val="000000"/>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Pr="00366A65" w:rsidRDefault="00636875" w:rsidP="00612677">
      <w:pPr>
        <w:spacing w:after="0" w:line="240" w:lineRule="auto"/>
        <w:ind w:left="-180" w:right="-334"/>
        <w:rPr>
          <w:rFonts w:eastAsia="SimSun" w:cs="Times New Roman"/>
          <w:color w:val="000000"/>
          <w:sz w:val="21"/>
          <w:szCs w:val="21"/>
          <w:lang w:eastAsia="zh-CN"/>
        </w:rPr>
      </w:pPr>
    </w:p>
    <w:p w:rsidR="00366A65" w:rsidRDefault="00366A6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Default="00636875" w:rsidP="00612677">
      <w:pPr>
        <w:spacing w:after="0" w:line="240" w:lineRule="auto"/>
        <w:ind w:left="-180" w:right="-334"/>
        <w:rPr>
          <w:rFonts w:eastAsia="SimSun" w:cs="Times New Roman"/>
          <w:color w:val="000000"/>
          <w:sz w:val="21"/>
          <w:szCs w:val="21"/>
          <w:lang w:eastAsia="zh-CN"/>
        </w:rPr>
      </w:pPr>
    </w:p>
    <w:p w:rsidR="00636875" w:rsidRPr="00366A65" w:rsidRDefault="00636875" w:rsidP="00612677">
      <w:pPr>
        <w:spacing w:after="0" w:line="240" w:lineRule="auto"/>
        <w:ind w:left="-180" w:right="-334"/>
        <w:rPr>
          <w:rFonts w:eastAsia="SimSun" w:cs="Times New Roman"/>
          <w:color w:val="000000"/>
          <w:sz w:val="21"/>
          <w:szCs w:val="21"/>
          <w:lang w:eastAsia="zh-CN"/>
        </w:rPr>
      </w:pPr>
    </w:p>
    <w:p w:rsidR="00366A65" w:rsidRPr="00636875" w:rsidRDefault="00366A65" w:rsidP="00636875">
      <w:pPr>
        <w:spacing w:after="0" w:line="240" w:lineRule="auto"/>
        <w:ind w:left="-180" w:right="-334"/>
        <w:jc w:val="center"/>
        <w:rPr>
          <w:rFonts w:eastAsia="SimSun" w:cs="Times New Roman"/>
          <w:b/>
          <w:color w:val="000000"/>
          <w:sz w:val="36"/>
          <w:szCs w:val="21"/>
          <w:lang w:eastAsia="zh-CN"/>
        </w:rPr>
      </w:pPr>
      <w:r w:rsidRPr="00636875">
        <w:rPr>
          <w:rFonts w:eastAsia="SimSun" w:cs="Times New Roman"/>
          <w:b/>
          <w:color w:val="000000"/>
          <w:sz w:val="36"/>
          <w:szCs w:val="21"/>
          <w:lang w:eastAsia="zh-CN"/>
        </w:rPr>
        <w:t>This document contains the two assignments for the</w:t>
      </w:r>
    </w:p>
    <w:p w:rsidR="00366A65" w:rsidRPr="00636875" w:rsidRDefault="00366A65" w:rsidP="00636875">
      <w:pPr>
        <w:spacing w:after="0" w:line="240" w:lineRule="auto"/>
        <w:ind w:left="-180" w:right="-334"/>
        <w:jc w:val="center"/>
        <w:rPr>
          <w:rFonts w:eastAsia="SimSun" w:cs="Times New Roman"/>
          <w:b/>
          <w:color w:val="000000"/>
          <w:sz w:val="36"/>
          <w:szCs w:val="21"/>
          <w:lang w:eastAsia="zh-CN"/>
        </w:rPr>
      </w:pPr>
      <w:r w:rsidRPr="00636875">
        <w:rPr>
          <w:rFonts w:eastAsia="SimSun" w:cs="Times New Roman"/>
          <w:b/>
          <w:color w:val="000000"/>
          <w:sz w:val="36"/>
          <w:szCs w:val="21"/>
          <w:lang w:eastAsia="zh-CN"/>
        </w:rPr>
        <w:t>Social and Political Philosophy Module</w:t>
      </w:r>
    </w:p>
    <w:p w:rsidR="00366A65" w:rsidRPr="00366A65" w:rsidRDefault="00366A65" w:rsidP="00636875">
      <w:pPr>
        <w:spacing w:after="0" w:line="240" w:lineRule="auto"/>
        <w:ind w:left="-180" w:right="-334"/>
        <w:jc w:val="center"/>
        <w:rPr>
          <w:rFonts w:eastAsia="SimSun" w:cs="Times New Roman"/>
          <w:color w:val="000000"/>
          <w:sz w:val="36"/>
          <w:szCs w:val="21"/>
          <w:lang w:eastAsia="zh-CN"/>
        </w:rPr>
      </w:pPr>
      <w:r w:rsidRPr="00366A65">
        <w:rPr>
          <w:rFonts w:eastAsia="SimSun" w:cs="Times New Roman"/>
          <w:color w:val="000000"/>
          <w:sz w:val="36"/>
          <w:szCs w:val="21"/>
          <w:lang w:eastAsia="zh-CN"/>
        </w:rPr>
        <w:t>CSPH7037</w:t>
      </w: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636875" w:rsidRDefault="00636875" w:rsidP="00636875">
      <w:pPr>
        <w:spacing w:after="0" w:line="240" w:lineRule="auto"/>
        <w:ind w:left="-180" w:right="-334"/>
        <w:jc w:val="center"/>
        <w:rPr>
          <w:rFonts w:ascii="Arial" w:eastAsia="SimSun" w:hAnsi="Arial" w:cs="Arial"/>
          <w:color w:val="000000"/>
          <w:lang w:eastAsia="zh-CN"/>
        </w:rPr>
      </w:pPr>
      <w:r w:rsidRPr="00612677">
        <w:rPr>
          <w:rFonts w:ascii="Arial" w:eastAsia="SimSun" w:hAnsi="Arial" w:cs="Arial"/>
          <w:color w:val="000000"/>
          <w:lang w:eastAsia="zh-CN"/>
        </w:rPr>
        <w:t>Assignment due date:</w:t>
      </w:r>
      <w:r>
        <w:rPr>
          <w:rFonts w:ascii="Arial" w:eastAsia="SimSun" w:hAnsi="Arial" w:cs="Arial"/>
          <w:color w:val="000000"/>
          <w:lang w:eastAsia="zh-CN"/>
        </w:rPr>
        <w:t xml:space="preserve"> </w:t>
      </w:r>
    </w:p>
    <w:p w:rsidR="00636875" w:rsidRDefault="00636875" w:rsidP="00636875">
      <w:pPr>
        <w:spacing w:after="0" w:line="240" w:lineRule="auto"/>
        <w:ind w:left="-180" w:right="-334"/>
        <w:jc w:val="center"/>
        <w:rPr>
          <w:rFonts w:ascii="Georgia" w:eastAsia="SimSun" w:hAnsi="Georgia" w:cs="Times New Roman"/>
          <w:color w:val="000000"/>
          <w:sz w:val="21"/>
          <w:szCs w:val="21"/>
          <w:lang w:eastAsia="zh-CN"/>
        </w:rPr>
      </w:pPr>
      <w:r>
        <w:rPr>
          <w:rFonts w:ascii="Arial" w:eastAsia="SimSun" w:hAnsi="Arial" w:cs="Arial"/>
          <w:color w:val="000000"/>
          <w:lang w:eastAsia="zh-CN"/>
        </w:rPr>
        <w:t>30th September 2018 (resit)</w:t>
      </w: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636875" w:rsidRDefault="00636875" w:rsidP="00612677">
      <w:pPr>
        <w:spacing w:after="0" w:line="240" w:lineRule="auto"/>
        <w:ind w:left="-180" w:right="-334"/>
        <w:rPr>
          <w:rFonts w:ascii="Georgia" w:eastAsia="SimSun" w:hAnsi="Georgia" w:cs="Times New Roman"/>
          <w:color w:val="000000"/>
          <w:sz w:val="21"/>
          <w:szCs w:val="21"/>
          <w:lang w:eastAsia="zh-CN"/>
        </w:rPr>
      </w:pPr>
    </w:p>
    <w:p w:rsidR="00636875" w:rsidRDefault="0063687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Pr="00612677" w:rsidRDefault="00366A65" w:rsidP="00366A65">
      <w:pPr>
        <w:spacing w:after="0" w:line="240" w:lineRule="auto"/>
        <w:ind w:right="34"/>
        <w:rPr>
          <w:rFonts w:ascii="Arial" w:eastAsia="SimSun" w:hAnsi="Arial" w:cs="Arial"/>
          <w:color w:val="000000"/>
          <w:lang w:eastAsia="zh-CN"/>
        </w:rPr>
      </w:pP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636875" w:rsidRPr="00612677" w:rsidRDefault="00636875" w:rsidP="00636875">
      <w:pPr>
        <w:spacing w:after="0" w:line="240" w:lineRule="auto"/>
        <w:ind w:right="34"/>
        <w:rPr>
          <w:rFonts w:ascii="Arial" w:eastAsia="SimSun" w:hAnsi="Arial" w:cs="Arial"/>
          <w:color w:val="000000"/>
          <w:lang w:eastAsia="zh-CN"/>
        </w:rPr>
      </w:pPr>
    </w:p>
    <w:p w:rsidR="00636875" w:rsidRDefault="00636875" w:rsidP="00636875">
      <w:pPr>
        <w:spacing w:after="0" w:line="240" w:lineRule="auto"/>
        <w:ind w:left="-180" w:right="-334"/>
        <w:rPr>
          <w:rFonts w:ascii="Georgia" w:eastAsia="SimSun" w:hAnsi="Georgia" w:cs="Times New Roman"/>
          <w:color w:val="000000"/>
          <w:sz w:val="21"/>
          <w:szCs w:val="21"/>
          <w:lang w:eastAsia="zh-CN"/>
        </w:rPr>
      </w:pPr>
      <w:r w:rsidRPr="00612677">
        <w:rPr>
          <w:rFonts w:ascii="Arial" w:eastAsia="SimSun" w:hAnsi="Arial" w:cs="Arial"/>
          <w:color w:val="000000"/>
          <w:lang w:eastAsia="zh-CN"/>
        </w:rPr>
        <w:t>Assignment title</w:t>
      </w:r>
      <w:r>
        <w:rPr>
          <w:rFonts w:ascii="Arial" w:eastAsia="SimSun" w:hAnsi="Arial" w:cs="Arial"/>
          <w:color w:val="000000"/>
          <w:lang w:eastAsia="zh-CN"/>
        </w:rPr>
        <w:t xml:space="preserve"> (Essay 1)</w:t>
      </w:r>
      <w:r w:rsidRPr="00612677">
        <w:rPr>
          <w:rFonts w:ascii="Arial" w:eastAsia="SimSun" w:hAnsi="Arial" w:cs="Arial"/>
          <w:color w:val="000000"/>
          <w:lang w:eastAsia="zh-CN"/>
        </w:rPr>
        <w:t>:</w:t>
      </w:r>
      <w:r>
        <w:t xml:space="preserve"> </w:t>
      </w:r>
      <w:r w:rsidRPr="00612677">
        <w:rPr>
          <w:rFonts w:ascii="Arial" w:eastAsia="SimSun" w:hAnsi="Arial" w:cs="Arial"/>
          <w:color w:val="000000"/>
          <w:lang w:eastAsia="zh-CN"/>
        </w:rPr>
        <w:t>Critically examine Hobbes’ theory of contract</w:t>
      </w:r>
    </w:p>
    <w:p w:rsidR="00636875" w:rsidRDefault="00636875" w:rsidP="00636875">
      <w:pPr>
        <w:spacing w:after="0" w:line="240" w:lineRule="auto"/>
        <w:ind w:left="-180" w:right="-334"/>
        <w:rPr>
          <w:rFonts w:ascii="Georgia" w:eastAsia="SimSun" w:hAnsi="Georgia" w:cs="Times New Roman"/>
          <w:color w:val="000000"/>
          <w:sz w:val="21"/>
          <w:szCs w:val="21"/>
          <w:lang w:eastAsia="zh-CN"/>
        </w:rPr>
      </w:pPr>
    </w:p>
    <w:p w:rsidR="00636875" w:rsidRPr="00DC46CE" w:rsidRDefault="00636875" w:rsidP="00636875">
      <w:pPr>
        <w:spacing w:after="0" w:line="240" w:lineRule="auto"/>
        <w:ind w:left="-180" w:right="-334"/>
        <w:rPr>
          <w:rFonts w:ascii="Georgia" w:eastAsia="SimSun" w:hAnsi="Georgia" w:cs="Times New Roman"/>
          <w:color w:val="000000"/>
          <w:sz w:val="21"/>
          <w:szCs w:val="21"/>
          <w:lang w:eastAsia="zh-CN"/>
        </w:rPr>
      </w:pPr>
      <w:r w:rsidRPr="00612677">
        <w:rPr>
          <w:rFonts w:ascii="Arial" w:eastAsia="SimSun" w:hAnsi="Arial" w:cs="Arial"/>
          <w:color w:val="000000"/>
          <w:lang w:eastAsia="zh-CN"/>
        </w:rPr>
        <w:t>Assignment title</w:t>
      </w:r>
      <w:r>
        <w:rPr>
          <w:rFonts w:ascii="Arial" w:eastAsia="SimSun" w:hAnsi="Arial" w:cs="Arial"/>
          <w:color w:val="000000"/>
          <w:lang w:eastAsia="zh-CN"/>
        </w:rPr>
        <w:t xml:space="preserve"> (Essay 2)</w:t>
      </w:r>
      <w:r w:rsidRPr="00612677">
        <w:rPr>
          <w:rFonts w:ascii="Arial" w:eastAsia="SimSun" w:hAnsi="Arial" w:cs="Arial"/>
          <w:color w:val="000000"/>
          <w:lang w:eastAsia="zh-CN"/>
        </w:rPr>
        <w:t>:</w:t>
      </w:r>
      <w:r>
        <w:rPr>
          <w:rFonts w:ascii="Arial" w:eastAsia="SimSun" w:hAnsi="Arial" w:cs="Arial"/>
          <w:color w:val="000000"/>
          <w:lang w:eastAsia="zh-CN"/>
        </w:rPr>
        <w:t xml:space="preserve"> </w:t>
      </w:r>
      <w:r w:rsidRPr="00DC46CE">
        <w:rPr>
          <w:rFonts w:ascii="Arial" w:eastAsia="SimSun" w:hAnsi="Arial" w:cs="Arial"/>
          <w:color w:val="000000"/>
          <w:lang w:eastAsia="zh-CN"/>
        </w:rPr>
        <w:t>What does Rawls mean by the ‘Original Position’?</w:t>
      </w:r>
    </w:p>
    <w:p w:rsidR="00366A65" w:rsidRDefault="00636875" w:rsidP="00612677">
      <w:pPr>
        <w:spacing w:after="0" w:line="240" w:lineRule="auto"/>
        <w:ind w:left="-180" w:right="-334"/>
        <w:rPr>
          <w:rFonts w:ascii="Georgia" w:eastAsia="SimSun" w:hAnsi="Georgia" w:cs="Times New Roman"/>
          <w:color w:val="000000"/>
          <w:sz w:val="21"/>
          <w:szCs w:val="21"/>
          <w:lang w:eastAsia="zh-CN"/>
        </w:rPr>
      </w:pPr>
      <w:r w:rsidRPr="00DC46CE">
        <w:rPr>
          <w:rFonts w:ascii="Arial" w:eastAsia="SimSun" w:hAnsi="Arial" w:cs="Arial"/>
          <w:color w:val="000000"/>
          <w:lang w:eastAsia="zh-CN"/>
        </w:rPr>
        <w:t>Is his account of the knowledge and ignorance features of the Original Position justified?</w:t>
      </w:r>
    </w:p>
    <w:p w:rsidR="00366A65" w:rsidRDefault="00366A65" w:rsidP="00612677">
      <w:pPr>
        <w:spacing w:after="0" w:line="240" w:lineRule="auto"/>
        <w:ind w:left="-180" w:right="-334"/>
        <w:rPr>
          <w:rFonts w:ascii="Georgia" w:eastAsia="SimSun" w:hAnsi="Georgia" w:cs="Times New Roman"/>
          <w:color w:val="000000"/>
          <w:sz w:val="21"/>
          <w:szCs w:val="21"/>
          <w:lang w:eastAsia="zh-CN"/>
        </w:rPr>
      </w:pPr>
    </w:p>
    <w:p w:rsidR="00366A65" w:rsidRDefault="00366A65">
      <w:pPr>
        <w:rPr>
          <w:rFonts w:ascii="Georgia" w:eastAsia="SimSun" w:hAnsi="Georgia" w:cs="Times New Roman"/>
          <w:color w:val="000000"/>
          <w:sz w:val="21"/>
          <w:szCs w:val="21"/>
          <w:lang w:eastAsia="zh-CN"/>
        </w:rPr>
      </w:pPr>
      <w:r>
        <w:rPr>
          <w:rFonts w:ascii="Georgia" w:eastAsia="SimSun" w:hAnsi="Georgia" w:cs="Times New Roman"/>
          <w:color w:val="000000"/>
          <w:sz w:val="21"/>
          <w:szCs w:val="21"/>
          <w:lang w:eastAsia="zh-CN"/>
        </w:rPr>
        <w:br w:type="page"/>
      </w:r>
    </w:p>
    <w:p w:rsidR="00366A65" w:rsidRPr="00612677" w:rsidRDefault="00366A65" w:rsidP="00612677">
      <w:pPr>
        <w:spacing w:after="0" w:line="240" w:lineRule="auto"/>
        <w:ind w:left="-180" w:right="-334"/>
        <w:rPr>
          <w:rFonts w:ascii="Georgia" w:eastAsia="SimSun" w:hAnsi="Georgia" w:cs="Times New Roman"/>
          <w:color w:val="000000"/>
          <w:sz w:val="21"/>
          <w:szCs w:val="21"/>
          <w:lang w:eastAsia="zh-CN"/>
        </w:rPr>
      </w:pPr>
      <w:r w:rsidRPr="00612677">
        <w:rPr>
          <w:rFonts w:ascii="Georgia" w:eastAsia="SimSun" w:hAnsi="Georgia" w:cs="Times New Roman"/>
          <w:noProof/>
          <w:color w:val="000000"/>
          <w:sz w:val="21"/>
          <w:szCs w:val="21"/>
          <w:lang w:eastAsia="en-GB"/>
        </w:rPr>
        <w:lastRenderedPageBreak/>
        <w:drawing>
          <wp:inline distT="0" distB="0" distL="0" distR="0" wp14:anchorId="357B00B5" wp14:editId="4AD6FB9E">
            <wp:extent cx="2385060" cy="936625"/>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5060" cy="936625"/>
                    </a:xfrm>
                    <a:prstGeom prst="rect">
                      <a:avLst/>
                    </a:prstGeom>
                    <a:noFill/>
                    <a:ln>
                      <a:noFill/>
                    </a:ln>
                  </pic:spPr>
                </pic:pic>
              </a:graphicData>
            </a:graphic>
          </wp:inline>
        </w:drawing>
      </w:r>
    </w:p>
    <w:p w:rsidR="00612677" w:rsidRPr="00612677" w:rsidRDefault="00612677" w:rsidP="00612677">
      <w:pPr>
        <w:spacing w:after="0" w:line="240" w:lineRule="auto"/>
        <w:ind w:left="-180" w:right="-334"/>
        <w:rPr>
          <w:rFonts w:ascii="Georgia" w:eastAsia="SimSun" w:hAnsi="Georgia" w:cs="Times New Roman"/>
          <w:color w:val="000000"/>
          <w:sz w:val="21"/>
          <w:szCs w:val="21"/>
          <w:lang w:eastAsia="zh-CN"/>
        </w:rPr>
      </w:pPr>
    </w:p>
    <w:p w:rsidR="00612677" w:rsidRPr="00612677" w:rsidRDefault="00612677" w:rsidP="00612677">
      <w:pPr>
        <w:spacing w:after="0" w:line="240" w:lineRule="auto"/>
        <w:ind w:left="-180" w:right="-334"/>
        <w:jc w:val="center"/>
        <w:rPr>
          <w:rFonts w:ascii="Arial" w:eastAsia="SimSun" w:hAnsi="Arial" w:cs="Arial"/>
          <w:b/>
          <w:color w:val="000000"/>
          <w:sz w:val="28"/>
          <w:szCs w:val="28"/>
          <w:lang w:val="cy-GB" w:eastAsia="zh-CN"/>
        </w:rPr>
      </w:pPr>
      <w:r w:rsidRPr="00612677">
        <w:rPr>
          <w:rFonts w:ascii="Arial" w:eastAsia="SimSun" w:hAnsi="Arial" w:cs="Arial"/>
          <w:b/>
          <w:color w:val="000000"/>
          <w:sz w:val="28"/>
          <w:szCs w:val="28"/>
          <w:lang w:val="cy-GB" w:eastAsia="zh-CN"/>
        </w:rPr>
        <w:t xml:space="preserve">Postgraduate/Distance Learning </w:t>
      </w:r>
    </w:p>
    <w:p w:rsidR="00612677" w:rsidRPr="00612677" w:rsidRDefault="00612677" w:rsidP="00612677">
      <w:pPr>
        <w:spacing w:after="0" w:line="240" w:lineRule="auto"/>
        <w:ind w:left="-180" w:right="-334"/>
        <w:jc w:val="center"/>
        <w:rPr>
          <w:rFonts w:ascii="Arial" w:eastAsia="SimSun" w:hAnsi="Arial" w:cs="Arial"/>
          <w:b/>
          <w:color w:val="000000"/>
          <w:sz w:val="28"/>
          <w:szCs w:val="28"/>
          <w:lang w:eastAsia="zh-CN"/>
        </w:rPr>
      </w:pPr>
      <w:r w:rsidRPr="00612677">
        <w:rPr>
          <w:rFonts w:ascii="Arial" w:eastAsia="SimSun" w:hAnsi="Arial" w:cs="Arial"/>
          <w:b/>
          <w:color w:val="000000"/>
          <w:sz w:val="28"/>
          <w:szCs w:val="28"/>
          <w:lang w:val="cy-GB" w:eastAsia="zh-CN"/>
        </w:rPr>
        <w:t>Assignment Coversheet &amp; Feedback Form</w:t>
      </w:r>
    </w:p>
    <w:p w:rsidR="00612677" w:rsidRPr="00612677" w:rsidRDefault="00612677" w:rsidP="00612677">
      <w:pPr>
        <w:spacing w:after="0" w:line="240" w:lineRule="auto"/>
        <w:rPr>
          <w:rFonts w:ascii="Arial" w:eastAsia="SimSun" w:hAnsi="Arial" w:cs="Arial"/>
          <w:sz w:val="28"/>
          <w:szCs w:val="28"/>
          <w:lang w:val="cy-GB" w:eastAsia="zh-CN"/>
        </w:rPr>
      </w:pPr>
    </w:p>
    <w:p w:rsidR="00612677" w:rsidRPr="00612677" w:rsidRDefault="00612677" w:rsidP="00612677">
      <w:pPr>
        <w:spacing w:after="0" w:line="240" w:lineRule="auto"/>
        <w:jc w:val="center"/>
        <w:rPr>
          <w:rFonts w:ascii="Arial" w:eastAsia="SimSun" w:hAnsi="Arial" w:cs="Arial"/>
          <w:sz w:val="20"/>
          <w:szCs w:val="20"/>
          <w:lang w:val="cy-GB" w:eastAsia="zh-CN"/>
        </w:rPr>
      </w:pPr>
      <w:r w:rsidRPr="00612677">
        <w:rPr>
          <w:rFonts w:ascii="Arial" w:eastAsia="SimSun" w:hAnsi="Arial" w:cs="Arial"/>
          <w:sz w:val="20"/>
          <w:szCs w:val="20"/>
          <w:lang w:val="cy-GB" w:eastAsia="zh-CN"/>
        </w:rPr>
        <w:t>[Please insert this coversheet as the first page of the assignment you are submitting]</w:t>
      </w:r>
    </w:p>
    <w:p w:rsidR="00612677" w:rsidRPr="00612677" w:rsidRDefault="00612677" w:rsidP="00612677">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612677" w:rsidRPr="00612677" w:rsidTr="00612677">
        <w:trPr>
          <w:trHeight w:val="724"/>
        </w:trPr>
        <w:tc>
          <w:tcPr>
            <w:tcW w:w="8856" w:type="dxa"/>
            <w:gridSpan w:val="4"/>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b/>
                <w:color w:val="000000"/>
                <w:lang w:eastAsia="zh-CN"/>
              </w:rPr>
              <w:t>For completion by the student</w:t>
            </w:r>
            <w:r w:rsidRPr="00612677">
              <w:rPr>
                <w:rFonts w:ascii="Arial" w:eastAsia="SimSun" w:hAnsi="Arial" w:cs="Arial"/>
                <w:color w:val="000000"/>
                <w:lang w:eastAsia="zh-CN"/>
              </w:rPr>
              <w:t>:</w:t>
            </w: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Student Name:</w:t>
            </w:r>
            <w:r>
              <w:rPr>
                <w:rFonts w:ascii="Arial" w:eastAsia="SimSun" w:hAnsi="Arial" w:cs="Arial"/>
                <w:color w:val="000000"/>
                <w:lang w:eastAsia="zh-CN"/>
              </w:rPr>
              <w:t xml:space="preserve"> David DEHOORNE</w:t>
            </w:r>
          </w:p>
        </w:tc>
      </w:tr>
      <w:tr w:rsidR="00612677" w:rsidRPr="00612677" w:rsidTr="00612677">
        <w:trPr>
          <w:trHeight w:val="693"/>
        </w:trPr>
        <w:tc>
          <w:tcPr>
            <w:tcW w:w="4788" w:type="dxa"/>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Module code: CSPH7037</w:t>
            </w:r>
          </w:p>
          <w:p w:rsidR="00612677" w:rsidRPr="00612677" w:rsidRDefault="00612677" w:rsidP="00612677">
            <w:pPr>
              <w:spacing w:after="0" w:line="240" w:lineRule="auto"/>
              <w:ind w:right="34"/>
              <w:rPr>
                <w:rFonts w:ascii="Arial" w:eastAsia="SimSun" w:hAnsi="Arial" w:cs="Arial"/>
                <w:color w:val="000000"/>
                <w:lang w:eastAsia="zh-CN"/>
              </w:rPr>
            </w:pPr>
          </w:p>
        </w:tc>
        <w:tc>
          <w:tcPr>
            <w:tcW w:w="2266" w:type="dxa"/>
            <w:gridSpan w:val="2"/>
            <w:vMerge w:val="restart"/>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Student University Number:</w:t>
            </w:r>
            <w:r>
              <w:rPr>
                <w:rFonts w:ascii="Arial" w:eastAsia="SimSun" w:hAnsi="Arial" w:cs="Arial"/>
                <w:color w:val="000000"/>
                <w:lang w:eastAsia="zh-CN"/>
              </w:rPr>
              <w:t>1704133</w:t>
            </w:r>
          </w:p>
        </w:tc>
        <w:tc>
          <w:tcPr>
            <w:tcW w:w="1802" w:type="dxa"/>
            <w:vMerge w:val="restart"/>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Educational support needs:</w:t>
            </w: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strike/>
                <w:color w:val="000000"/>
                <w:lang w:eastAsia="zh-CN"/>
              </w:rPr>
              <w:t>Yes</w:t>
            </w:r>
            <w:r w:rsidRPr="00612677">
              <w:rPr>
                <w:rFonts w:ascii="Arial" w:eastAsia="SimSun" w:hAnsi="Arial" w:cs="Arial"/>
                <w:color w:val="000000"/>
                <w:lang w:eastAsia="zh-CN"/>
              </w:rPr>
              <w:t>/No</w:t>
            </w:r>
          </w:p>
        </w:tc>
      </w:tr>
      <w:tr w:rsidR="00612677" w:rsidRPr="00612677" w:rsidTr="00612677">
        <w:trPr>
          <w:trHeight w:val="630"/>
        </w:trPr>
        <w:tc>
          <w:tcPr>
            <w:tcW w:w="4788" w:type="dxa"/>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Module title</w:t>
            </w:r>
            <w:bookmarkStart w:id="0" w:name="_Hlk522886156"/>
            <w:r w:rsidRPr="00612677">
              <w:rPr>
                <w:rFonts w:ascii="Arial" w:eastAsia="SimSun" w:hAnsi="Arial" w:cs="Arial"/>
                <w:color w:val="000000"/>
                <w:lang w:eastAsia="zh-CN"/>
              </w:rPr>
              <w:t>:</w:t>
            </w:r>
            <w:r>
              <w:t xml:space="preserve"> </w:t>
            </w:r>
            <w:r>
              <w:rPr>
                <w:rFonts w:ascii="Arial" w:eastAsia="SimSun" w:hAnsi="Arial" w:cs="Arial"/>
                <w:color w:val="000000"/>
                <w:lang w:eastAsia="zh-CN"/>
              </w:rPr>
              <w:t>Social and Political Philosophy</w:t>
            </w:r>
            <w:bookmarkEnd w:id="0"/>
          </w:p>
          <w:p w:rsidR="00612677" w:rsidRPr="00612677" w:rsidRDefault="00612677" w:rsidP="00612677">
            <w:pPr>
              <w:spacing w:after="0" w:line="240" w:lineRule="auto"/>
              <w:ind w:right="34"/>
              <w:rPr>
                <w:rFonts w:ascii="Arial" w:eastAsia="SimSun" w:hAnsi="Arial" w:cs="Arial"/>
                <w:color w:val="000000"/>
                <w:lang w:eastAsia="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612677" w:rsidRPr="00612677" w:rsidRDefault="00612677" w:rsidP="00612677">
            <w:pPr>
              <w:spacing w:after="0" w:line="240" w:lineRule="auto"/>
              <w:rPr>
                <w:rFonts w:ascii="Arial" w:eastAsia="SimSun" w:hAnsi="Arial" w:cs="Arial"/>
                <w:color w:val="000000"/>
                <w:lang w:eastAsia="zh-C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612677" w:rsidRPr="00612677" w:rsidRDefault="00612677" w:rsidP="00612677">
            <w:pPr>
              <w:spacing w:after="0" w:line="240" w:lineRule="auto"/>
              <w:rPr>
                <w:rFonts w:ascii="Arial" w:eastAsia="SimSun" w:hAnsi="Arial" w:cs="Arial"/>
                <w:color w:val="000000"/>
                <w:lang w:eastAsia="zh-CN"/>
              </w:rPr>
            </w:pPr>
          </w:p>
        </w:tc>
      </w:tr>
      <w:tr w:rsidR="00612677" w:rsidRPr="00612677" w:rsidTr="00612677">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Module tutor:</w:t>
            </w:r>
            <w:r>
              <w:t xml:space="preserve"> </w:t>
            </w:r>
            <w:r w:rsidRPr="00612677">
              <w:rPr>
                <w:rFonts w:ascii="Arial" w:eastAsia="SimSun" w:hAnsi="Arial" w:cs="Arial"/>
                <w:color w:val="000000"/>
                <w:lang w:eastAsia="zh-CN"/>
              </w:rPr>
              <w:t>Dr Rebekah Humphreys</w:t>
            </w:r>
          </w:p>
        </w:tc>
      </w:tr>
      <w:tr w:rsidR="00612677" w:rsidRPr="00612677" w:rsidTr="00612677">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Assignment title:</w:t>
            </w:r>
            <w:r>
              <w:t xml:space="preserve"> </w:t>
            </w:r>
            <w:r w:rsidRPr="00612677">
              <w:rPr>
                <w:rFonts w:ascii="Arial" w:eastAsia="SimSun" w:hAnsi="Arial" w:cs="Arial"/>
                <w:color w:val="000000"/>
                <w:lang w:eastAsia="zh-CN"/>
              </w:rPr>
              <w:t>Critically examine Hobbes’ theory of contract</w:t>
            </w:r>
          </w:p>
        </w:tc>
      </w:tr>
      <w:tr w:rsidR="00612677" w:rsidRPr="00612677" w:rsidTr="00612677">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Assignment due date:</w:t>
            </w:r>
            <w:r>
              <w:rPr>
                <w:rFonts w:ascii="Arial" w:eastAsia="SimSun" w:hAnsi="Arial" w:cs="Arial"/>
                <w:color w:val="000000"/>
                <w:lang w:eastAsia="zh-CN"/>
              </w:rPr>
              <w:t xml:space="preserve"> 30th September 2018</w:t>
            </w:r>
            <w:r w:rsidR="00C15C0B">
              <w:rPr>
                <w:rFonts w:ascii="Arial" w:eastAsia="SimSun" w:hAnsi="Arial" w:cs="Arial"/>
                <w:color w:val="000000"/>
                <w:lang w:eastAsia="zh-CN"/>
              </w:rPr>
              <w:t xml:space="preserve"> (resit)</w:t>
            </w:r>
          </w:p>
        </w:tc>
      </w:tr>
      <w:tr w:rsidR="00612677" w:rsidRPr="00612677" w:rsidTr="00612677">
        <w:trPr>
          <w:trHeight w:val="978"/>
        </w:trPr>
        <w:tc>
          <w:tcPr>
            <w:tcW w:w="8856" w:type="dxa"/>
            <w:gridSpan w:val="4"/>
            <w:tcBorders>
              <w:top w:val="single" w:sz="4" w:space="0" w:color="000000"/>
              <w:left w:val="single" w:sz="4" w:space="0" w:color="000000"/>
              <w:bottom w:val="single" w:sz="4" w:space="0" w:color="000000"/>
              <w:right w:val="single" w:sz="4" w:space="0" w:color="000000"/>
            </w:tcBorders>
            <w:shd w:val="clear" w:color="auto" w:fill="D9D9D9"/>
          </w:tcPr>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I confirm that this is my original work and that I have adhered to the University policy on plagiarism.</w:t>
            </w:r>
          </w:p>
          <w:p w:rsidR="00612677" w:rsidRPr="00612677" w:rsidRDefault="00612677" w:rsidP="00612677">
            <w:pPr>
              <w:spacing w:after="0" w:line="240" w:lineRule="auto"/>
              <w:ind w:right="34"/>
              <w:rPr>
                <w:rFonts w:ascii="Arial" w:eastAsia="SimSun" w:hAnsi="Arial" w:cs="Arial"/>
                <w:color w:val="000000"/>
                <w:lang w:eastAsia="zh-CN"/>
              </w:rPr>
            </w:pPr>
          </w:p>
          <w:p w:rsidR="00612677" w:rsidRPr="00612677" w:rsidRDefault="00612677" w:rsidP="00612677">
            <w:pPr>
              <w:spacing w:after="0" w:line="240" w:lineRule="auto"/>
              <w:ind w:right="34"/>
              <w:rPr>
                <w:rFonts w:ascii="Arial" w:eastAsia="SimSun" w:hAnsi="Arial" w:cs="Arial"/>
                <w:color w:val="000000"/>
                <w:lang w:eastAsia="zh-CN"/>
              </w:rPr>
            </w:pPr>
            <w:r w:rsidRPr="00612677">
              <w:rPr>
                <w:rFonts w:ascii="Arial" w:eastAsia="SimSun" w:hAnsi="Arial" w:cs="Arial"/>
                <w:color w:val="000000"/>
                <w:lang w:eastAsia="zh-CN"/>
              </w:rPr>
              <w:t>Name ……………</w:t>
            </w:r>
            <w:r>
              <w:rPr>
                <w:rFonts w:ascii="Arial" w:eastAsia="SimSun" w:hAnsi="Arial" w:cs="Arial"/>
                <w:color w:val="000000"/>
                <w:lang w:eastAsia="zh-CN"/>
              </w:rPr>
              <w:t xml:space="preserve"> David DEHOORNE</w:t>
            </w:r>
            <w:r w:rsidRPr="00612677">
              <w:rPr>
                <w:rFonts w:ascii="Arial" w:eastAsia="SimSun" w:hAnsi="Arial" w:cs="Arial"/>
                <w:color w:val="000000"/>
                <w:lang w:eastAsia="zh-CN"/>
              </w:rPr>
              <w:t xml:space="preserve"> ………………………………………………</w:t>
            </w:r>
          </w:p>
          <w:p w:rsidR="00612677" w:rsidRPr="00612677" w:rsidRDefault="00612677" w:rsidP="00612677">
            <w:pPr>
              <w:spacing w:after="0" w:line="240" w:lineRule="auto"/>
              <w:ind w:right="34"/>
              <w:rPr>
                <w:rFonts w:ascii="Arial" w:eastAsia="SimSun" w:hAnsi="Arial" w:cs="Arial"/>
                <w:color w:val="000000"/>
                <w:lang w:eastAsia="zh-CN"/>
              </w:rPr>
            </w:pPr>
          </w:p>
        </w:tc>
      </w:tr>
      <w:tr w:rsidR="00612677" w:rsidRPr="00612677" w:rsidTr="00612677">
        <w:trPr>
          <w:trHeight w:val="3972"/>
        </w:trPr>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rPr>
                <w:rFonts w:ascii="Arial" w:eastAsia="SimSun" w:hAnsi="Arial" w:cs="Arial"/>
                <w:b/>
                <w:sz w:val="24"/>
                <w:szCs w:val="24"/>
                <w:lang w:eastAsia="zh-CN"/>
              </w:rPr>
            </w:pPr>
          </w:p>
          <w:p w:rsidR="00612677" w:rsidRPr="00612677" w:rsidRDefault="00612677" w:rsidP="00612677">
            <w:pPr>
              <w:spacing w:after="0" w:line="240" w:lineRule="auto"/>
              <w:rPr>
                <w:rFonts w:ascii="Arial" w:eastAsia="SimSun" w:hAnsi="Arial" w:cs="Arial"/>
                <w:sz w:val="24"/>
                <w:szCs w:val="24"/>
                <w:lang w:eastAsia="zh-CN"/>
              </w:rPr>
            </w:pPr>
            <w:r w:rsidRPr="00612677">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12677" w:rsidRPr="00612677">
              <w:tc>
                <w:tcPr>
                  <w:tcW w:w="697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lang w:eastAsia="zh-CN"/>
                    </w:rPr>
                  </w:pPr>
                </w:p>
                <w:p w:rsidR="00612677" w:rsidRPr="00612677" w:rsidRDefault="00612677" w:rsidP="00612677">
                  <w:pPr>
                    <w:spacing w:after="0" w:line="240" w:lineRule="auto"/>
                    <w:rPr>
                      <w:rFonts w:ascii="Arial" w:eastAsia="SimSun" w:hAnsi="Arial" w:cs="Arial"/>
                      <w:lang w:eastAsia="zh-CN"/>
                    </w:rPr>
                  </w:pPr>
                  <w:r w:rsidRPr="00612677">
                    <w:rPr>
                      <w:rFonts w:ascii="Arial" w:eastAsia="SimSun" w:hAnsi="Arial" w:cs="Arial"/>
                      <w:lang w:eastAsia="zh-CN"/>
                    </w:rPr>
                    <w:t>1</w:t>
                  </w:r>
                  <w:r w:rsidRPr="00612677">
                    <w:rPr>
                      <w:rFonts w:ascii="Arial" w:eastAsia="SimSun" w:hAnsi="Arial" w:cs="Arial"/>
                      <w:vertAlign w:val="superscript"/>
                      <w:lang w:eastAsia="zh-CN"/>
                    </w:rPr>
                    <w:t>st</w:t>
                  </w:r>
                  <w:r w:rsidRPr="00612677">
                    <w:rPr>
                      <w:rFonts w:ascii="Arial" w:eastAsia="SimSun" w:hAnsi="Arial" w:cs="Arial"/>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sz w:val="20"/>
                      <w:szCs w:val="20"/>
                      <w:lang w:eastAsia="zh-CN"/>
                    </w:rPr>
                  </w:pPr>
                </w:p>
              </w:tc>
            </w:tr>
            <w:tr w:rsidR="00612677" w:rsidRPr="00612677">
              <w:tc>
                <w:tcPr>
                  <w:tcW w:w="697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lang w:eastAsia="zh-CN"/>
                    </w:rPr>
                  </w:pPr>
                </w:p>
                <w:p w:rsidR="00612677" w:rsidRPr="00612677" w:rsidRDefault="00612677" w:rsidP="00612677">
                  <w:pPr>
                    <w:spacing w:after="0" w:line="240" w:lineRule="auto"/>
                    <w:rPr>
                      <w:rFonts w:ascii="Arial" w:eastAsia="SimSun" w:hAnsi="Arial" w:cs="Arial"/>
                      <w:lang w:eastAsia="zh-CN"/>
                    </w:rPr>
                  </w:pPr>
                  <w:r w:rsidRPr="00612677">
                    <w:rPr>
                      <w:rFonts w:ascii="Arial" w:eastAsia="SimSun" w:hAnsi="Arial" w:cs="Arial"/>
                      <w:lang w:eastAsia="zh-CN"/>
                    </w:rPr>
                    <w:t>2</w:t>
                  </w:r>
                  <w:r w:rsidRPr="00612677">
                    <w:rPr>
                      <w:rFonts w:ascii="Arial" w:eastAsia="SimSun" w:hAnsi="Arial" w:cs="Arial"/>
                      <w:vertAlign w:val="superscript"/>
                      <w:lang w:eastAsia="zh-CN"/>
                    </w:rPr>
                    <w:t>nd</w:t>
                  </w:r>
                  <w:r w:rsidRPr="00612677">
                    <w:rPr>
                      <w:rFonts w:ascii="Arial" w:eastAsia="SimSun" w:hAnsi="Arial" w:cs="Arial"/>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sz w:val="20"/>
                      <w:szCs w:val="20"/>
                      <w:lang w:eastAsia="zh-CN"/>
                    </w:rPr>
                  </w:pPr>
                </w:p>
              </w:tc>
            </w:tr>
            <w:tr w:rsidR="00612677" w:rsidRPr="00612677">
              <w:tc>
                <w:tcPr>
                  <w:tcW w:w="697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lang w:eastAsia="zh-CN"/>
                    </w:rPr>
                  </w:pPr>
                </w:p>
                <w:p w:rsidR="00612677" w:rsidRPr="00612677" w:rsidRDefault="00612677" w:rsidP="00612677">
                  <w:pPr>
                    <w:spacing w:after="0" w:line="240" w:lineRule="auto"/>
                    <w:rPr>
                      <w:rFonts w:ascii="Arial" w:eastAsia="SimSun" w:hAnsi="Arial" w:cs="Arial"/>
                      <w:lang w:eastAsia="zh-CN"/>
                    </w:rPr>
                  </w:pPr>
                  <w:r w:rsidRPr="00612677">
                    <w:rPr>
                      <w:rFonts w:ascii="Arial" w:eastAsia="SimSun" w:hAnsi="Arial" w:cs="Arial"/>
                      <w:lang w:eastAsia="zh-CN"/>
                    </w:rPr>
                    <w:t>External Examiner mark (if relevant)</w:t>
                  </w:r>
                </w:p>
              </w:tc>
              <w:tc>
                <w:tcPr>
                  <w:tcW w:w="166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sz w:val="20"/>
                      <w:szCs w:val="20"/>
                      <w:lang w:eastAsia="zh-CN"/>
                    </w:rPr>
                  </w:pPr>
                </w:p>
              </w:tc>
            </w:tr>
            <w:tr w:rsidR="00612677" w:rsidRPr="00612677">
              <w:tc>
                <w:tcPr>
                  <w:tcW w:w="697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lang w:eastAsia="zh-CN"/>
                    </w:rPr>
                  </w:pPr>
                </w:p>
                <w:p w:rsidR="00612677" w:rsidRPr="00612677" w:rsidRDefault="00612677" w:rsidP="00612677">
                  <w:pPr>
                    <w:spacing w:after="0" w:line="240" w:lineRule="auto"/>
                    <w:rPr>
                      <w:rFonts w:ascii="Arial" w:eastAsia="SimSun" w:hAnsi="Arial" w:cs="Arial"/>
                      <w:b/>
                      <w:lang w:eastAsia="zh-CN"/>
                    </w:rPr>
                  </w:pPr>
                  <w:r w:rsidRPr="00612677">
                    <w:rPr>
                      <w:rFonts w:ascii="Arial" w:eastAsia="SimSun" w:hAnsi="Arial" w:cs="Arial"/>
                      <w:b/>
                      <w:lang w:eastAsia="zh-CN"/>
                    </w:rPr>
                    <w:t>Final Mark</w:t>
                  </w:r>
                </w:p>
                <w:p w:rsidR="00612677" w:rsidRPr="00612677" w:rsidRDefault="00612677" w:rsidP="00612677">
                  <w:pPr>
                    <w:spacing w:after="0" w:line="240" w:lineRule="auto"/>
                    <w:rPr>
                      <w:rFonts w:ascii="Arial" w:eastAsia="SimSun" w:hAnsi="Arial" w:cs="Arial"/>
                      <w:lang w:eastAsia="zh-CN"/>
                    </w:rPr>
                  </w:pPr>
                </w:p>
              </w:tc>
              <w:tc>
                <w:tcPr>
                  <w:tcW w:w="1660" w:type="dxa"/>
                  <w:tcBorders>
                    <w:top w:val="single" w:sz="4" w:space="0" w:color="auto"/>
                    <w:left w:val="single" w:sz="4" w:space="0" w:color="auto"/>
                    <w:bottom w:val="single" w:sz="4" w:space="0" w:color="auto"/>
                    <w:right w:val="single" w:sz="4" w:space="0" w:color="auto"/>
                  </w:tcBorders>
                </w:tcPr>
                <w:p w:rsidR="00612677" w:rsidRPr="00612677" w:rsidRDefault="00612677" w:rsidP="00612677">
                  <w:pPr>
                    <w:spacing w:after="0" w:line="240" w:lineRule="auto"/>
                    <w:rPr>
                      <w:rFonts w:ascii="Arial" w:eastAsia="SimSun" w:hAnsi="Arial" w:cs="Arial"/>
                      <w:b/>
                      <w:sz w:val="20"/>
                      <w:szCs w:val="20"/>
                      <w:lang w:eastAsia="zh-CN"/>
                    </w:rPr>
                  </w:pPr>
                </w:p>
              </w:tc>
            </w:tr>
          </w:tbl>
          <w:p w:rsidR="00612677" w:rsidRPr="00612677" w:rsidRDefault="00612677" w:rsidP="00612677">
            <w:pPr>
              <w:spacing w:after="0" w:line="240" w:lineRule="auto"/>
              <w:ind w:left="142" w:right="34"/>
              <w:rPr>
                <w:rFonts w:ascii="Arial" w:eastAsia="SimSun" w:hAnsi="Arial" w:cs="Arial"/>
                <w:b/>
                <w:color w:val="000000"/>
                <w:lang w:eastAsia="zh-CN"/>
              </w:rPr>
            </w:pPr>
          </w:p>
          <w:p w:rsidR="00612677" w:rsidRPr="00612677" w:rsidRDefault="00612677" w:rsidP="00612677">
            <w:pPr>
              <w:spacing w:after="0" w:line="240" w:lineRule="auto"/>
              <w:ind w:left="142" w:right="34"/>
              <w:jc w:val="center"/>
              <w:rPr>
                <w:rFonts w:ascii="Arial" w:eastAsia="SimSun" w:hAnsi="Arial" w:cs="Arial"/>
                <w:b/>
                <w:color w:val="000000"/>
                <w:lang w:eastAsia="zh-CN"/>
              </w:rPr>
            </w:pPr>
            <w:r w:rsidRPr="00612677">
              <w:rPr>
                <w:rFonts w:ascii="Arial" w:eastAsia="SimSun" w:hAnsi="Arial" w:cs="Arial"/>
                <w:b/>
                <w:color w:val="000000"/>
                <w:lang w:eastAsia="zh-CN"/>
              </w:rPr>
              <w:t>NB.  All marks are provisional until confirmed by the Final Examination Board</w:t>
            </w: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p>
          <w:p w:rsidR="00612677" w:rsidRPr="00612677" w:rsidRDefault="00612677" w:rsidP="00612677">
            <w:pPr>
              <w:spacing w:after="0" w:line="240" w:lineRule="auto"/>
              <w:rPr>
                <w:rFonts w:ascii="Arial" w:eastAsia="SimSun" w:hAnsi="Arial" w:cs="Arial"/>
                <w:b/>
                <w:color w:val="000000"/>
                <w:lang w:eastAsia="zh-CN"/>
              </w:rPr>
            </w:pPr>
            <w:r w:rsidRPr="00612677">
              <w:rPr>
                <w:rFonts w:ascii="Arial" w:eastAsia="SimSun" w:hAnsi="Arial" w:cs="Arial"/>
                <w:b/>
                <w:color w:val="000000"/>
                <w:lang w:eastAsia="zh-CN"/>
              </w:rPr>
              <w:t>For completion by Marker 1:</w:t>
            </w:r>
          </w:p>
          <w:p w:rsidR="00612677" w:rsidRPr="00612677" w:rsidRDefault="00612677" w:rsidP="00612677">
            <w:pPr>
              <w:spacing w:before="100" w:beforeAutospacing="1" w:after="100" w:afterAutospacing="1" w:line="240" w:lineRule="auto"/>
              <w:rPr>
                <w:rFonts w:ascii="Arial" w:eastAsia="SimSun" w:hAnsi="Arial" w:cs="Arial"/>
                <w:color w:val="000000"/>
                <w:lang w:eastAsia="zh-CN"/>
              </w:rPr>
            </w:pPr>
            <w:r w:rsidRPr="00612677">
              <w:rPr>
                <w:rFonts w:ascii="Arial" w:eastAsia="SimSun" w:hAnsi="Arial" w:cs="Arial"/>
                <w:color w:val="000000"/>
                <w:lang w:eastAsia="zh-CN"/>
              </w:rPr>
              <w:t>Comments:</w:t>
            </w:r>
          </w:p>
        </w:tc>
      </w:tr>
      <w:tr w:rsidR="00612677" w:rsidRPr="00612677" w:rsidTr="00612677">
        <w:trPr>
          <w:trHeight w:val="408"/>
        </w:trPr>
        <w:tc>
          <w:tcPr>
            <w:tcW w:w="676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before="100" w:beforeAutospacing="1" w:after="100" w:afterAutospacing="1" w:line="240" w:lineRule="auto"/>
              <w:ind w:right="34"/>
              <w:rPr>
                <w:rFonts w:ascii="Arial" w:eastAsia="SimSun" w:hAnsi="Arial" w:cs="Arial"/>
                <w:color w:val="000000"/>
                <w:lang w:eastAsia="zh-CN"/>
              </w:rPr>
            </w:pPr>
            <w:r w:rsidRPr="00612677">
              <w:rPr>
                <w:rFonts w:ascii="Arial" w:eastAsia="SimSun" w:hAnsi="Arial" w:cs="Arial"/>
                <w:color w:val="000000"/>
                <w:lang w:eastAsia="zh-CN"/>
              </w:rPr>
              <w:lastRenderedPageBreak/>
              <w:t>Marker 1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before="100" w:after="0" w:line="240" w:lineRule="auto"/>
              <w:ind w:left="142" w:right="34"/>
              <w:rPr>
                <w:rFonts w:ascii="Arial" w:eastAsia="SimSun" w:hAnsi="Arial" w:cs="Arial"/>
                <w:color w:val="000000"/>
                <w:lang w:eastAsia="zh-CN"/>
              </w:rPr>
            </w:pPr>
            <w:r w:rsidRPr="00612677">
              <w:rPr>
                <w:rFonts w:ascii="Arial" w:eastAsia="SimSun" w:hAnsi="Arial" w:cs="Arial"/>
                <w:color w:val="000000"/>
                <w:lang w:eastAsia="zh-CN"/>
              </w:rPr>
              <w:t>Date:</w:t>
            </w:r>
          </w:p>
        </w:tc>
      </w:tr>
      <w:tr w:rsidR="00612677" w:rsidRPr="00612677" w:rsidTr="00612677">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ind w:right="-334"/>
              <w:rPr>
                <w:rFonts w:ascii="Arial" w:eastAsia="SimSun" w:hAnsi="Arial" w:cs="Arial"/>
                <w:bCs/>
                <w:i/>
                <w:color w:val="000000"/>
                <w:lang w:eastAsia="zh-CN"/>
              </w:rPr>
            </w:pPr>
          </w:p>
          <w:p w:rsidR="00612677" w:rsidRPr="00612677" w:rsidRDefault="00612677" w:rsidP="00612677">
            <w:pPr>
              <w:spacing w:after="0" w:line="240" w:lineRule="auto"/>
              <w:ind w:right="-334"/>
              <w:rPr>
                <w:rFonts w:ascii="Arial" w:eastAsia="SimSun" w:hAnsi="Arial" w:cs="Arial"/>
                <w:b/>
                <w:bCs/>
                <w:color w:val="000000"/>
                <w:lang w:eastAsia="zh-CN"/>
              </w:rPr>
            </w:pPr>
            <w:r w:rsidRPr="00612677">
              <w:rPr>
                <w:rFonts w:ascii="Arial" w:eastAsia="SimSun" w:hAnsi="Arial" w:cs="Arial"/>
                <w:b/>
                <w:bCs/>
                <w:color w:val="000000"/>
                <w:lang w:eastAsia="zh-CN"/>
              </w:rPr>
              <w:t>For completion by Marker 2 / Moderator:</w:t>
            </w:r>
          </w:p>
          <w:p w:rsidR="00612677" w:rsidRPr="00612677" w:rsidRDefault="00612677" w:rsidP="00612677">
            <w:pPr>
              <w:spacing w:after="0" w:line="240" w:lineRule="auto"/>
              <w:ind w:right="-334"/>
              <w:rPr>
                <w:rFonts w:ascii="Arial" w:eastAsia="SimSun" w:hAnsi="Arial" w:cs="Arial"/>
                <w:b/>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r w:rsidRPr="00612677">
              <w:rPr>
                <w:rFonts w:ascii="Arial" w:eastAsia="SimSun" w:hAnsi="Arial" w:cs="Arial"/>
                <w:bCs/>
                <w:color w:val="000000"/>
                <w:lang w:eastAsia="zh-CN"/>
              </w:rPr>
              <w:t>Comments:</w:t>
            </w: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tc>
      </w:tr>
      <w:tr w:rsidR="00612677" w:rsidRPr="00612677" w:rsidTr="00612677">
        <w:trPr>
          <w:trHeight w:val="398"/>
        </w:trPr>
        <w:tc>
          <w:tcPr>
            <w:tcW w:w="676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ind w:right="-334"/>
              <w:rPr>
                <w:rFonts w:ascii="Arial" w:eastAsia="SimSun" w:hAnsi="Arial" w:cs="Arial"/>
                <w:bCs/>
                <w:color w:val="000000"/>
                <w:lang w:eastAsia="zh-CN"/>
              </w:rPr>
            </w:pPr>
            <w:r w:rsidRPr="00612677">
              <w:rPr>
                <w:rFonts w:ascii="Arial" w:eastAsia="SimSun" w:hAnsi="Arial" w:cs="Arial"/>
                <w:bCs/>
                <w:color w:val="000000"/>
                <w:lang w:eastAsia="zh-CN"/>
              </w:rPr>
              <w:t>Marker 2 / Moderator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ind w:right="-334"/>
              <w:rPr>
                <w:rFonts w:ascii="Arial" w:eastAsia="SimSun" w:hAnsi="Arial" w:cs="Arial"/>
                <w:bCs/>
                <w:color w:val="000000"/>
                <w:lang w:eastAsia="zh-CN"/>
              </w:rPr>
            </w:pPr>
            <w:r w:rsidRPr="00612677">
              <w:rPr>
                <w:rFonts w:ascii="Arial" w:eastAsia="SimSun" w:hAnsi="Arial" w:cs="Arial"/>
                <w:bCs/>
                <w:color w:val="000000"/>
                <w:lang w:eastAsia="zh-CN"/>
              </w:rPr>
              <w:t>Date:</w:t>
            </w:r>
          </w:p>
        </w:tc>
      </w:tr>
      <w:tr w:rsidR="00612677" w:rsidRPr="00612677" w:rsidTr="00612677">
        <w:trPr>
          <w:trHeight w:val="720"/>
        </w:trPr>
        <w:tc>
          <w:tcPr>
            <w:tcW w:w="8856" w:type="dxa"/>
            <w:gridSpan w:val="4"/>
            <w:tcBorders>
              <w:top w:val="single" w:sz="4" w:space="0" w:color="000000"/>
              <w:left w:val="single" w:sz="4" w:space="0" w:color="000000"/>
              <w:bottom w:val="single" w:sz="4" w:space="0" w:color="000000"/>
              <w:right w:val="single" w:sz="4" w:space="0" w:color="000000"/>
            </w:tcBorders>
          </w:tcPr>
          <w:p w:rsidR="00612677" w:rsidRPr="00612677" w:rsidRDefault="00612677" w:rsidP="00612677">
            <w:pPr>
              <w:spacing w:after="0" w:line="240" w:lineRule="auto"/>
              <w:rPr>
                <w:rFonts w:ascii="Arial" w:eastAsia="SimSun" w:hAnsi="Arial" w:cs="Arial"/>
                <w:b/>
                <w:lang w:eastAsia="zh-CN"/>
              </w:rPr>
            </w:pPr>
          </w:p>
          <w:p w:rsidR="00612677" w:rsidRPr="00612677" w:rsidRDefault="00612677" w:rsidP="00612677">
            <w:pPr>
              <w:spacing w:after="0" w:line="240" w:lineRule="auto"/>
              <w:rPr>
                <w:rFonts w:ascii="Arial" w:eastAsia="SimSun" w:hAnsi="Arial" w:cs="Arial"/>
                <w:b/>
                <w:lang w:eastAsia="zh-CN"/>
              </w:rPr>
            </w:pPr>
            <w:r w:rsidRPr="00612677">
              <w:rPr>
                <w:rFonts w:ascii="Arial" w:eastAsia="SimSun" w:hAnsi="Arial" w:cs="Arial"/>
                <w:b/>
                <w:lang w:eastAsia="zh-CN"/>
              </w:rPr>
              <w:t>External Examiner’s comments (if relevant):</w:t>
            </w: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p w:rsidR="00612677" w:rsidRPr="00612677" w:rsidRDefault="00612677" w:rsidP="00612677">
            <w:pPr>
              <w:spacing w:after="0" w:line="240" w:lineRule="auto"/>
              <w:ind w:right="-334"/>
              <w:rPr>
                <w:rFonts w:ascii="Arial" w:eastAsia="SimSun" w:hAnsi="Arial" w:cs="Arial"/>
                <w:bCs/>
                <w:color w:val="000000"/>
                <w:lang w:eastAsia="zh-CN"/>
              </w:rPr>
            </w:pPr>
          </w:p>
        </w:tc>
      </w:tr>
      <w:tr w:rsidR="00612677" w:rsidRPr="00612677" w:rsidTr="00612677">
        <w:trPr>
          <w:trHeight w:val="479"/>
        </w:trPr>
        <w:tc>
          <w:tcPr>
            <w:tcW w:w="676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rPr>
                <w:rFonts w:ascii="Arial" w:eastAsia="SimSun" w:hAnsi="Arial" w:cs="Arial"/>
                <w:lang w:eastAsia="zh-CN"/>
              </w:rPr>
            </w:pPr>
            <w:r w:rsidRPr="00612677">
              <w:rPr>
                <w:rFonts w:ascii="Arial" w:eastAsia="SimSun" w:hAnsi="Arial" w:cs="Arial"/>
                <w:lang w:eastAsia="zh-CN"/>
              </w:rPr>
              <w:t>External Examiner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612677" w:rsidRPr="00612677" w:rsidRDefault="00612677" w:rsidP="00612677">
            <w:pPr>
              <w:spacing w:after="0" w:line="240" w:lineRule="auto"/>
              <w:rPr>
                <w:rFonts w:ascii="Arial" w:eastAsia="SimSun" w:hAnsi="Arial" w:cs="Arial"/>
                <w:lang w:eastAsia="zh-CN"/>
              </w:rPr>
            </w:pPr>
            <w:r w:rsidRPr="00612677">
              <w:rPr>
                <w:rFonts w:ascii="Arial" w:eastAsia="SimSun" w:hAnsi="Arial" w:cs="Arial"/>
                <w:lang w:eastAsia="zh-CN"/>
              </w:rPr>
              <w:t>Date:</w:t>
            </w:r>
          </w:p>
        </w:tc>
      </w:tr>
    </w:tbl>
    <w:p w:rsidR="00382136" w:rsidRDefault="00382136" w:rsidP="00F34087">
      <w:pPr>
        <w:pStyle w:val="NoSpacing"/>
        <w:spacing w:line="360" w:lineRule="auto"/>
        <w:jc w:val="center"/>
        <w:rPr>
          <w:b/>
          <w:sz w:val="32"/>
        </w:rPr>
        <w:sectPr w:rsidR="00382136">
          <w:pgSz w:w="12240" w:h="15840"/>
          <w:pgMar w:top="1417" w:right="1417" w:bottom="1417" w:left="1417" w:header="720" w:footer="720" w:gutter="0"/>
          <w:cols w:space="720"/>
          <w:docGrid w:linePitch="360"/>
        </w:sectPr>
      </w:pPr>
    </w:p>
    <w:p w:rsidR="00C52B0A" w:rsidRPr="00C74D60" w:rsidRDefault="00C52B0A" w:rsidP="00F34087">
      <w:pPr>
        <w:pStyle w:val="NoSpacing"/>
        <w:spacing w:line="360" w:lineRule="auto"/>
        <w:jc w:val="center"/>
        <w:rPr>
          <w:b/>
          <w:sz w:val="32"/>
        </w:rPr>
      </w:pPr>
      <w:r w:rsidRPr="00C74D60">
        <w:rPr>
          <w:b/>
          <w:sz w:val="32"/>
        </w:rPr>
        <w:lastRenderedPageBreak/>
        <w:t>Critically examine Hobbes’ theory of contract</w:t>
      </w:r>
    </w:p>
    <w:p w:rsidR="00C52B0A" w:rsidRPr="00C52B0A" w:rsidRDefault="00C52B0A" w:rsidP="00C52B0A">
      <w:pPr>
        <w:pStyle w:val="NoSpacing"/>
        <w:spacing w:line="360" w:lineRule="auto"/>
        <w:jc w:val="both"/>
      </w:pPr>
    </w:p>
    <w:p w:rsidR="00C52B0A" w:rsidRPr="00C52B0A" w:rsidRDefault="00C52B0A" w:rsidP="00C52B0A">
      <w:pPr>
        <w:pStyle w:val="NoSpacing"/>
        <w:spacing w:line="360" w:lineRule="auto"/>
        <w:jc w:val="both"/>
      </w:pPr>
    </w:p>
    <w:p w:rsidR="00C52B0A" w:rsidRPr="00C52B0A" w:rsidRDefault="00C52B0A" w:rsidP="00C52B0A">
      <w:pPr>
        <w:pStyle w:val="NoSpacing"/>
        <w:spacing w:line="360" w:lineRule="auto"/>
        <w:jc w:val="both"/>
      </w:pPr>
    </w:p>
    <w:p w:rsidR="00C52B0A" w:rsidRPr="00C52B0A" w:rsidRDefault="00C52B0A" w:rsidP="00C52B0A">
      <w:pPr>
        <w:pStyle w:val="NoSpacing"/>
        <w:spacing w:line="360" w:lineRule="auto"/>
        <w:jc w:val="both"/>
      </w:pPr>
    </w:p>
    <w:p w:rsidR="00C52B0A" w:rsidRPr="00C74D60" w:rsidRDefault="00C52B0A" w:rsidP="00C52B0A">
      <w:pPr>
        <w:pStyle w:val="NoSpacing"/>
        <w:spacing w:line="360" w:lineRule="auto"/>
        <w:jc w:val="both"/>
        <w:rPr>
          <w:sz w:val="24"/>
          <w:szCs w:val="24"/>
        </w:rPr>
      </w:pPr>
      <w:r w:rsidRPr="00C74D60">
        <w:rPr>
          <w:sz w:val="24"/>
          <w:szCs w:val="24"/>
        </w:rPr>
        <w:t xml:space="preserve">As exposed in his masterpiece, </w:t>
      </w:r>
      <w:r w:rsidRPr="00E62870">
        <w:rPr>
          <w:i/>
          <w:sz w:val="24"/>
          <w:szCs w:val="24"/>
        </w:rPr>
        <w:t>The Leviathan</w:t>
      </w:r>
      <w:r w:rsidRPr="00C74D60">
        <w:rPr>
          <w:sz w:val="24"/>
          <w:szCs w:val="24"/>
        </w:rPr>
        <w:t xml:space="preserve"> (1651), Hobbes’ theory of contract exhibits not only his personal concerns and worries, but those of most of his fellow citizens. After a decade of social chaos and revolutionary upheaval, time had come to draw the lessons from the English Civil War.</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Even though Hobbes may have considered it to be explanatory, it </w:t>
      </w:r>
      <w:r w:rsidR="00E62870">
        <w:rPr>
          <w:sz w:val="24"/>
          <w:szCs w:val="24"/>
        </w:rPr>
        <w:t xml:space="preserve">clearly appears </w:t>
      </w:r>
      <w:r w:rsidRPr="00C74D60">
        <w:rPr>
          <w:sz w:val="24"/>
          <w:szCs w:val="24"/>
        </w:rPr>
        <w:t>that</w:t>
      </w:r>
      <w:r w:rsidR="00E62870">
        <w:rPr>
          <w:sz w:val="24"/>
          <w:szCs w:val="24"/>
        </w:rPr>
        <w:t xml:space="preserve"> the narrative</w:t>
      </w:r>
      <w:r w:rsidRPr="00C74D60">
        <w:rPr>
          <w:sz w:val="24"/>
          <w:szCs w:val="24"/>
        </w:rPr>
        <w:t xml:space="preserve"> th</w:t>
      </w:r>
      <w:r w:rsidR="00E62870">
        <w:rPr>
          <w:sz w:val="24"/>
          <w:szCs w:val="24"/>
        </w:rPr>
        <w:t xml:space="preserve">at </w:t>
      </w:r>
      <w:r w:rsidRPr="00C74D60">
        <w:rPr>
          <w:sz w:val="24"/>
          <w:szCs w:val="24"/>
        </w:rPr>
        <w:t>form</w:t>
      </w:r>
      <w:r w:rsidR="00E62870">
        <w:rPr>
          <w:sz w:val="24"/>
          <w:szCs w:val="24"/>
        </w:rPr>
        <w:t>s the basis of</w:t>
      </w:r>
      <w:r w:rsidRPr="00C74D60">
        <w:rPr>
          <w:sz w:val="24"/>
          <w:szCs w:val="24"/>
        </w:rPr>
        <w:t xml:space="preserve"> </w:t>
      </w:r>
      <w:r w:rsidR="00E62870">
        <w:rPr>
          <w:sz w:val="24"/>
          <w:szCs w:val="24"/>
        </w:rPr>
        <w:t>his</w:t>
      </w:r>
      <w:r w:rsidRPr="00C74D60">
        <w:rPr>
          <w:sz w:val="24"/>
          <w:szCs w:val="24"/>
        </w:rPr>
        <w:t xml:space="preserve"> normative contractarianism served essentially as a justification of his personal views. Being fundamentally and radically an anti-revolutionary in search for the conditions of political peace and social stability, it is not surprising to see him defending strict obedience to </w:t>
      </w:r>
      <w:r w:rsidR="00A951C8">
        <w:rPr>
          <w:sz w:val="24"/>
          <w:szCs w:val="24"/>
        </w:rPr>
        <w:t>an absolute political authority</w:t>
      </w:r>
      <w:r w:rsidRPr="00C74D60">
        <w:rPr>
          <w:sz w:val="24"/>
          <w:szCs w:val="24"/>
        </w:rPr>
        <w:t xml:space="preserve"> and arguing against the legitimacy of rebellion. </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In this essay, I shall argue that despite its historical and theoretical value, Hobbes’ social contract model fails to convince of both the validity of its central thesis and of the pertinence of his method. </w:t>
      </w:r>
      <w:r w:rsidR="00E64351" w:rsidRPr="00C74D60">
        <w:rPr>
          <w:sz w:val="24"/>
          <w:szCs w:val="24"/>
        </w:rPr>
        <w:t>To</w:t>
      </w:r>
      <w:r w:rsidRPr="00C74D60">
        <w:rPr>
          <w:sz w:val="24"/>
          <w:szCs w:val="24"/>
        </w:rPr>
        <w:t xml:space="preserve"> defend this conclusion, I shall start by presenting the theoretical context without which his theory of contract would make little sense, and then continue with the essential components of his theory, that I shall assess individually later on, in the same order. I shall thus first discuss Hobbes’ conception of human nature, then his account of the state of nature and the laws of nature, and finally, I shall discuss his understanding of the origin and content of the social contract.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Since the Hobbesian contract consists in an agreement, not between groups or communities but between atomic individuals, the understanding of the psychology and behaviour of these individuals is of paramount importance. For Hobbes, human beings can be characterised by a set</w:t>
      </w:r>
      <w:r w:rsidR="00B50ADD">
        <w:rPr>
          <w:sz w:val="24"/>
          <w:szCs w:val="24"/>
        </w:rPr>
        <w:t xml:space="preserve"> of dominant traits that define</w:t>
      </w:r>
      <w:r w:rsidRPr="00C74D60">
        <w:rPr>
          <w:sz w:val="24"/>
          <w:szCs w:val="24"/>
        </w:rPr>
        <w:t xml:space="preserve"> their actions and interactions. These traits constitute the </w:t>
      </w:r>
      <w:r w:rsidRPr="00C74D60">
        <w:rPr>
          <w:sz w:val="24"/>
          <w:szCs w:val="24"/>
        </w:rPr>
        <w:lastRenderedPageBreak/>
        <w:t>everlasting and immutable human condition. Among the major characteristics that determine the fate of humanity, Hobbes identifies fear as a central feature. For Hobbes, human beings are diffident. Fear and distrust fuel their permanent search for security and their avoidance of violent death that, according to Hobbes, they fear the most.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This drive towards safety, like other propensities to pursue human desires or appetites, forms part of a general struggle to achieve felicity, which for Hobbes consists in nothing else than a state of ‘continual success’</w:t>
      </w:r>
      <w:r w:rsidRPr="00C74D60">
        <w:rPr>
          <w:rStyle w:val="FootnoteReference"/>
          <w:sz w:val="24"/>
          <w:szCs w:val="24"/>
        </w:rPr>
        <w:footnoteReference w:id="1"/>
      </w:r>
      <w:r w:rsidR="00987D41">
        <w:rPr>
          <w:sz w:val="24"/>
          <w:szCs w:val="24"/>
        </w:rPr>
        <w:t>.</w:t>
      </w:r>
      <w:r w:rsidRPr="00C74D60">
        <w:rPr>
          <w:sz w:val="24"/>
          <w:szCs w:val="24"/>
        </w:rPr>
        <w:t xml:space="preserve"> And since the human p</w:t>
      </w:r>
      <w:r w:rsidR="00F70268">
        <w:rPr>
          <w:sz w:val="24"/>
          <w:szCs w:val="24"/>
        </w:rPr>
        <w:t>sychology is fundamentally goal-</w:t>
      </w:r>
      <w:r w:rsidRPr="00C74D60">
        <w:rPr>
          <w:sz w:val="24"/>
          <w:szCs w:val="24"/>
        </w:rPr>
        <w:t>oriented, Hobbes defines the good, not in terms of moral principles, but as 'whatsoever is the object of any man's appetite or desire'</w:t>
      </w:r>
      <w:r w:rsidRPr="00C74D60">
        <w:rPr>
          <w:rStyle w:val="FootnoteReference"/>
          <w:sz w:val="24"/>
          <w:szCs w:val="24"/>
        </w:rPr>
        <w:footnoteReference w:id="2"/>
      </w:r>
      <w:r w:rsidR="00987D41">
        <w:rPr>
          <w:sz w:val="24"/>
          <w:szCs w:val="24"/>
        </w:rPr>
        <w:t>.</w:t>
      </w:r>
    </w:p>
    <w:p w:rsidR="00C52B0A" w:rsidRPr="00C74D60" w:rsidRDefault="00C52B0A" w:rsidP="00C52B0A">
      <w:pPr>
        <w:pStyle w:val="NoSpacing"/>
        <w:spacing w:line="360" w:lineRule="auto"/>
        <w:jc w:val="both"/>
        <w:rPr>
          <w:sz w:val="24"/>
          <w:szCs w:val="24"/>
        </w:rPr>
      </w:pPr>
    </w:p>
    <w:p w:rsidR="00C52B0A" w:rsidRPr="00C74D60" w:rsidRDefault="00294512" w:rsidP="00C52B0A">
      <w:pPr>
        <w:pStyle w:val="NoSpacing"/>
        <w:spacing w:line="360" w:lineRule="auto"/>
        <w:jc w:val="both"/>
        <w:rPr>
          <w:sz w:val="24"/>
          <w:szCs w:val="24"/>
        </w:rPr>
      </w:pPr>
      <w:r w:rsidRPr="00C74D60">
        <w:rPr>
          <w:sz w:val="24"/>
          <w:szCs w:val="24"/>
        </w:rPr>
        <w:t>Furthermore, b</w:t>
      </w:r>
      <w:r w:rsidR="00C52B0A" w:rsidRPr="00C74D60">
        <w:rPr>
          <w:sz w:val="24"/>
          <w:szCs w:val="24"/>
        </w:rPr>
        <w:t>eing highly competitive and passionate, human beings are described as fundamentally selfish and quarrelsome regarding their goods and reputation. Th</w:t>
      </w:r>
      <w:r w:rsidR="00DC3ADB" w:rsidRPr="00C74D60">
        <w:rPr>
          <w:sz w:val="24"/>
          <w:szCs w:val="24"/>
        </w:rPr>
        <w:t>eir</w:t>
      </w:r>
      <w:r w:rsidR="00C52B0A" w:rsidRPr="00C74D60">
        <w:rPr>
          <w:sz w:val="24"/>
          <w:szCs w:val="24"/>
        </w:rPr>
        <w:t xml:space="preserve"> unsociability being worsened by an inclination towards distrust and by the absence of any significant form of kindness or natural benevolence with regards to their fellow human beings</w:t>
      </w:r>
      <w:r w:rsidR="00562C9E" w:rsidRPr="00C74D60">
        <w:rPr>
          <w:sz w:val="24"/>
          <w:szCs w:val="24"/>
        </w:rPr>
        <w:t>.</w:t>
      </w:r>
      <w:r w:rsidR="00C52B0A" w:rsidRPr="00C74D60">
        <w:rPr>
          <w:sz w:val="24"/>
          <w:szCs w:val="24"/>
        </w:rPr>
        <w:t xml:space="preserve"> Hobbes sees human nature as leading to a permanent war of all against all. And this condition is, according to Hobbes, the accurate </w:t>
      </w:r>
      <w:r w:rsidR="00467E6E" w:rsidRPr="00C74D60">
        <w:rPr>
          <w:sz w:val="24"/>
          <w:szCs w:val="24"/>
        </w:rPr>
        <w:t xml:space="preserve">description of what he calls </w:t>
      </w:r>
      <w:r w:rsidR="00C52B0A" w:rsidRPr="00C74D60">
        <w:rPr>
          <w:sz w:val="24"/>
          <w:szCs w:val="24"/>
        </w:rPr>
        <w:t xml:space="preserve">the </w:t>
      </w:r>
      <w:r w:rsidR="00C52B0A" w:rsidRPr="009202BA">
        <w:rPr>
          <w:i/>
          <w:sz w:val="24"/>
          <w:szCs w:val="24"/>
        </w:rPr>
        <w:t>state of nature</w:t>
      </w:r>
      <w:r w:rsidR="00C52B0A" w:rsidRPr="00C74D60">
        <w:rPr>
          <w:sz w:val="24"/>
          <w:szCs w:val="24"/>
        </w:rPr>
        <w:t xml:space="preserve">. </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Given their natural predispositions and the relative physical and mental equality that we find between individuals</w:t>
      </w:r>
      <w:r w:rsidR="00590363" w:rsidRPr="00C74D60">
        <w:rPr>
          <w:sz w:val="24"/>
          <w:szCs w:val="24"/>
        </w:rPr>
        <w:t>,</w:t>
      </w:r>
      <w:r w:rsidRPr="00C74D60">
        <w:rPr>
          <w:sz w:val="24"/>
          <w:szCs w:val="24"/>
        </w:rPr>
        <w:t xml:space="preserve"> which forbid the imposition of order from one individual against the others, this state of nature remains a permanent state of war</w:t>
      </w:r>
      <w:r w:rsidR="00590363" w:rsidRPr="00C74D60">
        <w:rPr>
          <w:sz w:val="24"/>
          <w:szCs w:val="24"/>
        </w:rPr>
        <w:t xml:space="preserve">, </w:t>
      </w:r>
      <w:r w:rsidR="00CF0C18">
        <w:rPr>
          <w:sz w:val="24"/>
          <w:szCs w:val="24"/>
        </w:rPr>
        <w:t>for</w:t>
      </w:r>
      <w:r w:rsidR="00590363" w:rsidRPr="00C74D60">
        <w:rPr>
          <w:sz w:val="24"/>
          <w:szCs w:val="24"/>
        </w:rPr>
        <w:t xml:space="preserve"> </w:t>
      </w:r>
      <w:r w:rsidRPr="00C74D60">
        <w:rPr>
          <w:sz w:val="24"/>
          <w:szCs w:val="24"/>
        </w:rPr>
        <w:t>‘notions of right and wrong, justice and injustice have there no place’</w:t>
      </w:r>
      <w:r w:rsidRPr="00C74D60">
        <w:rPr>
          <w:rStyle w:val="FootnoteReference"/>
          <w:sz w:val="24"/>
          <w:szCs w:val="24"/>
        </w:rPr>
        <w:footnoteReference w:id="3"/>
      </w:r>
      <w:r w:rsidR="00987D41">
        <w:rPr>
          <w:sz w:val="24"/>
          <w:szCs w:val="24"/>
        </w:rPr>
        <w:t>.</w:t>
      </w:r>
      <w:r w:rsidRPr="00C74D60">
        <w:rPr>
          <w:sz w:val="24"/>
          <w:szCs w:val="24"/>
        </w:rPr>
        <w:t xml:space="preserve"> </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In addition to the human dimension of the problem, the Hobbesian stat</w:t>
      </w:r>
      <w:r w:rsidR="00D746E5">
        <w:rPr>
          <w:sz w:val="24"/>
          <w:szCs w:val="24"/>
        </w:rPr>
        <w:t>e of nature is also defined by</w:t>
      </w:r>
      <w:r w:rsidRPr="00C74D60">
        <w:rPr>
          <w:sz w:val="24"/>
          <w:szCs w:val="24"/>
        </w:rPr>
        <w:t xml:space="preserve"> universal scarcity. The availability of </w:t>
      </w:r>
      <w:r w:rsidR="0030141E">
        <w:rPr>
          <w:sz w:val="24"/>
          <w:szCs w:val="24"/>
        </w:rPr>
        <w:t xml:space="preserve">natural </w:t>
      </w:r>
      <w:r w:rsidRPr="00C74D60">
        <w:rPr>
          <w:sz w:val="24"/>
          <w:szCs w:val="24"/>
        </w:rPr>
        <w:t>resources being insufficient to satisfy all the needs and appetites, the competition for the</w:t>
      </w:r>
      <w:r w:rsidR="0030141E">
        <w:rPr>
          <w:sz w:val="24"/>
          <w:szCs w:val="24"/>
        </w:rPr>
        <w:t>ir</w:t>
      </w:r>
      <w:r w:rsidRPr="00C74D60">
        <w:rPr>
          <w:sz w:val="24"/>
          <w:szCs w:val="24"/>
        </w:rPr>
        <w:t xml:space="preserve"> possession and protection inevitably leads to violent confrontation</w:t>
      </w:r>
      <w:r w:rsidR="00DA42F0" w:rsidRPr="00C74D60">
        <w:rPr>
          <w:sz w:val="24"/>
          <w:szCs w:val="24"/>
        </w:rPr>
        <w:t>s</w:t>
      </w:r>
      <w:r w:rsidRPr="00C74D60">
        <w:rPr>
          <w:sz w:val="24"/>
          <w:szCs w:val="24"/>
        </w:rPr>
        <w:t>.</w:t>
      </w:r>
    </w:p>
    <w:p w:rsidR="00C52B0A" w:rsidRPr="00C74D60" w:rsidRDefault="00C52B0A" w:rsidP="00C52B0A">
      <w:pPr>
        <w:pStyle w:val="NoSpacing"/>
        <w:spacing w:line="360" w:lineRule="auto"/>
        <w:jc w:val="both"/>
        <w:rPr>
          <w:sz w:val="24"/>
          <w:szCs w:val="24"/>
        </w:rPr>
      </w:pPr>
      <w:r w:rsidRPr="00C74D60">
        <w:rPr>
          <w:sz w:val="24"/>
          <w:szCs w:val="24"/>
        </w:rPr>
        <w:lastRenderedPageBreak/>
        <w:t xml:space="preserve">Despite this conflictual context, Hobbes claims that decisive elements of what he calls the </w:t>
      </w:r>
      <w:r w:rsidRPr="009202BA">
        <w:rPr>
          <w:i/>
          <w:sz w:val="24"/>
          <w:szCs w:val="24"/>
        </w:rPr>
        <w:t>laws of nature</w:t>
      </w:r>
      <w:r w:rsidRPr="00C74D60">
        <w:rPr>
          <w:sz w:val="24"/>
          <w:szCs w:val="24"/>
        </w:rPr>
        <w:t>, such as the fact that ‘people perform their covenants made</w:t>
      </w:r>
      <w:r w:rsidR="009D2E05" w:rsidRPr="00C74D60">
        <w:rPr>
          <w:sz w:val="24"/>
          <w:szCs w:val="24"/>
        </w:rPr>
        <w:t>’</w:t>
      </w:r>
      <w:r w:rsidRPr="00C74D60">
        <w:rPr>
          <w:rStyle w:val="FootnoteReference"/>
          <w:sz w:val="24"/>
          <w:szCs w:val="24"/>
        </w:rPr>
        <w:footnoteReference w:id="4"/>
      </w:r>
      <w:r w:rsidRPr="00C74D60">
        <w:rPr>
          <w:sz w:val="24"/>
          <w:szCs w:val="24"/>
        </w:rPr>
        <w:t xml:space="preserve"> or the mutual giving up of rights in exchange for security, will allow such unfriendly state of affairs to come to an end and to bring peace and security through the submission to a political authority.</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Since Hobbes considers that order results </w:t>
      </w:r>
      <w:r w:rsidR="00196A84" w:rsidRPr="00C74D60">
        <w:rPr>
          <w:sz w:val="24"/>
          <w:szCs w:val="24"/>
        </w:rPr>
        <w:t>from</w:t>
      </w:r>
      <w:r w:rsidRPr="00C74D60">
        <w:rPr>
          <w:sz w:val="24"/>
          <w:szCs w:val="24"/>
        </w:rPr>
        <w:t xml:space="preserve"> fear, atomic individuals, given their diffidence, their relative equality and their common interests, must </w:t>
      </w:r>
      <w:r w:rsidR="009D3411" w:rsidRPr="00C74D60">
        <w:rPr>
          <w:sz w:val="24"/>
          <w:szCs w:val="24"/>
        </w:rPr>
        <w:t xml:space="preserve">voluntarily </w:t>
      </w:r>
      <w:r w:rsidRPr="00C74D60">
        <w:rPr>
          <w:sz w:val="24"/>
          <w:szCs w:val="24"/>
        </w:rPr>
        <w:t xml:space="preserve">come together </w:t>
      </w:r>
      <w:r w:rsidR="009D3411" w:rsidRPr="00C74D60">
        <w:rPr>
          <w:sz w:val="24"/>
          <w:szCs w:val="24"/>
        </w:rPr>
        <w:t>and</w:t>
      </w:r>
      <w:r w:rsidRPr="00C74D60">
        <w:rPr>
          <w:sz w:val="24"/>
          <w:szCs w:val="24"/>
        </w:rPr>
        <w:t xml:space="preserve"> establish an awe-inspiring power. This power cannot be granted to </w:t>
      </w:r>
      <w:r w:rsidR="00F92313">
        <w:rPr>
          <w:sz w:val="24"/>
          <w:szCs w:val="24"/>
        </w:rPr>
        <w:t xml:space="preserve">one of them </w:t>
      </w:r>
      <w:r w:rsidR="00A824AD" w:rsidRPr="00C74D60">
        <w:rPr>
          <w:sz w:val="24"/>
          <w:szCs w:val="24"/>
        </w:rPr>
        <w:t>b</w:t>
      </w:r>
      <w:r w:rsidRPr="00C74D60">
        <w:rPr>
          <w:sz w:val="24"/>
          <w:szCs w:val="24"/>
        </w:rPr>
        <w:t>ut must be entrusted to a third party.</w:t>
      </w:r>
      <w:r w:rsidR="00F92313">
        <w:rPr>
          <w:sz w:val="24"/>
          <w:szCs w:val="24"/>
        </w:rPr>
        <w:t xml:space="preserve"> </w:t>
      </w:r>
      <w:r w:rsidRPr="00C74D60">
        <w:rPr>
          <w:sz w:val="24"/>
          <w:szCs w:val="24"/>
        </w:rPr>
        <w:t>So that, as soon as a sufficiently large group of</w:t>
      </w:r>
      <w:r w:rsidR="009202BA">
        <w:rPr>
          <w:sz w:val="24"/>
          <w:szCs w:val="24"/>
        </w:rPr>
        <w:t xml:space="preserve"> individuals offers itself the </w:t>
      </w:r>
      <w:r w:rsidR="00757DC3">
        <w:rPr>
          <w:sz w:val="24"/>
          <w:szCs w:val="24"/>
        </w:rPr>
        <w:t>‘</w:t>
      </w:r>
      <w:r w:rsidR="009202BA" w:rsidRPr="00757DC3">
        <w:rPr>
          <w:sz w:val="24"/>
          <w:szCs w:val="24"/>
        </w:rPr>
        <w:t>gift</w:t>
      </w:r>
      <w:r w:rsidR="00757DC3">
        <w:rPr>
          <w:sz w:val="24"/>
          <w:szCs w:val="24"/>
        </w:rPr>
        <w:t>’</w:t>
      </w:r>
      <w:r w:rsidRPr="00C74D60">
        <w:rPr>
          <w:sz w:val="24"/>
          <w:szCs w:val="24"/>
        </w:rPr>
        <w:t xml:space="preserve"> of sovereignty, as Hobbes puts it, the condition of violence and war of all against all that characterises the state of nature ceases to obtain.</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Having maintained that, in the state of nature, the right of atomic individuals is absolute, in the sense that the natural laws are not binding, Hobbes argues that, through the transfer of power contractually </w:t>
      </w:r>
      <w:r w:rsidR="007554E1" w:rsidRPr="00C74D60">
        <w:rPr>
          <w:sz w:val="24"/>
          <w:szCs w:val="24"/>
        </w:rPr>
        <w:t>achieved</w:t>
      </w:r>
      <w:r w:rsidRPr="00C74D60">
        <w:rPr>
          <w:sz w:val="24"/>
          <w:szCs w:val="24"/>
        </w:rPr>
        <w:t xml:space="preserve">, the power of the sovereign </w:t>
      </w:r>
      <w:r w:rsidR="000D5D91" w:rsidRPr="00C74D60">
        <w:rPr>
          <w:sz w:val="24"/>
          <w:szCs w:val="24"/>
        </w:rPr>
        <w:t>be</w:t>
      </w:r>
      <w:r w:rsidR="00AE59C5" w:rsidRPr="00C74D60">
        <w:rPr>
          <w:sz w:val="24"/>
          <w:szCs w:val="24"/>
        </w:rPr>
        <w:t>comes</w:t>
      </w:r>
      <w:r w:rsidRPr="00C74D60">
        <w:rPr>
          <w:sz w:val="24"/>
          <w:szCs w:val="24"/>
        </w:rPr>
        <w:t xml:space="preserve"> itself unlimited. And this absolute power is the necessary condition for an efficient sovereignty, capable of preventing any risk of disobedience or rebellion. It must be added that from this power also depends the sovereign’s legitimacy, for the inaptitude to protect his subjects would </w:t>
      </w:r>
      <w:r w:rsidR="00DA5923" w:rsidRPr="00C74D60">
        <w:rPr>
          <w:sz w:val="24"/>
          <w:szCs w:val="24"/>
        </w:rPr>
        <w:t xml:space="preserve">put an </w:t>
      </w:r>
      <w:r w:rsidRPr="00C74D60">
        <w:rPr>
          <w:sz w:val="24"/>
          <w:szCs w:val="24"/>
        </w:rPr>
        <w:t>end</w:t>
      </w:r>
      <w:r w:rsidR="00DA5923" w:rsidRPr="00C74D60">
        <w:rPr>
          <w:sz w:val="24"/>
          <w:szCs w:val="24"/>
        </w:rPr>
        <w:t xml:space="preserve"> to</w:t>
      </w:r>
      <w:r w:rsidRPr="00C74D60">
        <w:rPr>
          <w:sz w:val="24"/>
          <w:szCs w:val="24"/>
        </w:rPr>
        <w:t xml:space="preserve"> their </w:t>
      </w:r>
      <w:r w:rsidR="00DA5923" w:rsidRPr="00C74D60">
        <w:rPr>
          <w:sz w:val="24"/>
          <w:szCs w:val="24"/>
        </w:rPr>
        <w:t>legal</w:t>
      </w:r>
      <w:r w:rsidRPr="00C74D60">
        <w:rPr>
          <w:sz w:val="24"/>
          <w:szCs w:val="24"/>
        </w:rPr>
        <w:t xml:space="preserve"> </w:t>
      </w:r>
      <w:r w:rsidR="00DA5923" w:rsidRPr="00C74D60">
        <w:rPr>
          <w:sz w:val="24"/>
          <w:szCs w:val="24"/>
        </w:rPr>
        <w:t>duty</w:t>
      </w:r>
      <w:r w:rsidRPr="00C74D60">
        <w:rPr>
          <w:sz w:val="24"/>
          <w:szCs w:val="24"/>
        </w:rPr>
        <w:t xml:space="preserve"> of obedience.</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If a sovereign were to be deprived of ‘the essential rights of sovereignty</w:t>
      </w:r>
      <w:r w:rsidR="00E37845" w:rsidRPr="00C74D60">
        <w:rPr>
          <w:sz w:val="24"/>
          <w:szCs w:val="24"/>
        </w:rPr>
        <w:t>’</w:t>
      </w:r>
      <w:r w:rsidRPr="00C74D60">
        <w:rPr>
          <w:rStyle w:val="FootnoteReference"/>
          <w:sz w:val="24"/>
          <w:szCs w:val="24"/>
        </w:rPr>
        <w:footnoteReference w:id="5"/>
      </w:r>
      <w:r w:rsidRPr="00C74D60">
        <w:rPr>
          <w:sz w:val="24"/>
          <w:szCs w:val="24"/>
        </w:rPr>
        <w:t xml:space="preserve">, that is, </w:t>
      </w:r>
      <w:r w:rsidR="000D5D91" w:rsidRPr="00C74D60">
        <w:rPr>
          <w:sz w:val="24"/>
          <w:szCs w:val="24"/>
        </w:rPr>
        <w:t xml:space="preserve">of </w:t>
      </w:r>
      <w:r w:rsidRPr="00C74D60">
        <w:rPr>
          <w:sz w:val="24"/>
          <w:szCs w:val="24"/>
        </w:rPr>
        <w:t>his total power to overcome any strong opposition, there would be nothing else to expect but a return ‘into the condition, and calamity of a war with every other man</w:t>
      </w:r>
      <w:r w:rsidR="004E352A" w:rsidRPr="00C74D60">
        <w:rPr>
          <w:sz w:val="24"/>
          <w:szCs w:val="24"/>
        </w:rPr>
        <w:t>’</w:t>
      </w:r>
      <w:r w:rsidRPr="00C74D60">
        <w:rPr>
          <w:rStyle w:val="FootnoteReference"/>
          <w:sz w:val="24"/>
          <w:szCs w:val="24"/>
        </w:rPr>
        <w:footnoteReference w:id="6"/>
      </w:r>
      <w:r w:rsidR="005C4820">
        <w:rPr>
          <w:sz w:val="24"/>
          <w:szCs w:val="24"/>
        </w:rPr>
        <w:t>.</w:t>
      </w:r>
      <w:r w:rsidR="002C2089" w:rsidRPr="00C74D60">
        <w:rPr>
          <w:sz w:val="24"/>
          <w:szCs w:val="24"/>
        </w:rPr>
        <w:t xml:space="preserve"> </w:t>
      </w:r>
      <w:r w:rsidRPr="00C74D60">
        <w:rPr>
          <w:sz w:val="24"/>
          <w:szCs w:val="24"/>
        </w:rPr>
        <w:t xml:space="preserve">For fear of this absolute power compels everyone to conform to the sovereign's decrees and the rational pursuit of their interest discourages them to act otherwise. </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lastRenderedPageBreak/>
        <w:t>From this brief overview, it obviously appears that Hobbes’ account is based on a series of radical assumptions facing diverse difficulties. His profoundly pessimistic views on human nature and his defence of an absolute power has often been regarded as excessive.</w:t>
      </w:r>
      <w:r w:rsidR="00D17404" w:rsidRPr="00C74D60">
        <w:rPr>
          <w:sz w:val="24"/>
          <w:szCs w:val="24"/>
        </w:rPr>
        <w:t xml:space="preserve"> </w:t>
      </w:r>
      <w:r w:rsidRPr="00C74D60">
        <w:rPr>
          <w:sz w:val="24"/>
          <w:szCs w:val="24"/>
        </w:rPr>
        <w:t xml:space="preserve">It could be argued that his understanding of humanity, perceived as composed of profoundly egoistic and brutal individuals, is misguided. Is it not rather the case that human beings are perfectly </w:t>
      </w:r>
      <w:r w:rsidR="001A568D" w:rsidRPr="00C74D60">
        <w:rPr>
          <w:sz w:val="24"/>
          <w:szCs w:val="24"/>
        </w:rPr>
        <w:t>able</w:t>
      </w:r>
      <w:r w:rsidRPr="00C74D60">
        <w:rPr>
          <w:sz w:val="24"/>
          <w:szCs w:val="24"/>
        </w:rPr>
        <w:t>, in ordinary circumstances, to exhibit sincere compassion and empathy, and to behave in altruistic manner</w:t>
      </w:r>
      <w:r w:rsidR="00101BB2" w:rsidRPr="00C74D60">
        <w:rPr>
          <w:sz w:val="24"/>
          <w:szCs w:val="24"/>
        </w:rPr>
        <w:t>s</w:t>
      </w:r>
      <w:r w:rsidRPr="00C74D60">
        <w:rPr>
          <w:sz w:val="24"/>
          <w:szCs w:val="24"/>
        </w:rPr>
        <w:t>? And this does not necessarily mean that one should adopt Rousseau’s proclamation that man is naturally good, which sounds, according to Christopher Bertram, ‘as if it might not be so much outrageous as platitudinous</w:t>
      </w:r>
      <w:r w:rsidR="00D17404" w:rsidRPr="00C74D60">
        <w:rPr>
          <w:sz w:val="24"/>
          <w:szCs w:val="24"/>
        </w:rPr>
        <w:t>’</w:t>
      </w:r>
      <w:r w:rsidRPr="00C74D60">
        <w:rPr>
          <w:rStyle w:val="FootnoteReference"/>
          <w:sz w:val="24"/>
          <w:szCs w:val="24"/>
        </w:rPr>
        <w:footnoteReference w:id="7"/>
      </w:r>
      <w:r w:rsidR="005C4820">
        <w:rPr>
          <w:sz w:val="24"/>
          <w:szCs w:val="24"/>
        </w:rPr>
        <w:t>.</w:t>
      </w:r>
      <w:r w:rsidRPr="00C74D60">
        <w:rPr>
          <w:sz w:val="24"/>
          <w:szCs w:val="24"/>
        </w:rPr>
        <w:t xml:space="preserve"> Rather, one could perhaps </w:t>
      </w:r>
      <w:r w:rsidR="0028638A" w:rsidRPr="00C74D60">
        <w:rPr>
          <w:sz w:val="24"/>
          <w:szCs w:val="24"/>
        </w:rPr>
        <w:t>accept</w:t>
      </w:r>
      <w:r w:rsidR="001F3140">
        <w:rPr>
          <w:sz w:val="24"/>
          <w:szCs w:val="24"/>
        </w:rPr>
        <w:t xml:space="preserve"> the view</w:t>
      </w:r>
      <w:r w:rsidR="00731067">
        <w:rPr>
          <w:sz w:val="24"/>
          <w:szCs w:val="24"/>
        </w:rPr>
        <w:t>s</w:t>
      </w:r>
      <w:r w:rsidRPr="00C74D60">
        <w:rPr>
          <w:sz w:val="24"/>
          <w:szCs w:val="24"/>
        </w:rPr>
        <w:t xml:space="preserve"> advocated by Annette Baier</w:t>
      </w:r>
      <w:r w:rsidRPr="00C74D60">
        <w:rPr>
          <w:rStyle w:val="FootnoteReference"/>
          <w:sz w:val="24"/>
          <w:szCs w:val="24"/>
        </w:rPr>
        <w:footnoteReference w:id="8"/>
      </w:r>
      <w:r w:rsidRPr="00C74D60">
        <w:rPr>
          <w:sz w:val="24"/>
          <w:szCs w:val="24"/>
        </w:rPr>
        <w:t xml:space="preserve"> for instance, who insists that our motives form part of a rather blurry continuum of intertwined egoism and altruism that hinders easy classification.  But, from a Hobbesian point of view, this could also be interpreted as a clear sign that the motives lying behind even the more seemingly disinterested actions are most certainly tinted with a non-negligible amount of selfishness. And since Hobbes is interested in the kind of relation that occurs not in narrow social circles but at a broader scale, it could be argued that it is essentially the individualistic and egoistic tendencies that prevail.</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Yet, one could admit this interpretation and recognise its relative merits without endorsing the views Hobbes had of man in the state of nature. It is commonly admitted, for example, that man is naturally gregarious and to claim, as Hobbes did, that man is a sort of solitary creature appears blatantly false. Similarly, Hobbes’ assumption that every human society should be regarded, by definition, as an artificial production seems to deny altogether man’s innate sociability and the existence of rudimentary communities that predate the apparition </w:t>
      </w:r>
      <w:r w:rsidR="006A2AA3" w:rsidRPr="00C74D60">
        <w:rPr>
          <w:sz w:val="24"/>
          <w:szCs w:val="24"/>
        </w:rPr>
        <w:t xml:space="preserve">of </w:t>
      </w:r>
      <w:r w:rsidRPr="00C74D60">
        <w:rPr>
          <w:sz w:val="24"/>
          <w:szCs w:val="24"/>
        </w:rPr>
        <w:t xml:space="preserve">complex societies. </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A possible defence of </w:t>
      </w:r>
      <w:r w:rsidR="001B20F4" w:rsidRPr="00C74D60">
        <w:rPr>
          <w:sz w:val="24"/>
          <w:szCs w:val="24"/>
        </w:rPr>
        <w:t xml:space="preserve">Hobbes’ </w:t>
      </w:r>
      <w:r w:rsidRPr="00C74D60">
        <w:rPr>
          <w:sz w:val="24"/>
          <w:szCs w:val="24"/>
        </w:rPr>
        <w:t xml:space="preserve">descriptions could maintain that his theory is rather meant to account for the psychological traits and social bounds at work in societies established on legal obligations and that these sorts of societies could hardly be regarded as natural. But even if one </w:t>
      </w:r>
      <w:r w:rsidRPr="00C74D60">
        <w:rPr>
          <w:sz w:val="24"/>
          <w:szCs w:val="24"/>
        </w:rPr>
        <w:lastRenderedPageBreak/>
        <w:t xml:space="preserve">could accept this explanation, it still appears that Hobbes went too far in presenting his atomic individuals so drastically isolated and estranged from any form of life in community. A more satisfying alternative to Hobbes’ radical, artificial and inaccurate contrast </w:t>
      </w:r>
      <w:r w:rsidR="006D651C" w:rsidRPr="00C74D60">
        <w:rPr>
          <w:sz w:val="24"/>
          <w:szCs w:val="24"/>
        </w:rPr>
        <w:t>has been</w:t>
      </w:r>
      <w:r w:rsidRPr="00C74D60">
        <w:rPr>
          <w:sz w:val="24"/>
          <w:szCs w:val="24"/>
        </w:rPr>
        <w:t xml:space="preserve"> offered by Samuel Pufendorf’s double contract theory, which allows for the emergence of a social contract within preexisting communities.</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rStyle w:val="fontstyle01"/>
          <w:rFonts w:asciiTheme="minorHAnsi" w:hAnsiTheme="minorHAnsi"/>
          <w:sz w:val="24"/>
          <w:szCs w:val="24"/>
        </w:rPr>
      </w:pPr>
      <w:r w:rsidRPr="00C74D60">
        <w:rPr>
          <w:sz w:val="24"/>
          <w:szCs w:val="24"/>
        </w:rPr>
        <w:t xml:space="preserve">Equally startling are Hobbes’ views on morality, which he thinks to be no less artificial and instrumental than the </w:t>
      </w:r>
      <w:r w:rsidR="00CA3268" w:rsidRPr="00C74D60">
        <w:rPr>
          <w:sz w:val="24"/>
          <w:szCs w:val="24"/>
        </w:rPr>
        <w:t xml:space="preserve">social </w:t>
      </w:r>
      <w:r w:rsidRPr="00C74D60">
        <w:rPr>
          <w:sz w:val="24"/>
          <w:szCs w:val="24"/>
        </w:rPr>
        <w:t>contract itself. This question of morality bears a significant importance</w:t>
      </w:r>
      <w:r w:rsidR="005742E6" w:rsidRPr="00C74D60">
        <w:rPr>
          <w:sz w:val="24"/>
          <w:szCs w:val="24"/>
        </w:rPr>
        <w:t xml:space="preserve"> for the understanding</w:t>
      </w:r>
      <w:r w:rsidRPr="00C74D60">
        <w:rPr>
          <w:sz w:val="24"/>
          <w:szCs w:val="24"/>
        </w:rPr>
        <w:t xml:space="preserve"> </w:t>
      </w:r>
      <w:r w:rsidR="005742E6" w:rsidRPr="00C74D60">
        <w:rPr>
          <w:sz w:val="24"/>
          <w:szCs w:val="24"/>
        </w:rPr>
        <w:t>of</w:t>
      </w:r>
      <w:r w:rsidRPr="00C74D60">
        <w:rPr>
          <w:sz w:val="24"/>
          <w:szCs w:val="24"/>
        </w:rPr>
        <w:t xml:space="preserve"> Hobbes’ </w:t>
      </w:r>
      <w:r w:rsidR="005742E6" w:rsidRPr="00C74D60">
        <w:rPr>
          <w:sz w:val="24"/>
          <w:szCs w:val="24"/>
        </w:rPr>
        <w:t>views on</w:t>
      </w:r>
      <w:r w:rsidRPr="00C74D60">
        <w:rPr>
          <w:sz w:val="24"/>
          <w:szCs w:val="24"/>
        </w:rPr>
        <w:t xml:space="preserve"> the motives one has </w:t>
      </w:r>
      <w:r w:rsidR="00FA6D95" w:rsidRPr="00C74D60">
        <w:rPr>
          <w:sz w:val="24"/>
          <w:szCs w:val="24"/>
        </w:rPr>
        <w:t>for honouring</w:t>
      </w:r>
      <w:r w:rsidRPr="00C74D60">
        <w:rPr>
          <w:sz w:val="24"/>
          <w:szCs w:val="24"/>
        </w:rPr>
        <w:t xml:space="preserve"> a contract, the crux of it being thus the notion of obligation. Hobbes simply denies the sort of immutable and eternal morality usually admitted by his contemporaries and advocated, for instance, by Edward Hyde (1609-1674). </w:t>
      </w:r>
      <w:r w:rsidR="00923BAB" w:rsidRPr="00C74D60">
        <w:rPr>
          <w:sz w:val="24"/>
          <w:szCs w:val="24"/>
        </w:rPr>
        <w:t>Through</w:t>
      </w:r>
      <w:r w:rsidRPr="00C74D60">
        <w:rPr>
          <w:sz w:val="24"/>
          <w:szCs w:val="24"/>
        </w:rPr>
        <w:t xml:space="preserve"> a reductive association of morality and legality, Hobbes gives to</w:t>
      </w:r>
      <w:r w:rsidR="00536C36" w:rsidRPr="00C74D60">
        <w:rPr>
          <w:sz w:val="24"/>
          <w:szCs w:val="24"/>
        </w:rPr>
        <w:t>o</w:t>
      </w:r>
      <w:r w:rsidRPr="00C74D60">
        <w:rPr>
          <w:sz w:val="24"/>
          <w:szCs w:val="24"/>
        </w:rPr>
        <w:t xml:space="preserve"> much weight to the latter, while reducing the idiosyncratic nature of the first to nothing more than a mere calculation triggered by self-interest. Whereas, as rightfully noticed by Thomas Nagel, ‘Nothing could be called a moral obligation which in principle never con</w:t>
      </w:r>
      <w:r w:rsidR="00966C90" w:rsidRPr="00C74D60">
        <w:rPr>
          <w:sz w:val="24"/>
          <w:szCs w:val="24"/>
        </w:rPr>
        <w:t>flicted with self-interest</w:t>
      </w:r>
      <w:r w:rsidRPr="00C74D60">
        <w:rPr>
          <w:sz w:val="24"/>
          <w:szCs w:val="24"/>
        </w:rPr>
        <w:t>’</w:t>
      </w:r>
      <w:r w:rsidRPr="00C74D60">
        <w:rPr>
          <w:rStyle w:val="FootnoteReference"/>
          <w:sz w:val="24"/>
          <w:szCs w:val="24"/>
        </w:rPr>
        <w:footnoteReference w:id="9"/>
      </w:r>
      <w:r w:rsidR="005C4820">
        <w:rPr>
          <w:sz w:val="24"/>
          <w:szCs w:val="24"/>
        </w:rPr>
        <w: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Another problem of Hobbes’ theory is the </w:t>
      </w:r>
      <w:r w:rsidR="00923BAB" w:rsidRPr="00C74D60">
        <w:rPr>
          <w:sz w:val="24"/>
          <w:szCs w:val="24"/>
        </w:rPr>
        <w:t>way we should consider</w:t>
      </w:r>
      <w:r w:rsidRPr="00C74D60">
        <w:rPr>
          <w:sz w:val="24"/>
          <w:szCs w:val="24"/>
        </w:rPr>
        <w:t xml:space="preserve"> his description of the state of nature. The obvious gap that exists between his account and what we know of human history makes it impossible to be taken literally and therefore requires an alternative interpretation. If some commentators saw in Hobbes’ state of nature nothing more than a fiction designed to serve Hobbes’ political </w:t>
      </w:r>
      <w:r w:rsidR="00923BAB" w:rsidRPr="00C74D60">
        <w:rPr>
          <w:sz w:val="24"/>
          <w:szCs w:val="24"/>
        </w:rPr>
        <w:t>agenda</w:t>
      </w:r>
      <w:r w:rsidRPr="00C74D60">
        <w:rPr>
          <w:sz w:val="24"/>
          <w:szCs w:val="24"/>
        </w:rPr>
        <w:t>, others have insisted that it should be regarded as a form of trans-historical idealisation or thought experiment, meant to imagine the kind of situation that individuals deprived of the benefits of legal bounds</w:t>
      </w:r>
      <w:r w:rsidR="009305CB" w:rsidRPr="00C74D60">
        <w:rPr>
          <w:sz w:val="24"/>
          <w:szCs w:val="24"/>
        </w:rPr>
        <w:t xml:space="preserve"> would face</w:t>
      </w:r>
      <w:r w:rsidRPr="00C74D60">
        <w:rPr>
          <w:sz w:val="24"/>
          <w:szCs w:val="24"/>
        </w:rPr>
        <w:t xml:space="preserve">. But, if one can agree that it is possible to regard descriptions of a hypothetical state of nature in general as a useful abstraction, it appears that, </w:t>
      </w:r>
      <w:r w:rsidR="00923BAB" w:rsidRPr="00C74D60">
        <w:rPr>
          <w:sz w:val="24"/>
          <w:szCs w:val="24"/>
        </w:rPr>
        <w:t>even though</w:t>
      </w:r>
      <w:r w:rsidRPr="00C74D60">
        <w:rPr>
          <w:sz w:val="24"/>
          <w:szCs w:val="24"/>
        </w:rPr>
        <w:t xml:space="preserve"> some elements of this theory are relatively plausible</w:t>
      </w:r>
      <w:r w:rsidR="00923BAB" w:rsidRPr="00C74D60">
        <w:rPr>
          <w:sz w:val="24"/>
          <w:szCs w:val="24"/>
        </w:rPr>
        <w:t xml:space="preserve"> – </w:t>
      </w:r>
      <w:r w:rsidRPr="00C74D60">
        <w:rPr>
          <w:sz w:val="24"/>
          <w:szCs w:val="24"/>
        </w:rPr>
        <w:t>such as his description of scarcity</w:t>
      </w:r>
      <w:r w:rsidR="00923BAB" w:rsidRPr="00C74D60">
        <w:rPr>
          <w:sz w:val="24"/>
          <w:szCs w:val="24"/>
        </w:rPr>
        <w:t xml:space="preserve"> –</w:t>
      </w:r>
      <w:r w:rsidRPr="00C74D60">
        <w:rPr>
          <w:sz w:val="24"/>
          <w:szCs w:val="24"/>
        </w:rPr>
        <w:t xml:space="preserve"> others are clearly false. I would</w:t>
      </w:r>
      <w:r w:rsidR="004A1CF9" w:rsidRPr="00C74D60">
        <w:rPr>
          <w:sz w:val="24"/>
          <w:szCs w:val="24"/>
        </w:rPr>
        <w:t>,</w:t>
      </w:r>
      <w:r w:rsidRPr="00C74D60">
        <w:rPr>
          <w:sz w:val="24"/>
          <w:szCs w:val="24"/>
        </w:rPr>
        <w:t xml:space="preserve"> for instance</w:t>
      </w:r>
      <w:r w:rsidR="004A1CF9" w:rsidRPr="00C74D60">
        <w:rPr>
          <w:sz w:val="24"/>
          <w:szCs w:val="24"/>
        </w:rPr>
        <w:t>,</w:t>
      </w:r>
      <w:r w:rsidRPr="00C74D60">
        <w:rPr>
          <w:sz w:val="24"/>
          <w:szCs w:val="24"/>
        </w:rPr>
        <w:t xml:space="preserve"> agree with Andrew Levine and add </w:t>
      </w:r>
      <w:r w:rsidR="00713518">
        <w:rPr>
          <w:sz w:val="24"/>
          <w:szCs w:val="24"/>
        </w:rPr>
        <w:t>to the list of</w:t>
      </w:r>
      <w:r w:rsidRPr="00C74D60">
        <w:rPr>
          <w:sz w:val="24"/>
          <w:szCs w:val="24"/>
        </w:rPr>
        <w:t xml:space="preserve"> incorrect assertions</w:t>
      </w:r>
      <w:r w:rsidR="003F23E2">
        <w:rPr>
          <w:sz w:val="24"/>
          <w:szCs w:val="24"/>
        </w:rPr>
        <w:t>,</w:t>
      </w:r>
      <w:r w:rsidRPr="00C74D60">
        <w:rPr>
          <w:sz w:val="24"/>
          <w:szCs w:val="24"/>
        </w:rPr>
        <w:t xml:space="preserve"> the alleged </w:t>
      </w:r>
      <w:r w:rsidR="005D5D73">
        <w:rPr>
          <w:sz w:val="24"/>
          <w:szCs w:val="24"/>
        </w:rPr>
        <w:t>and much controversial</w:t>
      </w:r>
      <w:r w:rsidR="00923BAB" w:rsidRPr="00C74D60">
        <w:rPr>
          <w:sz w:val="24"/>
          <w:szCs w:val="24"/>
        </w:rPr>
        <w:t xml:space="preserve"> </w:t>
      </w:r>
      <w:r w:rsidRPr="00C74D60">
        <w:rPr>
          <w:sz w:val="24"/>
          <w:szCs w:val="24"/>
        </w:rPr>
        <w:t xml:space="preserve">equality of </w:t>
      </w:r>
      <w:r w:rsidRPr="00C74D60">
        <w:rPr>
          <w:sz w:val="24"/>
          <w:szCs w:val="24"/>
        </w:rPr>
        <w:lastRenderedPageBreak/>
        <w:t>individuals</w:t>
      </w:r>
      <w:r w:rsidRPr="00C74D60">
        <w:rPr>
          <w:rStyle w:val="FootnoteReference"/>
          <w:sz w:val="24"/>
          <w:szCs w:val="24"/>
        </w:rPr>
        <w:footnoteReference w:id="10"/>
      </w:r>
      <w:r w:rsidR="00F03646">
        <w:rPr>
          <w:sz w:val="24"/>
          <w:szCs w:val="24"/>
        </w:rPr>
        <w:t>.</w:t>
      </w:r>
      <w:r w:rsidRPr="00C74D60">
        <w:rPr>
          <w:sz w:val="24"/>
          <w:szCs w:val="24"/>
        </w:rPr>
        <w:t xml:space="preserve"> Furthermore, since his model is not based on historical data, there seems to be no reason to favour the Hobbesian version of the state of nature over other versions, like for example the radically different </w:t>
      </w:r>
      <w:r w:rsidR="00B06AD8" w:rsidRPr="00C74D60">
        <w:rPr>
          <w:sz w:val="24"/>
          <w:szCs w:val="24"/>
        </w:rPr>
        <w:t xml:space="preserve">ones </w:t>
      </w:r>
      <w:r w:rsidRPr="00C74D60">
        <w:rPr>
          <w:sz w:val="24"/>
          <w:szCs w:val="24"/>
        </w:rPr>
        <w:t>advocated by Locke or Rousseau. Also, if historical and factual information can be viewed as irrelevant with regards to the explanatory power of a model, what criteria should we adopt to evaluate it?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But, even if there were external justifications of the Hobbesian model, his theory seems to present some serious inconsistencies. One of which has been identified by Jean Hampton</w:t>
      </w:r>
      <w:r w:rsidRPr="00C74D60">
        <w:rPr>
          <w:rStyle w:val="FootnoteReference"/>
          <w:sz w:val="24"/>
          <w:szCs w:val="24"/>
        </w:rPr>
        <w:footnoteReference w:id="11"/>
      </w:r>
      <w:r w:rsidR="00F03646">
        <w:rPr>
          <w:sz w:val="24"/>
          <w:szCs w:val="24"/>
        </w:rPr>
        <w:t>.</w:t>
      </w:r>
      <w:r w:rsidRPr="00C74D60">
        <w:rPr>
          <w:sz w:val="24"/>
          <w:szCs w:val="24"/>
        </w:rPr>
        <w:t xml:space="preserve"> She argue</w:t>
      </w:r>
      <w:r w:rsidR="0039614D" w:rsidRPr="00C74D60">
        <w:rPr>
          <w:sz w:val="24"/>
          <w:szCs w:val="24"/>
        </w:rPr>
        <w:t>s</w:t>
      </w:r>
      <w:r w:rsidRPr="00C74D60">
        <w:rPr>
          <w:sz w:val="24"/>
          <w:szCs w:val="24"/>
        </w:rPr>
        <w:t xml:space="preserve"> that since passions and rationality</w:t>
      </w:r>
      <w:r w:rsidR="008013DE" w:rsidRPr="00C74D60">
        <w:rPr>
          <w:sz w:val="24"/>
          <w:szCs w:val="24"/>
        </w:rPr>
        <w:t>, which</w:t>
      </w:r>
      <w:r w:rsidRPr="00C74D60">
        <w:rPr>
          <w:sz w:val="24"/>
          <w:szCs w:val="24"/>
        </w:rPr>
        <w:t xml:space="preserve"> prevail in the state of nature, are no less present and active </w:t>
      </w:r>
      <w:r w:rsidR="008013DE" w:rsidRPr="00C74D60">
        <w:rPr>
          <w:sz w:val="24"/>
          <w:szCs w:val="24"/>
        </w:rPr>
        <w:t>out of it</w:t>
      </w:r>
      <w:r w:rsidRPr="00C74D60">
        <w:rPr>
          <w:sz w:val="24"/>
          <w:szCs w:val="24"/>
        </w:rPr>
        <w:t xml:space="preserve">, there is no reason to think that they would produce </w:t>
      </w:r>
      <w:r w:rsidR="00E3049F" w:rsidRPr="00C74D60">
        <w:rPr>
          <w:sz w:val="24"/>
          <w:szCs w:val="24"/>
        </w:rPr>
        <w:t>different</w:t>
      </w:r>
      <w:r w:rsidRPr="00C74D60">
        <w:rPr>
          <w:sz w:val="24"/>
          <w:szCs w:val="24"/>
        </w:rPr>
        <w:t xml:space="preserve"> results. Therefore, if Hobbes’ psychological account and its relation to the state of nature are right, we should </w:t>
      </w:r>
      <w:r w:rsidR="0073686F" w:rsidRPr="00C74D60">
        <w:rPr>
          <w:sz w:val="24"/>
          <w:szCs w:val="24"/>
        </w:rPr>
        <w:t>not</w:t>
      </w:r>
      <w:r w:rsidRPr="00C74D60">
        <w:rPr>
          <w:sz w:val="24"/>
          <w:szCs w:val="24"/>
        </w:rPr>
        <w:t xml:space="preserve"> to expect the contractors to observe the covenant.</w:t>
      </w:r>
    </w:p>
    <w:p w:rsidR="00C52B0A" w:rsidRPr="00C74D60" w:rsidRDefault="00C52B0A" w:rsidP="00C52B0A">
      <w:pPr>
        <w:pStyle w:val="NoSpacing"/>
        <w:spacing w:line="360" w:lineRule="auto"/>
        <w:jc w:val="both"/>
        <w:rPr>
          <w:sz w:val="24"/>
          <w:szCs w:val="24"/>
        </w:rPr>
      </w:pPr>
    </w:p>
    <w:p w:rsidR="00F03646" w:rsidRPr="00C74D60" w:rsidRDefault="0073686F" w:rsidP="00C52B0A">
      <w:pPr>
        <w:pStyle w:val="NoSpacing"/>
        <w:spacing w:line="360" w:lineRule="auto"/>
        <w:jc w:val="both"/>
        <w:rPr>
          <w:sz w:val="24"/>
          <w:szCs w:val="24"/>
        </w:rPr>
      </w:pPr>
      <w:r w:rsidRPr="00C74D60">
        <w:rPr>
          <w:sz w:val="24"/>
          <w:szCs w:val="24"/>
        </w:rPr>
        <w:t>Along this line of reasoning, i</w:t>
      </w:r>
      <w:r w:rsidR="00C52B0A" w:rsidRPr="00C74D60">
        <w:rPr>
          <w:sz w:val="24"/>
          <w:szCs w:val="24"/>
        </w:rPr>
        <w:t xml:space="preserve">n his </w:t>
      </w:r>
      <w:r w:rsidR="00C52B0A" w:rsidRPr="00C74D60">
        <w:rPr>
          <w:i/>
          <w:sz w:val="24"/>
          <w:szCs w:val="24"/>
        </w:rPr>
        <w:t>Enquiry Concerning Political Justice</w:t>
      </w:r>
      <w:r w:rsidR="00C52B0A" w:rsidRPr="00C74D60">
        <w:rPr>
          <w:sz w:val="24"/>
          <w:szCs w:val="24"/>
        </w:rPr>
        <w:t>, William Godwin (1736–1836) reveal</w:t>
      </w:r>
      <w:r w:rsidRPr="00C74D60">
        <w:rPr>
          <w:sz w:val="24"/>
          <w:szCs w:val="24"/>
        </w:rPr>
        <w:t>s</w:t>
      </w:r>
      <w:r w:rsidR="00C52B0A" w:rsidRPr="00C74D60">
        <w:rPr>
          <w:sz w:val="24"/>
          <w:szCs w:val="24"/>
        </w:rPr>
        <w:t xml:space="preserve"> a substantial list of considerable issues and gaps in Hobbes’ theory.  A first proble</w:t>
      </w:r>
      <w:r w:rsidR="00DA3D58">
        <w:rPr>
          <w:sz w:val="24"/>
          <w:szCs w:val="24"/>
        </w:rPr>
        <w:t>m, that had also been pointed out</w:t>
      </w:r>
      <w:r w:rsidR="00C52B0A" w:rsidRPr="00C74D60">
        <w:rPr>
          <w:sz w:val="24"/>
          <w:szCs w:val="24"/>
        </w:rPr>
        <w:t xml:space="preserve"> by David Hume, is the generational extension of the contract. Indeed, how could we justif</w:t>
      </w:r>
      <w:r w:rsidR="007C7BFD">
        <w:rPr>
          <w:sz w:val="24"/>
          <w:szCs w:val="24"/>
        </w:rPr>
        <w:t>y that a generation should be bou</w:t>
      </w:r>
      <w:r w:rsidR="00C52B0A" w:rsidRPr="00C74D60">
        <w:rPr>
          <w:sz w:val="24"/>
          <w:szCs w:val="24"/>
        </w:rPr>
        <w:t>nd by the promises made by a previous one? A second objection raised by Godwin focuses on the nature</w:t>
      </w:r>
      <w:r w:rsidR="00A413A9">
        <w:rPr>
          <w:sz w:val="24"/>
          <w:szCs w:val="24"/>
        </w:rPr>
        <w:t xml:space="preserve"> of</w:t>
      </w:r>
      <w:r w:rsidR="00C52B0A" w:rsidRPr="00C74D60">
        <w:rPr>
          <w:sz w:val="24"/>
          <w:szCs w:val="24"/>
        </w:rPr>
        <w:t xml:space="preserve"> consent.  Speaking about himself, he notices that his hypothetical consent is admittedly nothing more than a tacit agreement</w:t>
      </w:r>
      <w:r w:rsidRPr="00C74D60">
        <w:rPr>
          <w:sz w:val="24"/>
          <w:szCs w:val="24"/>
        </w:rPr>
        <w:t>,</w:t>
      </w:r>
      <w:r w:rsidR="00C52B0A" w:rsidRPr="00C74D60">
        <w:rPr>
          <w:sz w:val="24"/>
          <w:szCs w:val="24"/>
        </w:rPr>
        <w:t xml:space="preserve"> ‘inferred from my living quietly u</w:t>
      </w:r>
      <w:r w:rsidR="00966C90" w:rsidRPr="00C74D60">
        <w:rPr>
          <w:sz w:val="24"/>
          <w:szCs w:val="24"/>
        </w:rPr>
        <w:t>nder the protection of the laws</w:t>
      </w:r>
      <w:r w:rsidR="00C52B0A" w:rsidRPr="00C74D60">
        <w:rPr>
          <w:sz w:val="24"/>
          <w:szCs w:val="24"/>
        </w:rPr>
        <w:t>’</w:t>
      </w:r>
      <w:r w:rsidR="00C52B0A" w:rsidRPr="00C74D60">
        <w:rPr>
          <w:rStyle w:val="FootnoteReference"/>
          <w:sz w:val="24"/>
          <w:szCs w:val="24"/>
        </w:rPr>
        <w:footnoteReference w:id="12"/>
      </w:r>
      <w:r w:rsidR="00F03646">
        <w:rPr>
          <w:sz w:val="24"/>
          <w:szCs w:val="24"/>
        </w:rPr>
        <w:t>.</w:t>
      </w:r>
      <w:r w:rsidR="00C52B0A" w:rsidRPr="00C74D60">
        <w:rPr>
          <w:sz w:val="24"/>
          <w:szCs w:val="24"/>
        </w:rPr>
        <w:t xml:space="preserve"> </w:t>
      </w:r>
      <w:r w:rsidRPr="00C74D60">
        <w:rPr>
          <w:sz w:val="24"/>
          <w:szCs w:val="24"/>
        </w:rPr>
        <w:t xml:space="preserve">He then concludes </w:t>
      </w:r>
      <w:r w:rsidR="000D3918" w:rsidRPr="00C74D60">
        <w:rPr>
          <w:sz w:val="24"/>
          <w:szCs w:val="24"/>
        </w:rPr>
        <w:t>by observing</w:t>
      </w:r>
      <w:r w:rsidR="00C52B0A" w:rsidRPr="00C74D60">
        <w:rPr>
          <w:sz w:val="24"/>
          <w:szCs w:val="24"/>
        </w:rPr>
        <w:t xml:space="preserve"> that ‘Upon this hypothesis every government that is quietly subm</w:t>
      </w:r>
      <w:r w:rsidR="00966C90" w:rsidRPr="00C74D60">
        <w:rPr>
          <w:sz w:val="24"/>
          <w:szCs w:val="24"/>
        </w:rPr>
        <w:t>itted to is a lawful government</w:t>
      </w:r>
      <w:r w:rsidR="00C52B0A" w:rsidRPr="00C74D60">
        <w:rPr>
          <w:sz w:val="24"/>
          <w:szCs w:val="24"/>
        </w:rPr>
        <w:t>’</w:t>
      </w:r>
      <w:r w:rsidR="00C52B0A" w:rsidRPr="00C74D60">
        <w:rPr>
          <w:rStyle w:val="FootnoteReference"/>
          <w:sz w:val="24"/>
          <w:szCs w:val="24"/>
        </w:rPr>
        <w:footnoteReference w:id="13"/>
      </w:r>
      <w:r w:rsidR="00F03646">
        <w:rPr>
          <w:sz w:val="24"/>
          <w:szCs w:val="24"/>
        </w:rPr>
        <w:t>.</w:t>
      </w:r>
      <w:r w:rsidR="00C52B0A" w:rsidRPr="00C74D60">
        <w:rPr>
          <w:sz w:val="24"/>
          <w:szCs w:val="24"/>
        </w:rPr>
        <w:t xml:space="preserve"> On the same matter, Hume </w:t>
      </w:r>
      <w:r w:rsidR="00567395" w:rsidRPr="00C74D60">
        <w:rPr>
          <w:sz w:val="24"/>
          <w:szCs w:val="24"/>
        </w:rPr>
        <w:t>confidently</w:t>
      </w:r>
      <w:r w:rsidR="00C52B0A" w:rsidRPr="00C74D60">
        <w:rPr>
          <w:sz w:val="24"/>
          <w:szCs w:val="24"/>
        </w:rPr>
        <w:t xml:space="preserve"> denies any form of agreement to a social </w:t>
      </w:r>
      <w:r w:rsidR="001F25AE">
        <w:rPr>
          <w:sz w:val="24"/>
          <w:szCs w:val="24"/>
        </w:rPr>
        <w:t>contract, whether explicit</w:t>
      </w:r>
      <w:r w:rsidR="00C52B0A" w:rsidRPr="00C74D60">
        <w:rPr>
          <w:sz w:val="24"/>
          <w:szCs w:val="24"/>
        </w:rPr>
        <w:t xml:space="preserve"> or not,</w:t>
      </w:r>
      <w:r w:rsidR="00B308B0" w:rsidRPr="00C74D60">
        <w:rPr>
          <w:sz w:val="24"/>
          <w:szCs w:val="24"/>
        </w:rPr>
        <w:t xml:space="preserve"> as being the major foundation of a government</w:t>
      </w:r>
      <w:r w:rsidR="00B308B0" w:rsidRPr="00C74D60">
        <w:rPr>
          <w:rStyle w:val="FootnoteReference"/>
          <w:sz w:val="24"/>
          <w:szCs w:val="24"/>
        </w:rPr>
        <w:footnoteReference w:id="14"/>
      </w:r>
      <w:r w:rsidR="00B308B0" w:rsidRPr="00C74D60">
        <w:rPr>
          <w:sz w:val="24"/>
          <w:szCs w:val="24"/>
        </w:rPr>
        <w:t xml:space="preserve">, </w:t>
      </w:r>
      <w:r w:rsidR="00C52B0A" w:rsidRPr="00C74D60">
        <w:rPr>
          <w:sz w:val="24"/>
          <w:szCs w:val="24"/>
        </w:rPr>
        <w:t xml:space="preserve"> insisting that ‘we do not commonly esteem our allegiance to be deri</w:t>
      </w:r>
      <w:r w:rsidR="00966C90" w:rsidRPr="00C74D60">
        <w:rPr>
          <w:sz w:val="24"/>
          <w:szCs w:val="24"/>
        </w:rPr>
        <w:t>v’d from our consent or promise</w:t>
      </w:r>
      <w:r w:rsidR="00C52B0A" w:rsidRPr="00C74D60">
        <w:rPr>
          <w:sz w:val="24"/>
          <w:szCs w:val="24"/>
        </w:rPr>
        <w:t>’</w:t>
      </w:r>
      <w:r w:rsidR="00C52B0A" w:rsidRPr="00C74D60">
        <w:rPr>
          <w:rStyle w:val="FootnoteReference"/>
          <w:sz w:val="24"/>
          <w:szCs w:val="24"/>
        </w:rPr>
        <w:footnoteReference w:id="15"/>
      </w:r>
      <w:r w:rsidR="00F03646">
        <w:rPr>
          <w:sz w:val="24"/>
          <w:szCs w:val="24"/>
        </w:rPr>
        <w:t>.</w:t>
      </w:r>
      <w:r w:rsidR="00C52B0A" w:rsidRPr="00C74D60">
        <w:rPr>
          <w:sz w:val="24"/>
          <w:szCs w:val="24"/>
        </w:rPr>
        <w:t xml:space="preserve"> A third </w:t>
      </w:r>
      <w:r w:rsidR="00C52B0A" w:rsidRPr="00C74D60">
        <w:rPr>
          <w:sz w:val="24"/>
          <w:szCs w:val="24"/>
        </w:rPr>
        <w:lastRenderedPageBreak/>
        <w:t>worry expressed by Godwin is that the social contract theory implicitly considers that the consent is not limited to the present laws but extends to the future ones. And finally, he remarks that if a political power derives it</w:t>
      </w:r>
      <w:r w:rsidR="00EE5CCD" w:rsidRPr="00C74D60">
        <w:rPr>
          <w:sz w:val="24"/>
          <w:szCs w:val="24"/>
        </w:rPr>
        <w:t>s</w:t>
      </w:r>
      <w:r w:rsidR="00C52B0A" w:rsidRPr="00C74D60">
        <w:rPr>
          <w:sz w:val="24"/>
          <w:szCs w:val="24"/>
        </w:rPr>
        <w:t xml:space="preserve"> authority from consent, ‘it can have no power over any individual by whom that consent is refused’</w:t>
      </w:r>
      <w:r w:rsidR="00C52B0A" w:rsidRPr="00C74D60">
        <w:rPr>
          <w:rStyle w:val="FootnoteReference"/>
          <w:sz w:val="24"/>
          <w:szCs w:val="24"/>
        </w:rPr>
        <w:footnoteReference w:id="16"/>
      </w:r>
      <w:r w:rsidR="00F03646">
        <w:rPr>
          <w:sz w:val="24"/>
          <w:szCs w:val="24"/>
        </w:rPr>
        <w: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By admitting that the notion of social contract should not be taken more literally than the concept of state of nature, an alternative interpretation could offer a decent solution to these difficulties. Unfortunately, it is very unlikely that a non-literal interpretation would fit Hobbes’ quite demanding requirements. So, for instance, even though the theory could be reformulated in terms of reciprocation, it is doubtful that such alteration could preserve the coercive </w:t>
      </w:r>
      <w:r w:rsidR="004E31FC" w:rsidRPr="00C74D60">
        <w:rPr>
          <w:sz w:val="24"/>
          <w:szCs w:val="24"/>
        </w:rPr>
        <w:t>strength</w:t>
      </w:r>
      <w:r w:rsidRPr="00C74D60">
        <w:rPr>
          <w:sz w:val="24"/>
          <w:szCs w:val="24"/>
        </w:rPr>
        <w:t xml:space="preserve"> of the Hobbesian social contract.</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Besides these difficulties, many commentators have argued that the political remedy prescrib</w:t>
      </w:r>
      <w:r w:rsidR="007A5AC0" w:rsidRPr="00C74D60">
        <w:rPr>
          <w:sz w:val="24"/>
          <w:szCs w:val="24"/>
        </w:rPr>
        <w:t>ed by Hobbes would be worse than</w:t>
      </w:r>
      <w:r w:rsidRPr="00C74D60">
        <w:rPr>
          <w:sz w:val="24"/>
          <w:szCs w:val="24"/>
        </w:rPr>
        <w:t xml:space="preserve"> the disease he intends to cure. For, as emphasised by Alan Goldman, it appears that the dangers that constitute a tyrannical government would outweigh the hazards inherent to the state of nature, and it would make the consent to this sort of contract the result of an ‘imprudent, hence irrational’</w:t>
      </w:r>
      <w:r w:rsidRPr="00C74D60">
        <w:rPr>
          <w:rStyle w:val="FootnoteReference"/>
          <w:sz w:val="24"/>
          <w:szCs w:val="24"/>
        </w:rPr>
        <w:footnoteReference w:id="17"/>
      </w:r>
      <w:r w:rsidRPr="00C74D60">
        <w:rPr>
          <w:sz w:val="24"/>
          <w:szCs w:val="24"/>
        </w:rPr>
        <w:t xml:space="preserve"> choice. A point of view quite different from the optimistic confidence Hobbes had </w:t>
      </w:r>
      <w:r w:rsidR="007C0A58" w:rsidRPr="00C74D60">
        <w:rPr>
          <w:sz w:val="24"/>
          <w:szCs w:val="24"/>
        </w:rPr>
        <w:t>regarding</w:t>
      </w:r>
      <w:r w:rsidRPr="00C74D60">
        <w:rPr>
          <w:sz w:val="24"/>
          <w:szCs w:val="24"/>
        </w:rPr>
        <w:t xml:space="preserve"> the </w:t>
      </w:r>
      <w:r w:rsidR="007C0A58" w:rsidRPr="00C74D60">
        <w:rPr>
          <w:sz w:val="24"/>
          <w:szCs w:val="24"/>
        </w:rPr>
        <w:t>attitude</w:t>
      </w:r>
      <w:r w:rsidRPr="00C74D60">
        <w:rPr>
          <w:sz w:val="24"/>
          <w:szCs w:val="24"/>
        </w:rPr>
        <w:t xml:space="preserve"> of the sovereign, which he expects to be respectful of the individual liberties, especially in matters of economy. But for those who do not share his confidence – and who feel more incline</w:t>
      </w:r>
      <w:r w:rsidR="00303B81" w:rsidRPr="00C74D60">
        <w:rPr>
          <w:sz w:val="24"/>
          <w:szCs w:val="24"/>
        </w:rPr>
        <w:t>d</w:t>
      </w:r>
      <w:r w:rsidRPr="00C74D60">
        <w:rPr>
          <w:sz w:val="24"/>
          <w:szCs w:val="24"/>
        </w:rPr>
        <w:t xml:space="preserve"> </w:t>
      </w:r>
      <w:r w:rsidR="00C06587" w:rsidRPr="00C74D60">
        <w:rPr>
          <w:sz w:val="24"/>
          <w:szCs w:val="24"/>
        </w:rPr>
        <w:t xml:space="preserve">to agree that if power corrupts, </w:t>
      </w:r>
      <w:r w:rsidRPr="00C74D60">
        <w:rPr>
          <w:sz w:val="24"/>
          <w:szCs w:val="24"/>
        </w:rPr>
        <w:t>absolute power corrupts absolutely – the repellent perspective offered by ‘a monstrous police state, the loss in freedom and the risk of false conviction by a court</w:t>
      </w:r>
      <w:r w:rsidR="007E4716" w:rsidRPr="00C74D60">
        <w:rPr>
          <w:sz w:val="24"/>
          <w:szCs w:val="24"/>
        </w:rPr>
        <w:t>’</w:t>
      </w:r>
      <w:r w:rsidRPr="00C74D60">
        <w:rPr>
          <w:rStyle w:val="FootnoteReference"/>
          <w:sz w:val="24"/>
          <w:szCs w:val="24"/>
        </w:rPr>
        <w:footnoteReference w:id="18"/>
      </w:r>
      <w:r w:rsidRPr="00C74D60">
        <w:rPr>
          <w:sz w:val="24"/>
          <w:szCs w:val="24"/>
        </w:rPr>
        <w:t>, constitutes a sufficient reason to discard Hobbes’ proposition.</w:t>
      </w:r>
    </w:p>
    <w:p w:rsidR="00C52B0A" w:rsidRPr="00C74D60" w:rsidRDefault="00C52B0A" w:rsidP="00C52B0A">
      <w:pPr>
        <w:pStyle w:val="NoSpacing"/>
        <w:spacing w:line="360" w:lineRule="auto"/>
        <w:jc w:val="both"/>
        <w:rPr>
          <w:sz w:val="24"/>
          <w:szCs w:val="24"/>
        </w:rPr>
      </w:pPr>
    </w:p>
    <w:p w:rsidR="00C52B0A" w:rsidRPr="00C74D60" w:rsidRDefault="00C52B0A" w:rsidP="00C52B0A">
      <w:pPr>
        <w:pStyle w:val="NoSpacing"/>
        <w:spacing w:line="360" w:lineRule="auto"/>
        <w:jc w:val="both"/>
        <w:rPr>
          <w:sz w:val="24"/>
          <w:szCs w:val="24"/>
        </w:rPr>
      </w:pPr>
      <w:r w:rsidRPr="00C74D60">
        <w:rPr>
          <w:sz w:val="24"/>
          <w:szCs w:val="24"/>
        </w:rPr>
        <w:t xml:space="preserve">Overall, it may be said that the highly speculative tendencies of Hobbes’ narrative, combined with his plea for absolutism, makes his political doctrine rather unconvincing and unappealing </w:t>
      </w:r>
      <w:r w:rsidR="00D063F7" w:rsidRPr="00C74D60">
        <w:rPr>
          <w:sz w:val="24"/>
          <w:szCs w:val="24"/>
        </w:rPr>
        <w:t>in</w:t>
      </w:r>
      <w:r w:rsidRPr="00C74D60">
        <w:rPr>
          <w:sz w:val="24"/>
          <w:szCs w:val="24"/>
        </w:rPr>
        <w:t xml:space="preserve"> the </w:t>
      </w:r>
      <w:r w:rsidRPr="00C74D60">
        <w:rPr>
          <w:sz w:val="24"/>
          <w:szCs w:val="24"/>
        </w:rPr>
        <w:lastRenderedPageBreak/>
        <w:t xml:space="preserve">face of our contemporary methodological standards and moral values. Nonetheless, his earnest attempt to produce the kind </w:t>
      </w:r>
      <w:r w:rsidR="00B20CE5" w:rsidRPr="00C74D60">
        <w:rPr>
          <w:sz w:val="24"/>
          <w:szCs w:val="24"/>
        </w:rPr>
        <w:t xml:space="preserve">of </w:t>
      </w:r>
      <w:r w:rsidRPr="00C74D60">
        <w:rPr>
          <w:sz w:val="24"/>
          <w:szCs w:val="24"/>
        </w:rPr>
        <w:t xml:space="preserve">knowledge that would preserve us from bloody revolutions and social chaos deserves both our respect and attention, for his contract theory carries and preserves, within its </w:t>
      </w:r>
      <w:r w:rsidR="007C0A58" w:rsidRPr="00C74D60">
        <w:rPr>
          <w:sz w:val="24"/>
          <w:szCs w:val="24"/>
        </w:rPr>
        <w:t xml:space="preserve">vivid and </w:t>
      </w:r>
      <w:r w:rsidRPr="00C74D60">
        <w:rPr>
          <w:sz w:val="24"/>
          <w:szCs w:val="24"/>
        </w:rPr>
        <w:t xml:space="preserve">inspired depictions, numerous valuable insights, </w:t>
      </w:r>
      <w:r w:rsidR="007C0A58" w:rsidRPr="00C74D60">
        <w:rPr>
          <w:sz w:val="24"/>
          <w:szCs w:val="24"/>
        </w:rPr>
        <w:t>and</w:t>
      </w:r>
      <w:r w:rsidRPr="00C74D60">
        <w:rPr>
          <w:sz w:val="24"/>
          <w:szCs w:val="24"/>
        </w:rPr>
        <w:t xml:space="preserve"> remain</w:t>
      </w:r>
      <w:r w:rsidR="007C0A58" w:rsidRPr="00C74D60">
        <w:rPr>
          <w:sz w:val="24"/>
          <w:szCs w:val="24"/>
        </w:rPr>
        <w:t>s therefore</w:t>
      </w:r>
      <w:r w:rsidRPr="00C74D60">
        <w:rPr>
          <w:sz w:val="24"/>
          <w:szCs w:val="24"/>
        </w:rPr>
        <w:t xml:space="preserve"> as stimulating and challenging as ever.</w:t>
      </w:r>
    </w:p>
    <w:p w:rsidR="003D3E84" w:rsidRDefault="003D3E84" w:rsidP="00C52B0A">
      <w:pPr>
        <w:spacing w:line="360" w:lineRule="auto"/>
        <w:jc w:val="both"/>
      </w:pPr>
    </w:p>
    <w:p w:rsidR="006B09A3" w:rsidRDefault="006B09A3" w:rsidP="00C52B0A">
      <w:pPr>
        <w:spacing w:line="360" w:lineRule="auto"/>
        <w:jc w:val="both"/>
      </w:pPr>
    </w:p>
    <w:p w:rsidR="001401F1" w:rsidRDefault="001401F1" w:rsidP="00987BD6">
      <w:pPr>
        <w:spacing w:line="240" w:lineRule="auto"/>
        <w:jc w:val="center"/>
        <w:rPr>
          <w:b/>
          <w:sz w:val="28"/>
        </w:rPr>
      </w:pPr>
      <w:r w:rsidRPr="0081116C">
        <w:rPr>
          <w:b/>
          <w:sz w:val="28"/>
        </w:rPr>
        <w:t>Bibliography</w:t>
      </w:r>
    </w:p>
    <w:p w:rsidR="00987BD6" w:rsidRDefault="00987BD6" w:rsidP="00987BD6">
      <w:pPr>
        <w:spacing w:line="240" w:lineRule="auto"/>
        <w:jc w:val="center"/>
        <w:rPr>
          <w:b/>
          <w:sz w:val="28"/>
        </w:rPr>
      </w:pPr>
    </w:p>
    <w:p w:rsidR="00022A8C" w:rsidRPr="00987BD6" w:rsidRDefault="00022A8C" w:rsidP="00987BD6">
      <w:pPr>
        <w:spacing w:line="240" w:lineRule="auto"/>
        <w:jc w:val="both"/>
        <w:rPr>
          <w:sz w:val="24"/>
        </w:rPr>
      </w:pPr>
      <w:r w:rsidRPr="00987BD6">
        <w:rPr>
          <w:sz w:val="24"/>
        </w:rPr>
        <w:t>Baier, Annette, Mor</w:t>
      </w:r>
      <w:r w:rsidR="00DE5AC2" w:rsidRPr="00987BD6">
        <w:rPr>
          <w:sz w:val="24"/>
        </w:rPr>
        <w:t>al Prejudices, Essays on Ethics</w:t>
      </w:r>
      <w:r w:rsidRPr="00987BD6">
        <w:rPr>
          <w:sz w:val="24"/>
        </w:rPr>
        <w:t xml:space="preserve"> (Cambridge: Harvard University Press, 1994)</w:t>
      </w:r>
    </w:p>
    <w:p w:rsidR="001401F1" w:rsidRPr="00987BD6" w:rsidRDefault="001401F1" w:rsidP="007A1917">
      <w:pPr>
        <w:spacing w:line="240" w:lineRule="auto"/>
        <w:ind w:left="720" w:hanging="720"/>
        <w:jc w:val="both"/>
        <w:rPr>
          <w:sz w:val="24"/>
        </w:rPr>
      </w:pPr>
      <w:r w:rsidRPr="00987BD6">
        <w:rPr>
          <w:sz w:val="24"/>
        </w:rPr>
        <w:t>Baier, Kurt, The Rational and the Moral Order: The Social Roots of Reason and Morality (La</w:t>
      </w:r>
      <w:r w:rsidR="000B6B44" w:rsidRPr="00987BD6">
        <w:rPr>
          <w:sz w:val="24"/>
        </w:rPr>
        <w:t xml:space="preserve"> </w:t>
      </w:r>
      <w:r w:rsidRPr="00987BD6">
        <w:rPr>
          <w:sz w:val="24"/>
        </w:rPr>
        <w:t>Salle: Open Court, 1995)</w:t>
      </w:r>
    </w:p>
    <w:p w:rsidR="00022A8C" w:rsidRPr="00987BD6" w:rsidRDefault="00022A8C" w:rsidP="00987BD6">
      <w:pPr>
        <w:spacing w:line="240" w:lineRule="auto"/>
        <w:jc w:val="both"/>
        <w:rPr>
          <w:sz w:val="24"/>
        </w:rPr>
      </w:pPr>
      <w:r w:rsidRPr="00987BD6">
        <w:rPr>
          <w:sz w:val="24"/>
        </w:rPr>
        <w:t>Bertram, Christopher, R</w:t>
      </w:r>
      <w:r w:rsidR="00DE5AC2" w:rsidRPr="00987BD6">
        <w:rPr>
          <w:sz w:val="24"/>
        </w:rPr>
        <w:t>ousseau and the Social Contract</w:t>
      </w:r>
      <w:r w:rsidRPr="00987BD6">
        <w:rPr>
          <w:sz w:val="24"/>
        </w:rPr>
        <w:t xml:space="preserve"> (London: Routledge, 2004)</w:t>
      </w:r>
    </w:p>
    <w:p w:rsidR="001401F1" w:rsidRPr="00987BD6" w:rsidRDefault="001401F1" w:rsidP="007A1917">
      <w:pPr>
        <w:spacing w:line="240" w:lineRule="auto"/>
        <w:ind w:left="720" w:hanging="720"/>
        <w:jc w:val="both"/>
        <w:rPr>
          <w:sz w:val="24"/>
        </w:rPr>
      </w:pPr>
      <w:r w:rsidRPr="00987BD6">
        <w:rPr>
          <w:sz w:val="24"/>
        </w:rPr>
        <w:t xml:space="preserve">Godwin, </w:t>
      </w:r>
      <w:r w:rsidR="00022A8C" w:rsidRPr="00987BD6">
        <w:rPr>
          <w:sz w:val="24"/>
        </w:rPr>
        <w:t xml:space="preserve">William, </w:t>
      </w:r>
      <w:r w:rsidRPr="00987BD6">
        <w:rPr>
          <w:sz w:val="24"/>
        </w:rPr>
        <w:t>An Enquiry Concerning Polit</w:t>
      </w:r>
      <w:r w:rsidR="008451FB" w:rsidRPr="00987BD6">
        <w:rPr>
          <w:sz w:val="24"/>
        </w:rPr>
        <w:t>ical Justice, ed. by Mark Philp</w:t>
      </w:r>
      <w:r w:rsidRPr="00987BD6">
        <w:rPr>
          <w:sz w:val="24"/>
        </w:rPr>
        <w:t xml:space="preserve"> (Oxford: Oxford University Press, 2013)</w:t>
      </w:r>
    </w:p>
    <w:p w:rsidR="001401F1" w:rsidRPr="00987BD6" w:rsidRDefault="001401F1" w:rsidP="00987BD6">
      <w:pPr>
        <w:spacing w:line="240" w:lineRule="auto"/>
        <w:jc w:val="both"/>
        <w:rPr>
          <w:sz w:val="24"/>
        </w:rPr>
      </w:pPr>
      <w:r w:rsidRPr="00987BD6">
        <w:rPr>
          <w:sz w:val="24"/>
        </w:rPr>
        <w:t xml:space="preserve">Goldman, </w:t>
      </w:r>
      <w:r w:rsidR="00022A8C" w:rsidRPr="00987BD6">
        <w:rPr>
          <w:sz w:val="24"/>
        </w:rPr>
        <w:t xml:space="preserve">Alan, </w:t>
      </w:r>
      <w:r w:rsidRPr="00987BD6">
        <w:rPr>
          <w:sz w:val="24"/>
        </w:rPr>
        <w:t>Moral Knowledge (London: Routledge, 1988)</w:t>
      </w:r>
    </w:p>
    <w:p w:rsidR="001401F1" w:rsidRPr="00987BD6" w:rsidRDefault="001401F1" w:rsidP="007A1917">
      <w:pPr>
        <w:spacing w:line="240" w:lineRule="auto"/>
        <w:ind w:left="720" w:hanging="720"/>
        <w:jc w:val="both"/>
        <w:rPr>
          <w:sz w:val="24"/>
        </w:rPr>
      </w:pPr>
      <w:r w:rsidRPr="00987BD6">
        <w:rPr>
          <w:sz w:val="24"/>
        </w:rPr>
        <w:t xml:space="preserve">Hampton, </w:t>
      </w:r>
      <w:r w:rsidR="00022A8C" w:rsidRPr="00987BD6">
        <w:rPr>
          <w:sz w:val="24"/>
        </w:rPr>
        <w:t xml:space="preserve">Jean, </w:t>
      </w:r>
      <w:r w:rsidRPr="00987BD6">
        <w:rPr>
          <w:sz w:val="24"/>
        </w:rPr>
        <w:t>Hobbes an</w:t>
      </w:r>
      <w:r w:rsidR="00DE5AC2" w:rsidRPr="00987BD6">
        <w:rPr>
          <w:sz w:val="24"/>
        </w:rPr>
        <w:t>d the Social Contract Tradition</w:t>
      </w:r>
      <w:r w:rsidRPr="00987BD6">
        <w:rPr>
          <w:sz w:val="24"/>
        </w:rPr>
        <w:t xml:space="preserve"> (New York: Cambridge University Press, 1986)</w:t>
      </w:r>
    </w:p>
    <w:p w:rsidR="00022A8C" w:rsidRPr="00987BD6" w:rsidRDefault="00022A8C" w:rsidP="00987BD6">
      <w:pPr>
        <w:spacing w:line="240" w:lineRule="auto"/>
        <w:jc w:val="both"/>
        <w:rPr>
          <w:sz w:val="24"/>
        </w:rPr>
      </w:pPr>
      <w:r w:rsidRPr="00987BD6">
        <w:rPr>
          <w:sz w:val="24"/>
        </w:rPr>
        <w:t>Hobbes, Thomas, Leviathan, ed. by J.C.A. Gaskin (Oxford: Oxford University Press, 1998)</w:t>
      </w:r>
    </w:p>
    <w:p w:rsidR="001401F1" w:rsidRPr="00987BD6" w:rsidRDefault="001401F1" w:rsidP="00987BD6">
      <w:pPr>
        <w:spacing w:line="240" w:lineRule="auto"/>
        <w:jc w:val="both"/>
        <w:rPr>
          <w:sz w:val="24"/>
        </w:rPr>
      </w:pPr>
      <w:r w:rsidRPr="00987BD6">
        <w:rPr>
          <w:sz w:val="24"/>
        </w:rPr>
        <w:t xml:space="preserve">Hume, </w:t>
      </w:r>
      <w:r w:rsidR="00022A8C" w:rsidRPr="00987BD6">
        <w:rPr>
          <w:sz w:val="24"/>
        </w:rPr>
        <w:t xml:space="preserve">David, </w:t>
      </w:r>
      <w:r w:rsidRPr="00987BD6">
        <w:rPr>
          <w:sz w:val="24"/>
        </w:rPr>
        <w:t>A Treatise of Human Nature, ed. by L.A. Selby-Bigge (Oxford: Clarendon Press, 1896)</w:t>
      </w:r>
    </w:p>
    <w:p w:rsidR="00061622" w:rsidRPr="00987BD6" w:rsidRDefault="00061622" w:rsidP="007A1917">
      <w:pPr>
        <w:spacing w:line="240" w:lineRule="auto"/>
        <w:ind w:left="720" w:hanging="720"/>
        <w:jc w:val="both"/>
        <w:rPr>
          <w:sz w:val="24"/>
        </w:rPr>
      </w:pPr>
      <w:r w:rsidRPr="00987BD6">
        <w:rPr>
          <w:sz w:val="24"/>
        </w:rPr>
        <w:t>Hume, David, ‘Of the original contract’, in Political Essays, ed. by K. Haakonssen (Cambridge: Cambridge University Press, 2008)</w:t>
      </w:r>
    </w:p>
    <w:p w:rsidR="001401F1" w:rsidRPr="00987BD6" w:rsidRDefault="001401F1" w:rsidP="00987BD6">
      <w:pPr>
        <w:spacing w:line="240" w:lineRule="auto"/>
        <w:jc w:val="both"/>
        <w:rPr>
          <w:sz w:val="24"/>
        </w:rPr>
      </w:pPr>
      <w:r w:rsidRPr="00987BD6">
        <w:rPr>
          <w:sz w:val="24"/>
        </w:rPr>
        <w:t xml:space="preserve">Levine, </w:t>
      </w:r>
      <w:r w:rsidR="00022A8C" w:rsidRPr="00987BD6">
        <w:rPr>
          <w:sz w:val="24"/>
        </w:rPr>
        <w:t xml:space="preserve">Andrew, </w:t>
      </w:r>
      <w:r w:rsidRPr="00987BD6">
        <w:rPr>
          <w:sz w:val="24"/>
        </w:rPr>
        <w:t xml:space="preserve">Engaging Political </w:t>
      </w:r>
      <w:r w:rsidR="00DE5AC2" w:rsidRPr="00987BD6">
        <w:rPr>
          <w:sz w:val="24"/>
        </w:rPr>
        <w:t>Philosophy from Hobbes to Rawls</w:t>
      </w:r>
      <w:r w:rsidRPr="00987BD6">
        <w:rPr>
          <w:sz w:val="24"/>
        </w:rPr>
        <w:t xml:space="preserve"> (Oxford: Blackwell, 2002)</w:t>
      </w:r>
    </w:p>
    <w:p w:rsidR="00DC46CE" w:rsidRDefault="001401F1" w:rsidP="00987BD6">
      <w:pPr>
        <w:spacing w:line="240" w:lineRule="auto"/>
        <w:jc w:val="both"/>
        <w:rPr>
          <w:sz w:val="24"/>
        </w:rPr>
        <w:sectPr w:rsidR="00DC46CE" w:rsidSect="00382136">
          <w:footerReference w:type="default" r:id="rId8"/>
          <w:pgSz w:w="12240" w:h="15840"/>
          <w:pgMar w:top="1417" w:right="1417" w:bottom="1417" w:left="1417" w:header="720" w:footer="720" w:gutter="0"/>
          <w:pgNumType w:start="1"/>
          <w:cols w:space="720"/>
          <w:docGrid w:linePitch="360"/>
        </w:sectPr>
      </w:pPr>
      <w:r w:rsidRPr="00987BD6">
        <w:rPr>
          <w:sz w:val="24"/>
        </w:rPr>
        <w:t xml:space="preserve">Nagel, </w:t>
      </w:r>
      <w:r w:rsidR="00022A8C" w:rsidRPr="00987BD6">
        <w:rPr>
          <w:sz w:val="24"/>
        </w:rPr>
        <w:t xml:space="preserve">Thomas, </w:t>
      </w:r>
      <w:r w:rsidR="0024312F" w:rsidRPr="00987BD6">
        <w:rPr>
          <w:sz w:val="24"/>
        </w:rPr>
        <w:t>‘</w:t>
      </w:r>
      <w:r w:rsidRPr="00987BD6">
        <w:rPr>
          <w:sz w:val="24"/>
        </w:rPr>
        <w:t>Hobbes on O</w:t>
      </w:r>
      <w:r w:rsidR="0024312F" w:rsidRPr="00987BD6">
        <w:rPr>
          <w:sz w:val="24"/>
        </w:rPr>
        <w:t>bligation’, T</w:t>
      </w:r>
      <w:r w:rsidRPr="00987BD6">
        <w:rPr>
          <w:sz w:val="24"/>
        </w:rPr>
        <w:t>he P</w:t>
      </w:r>
      <w:r w:rsidR="00C50BD4" w:rsidRPr="00987BD6">
        <w:rPr>
          <w:sz w:val="24"/>
        </w:rPr>
        <w:t>hilosophical Review</w:t>
      </w:r>
      <w:r w:rsidR="00CC3162">
        <w:rPr>
          <w:sz w:val="24"/>
        </w:rPr>
        <w:t xml:space="preserve"> (</w:t>
      </w:r>
      <w:r w:rsidR="00C50BD4" w:rsidRPr="00987BD6">
        <w:rPr>
          <w:sz w:val="24"/>
        </w:rPr>
        <w:t>vol. 68/I, 1959</w:t>
      </w:r>
      <w:r w:rsidR="00CC3162">
        <w:rPr>
          <w:sz w:val="24"/>
        </w:rPr>
        <w:t>)</w:t>
      </w:r>
    </w:p>
    <w:p w:rsidR="00DC46CE" w:rsidRPr="00DC46CE" w:rsidRDefault="00DC46CE" w:rsidP="00DC46CE">
      <w:pPr>
        <w:spacing w:after="0" w:line="240" w:lineRule="auto"/>
        <w:ind w:left="-180" w:right="-334"/>
        <w:rPr>
          <w:rFonts w:ascii="Georgia" w:eastAsia="SimSun" w:hAnsi="Georgia" w:cs="Times New Roman"/>
          <w:color w:val="000000"/>
          <w:sz w:val="21"/>
          <w:szCs w:val="21"/>
          <w:lang w:eastAsia="zh-CN"/>
        </w:rPr>
      </w:pPr>
      <w:r w:rsidRPr="00DC46CE">
        <w:rPr>
          <w:rFonts w:ascii="Georgia" w:eastAsia="SimSun" w:hAnsi="Georgia" w:cs="Times New Roman"/>
          <w:noProof/>
          <w:color w:val="000000"/>
          <w:sz w:val="21"/>
          <w:szCs w:val="21"/>
          <w:lang w:eastAsia="en-GB"/>
        </w:rPr>
        <w:lastRenderedPageBreak/>
        <w:drawing>
          <wp:inline distT="0" distB="0" distL="0" distR="0" wp14:anchorId="26984F8E" wp14:editId="3C30B914">
            <wp:extent cx="2385060" cy="936625"/>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85060" cy="936625"/>
                    </a:xfrm>
                    <a:prstGeom prst="rect">
                      <a:avLst/>
                    </a:prstGeom>
                    <a:noFill/>
                    <a:ln>
                      <a:noFill/>
                    </a:ln>
                  </pic:spPr>
                </pic:pic>
              </a:graphicData>
            </a:graphic>
          </wp:inline>
        </w:drawing>
      </w:r>
    </w:p>
    <w:p w:rsidR="00DC46CE" w:rsidRPr="00DC46CE" w:rsidRDefault="00DC46CE" w:rsidP="00DC46CE">
      <w:pPr>
        <w:spacing w:after="0" w:line="240" w:lineRule="auto"/>
        <w:ind w:left="-180" w:right="-334"/>
        <w:rPr>
          <w:rFonts w:ascii="Georgia" w:eastAsia="SimSun" w:hAnsi="Georgia" w:cs="Times New Roman"/>
          <w:color w:val="000000"/>
          <w:sz w:val="21"/>
          <w:szCs w:val="21"/>
          <w:lang w:eastAsia="zh-CN"/>
        </w:rPr>
      </w:pPr>
    </w:p>
    <w:p w:rsidR="00DC46CE" w:rsidRPr="00DC46CE" w:rsidRDefault="00DC46CE" w:rsidP="00DC46CE">
      <w:pPr>
        <w:spacing w:after="0" w:line="240" w:lineRule="auto"/>
        <w:ind w:left="-180" w:right="-334"/>
        <w:jc w:val="center"/>
        <w:rPr>
          <w:rFonts w:ascii="Arial" w:eastAsia="SimSun" w:hAnsi="Arial" w:cs="Arial"/>
          <w:b/>
          <w:color w:val="000000"/>
          <w:sz w:val="28"/>
          <w:szCs w:val="28"/>
          <w:lang w:val="cy-GB" w:eastAsia="zh-CN"/>
        </w:rPr>
      </w:pPr>
      <w:r w:rsidRPr="00DC46CE">
        <w:rPr>
          <w:rFonts w:ascii="Arial" w:eastAsia="SimSun" w:hAnsi="Arial" w:cs="Arial"/>
          <w:b/>
          <w:color w:val="000000"/>
          <w:sz w:val="28"/>
          <w:szCs w:val="28"/>
          <w:lang w:val="cy-GB" w:eastAsia="zh-CN"/>
        </w:rPr>
        <w:t xml:space="preserve">Postgraduate/Distance Learning </w:t>
      </w:r>
    </w:p>
    <w:p w:rsidR="00DC46CE" w:rsidRPr="00DC46CE" w:rsidRDefault="00DC46CE" w:rsidP="00DC46CE">
      <w:pPr>
        <w:spacing w:after="0" w:line="240" w:lineRule="auto"/>
        <w:ind w:left="-180" w:right="-334"/>
        <w:jc w:val="center"/>
        <w:rPr>
          <w:rFonts w:ascii="Arial" w:eastAsia="SimSun" w:hAnsi="Arial" w:cs="Arial"/>
          <w:b/>
          <w:color w:val="000000"/>
          <w:sz w:val="28"/>
          <w:szCs w:val="28"/>
          <w:lang w:eastAsia="zh-CN"/>
        </w:rPr>
      </w:pPr>
      <w:r w:rsidRPr="00DC46CE">
        <w:rPr>
          <w:rFonts w:ascii="Arial" w:eastAsia="SimSun" w:hAnsi="Arial" w:cs="Arial"/>
          <w:b/>
          <w:color w:val="000000"/>
          <w:sz w:val="28"/>
          <w:szCs w:val="28"/>
          <w:lang w:val="cy-GB" w:eastAsia="zh-CN"/>
        </w:rPr>
        <w:t>Assignment Coversheet &amp; Feedback Form</w:t>
      </w:r>
    </w:p>
    <w:p w:rsidR="00DC46CE" w:rsidRPr="00DC46CE" w:rsidRDefault="00DC46CE" w:rsidP="00DC46CE">
      <w:pPr>
        <w:spacing w:after="0" w:line="240" w:lineRule="auto"/>
        <w:rPr>
          <w:rFonts w:ascii="Arial" w:eastAsia="SimSun" w:hAnsi="Arial" w:cs="Arial"/>
          <w:sz w:val="28"/>
          <w:szCs w:val="28"/>
          <w:lang w:val="cy-GB" w:eastAsia="zh-CN"/>
        </w:rPr>
      </w:pPr>
    </w:p>
    <w:p w:rsidR="00DC46CE" w:rsidRPr="00DC46CE" w:rsidRDefault="00DC46CE" w:rsidP="00DC46CE">
      <w:pPr>
        <w:spacing w:after="0" w:line="240" w:lineRule="auto"/>
        <w:jc w:val="center"/>
        <w:rPr>
          <w:rFonts w:ascii="Arial" w:eastAsia="SimSun" w:hAnsi="Arial" w:cs="Arial"/>
          <w:sz w:val="20"/>
          <w:szCs w:val="20"/>
          <w:lang w:val="cy-GB" w:eastAsia="zh-CN"/>
        </w:rPr>
      </w:pPr>
      <w:r w:rsidRPr="00DC46CE">
        <w:rPr>
          <w:rFonts w:ascii="Arial" w:eastAsia="SimSun" w:hAnsi="Arial" w:cs="Arial"/>
          <w:sz w:val="20"/>
          <w:szCs w:val="20"/>
          <w:lang w:val="cy-GB" w:eastAsia="zh-CN"/>
        </w:rPr>
        <w:t>[Please insert this coversheet as the first page of the assignment you are submitting]</w:t>
      </w:r>
    </w:p>
    <w:p w:rsidR="00DC46CE" w:rsidRPr="00DC46CE" w:rsidRDefault="00DC46CE" w:rsidP="00DC46CE">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DC46CE" w:rsidRPr="00DC46CE" w:rsidTr="00304D0B">
        <w:trPr>
          <w:trHeight w:val="724"/>
        </w:trPr>
        <w:tc>
          <w:tcPr>
            <w:tcW w:w="8856" w:type="dxa"/>
            <w:gridSpan w:val="4"/>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b/>
                <w:color w:val="000000"/>
                <w:lang w:eastAsia="zh-CN"/>
              </w:rPr>
              <w:t>For completion by the student</w:t>
            </w:r>
            <w:r w:rsidRPr="00DC46CE">
              <w:rPr>
                <w:rFonts w:ascii="Arial" w:eastAsia="SimSun" w:hAnsi="Arial" w:cs="Arial"/>
                <w:color w:val="000000"/>
                <w:lang w:eastAsia="zh-CN"/>
              </w:rPr>
              <w:t>:</w:t>
            </w: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Student Name: David DEHOORNE</w:t>
            </w:r>
          </w:p>
        </w:tc>
      </w:tr>
      <w:tr w:rsidR="00DC46CE" w:rsidRPr="00DC46CE" w:rsidTr="00304D0B">
        <w:trPr>
          <w:trHeight w:val="693"/>
        </w:trPr>
        <w:tc>
          <w:tcPr>
            <w:tcW w:w="4788" w:type="dxa"/>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Module code: CSPH7037</w:t>
            </w:r>
          </w:p>
          <w:p w:rsidR="00DC46CE" w:rsidRPr="00DC46CE" w:rsidRDefault="00DC46CE" w:rsidP="00DC46CE">
            <w:pPr>
              <w:spacing w:after="0" w:line="240" w:lineRule="auto"/>
              <w:ind w:right="34"/>
              <w:rPr>
                <w:rFonts w:ascii="Arial" w:eastAsia="SimSun" w:hAnsi="Arial" w:cs="Arial"/>
                <w:color w:val="000000"/>
                <w:lang w:eastAsia="zh-CN"/>
              </w:rPr>
            </w:pPr>
          </w:p>
        </w:tc>
        <w:tc>
          <w:tcPr>
            <w:tcW w:w="2266" w:type="dxa"/>
            <w:gridSpan w:val="2"/>
            <w:vMerge w:val="restart"/>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Student University Number:1704133</w:t>
            </w:r>
          </w:p>
        </w:tc>
        <w:tc>
          <w:tcPr>
            <w:tcW w:w="1802" w:type="dxa"/>
            <w:vMerge w:val="restart"/>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Educational support needs:</w:t>
            </w: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strike/>
                <w:color w:val="000000"/>
                <w:lang w:eastAsia="zh-CN"/>
              </w:rPr>
              <w:t>Yes</w:t>
            </w:r>
            <w:r w:rsidRPr="00DC46CE">
              <w:rPr>
                <w:rFonts w:ascii="Arial" w:eastAsia="SimSun" w:hAnsi="Arial" w:cs="Arial"/>
                <w:color w:val="000000"/>
                <w:lang w:eastAsia="zh-CN"/>
              </w:rPr>
              <w:t>/No</w:t>
            </w:r>
          </w:p>
        </w:tc>
      </w:tr>
      <w:tr w:rsidR="00DC46CE" w:rsidRPr="00DC46CE" w:rsidTr="00304D0B">
        <w:trPr>
          <w:trHeight w:val="630"/>
        </w:trPr>
        <w:tc>
          <w:tcPr>
            <w:tcW w:w="4788" w:type="dxa"/>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Module title:</w:t>
            </w:r>
            <w:r w:rsidRPr="00DC46CE">
              <w:t xml:space="preserve"> </w:t>
            </w:r>
            <w:r w:rsidRPr="00DC46CE">
              <w:rPr>
                <w:rFonts w:ascii="Arial" w:eastAsia="SimSun" w:hAnsi="Arial" w:cs="Arial"/>
                <w:color w:val="000000"/>
                <w:lang w:eastAsia="zh-CN"/>
              </w:rPr>
              <w:t>Social and Political Philosophy</w:t>
            </w:r>
          </w:p>
          <w:p w:rsidR="00DC46CE" w:rsidRPr="00DC46CE" w:rsidRDefault="00DC46CE" w:rsidP="00DC46CE">
            <w:pPr>
              <w:spacing w:after="0" w:line="240" w:lineRule="auto"/>
              <w:ind w:right="34"/>
              <w:rPr>
                <w:rFonts w:ascii="Arial" w:eastAsia="SimSun" w:hAnsi="Arial" w:cs="Arial"/>
                <w:color w:val="000000"/>
                <w:lang w:eastAsia="zh-CN"/>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rsidR="00DC46CE" w:rsidRPr="00DC46CE" w:rsidRDefault="00DC46CE" w:rsidP="00DC46CE">
            <w:pPr>
              <w:spacing w:after="0" w:line="240" w:lineRule="auto"/>
              <w:rPr>
                <w:rFonts w:ascii="Arial" w:eastAsia="SimSun" w:hAnsi="Arial" w:cs="Arial"/>
                <w:color w:val="000000"/>
                <w:lang w:eastAsia="zh-C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DC46CE" w:rsidRPr="00DC46CE" w:rsidRDefault="00DC46CE" w:rsidP="00DC46CE">
            <w:pPr>
              <w:spacing w:after="0" w:line="240" w:lineRule="auto"/>
              <w:rPr>
                <w:rFonts w:ascii="Arial" w:eastAsia="SimSun" w:hAnsi="Arial" w:cs="Arial"/>
                <w:color w:val="000000"/>
                <w:lang w:eastAsia="zh-CN"/>
              </w:rPr>
            </w:pPr>
          </w:p>
        </w:tc>
      </w:tr>
      <w:tr w:rsidR="00DC46CE" w:rsidRPr="00DC46CE" w:rsidTr="00304D0B">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Module tutor:</w:t>
            </w:r>
            <w:r w:rsidRPr="00DC46CE">
              <w:t xml:space="preserve"> </w:t>
            </w:r>
            <w:r w:rsidRPr="00DC46CE">
              <w:rPr>
                <w:rFonts w:ascii="Arial" w:eastAsia="SimSun" w:hAnsi="Arial" w:cs="Arial"/>
                <w:color w:val="000000"/>
                <w:lang w:eastAsia="zh-CN"/>
              </w:rPr>
              <w:t>Dr Rebekah Humphreys</w:t>
            </w:r>
          </w:p>
        </w:tc>
      </w:tr>
      <w:tr w:rsidR="00DC46CE" w:rsidRPr="00DC46CE" w:rsidTr="00304D0B">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Assignment title:</w:t>
            </w:r>
            <w:r w:rsidRPr="00DC46CE">
              <w:t xml:space="preserve"> </w:t>
            </w:r>
            <w:r w:rsidRPr="00DC46CE">
              <w:rPr>
                <w:rFonts w:ascii="Arial" w:eastAsia="SimSun" w:hAnsi="Arial" w:cs="Arial"/>
                <w:color w:val="000000"/>
                <w:lang w:eastAsia="zh-CN"/>
              </w:rPr>
              <w:t>What does Rawls mean by the ‘Original Position’?</w:t>
            </w: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Is his account of the knowledge and ignorance features of the Original Position justified?</w:t>
            </w:r>
          </w:p>
        </w:tc>
      </w:tr>
      <w:tr w:rsidR="00DC46CE" w:rsidRPr="00DC46CE" w:rsidTr="00304D0B">
        <w:trPr>
          <w:trHeight w:val="630"/>
        </w:trPr>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Assignment due date: 30th September 2018 (resit)</w:t>
            </w:r>
          </w:p>
        </w:tc>
      </w:tr>
      <w:tr w:rsidR="00DC46CE" w:rsidRPr="00DC46CE" w:rsidTr="00304D0B">
        <w:trPr>
          <w:trHeight w:val="978"/>
        </w:trPr>
        <w:tc>
          <w:tcPr>
            <w:tcW w:w="8856" w:type="dxa"/>
            <w:gridSpan w:val="4"/>
            <w:tcBorders>
              <w:top w:val="single" w:sz="4" w:space="0" w:color="000000"/>
              <w:left w:val="single" w:sz="4" w:space="0" w:color="000000"/>
              <w:bottom w:val="single" w:sz="4" w:space="0" w:color="000000"/>
              <w:right w:val="single" w:sz="4" w:space="0" w:color="000000"/>
            </w:tcBorders>
            <w:shd w:val="clear" w:color="auto" w:fill="D9D9D9"/>
          </w:tcPr>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I confirm that this is my original work and that I have adhered to the University policy on plagiarism.</w:t>
            </w:r>
          </w:p>
          <w:p w:rsidR="00DC46CE" w:rsidRPr="00DC46CE" w:rsidRDefault="00DC46CE" w:rsidP="00DC46CE">
            <w:pPr>
              <w:spacing w:after="0" w:line="240" w:lineRule="auto"/>
              <w:ind w:right="34"/>
              <w:rPr>
                <w:rFonts w:ascii="Arial" w:eastAsia="SimSun" w:hAnsi="Arial" w:cs="Arial"/>
                <w:color w:val="000000"/>
                <w:lang w:eastAsia="zh-CN"/>
              </w:rPr>
            </w:pPr>
          </w:p>
          <w:p w:rsidR="00DC46CE" w:rsidRPr="00DC46CE" w:rsidRDefault="00DC46CE" w:rsidP="00DC46CE">
            <w:pPr>
              <w:spacing w:after="0" w:line="240" w:lineRule="auto"/>
              <w:ind w:right="34"/>
              <w:rPr>
                <w:rFonts w:ascii="Arial" w:eastAsia="SimSun" w:hAnsi="Arial" w:cs="Arial"/>
                <w:color w:val="000000"/>
                <w:lang w:eastAsia="zh-CN"/>
              </w:rPr>
            </w:pPr>
            <w:r w:rsidRPr="00DC46CE">
              <w:rPr>
                <w:rFonts w:ascii="Arial" w:eastAsia="SimSun" w:hAnsi="Arial" w:cs="Arial"/>
                <w:color w:val="000000"/>
                <w:lang w:eastAsia="zh-CN"/>
              </w:rPr>
              <w:t>Name …………… David DEHOORNE ………………………………………………</w:t>
            </w:r>
          </w:p>
          <w:p w:rsidR="00DC46CE" w:rsidRPr="00DC46CE" w:rsidRDefault="00DC46CE" w:rsidP="00DC46CE">
            <w:pPr>
              <w:spacing w:after="0" w:line="240" w:lineRule="auto"/>
              <w:ind w:right="34"/>
              <w:rPr>
                <w:rFonts w:ascii="Arial" w:eastAsia="SimSun" w:hAnsi="Arial" w:cs="Arial"/>
                <w:color w:val="000000"/>
                <w:lang w:eastAsia="zh-CN"/>
              </w:rPr>
            </w:pPr>
          </w:p>
        </w:tc>
      </w:tr>
      <w:tr w:rsidR="00DC46CE" w:rsidRPr="00DC46CE" w:rsidTr="00304D0B">
        <w:trPr>
          <w:trHeight w:val="3972"/>
        </w:trPr>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rPr>
                <w:rFonts w:ascii="Arial" w:eastAsia="SimSun" w:hAnsi="Arial" w:cs="Arial"/>
                <w:b/>
                <w:sz w:val="24"/>
                <w:szCs w:val="24"/>
                <w:lang w:eastAsia="zh-CN"/>
              </w:rPr>
            </w:pPr>
          </w:p>
          <w:p w:rsidR="00DC46CE" w:rsidRPr="00DC46CE" w:rsidRDefault="00DC46CE" w:rsidP="00DC46CE">
            <w:pPr>
              <w:spacing w:after="0" w:line="240" w:lineRule="auto"/>
              <w:rPr>
                <w:rFonts w:ascii="Arial" w:eastAsia="SimSun" w:hAnsi="Arial" w:cs="Arial"/>
                <w:sz w:val="24"/>
                <w:szCs w:val="24"/>
                <w:lang w:eastAsia="zh-CN"/>
              </w:rPr>
            </w:pPr>
            <w:r w:rsidRPr="00DC46CE">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C46CE" w:rsidRPr="00DC46CE" w:rsidTr="00304D0B">
              <w:tc>
                <w:tcPr>
                  <w:tcW w:w="697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lang w:eastAsia="zh-CN"/>
                    </w:rPr>
                  </w:pPr>
                </w:p>
                <w:p w:rsidR="00DC46CE" w:rsidRPr="00DC46CE" w:rsidRDefault="00DC46CE" w:rsidP="00DC46CE">
                  <w:pPr>
                    <w:spacing w:after="0" w:line="240" w:lineRule="auto"/>
                    <w:rPr>
                      <w:rFonts w:ascii="Arial" w:eastAsia="SimSun" w:hAnsi="Arial" w:cs="Arial"/>
                      <w:lang w:eastAsia="zh-CN"/>
                    </w:rPr>
                  </w:pPr>
                  <w:r w:rsidRPr="00DC46CE">
                    <w:rPr>
                      <w:rFonts w:ascii="Arial" w:eastAsia="SimSun" w:hAnsi="Arial" w:cs="Arial"/>
                      <w:lang w:eastAsia="zh-CN"/>
                    </w:rPr>
                    <w:t>1</w:t>
                  </w:r>
                  <w:r w:rsidRPr="00DC46CE">
                    <w:rPr>
                      <w:rFonts w:ascii="Arial" w:eastAsia="SimSun" w:hAnsi="Arial" w:cs="Arial"/>
                      <w:vertAlign w:val="superscript"/>
                      <w:lang w:eastAsia="zh-CN"/>
                    </w:rPr>
                    <w:t>st</w:t>
                  </w:r>
                  <w:r w:rsidRPr="00DC46CE">
                    <w:rPr>
                      <w:rFonts w:ascii="Arial" w:eastAsia="SimSun" w:hAnsi="Arial" w:cs="Arial"/>
                      <w:lang w:eastAsia="zh-CN"/>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sz w:val="20"/>
                      <w:szCs w:val="20"/>
                      <w:lang w:eastAsia="zh-CN"/>
                    </w:rPr>
                  </w:pPr>
                </w:p>
              </w:tc>
            </w:tr>
            <w:tr w:rsidR="00DC46CE" w:rsidRPr="00DC46CE" w:rsidTr="00304D0B">
              <w:tc>
                <w:tcPr>
                  <w:tcW w:w="697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lang w:eastAsia="zh-CN"/>
                    </w:rPr>
                  </w:pPr>
                </w:p>
                <w:p w:rsidR="00DC46CE" w:rsidRPr="00DC46CE" w:rsidRDefault="00DC46CE" w:rsidP="00DC46CE">
                  <w:pPr>
                    <w:spacing w:after="0" w:line="240" w:lineRule="auto"/>
                    <w:rPr>
                      <w:rFonts w:ascii="Arial" w:eastAsia="SimSun" w:hAnsi="Arial" w:cs="Arial"/>
                      <w:lang w:eastAsia="zh-CN"/>
                    </w:rPr>
                  </w:pPr>
                  <w:r w:rsidRPr="00DC46CE">
                    <w:rPr>
                      <w:rFonts w:ascii="Arial" w:eastAsia="SimSun" w:hAnsi="Arial" w:cs="Arial"/>
                      <w:lang w:eastAsia="zh-CN"/>
                    </w:rPr>
                    <w:t>2</w:t>
                  </w:r>
                  <w:r w:rsidRPr="00DC46CE">
                    <w:rPr>
                      <w:rFonts w:ascii="Arial" w:eastAsia="SimSun" w:hAnsi="Arial" w:cs="Arial"/>
                      <w:vertAlign w:val="superscript"/>
                      <w:lang w:eastAsia="zh-CN"/>
                    </w:rPr>
                    <w:t>nd</w:t>
                  </w:r>
                  <w:r w:rsidRPr="00DC46CE">
                    <w:rPr>
                      <w:rFonts w:ascii="Arial" w:eastAsia="SimSun" w:hAnsi="Arial" w:cs="Arial"/>
                      <w:lang w:eastAsia="zh-CN"/>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sz w:val="20"/>
                      <w:szCs w:val="20"/>
                      <w:lang w:eastAsia="zh-CN"/>
                    </w:rPr>
                  </w:pPr>
                </w:p>
              </w:tc>
            </w:tr>
            <w:tr w:rsidR="00DC46CE" w:rsidRPr="00DC46CE" w:rsidTr="00304D0B">
              <w:tc>
                <w:tcPr>
                  <w:tcW w:w="697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lang w:eastAsia="zh-CN"/>
                    </w:rPr>
                  </w:pPr>
                </w:p>
                <w:p w:rsidR="00DC46CE" w:rsidRPr="00DC46CE" w:rsidRDefault="00DC46CE" w:rsidP="00DC46CE">
                  <w:pPr>
                    <w:spacing w:after="0" w:line="240" w:lineRule="auto"/>
                    <w:rPr>
                      <w:rFonts w:ascii="Arial" w:eastAsia="SimSun" w:hAnsi="Arial" w:cs="Arial"/>
                      <w:lang w:eastAsia="zh-CN"/>
                    </w:rPr>
                  </w:pPr>
                  <w:r w:rsidRPr="00DC46CE">
                    <w:rPr>
                      <w:rFonts w:ascii="Arial" w:eastAsia="SimSun" w:hAnsi="Arial" w:cs="Arial"/>
                      <w:lang w:eastAsia="zh-CN"/>
                    </w:rPr>
                    <w:t>External Examiner mark (if relevant)</w:t>
                  </w:r>
                </w:p>
              </w:tc>
              <w:tc>
                <w:tcPr>
                  <w:tcW w:w="166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sz w:val="20"/>
                      <w:szCs w:val="20"/>
                      <w:lang w:eastAsia="zh-CN"/>
                    </w:rPr>
                  </w:pPr>
                </w:p>
              </w:tc>
            </w:tr>
            <w:tr w:rsidR="00DC46CE" w:rsidRPr="00DC46CE" w:rsidTr="00304D0B">
              <w:tc>
                <w:tcPr>
                  <w:tcW w:w="697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lang w:eastAsia="zh-CN"/>
                    </w:rPr>
                  </w:pPr>
                </w:p>
                <w:p w:rsidR="00DC46CE" w:rsidRPr="00DC46CE" w:rsidRDefault="00DC46CE" w:rsidP="00DC46CE">
                  <w:pPr>
                    <w:spacing w:after="0" w:line="240" w:lineRule="auto"/>
                    <w:rPr>
                      <w:rFonts w:ascii="Arial" w:eastAsia="SimSun" w:hAnsi="Arial" w:cs="Arial"/>
                      <w:b/>
                      <w:lang w:eastAsia="zh-CN"/>
                    </w:rPr>
                  </w:pPr>
                  <w:r w:rsidRPr="00DC46CE">
                    <w:rPr>
                      <w:rFonts w:ascii="Arial" w:eastAsia="SimSun" w:hAnsi="Arial" w:cs="Arial"/>
                      <w:b/>
                      <w:lang w:eastAsia="zh-CN"/>
                    </w:rPr>
                    <w:t>Final Mark</w:t>
                  </w:r>
                </w:p>
                <w:p w:rsidR="00DC46CE" w:rsidRPr="00DC46CE" w:rsidRDefault="00DC46CE" w:rsidP="00DC46CE">
                  <w:pPr>
                    <w:spacing w:after="0" w:line="240" w:lineRule="auto"/>
                    <w:rPr>
                      <w:rFonts w:ascii="Arial" w:eastAsia="SimSun" w:hAnsi="Arial" w:cs="Arial"/>
                      <w:lang w:eastAsia="zh-CN"/>
                    </w:rPr>
                  </w:pPr>
                </w:p>
              </w:tc>
              <w:tc>
                <w:tcPr>
                  <w:tcW w:w="1660" w:type="dxa"/>
                  <w:tcBorders>
                    <w:top w:val="single" w:sz="4" w:space="0" w:color="auto"/>
                    <w:left w:val="single" w:sz="4" w:space="0" w:color="auto"/>
                    <w:bottom w:val="single" w:sz="4" w:space="0" w:color="auto"/>
                    <w:right w:val="single" w:sz="4" w:space="0" w:color="auto"/>
                  </w:tcBorders>
                </w:tcPr>
                <w:p w:rsidR="00DC46CE" w:rsidRPr="00DC46CE" w:rsidRDefault="00DC46CE" w:rsidP="00DC46CE">
                  <w:pPr>
                    <w:spacing w:after="0" w:line="240" w:lineRule="auto"/>
                    <w:rPr>
                      <w:rFonts w:ascii="Arial" w:eastAsia="SimSun" w:hAnsi="Arial" w:cs="Arial"/>
                      <w:b/>
                      <w:sz w:val="20"/>
                      <w:szCs w:val="20"/>
                      <w:lang w:eastAsia="zh-CN"/>
                    </w:rPr>
                  </w:pPr>
                </w:p>
              </w:tc>
            </w:tr>
          </w:tbl>
          <w:p w:rsidR="00DC46CE" w:rsidRPr="00DC46CE" w:rsidRDefault="00DC46CE" w:rsidP="00DC46CE">
            <w:pPr>
              <w:spacing w:after="0" w:line="240" w:lineRule="auto"/>
              <w:ind w:left="142" w:right="34"/>
              <w:rPr>
                <w:rFonts w:ascii="Arial" w:eastAsia="SimSun" w:hAnsi="Arial" w:cs="Arial"/>
                <w:b/>
                <w:color w:val="000000"/>
                <w:lang w:eastAsia="zh-CN"/>
              </w:rPr>
            </w:pPr>
          </w:p>
          <w:p w:rsidR="00DC46CE" w:rsidRPr="00DC46CE" w:rsidRDefault="00DC46CE" w:rsidP="00DC46CE">
            <w:pPr>
              <w:spacing w:after="0" w:line="240" w:lineRule="auto"/>
              <w:ind w:left="142" w:right="34"/>
              <w:jc w:val="center"/>
              <w:rPr>
                <w:rFonts w:ascii="Arial" w:eastAsia="SimSun" w:hAnsi="Arial" w:cs="Arial"/>
                <w:b/>
                <w:color w:val="000000"/>
                <w:lang w:eastAsia="zh-CN"/>
              </w:rPr>
            </w:pPr>
            <w:r w:rsidRPr="00DC46CE">
              <w:rPr>
                <w:rFonts w:ascii="Arial" w:eastAsia="SimSun" w:hAnsi="Arial" w:cs="Arial"/>
                <w:b/>
                <w:color w:val="000000"/>
                <w:lang w:eastAsia="zh-CN"/>
              </w:rPr>
              <w:t>NB.  All marks are provisional until confirmed by the Final Examination Board</w:t>
            </w: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p>
          <w:p w:rsidR="00DC46CE" w:rsidRPr="00DC46CE" w:rsidRDefault="00DC46CE" w:rsidP="00DC46CE">
            <w:pPr>
              <w:spacing w:after="0" w:line="240" w:lineRule="auto"/>
              <w:rPr>
                <w:rFonts w:ascii="Arial" w:eastAsia="SimSun" w:hAnsi="Arial" w:cs="Arial"/>
                <w:b/>
                <w:color w:val="000000"/>
                <w:lang w:eastAsia="zh-CN"/>
              </w:rPr>
            </w:pPr>
            <w:r w:rsidRPr="00DC46CE">
              <w:rPr>
                <w:rFonts w:ascii="Arial" w:eastAsia="SimSun" w:hAnsi="Arial" w:cs="Arial"/>
                <w:b/>
                <w:color w:val="000000"/>
                <w:lang w:eastAsia="zh-CN"/>
              </w:rPr>
              <w:t>For completion by Marker 1:</w:t>
            </w:r>
          </w:p>
          <w:p w:rsidR="00DC46CE" w:rsidRPr="00DC46CE" w:rsidRDefault="00DC46CE" w:rsidP="00DC46CE">
            <w:pPr>
              <w:spacing w:before="100" w:beforeAutospacing="1" w:after="100" w:afterAutospacing="1" w:line="240" w:lineRule="auto"/>
              <w:rPr>
                <w:rFonts w:ascii="Arial" w:eastAsia="SimSun" w:hAnsi="Arial" w:cs="Arial"/>
                <w:color w:val="000000"/>
                <w:lang w:eastAsia="zh-CN"/>
              </w:rPr>
            </w:pPr>
            <w:r w:rsidRPr="00DC46CE">
              <w:rPr>
                <w:rFonts w:ascii="Arial" w:eastAsia="SimSun" w:hAnsi="Arial" w:cs="Arial"/>
                <w:color w:val="000000"/>
                <w:lang w:eastAsia="zh-CN"/>
              </w:rPr>
              <w:t>Comments:</w:t>
            </w:r>
          </w:p>
        </w:tc>
      </w:tr>
      <w:tr w:rsidR="00DC46CE" w:rsidRPr="00DC46CE" w:rsidTr="00304D0B">
        <w:trPr>
          <w:trHeight w:val="408"/>
        </w:trPr>
        <w:tc>
          <w:tcPr>
            <w:tcW w:w="676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before="100" w:beforeAutospacing="1" w:after="100" w:afterAutospacing="1" w:line="240" w:lineRule="auto"/>
              <w:ind w:right="34"/>
              <w:rPr>
                <w:rFonts w:ascii="Arial" w:eastAsia="SimSun" w:hAnsi="Arial" w:cs="Arial"/>
                <w:color w:val="000000"/>
                <w:lang w:eastAsia="zh-CN"/>
              </w:rPr>
            </w:pPr>
            <w:r w:rsidRPr="00DC46CE">
              <w:rPr>
                <w:rFonts w:ascii="Arial" w:eastAsia="SimSun" w:hAnsi="Arial" w:cs="Arial"/>
                <w:color w:val="000000"/>
                <w:lang w:eastAsia="zh-CN"/>
              </w:rPr>
              <w:lastRenderedPageBreak/>
              <w:t>Marker 1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before="100" w:after="0" w:line="240" w:lineRule="auto"/>
              <w:ind w:left="142" w:right="34"/>
              <w:rPr>
                <w:rFonts w:ascii="Arial" w:eastAsia="SimSun" w:hAnsi="Arial" w:cs="Arial"/>
                <w:color w:val="000000"/>
                <w:lang w:eastAsia="zh-CN"/>
              </w:rPr>
            </w:pPr>
            <w:r w:rsidRPr="00DC46CE">
              <w:rPr>
                <w:rFonts w:ascii="Arial" w:eastAsia="SimSun" w:hAnsi="Arial" w:cs="Arial"/>
                <w:color w:val="000000"/>
                <w:lang w:eastAsia="zh-CN"/>
              </w:rPr>
              <w:t>Date:</w:t>
            </w:r>
          </w:p>
        </w:tc>
      </w:tr>
      <w:tr w:rsidR="00DC46CE" w:rsidRPr="00DC46CE" w:rsidTr="00304D0B">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ind w:right="-334"/>
              <w:rPr>
                <w:rFonts w:ascii="Arial" w:eastAsia="SimSun" w:hAnsi="Arial" w:cs="Arial"/>
                <w:bCs/>
                <w:i/>
                <w:color w:val="000000"/>
                <w:lang w:eastAsia="zh-CN"/>
              </w:rPr>
            </w:pPr>
          </w:p>
          <w:p w:rsidR="00DC46CE" w:rsidRPr="00DC46CE" w:rsidRDefault="00DC46CE" w:rsidP="00DC46CE">
            <w:pPr>
              <w:spacing w:after="0" w:line="240" w:lineRule="auto"/>
              <w:ind w:right="-334"/>
              <w:rPr>
                <w:rFonts w:ascii="Arial" w:eastAsia="SimSun" w:hAnsi="Arial" w:cs="Arial"/>
                <w:b/>
                <w:bCs/>
                <w:color w:val="000000"/>
                <w:lang w:eastAsia="zh-CN"/>
              </w:rPr>
            </w:pPr>
            <w:r w:rsidRPr="00DC46CE">
              <w:rPr>
                <w:rFonts w:ascii="Arial" w:eastAsia="SimSun" w:hAnsi="Arial" w:cs="Arial"/>
                <w:b/>
                <w:bCs/>
                <w:color w:val="000000"/>
                <w:lang w:eastAsia="zh-CN"/>
              </w:rPr>
              <w:t>For completion by Marker 2 / Moderator:</w:t>
            </w:r>
          </w:p>
          <w:p w:rsidR="00DC46CE" w:rsidRPr="00DC46CE" w:rsidRDefault="00DC46CE" w:rsidP="00DC46CE">
            <w:pPr>
              <w:spacing w:after="0" w:line="240" w:lineRule="auto"/>
              <w:ind w:right="-334"/>
              <w:rPr>
                <w:rFonts w:ascii="Arial" w:eastAsia="SimSun" w:hAnsi="Arial" w:cs="Arial"/>
                <w:b/>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r w:rsidRPr="00DC46CE">
              <w:rPr>
                <w:rFonts w:ascii="Arial" w:eastAsia="SimSun" w:hAnsi="Arial" w:cs="Arial"/>
                <w:bCs/>
                <w:color w:val="000000"/>
                <w:lang w:eastAsia="zh-CN"/>
              </w:rPr>
              <w:t>Comments:</w:t>
            </w: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tc>
      </w:tr>
      <w:tr w:rsidR="00DC46CE" w:rsidRPr="00DC46CE" w:rsidTr="00304D0B">
        <w:trPr>
          <w:trHeight w:val="398"/>
        </w:trPr>
        <w:tc>
          <w:tcPr>
            <w:tcW w:w="676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ind w:right="-334"/>
              <w:rPr>
                <w:rFonts w:ascii="Arial" w:eastAsia="SimSun" w:hAnsi="Arial" w:cs="Arial"/>
                <w:bCs/>
                <w:color w:val="000000"/>
                <w:lang w:eastAsia="zh-CN"/>
              </w:rPr>
            </w:pPr>
            <w:r w:rsidRPr="00DC46CE">
              <w:rPr>
                <w:rFonts w:ascii="Arial" w:eastAsia="SimSun" w:hAnsi="Arial" w:cs="Arial"/>
                <w:bCs/>
                <w:color w:val="000000"/>
                <w:lang w:eastAsia="zh-CN"/>
              </w:rPr>
              <w:t>Marker 2 / Moderator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ind w:right="-334"/>
              <w:rPr>
                <w:rFonts w:ascii="Arial" w:eastAsia="SimSun" w:hAnsi="Arial" w:cs="Arial"/>
                <w:bCs/>
                <w:color w:val="000000"/>
                <w:lang w:eastAsia="zh-CN"/>
              </w:rPr>
            </w:pPr>
            <w:r w:rsidRPr="00DC46CE">
              <w:rPr>
                <w:rFonts w:ascii="Arial" w:eastAsia="SimSun" w:hAnsi="Arial" w:cs="Arial"/>
                <w:bCs/>
                <w:color w:val="000000"/>
                <w:lang w:eastAsia="zh-CN"/>
              </w:rPr>
              <w:t>Date:</w:t>
            </w:r>
          </w:p>
        </w:tc>
      </w:tr>
      <w:tr w:rsidR="00DC46CE" w:rsidRPr="00DC46CE" w:rsidTr="00304D0B">
        <w:trPr>
          <w:trHeight w:val="720"/>
        </w:trPr>
        <w:tc>
          <w:tcPr>
            <w:tcW w:w="8856" w:type="dxa"/>
            <w:gridSpan w:val="4"/>
            <w:tcBorders>
              <w:top w:val="single" w:sz="4" w:space="0" w:color="000000"/>
              <w:left w:val="single" w:sz="4" w:space="0" w:color="000000"/>
              <w:bottom w:val="single" w:sz="4" w:space="0" w:color="000000"/>
              <w:right w:val="single" w:sz="4" w:space="0" w:color="000000"/>
            </w:tcBorders>
          </w:tcPr>
          <w:p w:rsidR="00DC46CE" w:rsidRPr="00DC46CE" w:rsidRDefault="00DC46CE" w:rsidP="00DC46CE">
            <w:pPr>
              <w:spacing w:after="0" w:line="240" w:lineRule="auto"/>
              <w:rPr>
                <w:rFonts w:ascii="Arial" w:eastAsia="SimSun" w:hAnsi="Arial" w:cs="Arial"/>
                <w:b/>
                <w:lang w:eastAsia="zh-CN"/>
              </w:rPr>
            </w:pPr>
          </w:p>
          <w:p w:rsidR="00DC46CE" w:rsidRPr="00DC46CE" w:rsidRDefault="00DC46CE" w:rsidP="00DC46CE">
            <w:pPr>
              <w:spacing w:after="0" w:line="240" w:lineRule="auto"/>
              <w:rPr>
                <w:rFonts w:ascii="Arial" w:eastAsia="SimSun" w:hAnsi="Arial" w:cs="Arial"/>
                <w:b/>
                <w:lang w:eastAsia="zh-CN"/>
              </w:rPr>
            </w:pPr>
            <w:r w:rsidRPr="00DC46CE">
              <w:rPr>
                <w:rFonts w:ascii="Arial" w:eastAsia="SimSun" w:hAnsi="Arial" w:cs="Arial"/>
                <w:b/>
                <w:lang w:eastAsia="zh-CN"/>
              </w:rPr>
              <w:t>External Examiner’s comments (if relevant):</w:t>
            </w: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p w:rsidR="00DC46CE" w:rsidRPr="00DC46CE" w:rsidRDefault="00DC46CE" w:rsidP="00DC46CE">
            <w:pPr>
              <w:spacing w:after="0" w:line="240" w:lineRule="auto"/>
              <w:ind w:right="-334"/>
              <w:rPr>
                <w:rFonts w:ascii="Arial" w:eastAsia="SimSun" w:hAnsi="Arial" w:cs="Arial"/>
                <w:bCs/>
                <w:color w:val="000000"/>
                <w:lang w:eastAsia="zh-CN"/>
              </w:rPr>
            </w:pPr>
          </w:p>
        </w:tc>
      </w:tr>
      <w:tr w:rsidR="00DC46CE" w:rsidRPr="00DC46CE" w:rsidTr="00304D0B">
        <w:trPr>
          <w:trHeight w:val="479"/>
        </w:trPr>
        <w:tc>
          <w:tcPr>
            <w:tcW w:w="676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rPr>
                <w:rFonts w:ascii="Arial" w:eastAsia="SimSun" w:hAnsi="Arial" w:cs="Arial"/>
                <w:lang w:eastAsia="zh-CN"/>
              </w:rPr>
            </w:pPr>
            <w:r w:rsidRPr="00DC46CE">
              <w:rPr>
                <w:rFonts w:ascii="Arial" w:eastAsia="SimSun" w:hAnsi="Arial" w:cs="Arial"/>
                <w:lang w:eastAsia="zh-CN"/>
              </w:rPr>
              <w:t>External Examiner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rsidR="00DC46CE" w:rsidRPr="00DC46CE" w:rsidRDefault="00DC46CE" w:rsidP="00DC46CE">
            <w:pPr>
              <w:spacing w:after="0" w:line="240" w:lineRule="auto"/>
              <w:rPr>
                <w:rFonts w:ascii="Arial" w:eastAsia="SimSun" w:hAnsi="Arial" w:cs="Arial"/>
                <w:lang w:eastAsia="zh-CN"/>
              </w:rPr>
            </w:pPr>
            <w:r w:rsidRPr="00DC46CE">
              <w:rPr>
                <w:rFonts w:ascii="Arial" w:eastAsia="SimSun" w:hAnsi="Arial" w:cs="Arial"/>
                <w:lang w:eastAsia="zh-CN"/>
              </w:rPr>
              <w:t>Date:</w:t>
            </w:r>
          </w:p>
        </w:tc>
      </w:tr>
    </w:tbl>
    <w:p w:rsidR="00DC46CE" w:rsidRPr="00DC46CE" w:rsidRDefault="00DC46CE" w:rsidP="00DC46CE">
      <w:pPr>
        <w:spacing w:after="0" w:line="240" w:lineRule="auto"/>
        <w:jc w:val="center"/>
        <w:rPr>
          <w:b/>
          <w:sz w:val="28"/>
        </w:rPr>
        <w:sectPr w:rsidR="00DC46CE" w:rsidRPr="00DC46CE" w:rsidSect="00D95127">
          <w:footerReference w:type="default" r:id="rId9"/>
          <w:pgSz w:w="12240" w:h="15840"/>
          <w:pgMar w:top="1417" w:right="1417" w:bottom="1417" w:left="1417" w:header="720" w:footer="720" w:gutter="0"/>
          <w:pgNumType w:start="1"/>
          <w:cols w:space="720"/>
          <w:docGrid w:linePitch="360"/>
        </w:sectPr>
      </w:pPr>
    </w:p>
    <w:p w:rsidR="00DC46CE" w:rsidRPr="00DC46CE" w:rsidRDefault="00DC46CE" w:rsidP="00DC46CE">
      <w:pPr>
        <w:spacing w:after="0" w:line="240" w:lineRule="auto"/>
        <w:jc w:val="center"/>
        <w:rPr>
          <w:b/>
          <w:sz w:val="28"/>
        </w:rPr>
      </w:pPr>
      <w:r w:rsidRPr="00DC46CE">
        <w:rPr>
          <w:b/>
          <w:sz w:val="28"/>
        </w:rPr>
        <w:lastRenderedPageBreak/>
        <w:t>What does Rawls mean by the ‘Original Position’?</w:t>
      </w:r>
    </w:p>
    <w:p w:rsidR="00DC46CE" w:rsidRPr="00DC46CE" w:rsidRDefault="00DC46CE" w:rsidP="00DC46CE">
      <w:pPr>
        <w:spacing w:after="0" w:line="240" w:lineRule="auto"/>
        <w:jc w:val="center"/>
        <w:rPr>
          <w:b/>
          <w:sz w:val="28"/>
        </w:rPr>
      </w:pPr>
      <w:r w:rsidRPr="00DC46CE">
        <w:rPr>
          <w:b/>
          <w:sz w:val="28"/>
        </w:rPr>
        <w:t>Is his account of the knowledge and ignorance features of the Original Position justified?</w:t>
      </w:r>
    </w:p>
    <w:p w:rsidR="00DC46CE" w:rsidRPr="00DC46CE" w:rsidRDefault="00DC46CE" w:rsidP="00DC46CE">
      <w:pPr>
        <w:spacing w:after="0" w:line="240" w:lineRule="auto"/>
      </w:pPr>
    </w:p>
    <w:p w:rsidR="00DC46CE" w:rsidRPr="00DC46CE" w:rsidRDefault="00DC46CE" w:rsidP="00DC46CE">
      <w:pPr>
        <w:spacing w:after="0" w:line="240" w:lineRule="auto"/>
      </w:pPr>
    </w:p>
    <w:p w:rsidR="00DC46CE" w:rsidRPr="00DC46CE" w:rsidRDefault="00DC46CE" w:rsidP="00DC46CE">
      <w:pPr>
        <w:spacing w:after="0" w:line="240" w:lineRule="auto"/>
      </w:pPr>
    </w:p>
    <w:p w:rsidR="00DC46CE" w:rsidRPr="00DC46CE" w:rsidRDefault="00DC46CE" w:rsidP="00DC46CE">
      <w:pPr>
        <w:spacing w:after="0" w:line="240" w:lineRule="auto"/>
      </w:pPr>
    </w:p>
    <w:p w:rsidR="00DC46CE" w:rsidRPr="00DC46CE" w:rsidRDefault="00DC46CE" w:rsidP="00DC46CE">
      <w:pPr>
        <w:spacing w:after="0" w:line="240" w:lineRule="auto"/>
        <w:ind w:left="4320"/>
        <w:jc w:val="both"/>
        <w:rPr>
          <w:sz w:val="24"/>
          <w:szCs w:val="24"/>
        </w:rPr>
      </w:pPr>
      <w:r w:rsidRPr="00DC46CE">
        <w:rPr>
          <w:sz w:val="24"/>
          <w:szCs w:val="24"/>
        </w:rPr>
        <w:t>Insofar as men live under the guidance of reason, to that extent only do they always necessarily agree in nature.</w:t>
      </w:r>
      <w:r w:rsidRPr="00DC46CE">
        <w:rPr>
          <w:sz w:val="24"/>
          <w:szCs w:val="24"/>
          <w:vertAlign w:val="superscript"/>
        </w:rPr>
        <w:footnoteReference w:id="19"/>
      </w:r>
    </w:p>
    <w:p w:rsidR="00DC46CE" w:rsidRPr="00DC46CE" w:rsidRDefault="00DC46CE" w:rsidP="00DC46CE">
      <w:pPr>
        <w:spacing w:after="0" w:line="360" w:lineRule="auto"/>
        <w:jc w:val="both"/>
        <w:rPr>
          <w:sz w:val="24"/>
          <w:szCs w:val="24"/>
        </w:rPr>
      </w:pPr>
      <w:r w:rsidRPr="00DC46CE">
        <w:rPr>
          <w:sz w:val="24"/>
          <w:szCs w:val="24"/>
        </w:rPr>
        <w:tab/>
      </w:r>
      <w:r w:rsidRPr="00DC46CE">
        <w:rPr>
          <w:sz w:val="24"/>
          <w:szCs w:val="24"/>
        </w:rPr>
        <w:tab/>
      </w:r>
      <w:r w:rsidRPr="00DC46CE">
        <w:rPr>
          <w:sz w:val="24"/>
          <w:szCs w:val="24"/>
        </w:rPr>
        <w:tab/>
      </w:r>
      <w:r w:rsidRPr="00DC46CE">
        <w:rPr>
          <w:sz w:val="24"/>
          <w:szCs w:val="24"/>
        </w:rPr>
        <w:tab/>
      </w:r>
      <w:r w:rsidRPr="00DC46CE">
        <w:rPr>
          <w:sz w:val="24"/>
          <w:szCs w:val="24"/>
        </w:rPr>
        <w:tab/>
      </w:r>
      <w:r w:rsidRPr="00DC46CE">
        <w:rPr>
          <w:sz w:val="24"/>
          <w:szCs w:val="24"/>
        </w:rPr>
        <w:tab/>
      </w:r>
      <w:r w:rsidRPr="00DC46CE">
        <w:rPr>
          <w:sz w:val="24"/>
          <w:szCs w:val="24"/>
        </w:rPr>
        <w:tab/>
        <w:t xml:space="preserve">Spinoza, </w:t>
      </w:r>
      <w:r w:rsidRPr="00DC46CE">
        <w:rPr>
          <w:i/>
          <w:sz w:val="24"/>
          <w:szCs w:val="24"/>
        </w:rPr>
        <w:t>Ethics, Part IV, Proposition 35</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Within John Rawls' account of social justice, as presented in </w:t>
      </w:r>
      <w:r w:rsidRPr="00DC46CE">
        <w:rPr>
          <w:i/>
          <w:sz w:val="24"/>
          <w:szCs w:val="24"/>
        </w:rPr>
        <w:t>A Theory of Justice</w:t>
      </w:r>
      <w:r w:rsidRPr="00DC46CE">
        <w:rPr>
          <w:sz w:val="24"/>
          <w:szCs w:val="24"/>
        </w:rPr>
        <w:t xml:space="preserve">, the original position constitutes a central feature, which, built around his idea of justice defined as fairness, forms the core structure of his political constructivism. Designed as an alternative to the utilitarian principles of justice and to the idea of a state of nature dear to many contractarians, Rawls regarded the original position as the optimal initial situation from which we can rationally and impartially deliberate about the principles of justice. Rawls’ account of the knowledge and ignorance features of the original position, which is essentially the theoretical device elaborated by Rawls to grant this impartial objectivity, is </w:t>
      </w:r>
      <w:r w:rsidRPr="00DC46CE">
        <w:rPr>
          <w:i/>
          <w:sz w:val="24"/>
          <w:szCs w:val="24"/>
        </w:rPr>
        <w:t>the veil of ignorance</w:t>
      </w:r>
      <w:r w:rsidRPr="00DC46CE">
        <w:rPr>
          <w:sz w:val="24"/>
          <w:szCs w:val="24"/>
        </w:rPr>
        <w:t xml:space="preserve">.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In order to understand the nature of this key concept, I shall first outline Rawls’ original position which forms the background against which I shall present and evaluate Rawls’ account of the veil of ignorance. Based on these considerations, I shall then defend the conclusion that even though his concept of veil of ignorance is not deprived of merits, it nonetheless fails to deliver the kind of means that could enable us to harvest the deductive power inherent to the s</w:t>
      </w:r>
      <w:r w:rsidRPr="00DC46CE">
        <w:rPr>
          <w:i/>
          <w:sz w:val="24"/>
          <w:szCs w:val="24"/>
        </w:rPr>
        <w:t>ub specie aeternitatis</w:t>
      </w:r>
      <w:r w:rsidRPr="00DC46CE">
        <w:rPr>
          <w:sz w:val="24"/>
          <w:szCs w:val="24"/>
        </w:rPr>
        <w:t xml:space="preserve"> perspective Rawls ambitiously expects from it.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Rawls describes the original position as a thought experiment designed to set up the fair conditions under which it becomes possible for Rawlsian citizens - that is, free, equal, reasonable </w:t>
      </w:r>
      <w:r w:rsidRPr="00DC46CE">
        <w:rPr>
          <w:sz w:val="24"/>
          <w:szCs w:val="24"/>
        </w:rPr>
        <w:lastRenderedPageBreak/>
        <w:t xml:space="preserve">and rational individuals -  to identify the ideal fundamental principles of social and political justice. In this hypothetical situation, the Rawlsian citizens similarly situated behind </w:t>
      </w:r>
      <w:r w:rsidRPr="00DC46CE">
        <w:rPr>
          <w:i/>
          <w:sz w:val="24"/>
          <w:szCs w:val="24"/>
        </w:rPr>
        <w:t>the veil of ignorance</w:t>
      </w:r>
      <w:r w:rsidRPr="00DC46CE">
        <w:rPr>
          <w:sz w:val="24"/>
          <w:szCs w:val="24"/>
        </w:rPr>
        <w:t xml:space="preserve"> –  viz., abstracted from most of their personal and social determinations and knowledge – are invited to choose, as </w:t>
      </w:r>
      <w:r w:rsidRPr="00DC46CE">
        <w:rPr>
          <w:i/>
          <w:sz w:val="24"/>
          <w:szCs w:val="24"/>
        </w:rPr>
        <w:t>free and equal persons</w:t>
      </w:r>
      <w:r w:rsidRPr="00DC46CE">
        <w:rPr>
          <w:sz w:val="24"/>
          <w:szCs w:val="24"/>
        </w:rPr>
        <w:t xml:space="preserve">, among multiple propositions describing different conceptions of justice, the one they consider that best advances their own interests. And, since the selection of the principles necessary to establish a satisfying type of justice depends on the essential interests citizens try to maximise, Rawls identifies a series of </w:t>
      </w:r>
      <w:r w:rsidRPr="00DC46CE">
        <w:rPr>
          <w:i/>
          <w:sz w:val="24"/>
          <w:szCs w:val="24"/>
        </w:rPr>
        <w:t>primary goods</w:t>
      </w:r>
      <w:r w:rsidRPr="00DC46CE">
        <w:rPr>
          <w:sz w:val="24"/>
          <w:szCs w:val="24"/>
        </w:rPr>
        <w:t>, including such things as self-respect, basic rights and liberties, freedom of choice and movement, income and wealth, that he regards as essential. It is their availability and distribution among citizens that will determine the degree of equality or inequality of a society.</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Because of their rationality, Rawls contends that the citizens in the original position will necessarily favour two principles of justice as fairness over utilitarian alternatives. Firstly, they will adopt </w:t>
      </w:r>
      <w:r w:rsidRPr="00DC46CE">
        <w:rPr>
          <w:i/>
          <w:sz w:val="24"/>
          <w:szCs w:val="24"/>
        </w:rPr>
        <w:t>the</w:t>
      </w:r>
      <w:r w:rsidRPr="00DC46CE">
        <w:rPr>
          <w:sz w:val="24"/>
          <w:szCs w:val="24"/>
        </w:rPr>
        <w:t xml:space="preserve"> </w:t>
      </w:r>
      <w:r w:rsidRPr="00DC46CE">
        <w:rPr>
          <w:i/>
          <w:sz w:val="24"/>
          <w:szCs w:val="24"/>
        </w:rPr>
        <w:t>Principle of Equal Liberty</w:t>
      </w:r>
      <w:r w:rsidRPr="00DC46CE">
        <w:rPr>
          <w:sz w:val="24"/>
          <w:szCs w:val="24"/>
        </w:rPr>
        <w:t xml:space="preserve"> according to which citizens are granted a reciprocal right to ‘the most extensive scheme of equal basic liberties’</w:t>
      </w:r>
      <w:r w:rsidRPr="00DC46CE">
        <w:rPr>
          <w:sz w:val="24"/>
          <w:szCs w:val="24"/>
          <w:vertAlign w:val="superscript"/>
        </w:rPr>
        <w:footnoteReference w:id="20"/>
      </w:r>
      <w:r w:rsidRPr="00DC46CE">
        <w:rPr>
          <w:sz w:val="24"/>
          <w:szCs w:val="24"/>
        </w:rPr>
        <w:t xml:space="preserve">. They will also approve </w:t>
      </w:r>
      <w:r w:rsidRPr="00DC46CE">
        <w:rPr>
          <w:i/>
          <w:sz w:val="24"/>
          <w:szCs w:val="24"/>
        </w:rPr>
        <w:t>the</w:t>
      </w:r>
      <w:r w:rsidRPr="00DC46CE">
        <w:rPr>
          <w:sz w:val="24"/>
          <w:szCs w:val="24"/>
        </w:rPr>
        <w:t xml:space="preserve"> </w:t>
      </w:r>
      <w:r w:rsidRPr="00DC46CE">
        <w:rPr>
          <w:i/>
          <w:sz w:val="24"/>
          <w:szCs w:val="24"/>
        </w:rPr>
        <w:t>Second Principle,</w:t>
      </w:r>
      <w:r w:rsidRPr="00DC46CE">
        <w:rPr>
          <w:sz w:val="24"/>
          <w:szCs w:val="24"/>
        </w:rPr>
        <w:t xml:space="preserve"> which is twofold. It comprises </w:t>
      </w:r>
      <w:r w:rsidRPr="00DC46CE">
        <w:rPr>
          <w:i/>
          <w:sz w:val="24"/>
          <w:szCs w:val="24"/>
        </w:rPr>
        <w:t>the Fair Equality of Opportunity Principle</w:t>
      </w:r>
      <w:r w:rsidRPr="00DC46CE">
        <w:rPr>
          <w:sz w:val="24"/>
          <w:szCs w:val="24"/>
        </w:rPr>
        <w:t xml:space="preserve"> which makes sure that social and economic inequalities are organized ‘so that they are attached to offices and positions open to all citizens under conditions of fair equality of opportunity’</w:t>
      </w:r>
      <w:r w:rsidRPr="00DC46CE">
        <w:rPr>
          <w:sz w:val="24"/>
          <w:szCs w:val="24"/>
          <w:vertAlign w:val="superscript"/>
        </w:rPr>
        <w:footnoteReference w:id="21"/>
      </w:r>
      <w:r w:rsidRPr="00DC46CE">
        <w:rPr>
          <w:sz w:val="24"/>
          <w:szCs w:val="24"/>
        </w:rPr>
        <w:t xml:space="preserve">. It also includes </w:t>
      </w:r>
      <w:r w:rsidRPr="00DC46CE">
        <w:rPr>
          <w:i/>
          <w:sz w:val="24"/>
          <w:szCs w:val="24"/>
        </w:rPr>
        <w:t>the Difference Principle</w:t>
      </w:r>
      <w:r w:rsidRPr="00DC46CE">
        <w:rPr>
          <w:sz w:val="24"/>
          <w:szCs w:val="24"/>
        </w:rPr>
        <w:t xml:space="preserve"> which assures that social and economic inequalities ‘work to the greatest expected benefit of the least advantaged’</w:t>
      </w:r>
      <w:r w:rsidRPr="00DC46CE">
        <w:rPr>
          <w:sz w:val="24"/>
          <w:szCs w:val="24"/>
          <w:vertAlign w:val="superscript"/>
        </w:rPr>
        <w:footnoteReference w:id="22"/>
      </w:r>
      <w:r w:rsidRPr="00DC46CE">
        <w:rPr>
          <w:sz w:val="24"/>
          <w:szCs w:val="24"/>
        </w:rPr>
        <w: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Having agreed upon these principles, the parties then move to the next phase of the original position which consists in </w:t>
      </w:r>
      <w:r w:rsidRPr="00DC46CE">
        <w:rPr>
          <w:i/>
          <w:sz w:val="24"/>
          <w:szCs w:val="24"/>
        </w:rPr>
        <w:t>the</w:t>
      </w:r>
      <w:r w:rsidRPr="00DC46CE">
        <w:rPr>
          <w:sz w:val="24"/>
          <w:szCs w:val="24"/>
        </w:rPr>
        <w:t xml:space="preserve"> </w:t>
      </w:r>
      <w:r w:rsidRPr="00DC46CE">
        <w:rPr>
          <w:i/>
          <w:sz w:val="24"/>
          <w:szCs w:val="24"/>
        </w:rPr>
        <w:t>check for stability</w:t>
      </w:r>
      <w:r w:rsidRPr="00DC46CE">
        <w:rPr>
          <w:sz w:val="24"/>
          <w:szCs w:val="24"/>
        </w:rPr>
        <w:t xml:space="preserve"> necessary to evaluate the capacity of the chosen principles to assure social steadiness over time. The principles having been thoroughly checked, the process of elaboration of a constitution may start. Once accomplished, it will be followed by the agreement on specific laws, and finally, by the establishment of the institutions required for the proper functioning of legal and social structures. During the progression of this sequence, the </w:t>
      </w:r>
      <w:r w:rsidRPr="00DC46CE">
        <w:rPr>
          <w:sz w:val="24"/>
          <w:szCs w:val="24"/>
        </w:rPr>
        <w:lastRenderedPageBreak/>
        <w:t xml:space="preserve">veil of ignorance gradually becomes thinner, revealing increasingly more information and allowing the parties to adapt their decisions to the actual requirements and needs of their particular society.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Obviously, the veil of ignorance plays a significant role in Rawls’ model, starting from the initial phase of the original position and evolving throughout the successive stages of legal deployment. Consequently, the value and pertinence of Rawls’ original position depend greatly on the capacity of his veil of ignorance to generate the conditions of fairness required by his standards for a theory of justice built around the idea of what Joshua Cohen calls ‘a fair system of social cooperation’</w:t>
      </w:r>
      <w:r w:rsidRPr="00DC46CE">
        <w:rPr>
          <w:sz w:val="24"/>
          <w:szCs w:val="24"/>
          <w:vertAlign w:val="superscript"/>
        </w:rPr>
        <w:footnoteReference w:id="23"/>
      </w:r>
      <w:r w:rsidRPr="00DC46CE">
        <w:rPr>
          <w:sz w:val="24"/>
          <w:szCs w:val="24"/>
        </w:rPr>
        <w:t>. The veil of ignorance is thus meant to deprive the citizens of all irrelevant and potentially hindering facts about themselves and society that could prevent them from choosing fairly and objectively the principles of justice. By positioning the parties behind the veil of ignorance Rawls hopes to produce the kind of situation in which, being fairly situated, it would be impossible for the parties to tailor principles of justice that would serve their personal interests. As Rawls puts it: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276" w:lineRule="auto"/>
        <w:ind w:left="720" w:right="759"/>
        <w:jc w:val="both"/>
        <w:rPr>
          <w:sz w:val="24"/>
          <w:szCs w:val="24"/>
        </w:rPr>
      </w:pPr>
      <w:r w:rsidRPr="00DC46CE">
        <w:rPr>
          <w:sz w:val="24"/>
          <w:szCs w:val="24"/>
        </w:rPr>
        <w:t>Among the essential features of this situation is that no one knows his place in society, his class position or social status, nor does any one know his fortune in the distribution of natural assets and abilities, his intelligence, strength and the like. We shall even assume that the parties do not know their conceptions of the good or their special psychological propensities. The principles of justice are chosen behind a veil of ignorance.</w:t>
      </w:r>
      <w:r w:rsidRPr="00DC46CE">
        <w:rPr>
          <w:sz w:val="24"/>
          <w:szCs w:val="24"/>
          <w:vertAlign w:val="superscript"/>
        </w:rPr>
        <w:footnoteReference w:id="24"/>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The parties are thus left with the general and uncontroversial knowledge compatible with the requirement of a position of equality, and necessary for the rational determination of the principles of justice. This knowledge broadly encompasses the general notions, laws, and principles of natural and human sciences. The parties also know about </w:t>
      </w:r>
      <w:r w:rsidRPr="00DC46CE">
        <w:rPr>
          <w:i/>
          <w:sz w:val="24"/>
          <w:szCs w:val="24"/>
        </w:rPr>
        <w:t>the primary goods</w:t>
      </w:r>
      <w:r w:rsidRPr="00DC46CE">
        <w:rPr>
          <w:sz w:val="24"/>
          <w:szCs w:val="24"/>
        </w:rPr>
        <w:t xml:space="preserve"> and their desirability. They know as well about </w:t>
      </w:r>
      <w:r w:rsidRPr="00DC46CE">
        <w:rPr>
          <w:i/>
          <w:sz w:val="24"/>
          <w:szCs w:val="24"/>
        </w:rPr>
        <w:t>the circumstances of justice</w:t>
      </w:r>
      <w:r w:rsidRPr="00DC46CE">
        <w:rPr>
          <w:sz w:val="24"/>
          <w:szCs w:val="24"/>
        </w:rPr>
        <w:t xml:space="preserve"> that Rawls defines as a </w:t>
      </w:r>
      <w:r w:rsidRPr="00DC46CE">
        <w:rPr>
          <w:sz w:val="24"/>
          <w:szCs w:val="24"/>
        </w:rPr>
        <w:lastRenderedPageBreak/>
        <w:t xml:space="preserve">moderate state of scarcity and limited altruism, and which are the necessary conditions for the founding of a viable society. They are also aware of the higher-order interest they have in developing their sense of justice and their inclination towards the good. These two abilities constitute together </w:t>
      </w:r>
      <w:r w:rsidRPr="00DC46CE">
        <w:rPr>
          <w:i/>
          <w:sz w:val="24"/>
          <w:szCs w:val="24"/>
        </w:rPr>
        <w:t>the moral powers</w:t>
      </w:r>
      <w:r w:rsidRPr="00DC46CE">
        <w:rPr>
          <w:sz w:val="24"/>
          <w:szCs w:val="24"/>
        </w:rPr>
        <w:t xml:space="preserve"> necessary for a fruitful social cooperation.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I shall now examine, among the many criticisms that have been levelled against Rawls’ use of the veil of ignorance, three sets of issues regarding the requirements, the method and its necessity for the selection of the principles of justice.</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As I have already mentioned, Rawl’s account of the primary goods plays a central role in determining what happens behind the veil of ignorance. Broadly defined as things a rational man ‘would prefer more of rather than less’</w:t>
      </w:r>
      <w:r w:rsidRPr="00DC46CE">
        <w:rPr>
          <w:sz w:val="24"/>
          <w:szCs w:val="24"/>
          <w:vertAlign w:val="superscript"/>
        </w:rPr>
        <w:footnoteReference w:id="25"/>
      </w:r>
      <w:r w:rsidRPr="00DC46CE">
        <w:rPr>
          <w:sz w:val="24"/>
          <w:szCs w:val="24"/>
        </w:rPr>
        <w:t xml:space="preserve">, these primary goods are meant to grasp the motivations and goals at play during the deliberation. Yet, Rawls does not limit his account to a general definition. Based on </w:t>
      </w:r>
      <w:r w:rsidRPr="00DC46CE">
        <w:rPr>
          <w:i/>
          <w:sz w:val="24"/>
          <w:szCs w:val="24"/>
        </w:rPr>
        <w:t>the thin theory of the good</w:t>
      </w:r>
      <w:r w:rsidRPr="00DC46CE">
        <w:rPr>
          <w:sz w:val="24"/>
          <w:szCs w:val="24"/>
        </w:rPr>
        <w:t xml:space="preserve">, he identifies them and presents us with a list.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Different objections have been raised against this strategy. Regarding the claim of universality, it has been objected that for individuals sharing different values and principles than the ones advocated by Rawls, other goods could be regarded as being equally rational and maybe more desirable that the ones proposed by Rawls. And, if this criticism is to be regarded as valid, it necessarily implies that Rawls’ veil of ignorance is not sufficient to avoid disagreement about the nature, the desirability and the priority of these goods.  Indeed, Rawls has been suspected of advocating a biased point of view. Discussing Rawls’ pronouncement in the matter, Michael J. Sandel contends that far from presenting universally shared assumptions, it seems rather ‘implicated too deeply in the contingent preferences of, say, Western liberal bourgeois life plans, and that the resulting principles are the product of prevailing values after all’.</w:t>
      </w:r>
      <w:r w:rsidRPr="00DC46CE">
        <w:rPr>
          <w:sz w:val="24"/>
          <w:szCs w:val="24"/>
          <w:vertAlign w:val="superscript"/>
        </w:rPr>
        <w:footnoteReference w:id="26"/>
      </w:r>
    </w:p>
    <w:p w:rsidR="00DC46CE" w:rsidRPr="00DC46CE" w:rsidRDefault="00DC46CE" w:rsidP="00DC46CE">
      <w:pPr>
        <w:spacing w:after="0" w:line="360" w:lineRule="auto"/>
        <w:jc w:val="both"/>
        <w:rPr>
          <w:sz w:val="24"/>
          <w:szCs w:val="24"/>
        </w:rPr>
      </w:pPr>
      <w:r w:rsidRPr="00DC46CE">
        <w:rPr>
          <w:sz w:val="24"/>
          <w:szCs w:val="24"/>
        </w:rPr>
        <w:t xml:space="preserve">An analogous critique has been formulated concerning the determination of the principles of social justice behind the veil of ignorance. It certainly appeared to some commentators that the </w:t>
      </w:r>
      <w:r w:rsidRPr="00DC46CE">
        <w:rPr>
          <w:sz w:val="24"/>
          <w:szCs w:val="24"/>
        </w:rPr>
        <w:lastRenderedPageBreak/>
        <w:t>veil of ignorance offers no guarantee of reaching a consensus. For example, discussing a thought experiment</w:t>
      </w:r>
      <w:r w:rsidRPr="00DC46CE">
        <w:rPr>
          <w:sz w:val="24"/>
          <w:szCs w:val="24"/>
          <w:vertAlign w:val="superscript"/>
        </w:rPr>
        <w:footnoteReference w:id="27"/>
      </w:r>
      <w:r w:rsidRPr="00DC46CE">
        <w:rPr>
          <w:sz w:val="24"/>
          <w:szCs w:val="24"/>
        </w:rPr>
        <w:t xml:space="preserve"> opposing utilitarian, egalitarian and libertarian views, Amartya Sen remarks that: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276" w:lineRule="auto"/>
        <w:ind w:left="720" w:right="759"/>
        <w:jc w:val="both"/>
        <w:rPr>
          <w:sz w:val="24"/>
          <w:szCs w:val="24"/>
        </w:rPr>
      </w:pPr>
      <w:r w:rsidRPr="00DC46CE">
        <w:rPr>
          <w:sz w:val="24"/>
          <w:szCs w:val="24"/>
        </w:rPr>
        <w:t>Even after vested interests and personal priorities have been somehow ‘taken out’ of consideration through such devices as the ‘veil of ignorance’, there may remain possibly conflicting views on social priorities.</w:t>
      </w:r>
      <w:r w:rsidRPr="00DC46CE">
        <w:rPr>
          <w:sz w:val="24"/>
          <w:szCs w:val="24"/>
          <w:vertAlign w:val="superscript"/>
        </w:rPr>
        <w:footnoteReference w:id="28"/>
      </w:r>
      <w:r w:rsidRPr="00DC46CE">
        <w:rPr>
          <w:sz w:val="24"/>
          <w:szCs w:val="24"/>
        </w:rPr>
        <w:t xml:space="preserve">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And, while recognizing the merits of Smith’s scepticism about the possibility of self-emancipation from tenacious presuppositions, Sen rightfully insists that the veil of ignorance ‘does little to ensure an open scrutiny of local and possibly parochial values’</w:t>
      </w:r>
      <w:r w:rsidRPr="00DC46CE">
        <w:rPr>
          <w:sz w:val="24"/>
          <w:szCs w:val="24"/>
          <w:vertAlign w:val="superscript"/>
        </w:rPr>
        <w:footnoteReference w:id="29"/>
      </w:r>
      <w:r w:rsidRPr="00DC46CE">
        <w:rPr>
          <w:sz w:val="24"/>
          <w:szCs w:val="24"/>
        </w:rPr>
        <w:t xml:space="preserve">.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Yet, even if these two points are legitimate critiques, it may be argued that the flexibility of Rawls’ approach might be sufficient to overcome this sort of difficulties. Commenting Rawls</w:t>
      </w:r>
      <w:r w:rsidRPr="00DC46CE">
        <w:rPr>
          <w:sz w:val="24"/>
          <w:szCs w:val="24"/>
          <w:vertAlign w:val="superscript"/>
        </w:rPr>
        <w:footnoteReference w:id="30"/>
      </w:r>
      <w:r w:rsidRPr="00DC46CE">
        <w:rPr>
          <w:sz w:val="24"/>
          <w:szCs w:val="24"/>
        </w:rPr>
        <w:t>, Timothy Hinton reminds us that ‘the stipulations that set up the original position are all open to reflective re-examination, and, where necessary, to rational revision’. Rawls insists indeed on the importance of this back and forth movement and dialogue which allows us to amend our opinions and to adapt the initial contractual circumstances.</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Nonetheless, if one admits that such a plasticity permits the emergence of refined </w:t>
      </w:r>
      <w:r w:rsidRPr="00DC46CE">
        <w:rPr>
          <w:i/>
          <w:sz w:val="24"/>
          <w:szCs w:val="24"/>
        </w:rPr>
        <w:t>ad hoc</w:t>
      </w:r>
      <w:r w:rsidRPr="00DC46CE">
        <w:rPr>
          <w:sz w:val="24"/>
          <w:szCs w:val="24"/>
        </w:rPr>
        <w:t xml:space="preserve"> solutions, Rawls’ account still faces the difficulty presented by the psychological aspect of the veil of ignorance. Considered from that angle the problem appears to be twofold. Firstly, one could question the psychological feasibility of Rawls’ veil of ignorance. Is it really the case that the psychological aptitude for such a radical abstraction from personal and social determining factors is present in ordinary individuals? Are we to regard Rawls’ expectations in the matter as realistic or should we consider that the kind of mental positioning required by the veil of ignorance falls beyond our psychological aptitudes? Secondly, if one accepts that humans are perfectly capable </w:t>
      </w:r>
      <w:r w:rsidRPr="00DC46CE">
        <w:rPr>
          <w:sz w:val="24"/>
          <w:szCs w:val="24"/>
        </w:rPr>
        <w:lastRenderedPageBreak/>
        <w:t>of attaining the sort of detached conditions required by Rawls, one can still doubt that individuals would be apt to produce the kind of output that Rawls expected from them. As Rawls puts it: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276" w:lineRule="auto"/>
        <w:ind w:left="720" w:right="759"/>
        <w:jc w:val="both"/>
        <w:rPr>
          <w:sz w:val="24"/>
          <w:szCs w:val="24"/>
        </w:rPr>
      </w:pPr>
      <w:r w:rsidRPr="00DC46CE">
        <w:rPr>
          <w:sz w:val="24"/>
          <w:szCs w:val="24"/>
        </w:rPr>
        <w:t>The main idea is that a person’s good is determined by what is for him the most rational long-term plan of life given reasonably favorable circumstances.</w:t>
      </w:r>
      <w:r w:rsidRPr="00DC46CE">
        <w:rPr>
          <w:sz w:val="24"/>
          <w:szCs w:val="24"/>
          <w:vertAlign w:val="superscript"/>
        </w:rPr>
        <w:footnoteReference w:id="31"/>
      </w:r>
      <w:r w:rsidRPr="00DC46CE">
        <w:rPr>
          <w:sz w:val="24"/>
          <w:szCs w:val="24"/>
        </w:rPr>
        <w:t xml:space="preserve">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One could then argue that the use of the veil of ignorance produces such a distance between individuals and their ordinary mental universe that they are left incapable to fulfil Rawls’ expectations.  Complaining about the opacity of the veil of ignorance, Michael J. Sandel argues that the exclusion of morally relevant information precludes the generation of valuable results. He also notes that:</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276" w:lineRule="auto"/>
        <w:ind w:left="720" w:right="759"/>
        <w:jc w:val="both"/>
        <w:rPr>
          <w:sz w:val="24"/>
          <w:szCs w:val="24"/>
        </w:rPr>
      </w:pPr>
      <w:r w:rsidRPr="00DC46CE">
        <w:rPr>
          <w:sz w:val="24"/>
          <w:szCs w:val="24"/>
        </w:rPr>
        <w:t>The original position achieves too much detachment from human circumstances, that the initial situation it describes is too abstract to yield the principles Rawls says it would, or for that matter, any determinate principles at all.</w:t>
      </w:r>
      <w:r w:rsidRPr="00DC46CE">
        <w:rPr>
          <w:sz w:val="24"/>
          <w:szCs w:val="24"/>
          <w:vertAlign w:val="superscript"/>
        </w:rPr>
        <w:footnoteReference w:id="32"/>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In response to those who criticise the veil of ignorance for being psychologically inadequate, a Rawlsian defence could insist on the nature of the project and remind the commentators that Rawls never intended to set up a live experiment but to produce a thought experiment meant as a device of representation. The required condition consequently depends on the weaker claim that the actual psychological capabilities are only relevant to the extent that they allow for this experiment to take place.</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Regarding the goals of the veil of ignorance in a context of negotiation some serious doubts have been emitted concerning its usefulness and necessity. It has been argued by for instance that, in a situation in which an agreement must be secured, the veil of ignorance would be superfluous. Whereas T.M. Scanlon</w:t>
      </w:r>
      <w:r w:rsidRPr="00DC46CE">
        <w:rPr>
          <w:sz w:val="24"/>
          <w:szCs w:val="24"/>
          <w:vertAlign w:val="superscript"/>
        </w:rPr>
        <w:footnoteReference w:id="33"/>
      </w:r>
      <w:r w:rsidRPr="00DC46CE">
        <w:rPr>
          <w:sz w:val="24"/>
          <w:szCs w:val="24"/>
        </w:rPr>
        <w:t xml:space="preserve"> had already argued against the necessity of the original position in a </w:t>
      </w:r>
      <w:r w:rsidRPr="00DC46CE">
        <w:rPr>
          <w:sz w:val="24"/>
          <w:szCs w:val="24"/>
        </w:rPr>
        <w:lastRenderedPageBreak/>
        <w:t>situation in which an agreement among reasonable persons is expected, according to Shaun P. Young</w:t>
      </w:r>
      <w:r w:rsidRPr="00DC46CE">
        <w:rPr>
          <w:sz w:val="24"/>
          <w:szCs w:val="24"/>
          <w:vertAlign w:val="superscript"/>
        </w:rPr>
        <w:footnoteReference w:id="34"/>
      </w:r>
      <w:r w:rsidRPr="00DC46CE">
        <w:rPr>
          <w:sz w:val="24"/>
          <w:szCs w:val="24"/>
        </w:rPr>
        <w:t xml:space="preserve">, the obligation of agreement might be sufficient to simply deny the necessity of the veil of ignorance. In the matter, Young exhibits the same criticism that the one expressed here by Gregory E. Pence: </w:t>
      </w:r>
    </w:p>
    <w:p w:rsidR="00DC46CE" w:rsidRPr="00DC46CE" w:rsidRDefault="00DC46CE" w:rsidP="00DC46CE">
      <w:pPr>
        <w:spacing w:after="0" w:line="360" w:lineRule="auto"/>
        <w:jc w:val="both"/>
        <w:rPr>
          <w:sz w:val="24"/>
          <w:szCs w:val="24"/>
        </w:rPr>
      </w:pPr>
    </w:p>
    <w:p w:rsidR="00DC46CE" w:rsidRPr="00DC46CE" w:rsidRDefault="00DC46CE" w:rsidP="00DC46CE">
      <w:pPr>
        <w:spacing w:after="0" w:line="276" w:lineRule="auto"/>
        <w:ind w:left="720" w:right="759"/>
        <w:jc w:val="both"/>
        <w:rPr>
          <w:sz w:val="24"/>
          <w:szCs w:val="24"/>
        </w:rPr>
      </w:pPr>
      <w:r w:rsidRPr="00DC46CE">
        <w:rPr>
          <w:sz w:val="24"/>
          <w:szCs w:val="24"/>
        </w:rPr>
        <w:t>Where unanimity and equal bargaining power are enforced, only impartial principles could in principle be adopted unanimously. Why then is a veil of ignorance needed at all?</w:t>
      </w:r>
      <w:r w:rsidRPr="00DC46CE">
        <w:rPr>
          <w:sz w:val="24"/>
          <w:szCs w:val="24"/>
          <w:vertAlign w:val="superscript"/>
        </w:rPr>
        <w:footnoteReference w:id="35"/>
      </w:r>
    </w:p>
    <w:p w:rsidR="00DC46CE" w:rsidRPr="00DC46CE" w:rsidRDefault="00DC46CE" w:rsidP="00DC46CE">
      <w:pPr>
        <w:spacing w:after="0" w:line="360" w:lineRule="auto"/>
        <w:jc w:val="both"/>
        <w:rPr>
          <w:sz w:val="24"/>
          <w:szCs w:val="24"/>
        </w:rPr>
      </w:pPr>
    </w:p>
    <w:p w:rsidR="00DC46CE" w:rsidRPr="00DC46CE" w:rsidRDefault="00DC46CE" w:rsidP="00DC46CE">
      <w:pPr>
        <w:spacing w:after="0" w:line="360" w:lineRule="auto"/>
        <w:jc w:val="both"/>
        <w:rPr>
          <w:sz w:val="24"/>
          <w:szCs w:val="24"/>
        </w:rPr>
      </w:pPr>
      <w:r w:rsidRPr="00DC46CE">
        <w:rPr>
          <w:sz w:val="24"/>
          <w:szCs w:val="24"/>
        </w:rPr>
        <w:t xml:space="preserve">But considering the problem in terms of necessity is not the only option. By bracketing the reading of the concept to the broader scale and focusing on its potentialities, a possible reply to this interrogation could insist precisely on the capacity the veil of ignorance has to favour the emergence of impartial principles. Thus, by regarding it as a valuable means to produce the kind of congruent virtue required by the original position, this approach would doubtlessly fit Rawls’ insistence on the importance of </w:t>
      </w:r>
      <w:r w:rsidRPr="00DC46CE">
        <w:rPr>
          <w:i/>
          <w:sz w:val="24"/>
          <w:szCs w:val="24"/>
        </w:rPr>
        <w:t>reflective equilibrium</w:t>
      </w:r>
      <w:r w:rsidRPr="00DC46CE">
        <w:rPr>
          <w:sz w:val="24"/>
          <w:szCs w:val="24"/>
        </w:rPr>
        <w:t xml:space="preserve"> which, according to Louis I. Katzner, is Rawls’ convenient way for establishing a productive relation between ‘our intuitions about principles of justice and the conception of fairness from which we attempt to derive these principles’</w:t>
      </w:r>
      <w:r w:rsidRPr="00DC46CE">
        <w:rPr>
          <w:sz w:val="24"/>
          <w:szCs w:val="24"/>
          <w:vertAlign w:val="superscript"/>
        </w:rPr>
        <w:footnoteReference w:id="36"/>
      </w:r>
      <w:r w:rsidRPr="00DC46CE">
        <w:rPr>
          <w:sz w:val="24"/>
          <w:szCs w:val="24"/>
        </w:rPr>
        <w:t>. Yet, one may still have serious doubts about the output of this alleged productive relation.</w:t>
      </w:r>
    </w:p>
    <w:p w:rsidR="00DC46CE" w:rsidRPr="00DC46CE" w:rsidRDefault="00DC46CE" w:rsidP="00DC46CE">
      <w:pPr>
        <w:spacing w:after="0" w:line="360" w:lineRule="auto"/>
        <w:jc w:val="both"/>
        <w:rPr>
          <w:sz w:val="24"/>
          <w:szCs w:val="24"/>
        </w:rPr>
      </w:pPr>
    </w:p>
    <w:p w:rsidR="00DC46CE" w:rsidRDefault="00DC46CE" w:rsidP="00016832">
      <w:pPr>
        <w:spacing w:after="0" w:line="360" w:lineRule="auto"/>
        <w:jc w:val="both"/>
        <w:rPr>
          <w:sz w:val="24"/>
          <w:szCs w:val="24"/>
        </w:rPr>
      </w:pPr>
      <w:r w:rsidRPr="00DC46CE">
        <w:rPr>
          <w:sz w:val="24"/>
          <w:szCs w:val="24"/>
        </w:rPr>
        <w:t>In summary, despite its numerous merits, Rawls’ veil of ignorance seems to deliver much less deductive power and congruence than he had expected. Agreeing with Sen</w:t>
      </w:r>
      <w:r w:rsidRPr="00DC46CE">
        <w:rPr>
          <w:sz w:val="24"/>
          <w:szCs w:val="24"/>
          <w:vertAlign w:val="superscript"/>
        </w:rPr>
        <w:footnoteReference w:id="37"/>
      </w:r>
      <w:r w:rsidRPr="00DC46CE">
        <w:rPr>
          <w:sz w:val="24"/>
          <w:szCs w:val="24"/>
        </w:rPr>
        <w:t xml:space="preserve"> on this point, I shall contend that because of the incompleteness of individual evaluations resulting from the lack of knowledge induced by the veil of ignorance and because of the incomplete congruence due to the conflicting priorities, Rawls’ method is unlikely to produce the expected results. To such a </w:t>
      </w:r>
      <w:r w:rsidRPr="00DC46CE">
        <w:rPr>
          <w:sz w:val="24"/>
          <w:szCs w:val="24"/>
        </w:rPr>
        <w:lastRenderedPageBreak/>
        <w:t>degree that Young</w:t>
      </w:r>
      <w:r w:rsidRPr="00DC46CE">
        <w:rPr>
          <w:sz w:val="24"/>
          <w:szCs w:val="24"/>
          <w:vertAlign w:val="superscript"/>
        </w:rPr>
        <w:footnoteReference w:id="38"/>
      </w:r>
      <w:r w:rsidRPr="00DC46CE">
        <w:rPr>
          <w:sz w:val="24"/>
          <w:szCs w:val="24"/>
        </w:rPr>
        <w:t xml:space="preserve"> rightfully noticed that Rawls’ method could perfectly well work in support of utilitarianism. It should also be noticed that the lack of significant considerations in Rawls’ works about a possible transition from the theoretical nature of his proposal to the concrete application did not facilitate the debate and has probably prevented the emergence of both potentially enlightening elements and additional difficulties. Nonetheless, Rawls’ veil of ignorance still deserves to be regarded as an interesting and inspiring method in the search for the principles of justice.</w:t>
      </w:r>
      <w:r w:rsidRPr="00DC46CE">
        <w:rPr>
          <w:sz w:val="24"/>
          <w:szCs w:val="24"/>
        </w:rPr>
        <w:tab/>
      </w:r>
    </w:p>
    <w:p w:rsidR="00B13ADA" w:rsidRPr="00DC46CE" w:rsidRDefault="00B13ADA" w:rsidP="00016832">
      <w:pPr>
        <w:spacing w:after="0" w:line="360" w:lineRule="auto"/>
        <w:jc w:val="both"/>
        <w:rPr>
          <w:sz w:val="16"/>
          <w:szCs w:val="24"/>
        </w:rPr>
      </w:pPr>
      <w:bookmarkStart w:id="1" w:name="_GoBack"/>
      <w:bookmarkEnd w:id="1"/>
    </w:p>
    <w:p w:rsidR="00DC46CE" w:rsidRPr="00DC46CE" w:rsidRDefault="00DC46CE" w:rsidP="00DC46CE">
      <w:pPr>
        <w:spacing w:after="0" w:line="360" w:lineRule="auto"/>
        <w:jc w:val="center"/>
        <w:rPr>
          <w:b/>
          <w:sz w:val="28"/>
          <w:szCs w:val="28"/>
        </w:rPr>
      </w:pPr>
      <w:r w:rsidRPr="00DC46CE">
        <w:rPr>
          <w:b/>
          <w:sz w:val="28"/>
          <w:szCs w:val="28"/>
        </w:rPr>
        <w:t>Bibliography</w:t>
      </w:r>
    </w:p>
    <w:p w:rsidR="00DC46CE" w:rsidRPr="00DC46CE" w:rsidRDefault="00DC46CE" w:rsidP="00016832">
      <w:pPr>
        <w:ind w:left="720" w:hanging="720"/>
      </w:pPr>
      <w:r w:rsidRPr="00DC46CE">
        <w:t>Cohen, Joshua, ‘The original position and Scanlon’s contractualism’, in The Original Position, ed. by Timothy Hinton (Cambridge: Cambridge University Press, 2015)</w:t>
      </w:r>
    </w:p>
    <w:p w:rsidR="00DC46CE" w:rsidRPr="00DC46CE" w:rsidRDefault="00DC46CE" w:rsidP="00016832">
      <w:pPr>
        <w:ind w:left="720" w:hanging="720"/>
      </w:pPr>
      <w:r w:rsidRPr="00DC46CE">
        <w:t>Freeman, Samuel, ‘Original Position’, The Stanford Encyclopedia of Philosophy (Winter 2016 Edition), Edward N. Zalta (ed.), URL = &lt;https://plato.stanford.edu/archives/win2016/entries/original-position/&gt;</w:t>
      </w:r>
    </w:p>
    <w:p w:rsidR="00DC46CE" w:rsidRPr="00DC46CE" w:rsidRDefault="00DC46CE" w:rsidP="00016832">
      <w:pPr>
        <w:ind w:left="720" w:hanging="720"/>
      </w:pPr>
      <w:r w:rsidRPr="00DC46CE">
        <w:t>Katzner, Louis I., ‘The Original Position and the Veil of Ignorance’, in Gene Blocker &amp; Elizabeth Smith (eds.), John Rawls' Theory of Social Justice (Athens: Ohio University Press, 1980, 42–70)</w:t>
      </w:r>
    </w:p>
    <w:p w:rsidR="00DC46CE" w:rsidRPr="00DC46CE" w:rsidRDefault="00DC46CE" w:rsidP="00016832">
      <w:pPr>
        <w:ind w:left="720" w:hanging="720"/>
      </w:pPr>
      <w:r w:rsidRPr="00DC46CE">
        <w:t>Pence, Gregory E., 'Fair Contracts and Beautiful Intuitions', in Kai Nielsen and Gregory E. Pence, 'Fair Contracts and Beautiful Intuitions', in Kai Nielsen and Roger A. Shiner (eds), New Essays on Contract Theory (Canadian Journal of Philosophy Supplementary Volume III, 1977, 137–52)</w:t>
      </w:r>
    </w:p>
    <w:p w:rsidR="00DC46CE" w:rsidRPr="00DC46CE" w:rsidRDefault="00DC46CE" w:rsidP="00016832">
      <w:r w:rsidRPr="00DC46CE">
        <w:t>Rawls, John, A Theory of Justice, 2nd edn (Cambridge: Harvard University Press, 1991)</w:t>
      </w:r>
    </w:p>
    <w:p w:rsidR="00DC46CE" w:rsidRPr="00DC46CE" w:rsidRDefault="00DC46CE" w:rsidP="00016832">
      <w:pPr>
        <w:ind w:left="720" w:hanging="720"/>
      </w:pPr>
      <w:r w:rsidRPr="00DC46CE">
        <w:t>Sandel, Michael J., Liberalism and the Limits of Justice, 2nd edn (Cambridge: Cambridge University Press, 1998)</w:t>
      </w:r>
    </w:p>
    <w:p w:rsidR="00DC46CE" w:rsidRPr="00DC46CE" w:rsidRDefault="00DC46CE" w:rsidP="00016832">
      <w:pPr>
        <w:ind w:left="720" w:hanging="720"/>
      </w:pPr>
      <w:r w:rsidRPr="00DC46CE">
        <w:t>Scanlon, Thomas M., ‘Contractualism and Utilitarianism’, in A. Sen &amp; B. Williams, Utilitarianism and beyond (Cambridge: Cambridge University Press, 1982, 103–128)</w:t>
      </w:r>
    </w:p>
    <w:p w:rsidR="00DC46CE" w:rsidRPr="00DC46CE" w:rsidRDefault="00DC46CE" w:rsidP="00016832">
      <w:r w:rsidRPr="00DC46CE">
        <w:t>Sen, Amartya, The Idea of Justice (Cambridge: Harvard University Press, 2009)</w:t>
      </w:r>
    </w:p>
    <w:p w:rsidR="00DC46CE" w:rsidRPr="00DC46CE" w:rsidRDefault="00DC46CE" w:rsidP="00016832">
      <w:r w:rsidRPr="00DC46CE">
        <w:t>Spinoza, Complete Works, ed. by Michael L. Morgan (Indianapolis: Hackett Publishing Company, 2002)</w:t>
      </w:r>
    </w:p>
    <w:p w:rsidR="00DC46CE" w:rsidRPr="00DC46CE" w:rsidRDefault="00DC46CE" w:rsidP="00016832">
      <w:pPr>
        <w:ind w:left="720" w:hanging="720"/>
      </w:pPr>
      <w:r w:rsidRPr="00DC46CE">
        <w:t>Wenar, Leif, ‘John Rawls’, The Stanford Encyclopedia of Philosophy (Spring 2017 Edition), Edward N. Zalta (ed.), URL = https://plato.stanford.edu/archives/spr2017/entries/rawls/</w:t>
      </w:r>
    </w:p>
    <w:p w:rsidR="00DC46CE" w:rsidRDefault="00DC46CE" w:rsidP="00016832">
      <w:pPr>
        <w:ind w:left="720" w:hanging="720"/>
        <w:rPr>
          <w:sz w:val="24"/>
        </w:rPr>
      </w:pPr>
      <w:r w:rsidRPr="00DC46CE">
        <w:t>Young, Shaun P., Reflections on Rawls, An Assessment of his Legacy, ed. by Shaun P. Young (Farnham: Ashgate, 2009)</w:t>
      </w:r>
    </w:p>
    <w:sectPr w:rsidR="00DC46CE" w:rsidSect="00382136">
      <w:footerReference w:type="default" r:id="rId10"/>
      <w:pgSz w:w="12240" w:h="15840"/>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F6CE8" w:rsidRDefault="00AF6CE8" w:rsidP="00C52B0A">
      <w:pPr>
        <w:spacing w:after="0" w:line="240" w:lineRule="auto"/>
      </w:pPr>
      <w:r>
        <w:separator/>
      </w:r>
    </w:p>
  </w:endnote>
  <w:endnote w:type="continuationSeparator" w:id="0">
    <w:p w:rsidR="00AF6CE8" w:rsidRDefault="00AF6CE8" w:rsidP="00C52B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2483685"/>
      <w:docPartObj>
        <w:docPartGallery w:val="Page Numbers (Bottom of Page)"/>
        <w:docPartUnique/>
      </w:docPartObj>
    </w:sdtPr>
    <w:sdtEndPr>
      <w:rPr>
        <w:noProof/>
      </w:rPr>
    </w:sdtEndPr>
    <w:sdtContent>
      <w:p w:rsidR="00382136" w:rsidRDefault="003821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82136" w:rsidRDefault="003821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80F3B" w:rsidRDefault="00C80F3B">
    <w:pPr>
      <w:pStyle w:val="Footer"/>
      <w:jc w:val="right"/>
    </w:pPr>
  </w:p>
  <w:p w:rsidR="00DC46CE" w:rsidRDefault="00DC46CE" w:rsidP="00D95127">
    <w:pPr>
      <w:pStyle w:val="Footer"/>
      <w:tabs>
        <w:tab w:val="clear" w:pos="4703"/>
        <w:tab w:val="clear" w:pos="9406"/>
        <w:tab w:val="left" w:pos="789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76823"/>
      <w:docPartObj>
        <w:docPartGallery w:val="Page Numbers (Bottom of Page)"/>
        <w:docPartUnique/>
      </w:docPartObj>
    </w:sdtPr>
    <w:sdtEndPr>
      <w:rPr>
        <w:noProof/>
      </w:rPr>
    </w:sdtEndPr>
    <w:sdtContent>
      <w:p w:rsidR="00C80F3B" w:rsidRDefault="00C80F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80F3B" w:rsidRDefault="00C80F3B" w:rsidP="00D95127">
    <w:pPr>
      <w:pStyle w:val="Footer"/>
      <w:tabs>
        <w:tab w:val="clear" w:pos="4703"/>
        <w:tab w:val="clear" w:pos="9406"/>
        <w:tab w:val="left" w:pos="7890"/>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F6CE8" w:rsidRDefault="00AF6CE8" w:rsidP="00C52B0A">
      <w:pPr>
        <w:spacing w:after="0" w:line="240" w:lineRule="auto"/>
      </w:pPr>
      <w:r>
        <w:separator/>
      </w:r>
    </w:p>
  </w:footnote>
  <w:footnote w:type="continuationSeparator" w:id="0">
    <w:p w:rsidR="00AF6CE8" w:rsidRDefault="00AF6CE8" w:rsidP="00C52B0A">
      <w:pPr>
        <w:spacing w:after="0" w:line="240" w:lineRule="auto"/>
      </w:pPr>
      <w:r>
        <w:continuationSeparator/>
      </w:r>
    </w:p>
  </w:footnote>
  <w:footnote w:id="1">
    <w:p w:rsidR="00C52B0A" w:rsidRPr="00C04BBD" w:rsidRDefault="00C52B0A" w:rsidP="00C52B0A">
      <w:pPr>
        <w:pStyle w:val="FootnoteText"/>
        <w:rPr>
          <w:lang w:val="fr-FR"/>
        </w:rPr>
      </w:pPr>
      <w:r>
        <w:rPr>
          <w:rStyle w:val="FootnoteReference"/>
        </w:rPr>
        <w:footnoteRef/>
      </w:r>
      <w:r>
        <w:t xml:space="preserve"> </w:t>
      </w:r>
      <w:r>
        <w:rPr>
          <w:lang w:val="fr-FR"/>
        </w:rPr>
        <w:t xml:space="preserve">Thomas Hobbes, </w:t>
      </w:r>
      <w:r w:rsidRPr="00F612BE">
        <w:rPr>
          <w:i/>
          <w:lang w:val="fr-FR"/>
        </w:rPr>
        <w:t>Leviathan</w:t>
      </w:r>
      <w:r>
        <w:rPr>
          <w:lang w:val="fr-FR"/>
        </w:rPr>
        <w:t xml:space="preserve">, </w:t>
      </w:r>
      <w:r w:rsidRPr="003E0275">
        <w:rPr>
          <w:lang w:val="fr-FR"/>
        </w:rPr>
        <w:t>ed. by J.C.A. Gaskin (Oxford: Oxfo</w:t>
      </w:r>
      <w:r>
        <w:rPr>
          <w:lang w:val="fr-FR"/>
        </w:rPr>
        <w:t>rd University Press, 1998), p.</w:t>
      </w:r>
      <w:r w:rsidR="00AD59EC">
        <w:rPr>
          <w:lang w:val="fr-FR"/>
        </w:rPr>
        <w:t xml:space="preserve"> </w:t>
      </w:r>
      <w:r>
        <w:rPr>
          <w:lang w:val="fr-FR"/>
        </w:rPr>
        <w:t>41.</w:t>
      </w:r>
    </w:p>
  </w:footnote>
  <w:footnote w:id="2">
    <w:p w:rsidR="00C52B0A" w:rsidRPr="00F612BE" w:rsidRDefault="00C52B0A" w:rsidP="00C52B0A">
      <w:pPr>
        <w:pStyle w:val="FootnoteText"/>
        <w:rPr>
          <w:lang w:val="fr-FR"/>
        </w:rPr>
      </w:pPr>
      <w:r>
        <w:rPr>
          <w:rStyle w:val="FootnoteReference"/>
        </w:rPr>
        <w:footnoteRef/>
      </w:r>
      <w:r>
        <w:rPr>
          <w:lang w:val="fr-FR"/>
        </w:rPr>
        <w:t xml:space="preserve"> </w:t>
      </w:r>
      <w:r w:rsidRPr="00C664E6">
        <w:rPr>
          <w:i/>
          <w:lang w:val="fr-FR"/>
        </w:rPr>
        <w:t>Ibid</w:t>
      </w:r>
      <w:r>
        <w:rPr>
          <w:lang w:val="fr-FR"/>
        </w:rPr>
        <w:t>.</w:t>
      </w:r>
      <w:r w:rsidRPr="003E0275">
        <w:rPr>
          <w:lang w:val="fr-FR"/>
        </w:rPr>
        <w:t>, p.</w:t>
      </w:r>
      <w:r w:rsidR="00AD59EC">
        <w:rPr>
          <w:lang w:val="fr-FR"/>
        </w:rPr>
        <w:t xml:space="preserve"> </w:t>
      </w:r>
      <w:r w:rsidRPr="003E0275">
        <w:rPr>
          <w:lang w:val="fr-FR"/>
        </w:rPr>
        <w:t>35</w:t>
      </w:r>
      <w:r>
        <w:rPr>
          <w:lang w:val="fr-FR"/>
        </w:rPr>
        <w:t>.</w:t>
      </w:r>
    </w:p>
  </w:footnote>
  <w:footnote w:id="3">
    <w:p w:rsidR="00C52B0A" w:rsidRPr="00821E2A" w:rsidRDefault="00C52B0A" w:rsidP="00C52B0A">
      <w:pPr>
        <w:pStyle w:val="FootnoteText"/>
        <w:rPr>
          <w:lang w:val="fr-FR"/>
        </w:rPr>
      </w:pPr>
      <w:r>
        <w:rPr>
          <w:rStyle w:val="FootnoteReference"/>
        </w:rPr>
        <w:footnoteRef/>
      </w:r>
      <w:r>
        <w:t xml:space="preserve"> </w:t>
      </w:r>
      <w:r w:rsidRPr="00C664E6">
        <w:rPr>
          <w:i/>
          <w:lang w:val="fr-FR"/>
        </w:rPr>
        <w:t>Ibid</w:t>
      </w:r>
      <w:r>
        <w:rPr>
          <w:lang w:val="fr-FR"/>
        </w:rPr>
        <w:t>., p.</w:t>
      </w:r>
      <w:r w:rsidR="00AD59EC">
        <w:rPr>
          <w:lang w:val="fr-FR"/>
        </w:rPr>
        <w:t xml:space="preserve"> </w:t>
      </w:r>
      <w:r>
        <w:rPr>
          <w:lang w:val="fr-FR"/>
        </w:rPr>
        <w:t>85.</w:t>
      </w:r>
    </w:p>
  </w:footnote>
  <w:footnote w:id="4">
    <w:p w:rsidR="00C52B0A" w:rsidRPr="006F63AE" w:rsidRDefault="00C52B0A" w:rsidP="00C52B0A">
      <w:pPr>
        <w:pStyle w:val="FootnoteText"/>
        <w:rPr>
          <w:lang w:val="fr-FR"/>
        </w:rPr>
      </w:pPr>
      <w:r>
        <w:rPr>
          <w:rStyle w:val="FootnoteReference"/>
        </w:rPr>
        <w:footnoteRef/>
      </w:r>
      <w:r>
        <w:t xml:space="preserve"> </w:t>
      </w:r>
      <w:r w:rsidRPr="00C664E6">
        <w:rPr>
          <w:i/>
          <w:lang w:val="fr-FR"/>
        </w:rPr>
        <w:t>Ibid</w:t>
      </w:r>
      <w:r>
        <w:rPr>
          <w:lang w:val="fr-FR"/>
        </w:rPr>
        <w:t>., p.</w:t>
      </w:r>
      <w:r w:rsidR="00AD59EC">
        <w:rPr>
          <w:lang w:val="fr-FR"/>
        </w:rPr>
        <w:t xml:space="preserve"> </w:t>
      </w:r>
      <w:r>
        <w:rPr>
          <w:lang w:val="fr-FR"/>
        </w:rPr>
        <w:t>95.</w:t>
      </w:r>
    </w:p>
  </w:footnote>
  <w:footnote w:id="5">
    <w:p w:rsidR="00C52B0A" w:rsidRPr="00732D6D" w:rsidRDefault="00C52B0A" w:rsidP="00C52B0A">
      <w:pPr>
        <w:pStyle w:val="FootnoteText"/>
        <w:rPr>
          <w:lang w:val="fr-FR"/>
        </w:rPr>
      </w:pPr>
      <w:r>
        <w:rPr>
          <w:rStyle w:val="FootnoteReference"/>
        </w:rPr>
        <w:footnoteRef/>
      </w:r>
      <w:r>
        <w:t xml:space="preserve"> </w:t>
      </w:r>
      <w:r w:rsidRPr="00C664E6">
        <w:rPr>
          <w:i/>
          <w:lang w:val="fr-FR"/>
        </w:rPr>
        <w:t>Ibid</w:t>
      </w:r>
      <w:r>
        <w:rPr>
          <w:lang w:val="fr-FR"/>
        </w:rPr>
        <w:t>., p.</w:t>
      </w:r>
      <w:r w:rsidR="00AD59EC">
        <w:rPr>
          <w:lang w:val="fr-FR"/>
        </w:rPr>
        <w:t xml:space="preserve"> </w:t>
      </w:r>
      <w:r>
        <w:rPr>
          <w:lang w:val="fr-FR"/>
        </w:rPr>
        <w:t>222.</w:t>
      </w:r>
    </w:p>
  </w:footnote>
  <w:footnote w:id="6">
    <w:p w:rsidR="00C52B0A" w:rsidRPr="00732D6D" w:rsidRDefault="00C52B0A" w:rsidP="00C52B0A">
      <w:pPr>
        <w:pStyle w:val="FootnoteText"/>
        <w:rPr>
          <w:lang w:val="fr-FR"/>
        </w:rPr>
      </w:pPr>
      <w:r>
        <w:rPr>
          <w:rStyle w:val="FootnoteReference"/>
        </w:rPr>
        <w:footnoteRef/>
      </w:r>
      <w:r>
        <w:t xml:space="preserve"> </w:t>
      </w:r>
      <w:r w:rsidRPr="00C664E6">
        <w:rPr>
          <w:i/>
          <w:lang w:val="fr-FR"/>
        </w:rPr>
        <w:t>Ibid</w:t>
      </w:r>
      <w:r>
        <w:rPr>
          <w:lang w:val="fr-FR"/>
        </w:rPr>
        <w:t>.</w:t>
      </w:r>
    </w:p>
  </w:footnote>
  <w:footnote w:id="7">
    <w:p w:rsidR="00C52B0A" w:rsidRPr="00071330" w:rsidRDefault="00C52B0A" w:rsidP="00C52B0A">
      <w:pPr>
        <w:pStyle w:val="FootnoteText"/>
        <w:rPr>
          <w:lang w:val="fr-FR"/>
        </w:rPr>
      </w:pPr>
      <w:r>
        <w:rPr>
          <w:rStyle w:val="FootnoteReference"/>
        </w:rPr>
        <w:footnoteRef/>
      </w:r>
      <w:r>
        <w:t xml:space="preserve"> </w:t>
      </w:r>
      <w:r w:rsidRPr="00071330">
        <w:t>Christopher Bertram</w:t>
      </w:r>
      <w:r>
        <w:t>,</w:t>
      </w:r>
      <w:r w:rsidRPr="00071330">
        <w:t xml:space="preserve"> </w:t>
      </w:r>
      <w:r w:rsidRPr="00071330">
        <w:rPr>
          <w:i/>
        </w:rPr>
        <w:t>Rousseau and the Social Contract</w:t>
      </w:r>
      <w:r>
        <w:t xml:space="preserve"> (London: Routledge, 2004), p.</w:t>
      </w:r>
      <w:r w:rsidR="00AD59EC">
        <w:t xml:space="preserve"> </w:t>
      </w:r>
      <w:r>
        <w:t>30.</w:t>
      </w:r>
    </w:p>
  </w:footnote>
  <w:footnote w:id="8">
    <w:p w:rsidR="00C52B0A" w:rsidRPr="00A56EB4" w:rsidRDefault="00C52B0A" w:rsidP="00C52B0A">
      <w:pPr>
        <w:pStyle w:val="FootnoteText"/>
        <w:rPr>
          <w:lang w:val="fr-FR"/>
        </w:rPr>
      </w:pPr>
      <w:r>
        <w:rPr>
          <w:rStyle w:val="FootnoteReference"/>
        </w:rPr>
        <w:footnoteRef/>
      </w:r>
      <w:r>
        <w:t xml:space="preserve"> </w:t>
      </w:r>
      <w:r w:rsidRPr="00A56EB4">
        <w:t xml:space="preserve">Annette Baier, </w:t>
      </w:r>
      <w:r w:rsidRPr="00A56EB4">
        <w:rPr>
          <w:i/>
        </w:rPr>
        <w:t>Moral Prejudices, Essays on Ethics</w:t>
      </w:r>
      <w:r>
        <w:t xml:space="preserve"> </w:t>
      </w:r>
      <w:r w:rsidRPr="00A56EB4">
        <w:t>(Cambridge: Harvard U</w:t>
      </w:r>
      <w:r>
        <w:t xml:space="preserve">niversity </w:t>
      </w:r>
      <w:r w:rsidRPr="00A56EB4">
        <w:t>P</w:t>
      </w:r>
      <w:r>
        <w:t>ress</w:t>
      </w:r>
      <w:r w:rsidRPr="00A56EB4">
        <w:t>, 1994</w:t>
      </w:r>
      <w:r>
        <w:t>), p.</w:t>
      </w:r>
      <w:r w:rsidR="00AD59EC">
        <w:t xml:space="preserve"> </w:t>
      </w:r>
      <w:r>
        <w:t>156.</w:t>
      </w:r>
    </w:p>
  </w:footnote>
  <w:footnote w:id="9">
    <w:p w:rsidR="00C52B0A" w:rsidRPr="00DB1A26" w:rsidRDefault="00C52B0A" w:rsidP="00C52B0A">
      <w:pPr>
        <w:pStyle w:val="FootnoteText"/>
        <w:rPr>
          <w:lang w:val="fr-FR"/>
        </w:rPr>
      </w:pPr>
      <w:r>
        <w:rPr>
          <w:rStyle w:val="FootnoteReference"/>
        </w:rPr>
        <w:footnoteRef/>
      </w:r>
      <w:r>
        <w:t xml:space="preserve"> Thomas Nagel, </w:t>
      </w:r>
      <w:r w:rsidR="00C50BD4">
        <w:t>‘</w:t>
      </w:r>
      <w:r w:rsidRPr="00C50BD4">
        <w:t>Hobbes on Obligation</w:t>
      </w:r>
      <w:r w:rsidR="00C50BD4">
        <w:t>’</w:t>
      </w:r>
      <w:r>
        <w:t xml:space="preserve">, </w:t>
      </w:r>
      <w:r w:rsidR="00C50BD4" w:rsidRPr="00C50BD4">
        <w:rPr>
          <w:i/>
        </w:rPr>
        <w:t>T</w:t>
      </w:r>
      <w:r w:rsidRPr="00C50BD4">
        <w:rPr>
          <w:i/>
        </w:rPr>
        <w:t>he Philosophical Review</w:t>
      </w:r>
      <w:r>
        <w:t>,</w:t>
      </w:r>
      <w:r w:rsidRPr="00DB1A26">
        <w:t xml:space="preserve"> v</w:t>
      </w:r>
      <w:r>
        <w:t>ol. 68/I (1959), pp. 68-83, p.</w:t>
      </w:r>
      <w:r w:rsidR="00AD59EC">
        <w:t xml:space="preserve"> </w:t>
      </w:r>
      <w:r>
        <w:t>74.</w:t>
      </w:r>
    </w:p>
  </w:footnote>
  <w:footnote w:id="10">
    <w:p w:rsidR="00C52B0A" w:rsidRPr="0099173A" w:rsidRDefault="00C52B0A" w:rsidP="00C52B0A">
      <w:pPr>
        <w:pStyle w:val="FootnoteText"/>
        <w:rPr>
          <w:lang w:val="fr-FR"/>
        </w:rPr>
      </w:pPr>
      <w:r>
        <w:rPr>
          <w:rStyle w:val="FootnoteReference"/>
        </w:rPr>
        <w:footnoteRef/>
      </w:r>
      <w:r>
        <w:t xml:space="preserve"> </w:t>
      </w:r>
      <w:r w:rsidRPr="0099173A">
        <w:t>Andrew Levine</w:t>
      </w:r>
      <w:r>
        <w:t xml:space="preserve">, </w:t>
      </w:r>
      <w:r w:rsidRPr="00EA15BB">
        <w:rPr>
          <w:i/>
        </w:rPr>
        <w:t>Engaging Political Philosophy from Hobbes to Rawls</w:t>
      </w:r>
      <w:r>
        <w:t xml:space="preserve"> (Oxford: Blackwell, 2002), p.</w:t>
      </w:r>
      <w:r w:rsidR="00AD59EC">
        <w:t xml:space="preserve"> </w:t>
      </w:r>
      <w:r>
        <w:t>19.</w:t>
      </w:r>
    </w:p>
  </w:footnote>
  <w:footnote w:id="11">
    <w:p w:rsidR="00C52B0A" w:rsidRPr="00EA15BB" w:rsidRDefault="00C52B0A" w:rsidP="00C52B0A">
      <w:pPr>
        <w:pStyle w:val="FootnoteText"/>
        <w:rPr>
          <w:lang w:val="fr-FR"/>
        </w:rPr>
      </w:pPr>
      <w:r>
        <w:rPr>
          <w:rStyle w:val="FootnoteReference"/>
        </w:rPr>
        <w:footnoteRef/>
      </w:r>
      <w:r>
        <w:t xml:space="preserve"> </w:t>
      </w:r>
      <w:r w:rsidRPr="00EA15BB">
        <w:t>Jean Hampton</w:t>
      </w:r>
      <w:r>
        <w:t xml:space="preserve">, </w:t>
      </w:r>
      <w:r w:rsidRPr="00EA15BB">
        <w:rPr>
          <w:i/>
        </w:rPr>
        <w:t>Hobbes and the Social Contract Tradition</w:t>
      </w:r>
      <w:r>
        <w:t xml:space="preserve"> (</w:t>
      </w:r>
      <w:r w:rsidRPr="00EA15BB">
        <w:t>New York: Cambridge University Press, 1986</w:t>
      </w:r>
      <w:r>
        <w:t>).</w:t>
      </w:r>
    </w:p>
  </w:footnote>
  <w:footnote w:id="12">
    <w:p w:rsidR="00C52B0A" w:rsidRPr="00AD1C5C" w:rsidRDefault="00C52B0A" w:rsidP="00C52B0A">
      <w:pPr>
        <w:pStyle w:val="FootnoteText"/>
        <w:rPr>
          <w:lang w:val="fr-FR"/>
        </w:rPr>
      </w:pPr>
      <w:r>
        <w:rPr>
          <w:rStyle w:val="FootnoteReference"/>
        </w:rPr>
        <w:footnoteRef/>
      </w:r>
      <w:r>
        <w:t xml:space="preserve"> </w:t>
      </w:r>
      <w:r w:rsidRPr="00B641D3">
        <w:t xml:space="preserve">William Godwin, </w:t>
      </w:r>
      <w:r w:rsidRPr="00B641D3">
        <w:rPr>
          <w:i/>
        </w:rPr>
        <w:t>An Enquiry Concerning Political Justice</w:t>
      </w:r>
      <w:r>
        <w:t>, ed. by Mark Philp (Oxford</w:t>
      </w:r>
      <w:r w:rsidRPr="00B641D3">
        <w:t>: Oxford University Press, 2013), p.</w:t>
      </w:r>
      <w:r w:rsidR="00AD59EC">
        <w:t xml:space="preserve"> </w:t>
      </w:r>
      <w:r w:rsidRPr="00B641D3">
        <w:t>84.</w:t>
      </w:r>
    </w:p>
  </w:footnote>
  <w:footnote w:id="13">
    <w:p w:rsidR="00C52B0A" w:rsidRPr="00AD1C5C" w:rsidRDefault="00C52B0A" w:rsidP="00C52B0A">
      <w:pPr>
        <w:pStyle w:val="FootnoteText"/>
        <w:rPr>
          <w:lang w:val="fr-FR"/>
        </w:rPr>
      </w:pPr>
      <w:r>
        <w:rPr>
          <w:rStyle w:val="FootnoteReference"/>
        </w:rPr>
        <w:footnoteRef/>
      </w:r>
      <w:r>
        <w:t xml:space="preserve"> </w:t>
      </w:r>
      <w:r w:rsidRPr="00C664E6">
        <w:rPr>
          <w:i/>
          <w:lang w:val="fr-FR"/>
        </w:rPr>
        <w:t>Ibid</w:t>
      </w:r>
      <w:r>
        <w:rPr>
          <w:lang w:val="fr-FR"/>
        </w:rPr>
        <w:t>.</w:t>
      </w:r>
    </w:p>
  </w:footnote>
  <w:footnote w:id="14">
    <w:p w:rsidR="00B308B0" w:rsidRPr="00B308B0" w:rsidRDefault="00B308B0">
      <w:pPr>
        <w:pStyle w:val="FootnoteText"/>
        <w:rPr>
          <w:lang w:val="fr-FR"/>
        </w:rPr>
      </w:pPr>
      <w:r>
        <w:rPr>
          <w:rStyle w:val="FootnoteReference"/>
        </w:rPr>
        <w:footnoteRef/>
      </w:r>
      <w:r>
        <w:t xml:space="preserve"> </w:t>
      </w:r>
      <w:r w:rsidRPr="007264EA">
        <w:t>David Hume</w:t>
      </w:r>
      <w:r>
        <w:t xml:space="preserve">, </w:t>
      </w:r>
      <w:r w:rsidR="005D722B">
        <w:t>‘</w:t>
      </w:r>
      <w:r w:rsidRPr="00B308B0">
        <w:t xml:space="preserve">Of </w:t>
      </w:r>
      <w:r w:rsidR="005D722B">
        <w:t>t</w:t>
      </w:r>
      <w:r w:rsidRPr="00B308B0">
        <w:t xml:space="preserve">he </w:t>
      </w:r>
      <w:r w:rsidR="005D722B">
        <w:t>o</w:t>
      </w:r>
      <w:r w:rsidRPr="00B308B0">
        <w:t xml:space="preserve">riginal </w:t>
      </w:r>
      <w:r w:rsidR="005D722B">
        <w:t>c</w:t>
      </w:r>
      <w:r w:rsidRPr="00B308B0">
        <w:t>ontract</w:t>
      </w:r>
      <w:r w:rsidR="005D722B">
        <w:t xml:space="preserve">’, in </w:t>
      </w:r>
      <w:r w:rsidR="005D722B" w:rsidRPr="005D722B">
        <w:rPr>
          <w:i/>
        </w:rPr>
        <w:t>Political Essays</w:t>
      </w:r>
      <w:r w:rsidR="005D722B">
        <w:t xml:space="preserve">, </w:t>
      </w:r>
      <w:r w:rsidR="005D722B" w:rsidRPr="005D722B">
        <w:t>ed. by Knud Haakonssen (Cambridge</w:t>
      </w:r>
      <w:r w:rsidR="005D722B">
        <w:t xml:space="preserve">: </w:t>
      </w:r>
      <w:r w:rsidR="005D722B" w:rsidRPr="005D722B">
        <w:t>Cambridge University Press, 2008),</w:t>
      </w:r>
      <w:r>
        <w:rPr>
          <w:lang w:val="fr-FR"/>
        </w:rPr>
        <w:t xml:space="preserve"> p.</w:t>
      </w:r>
      <w:r w:rsidR="00AD59EC">
        <w:rPr>
          <w:lang w:val="fr-FR"/>
        </w:rPr>
        <w:t xml:space="preserve"> </w:t>
      </w:r>
      <w:r>
        <w:rPr>
          <w:lang w:val="fr-FR"/>
        </w:rPr>
        <w:t>192.</w:t>
      </w:r>
    </w:p>
  </w:footnote>
  <w:footnote w:id="15">
    <w:p w:rsidR="00C52B0A" w:rsidRPr="007264EA" w:rsidRDefault="00C52B0A" w:rsidP="00C52B0A">
      <w:pPr>
        <w:pStyle w:val="FootnoteText"/>
        <w:rPr>
          <w:lang w:val="fr-FR"/>
        </w:rPr>
      </w:pPr>
      <w:r>
        <w:rPr>
          <w:rStyle w:val="FootnoteReference"/>
        </w:rPr>
        <w:footnoteRef/>
      </w:r>
      <w:r>
        <w:t xml:space="preserve"> </w:t>
      </w:r>
      <w:r w:rsidRPr="007264EA">
        <w:t xml:space="preserve">David Hume, </w:t>
      </w:r>
      <w:r w:rsidRPr="007264EA">
        <w:rPr>
          <w:i/>
        </w:rPr>
        <w:t>A Treatise of Human Nature</w:t>
      </w:r>
      <w:r w:rsidRPr="007264EA">
        <w:t>, ed. by L.A. Selby-Bigge (Oxford: Clarendon Press, 1896)</w:t>
      </w:r>
      <w:r>
        <w:t>, p</w:t>
      </w:r>
      <w:r>
        <w:rPr>
          <w:lang w:val="fr-FR"/>
        </w:rPr>
        <w:t>.</w:t>
      </w:r>
      <w:r w:rsidR="00AD59EC">
        <w:rPr>
          <w:lang w:val="fr-FR"/>
        </w:rPr>
        <w:t xml:space="preserve"> </w:t>
      </w:r>
      <w:r>
        <w:rPr>
          <w:lang w:val="fr-FR"/>
        </w:rPr>
        <w:t>208.</w:t>
      </w:r>
    </w:p>
  </w:footnote>
  <w:footnote w:id="16">
    <w:p w:rsidR="00C52B0A" w:rsidRPr="007D742B" w:rsidRDefault="00C52B0A" w:rsidP="00C52B0A">
      <w:pPr>
        <w:pStyle w:val="FootnoteText"/>
        <w:rPr>
          <w:lang w:val="fr-FR"/>
        </w:rPr>
      </w:pPr>
      <w:r>
        <w:rPr>
          <w:rStyle w:val="FootnoteReference"/>
        </w:rPr>
        <w:footnoteRef/>
      </w:r>
      <w:r>
        <w:t xml:space="preserve"> </w:t>
      </w:r>
      <w:r w:rsidR="00343900" w:rsidRPr="00B641D3">
        <w:t xml:space="preserve">Godwin, </w:t>
      </w:r>
      <w:r w:rsidR="007E6863" w:rsidRPr="007E6863">
        <w:rPr>
          <w:i/>
        </w:rPr>
        <w:t>op. cit.,</w:t>
      </w:r>
      <w:r w:rsidR="007E6863">
        <w:rPr>
          <w:i/>
        </w:rPr>
        <w:t xml:space="preserve"> </w:t>
      </w:r>
      <w:r w:rsidR="00343900" w:rsidRPr="00B641D3">
        <w:t>p.</w:t>
      </w:r>
      <w:r w:rsidR="00AD59EC">
        <w:t xml:space="preserve"> </w:t>
      </w:r>
      <w:r>
        <w:rPr>
          <w:lang w:val="fr-FR"/>
        </w:rPr>
        <w:t>86.</w:t>
      </w:r>
    </w:p>
  </w:footnote>
  <w:footnote w:id="17">
    <w:p w:rsidR="00C52B0A" w:rsidRPr="0055345B" w:rsidRDefault="00C52B0A" w:rsidP="00C52B0A">
      <w:pPr>
        <w:pStyle w:val="FootnoteText"/>
        <w:rPr>
          <w:lang w:val="fr-FR"/>
        </w:rPr>
      </w:pPr>
      <w:r>
        <w:rPr>
          <w:rStyle w:val="FootnoteReference"/>
        </w:rPr>
        <w:footnoteRef/>
      </w:r>
      <w:r>
        <w:t xml:space="preserve"> </w:t>
      </w:r>
      <w:r w:rsidRPr="0055345B">
        <w:t xml:space="preserve">Alan Goldman, </w:t>
      </w:r>
      <w:r w:rsidRPr="0055345B">
        <w:rPr>
          <w:i/>
        </w:rPr>
        <w:t>Moral Knowledge</w:t>
      </w:r>
      <w:r>
        <w:t xml:space="preserve"> (London: Routledge, 1988), p.</w:t>
      </w:r>
      <w:r w:rsidR="00AD59EC">
        <w:t xml:space="preserve"> </w:t>
      </w:r>
      <w:r w:rsidRPr="0055345B">
        <w:t>37.</w:t>
      </w:r>
    </w:p>
  </w:footnote>
  <w:footnote w:id="18">
    <w:p w:rsidR="00C52B0A" w:rsidRPr="000C4BC7" w:rsidRDefault="00C52B0A" w:rsidP="00C52B0A">
      <w:pPr>
        <w:pStyle w:val="FootnoteText"/>
        <w:rPr>
          <w:lang w:val="fr-FR"/>
        </w:rPr>
      </w:pPr>
      <w:r>
        <w:rPr>
          <w:rStyle w:val="FootnoteReference"/>
        </w:rPr>
        <w:footnoteRef/>
      </w:r>
      <w:r>
        <w:t xml:space="preserve"> </w:t>
      </w:r>
      <w:r w:rsidRPr="000C4BC7">
        <w:t xml:space="preserve">Kurt Baier, </w:t>
      </w:r>
      <w:r w:rsidRPr="000C4BC7">
        <w:rPr>
          <w:i/>
        </w:rPr>
        <w:t>The Rational and the Moral Order: The Social Roots of Reason and Morality</w:t>
      </w:r>
      <w:r w:rsidR="002B09E4">
        <w:rPr>
          <w:i/>
        </w:rPr>
        <w:t>,</w:t>
      </w:r>
      <w:r w:rsidR="00DD3F7E">
        <w:t xml:space="preserve"> (</w:t>
      </w:r>
      <w:r w:rsidRPr="000C4BC7">
        <w:t>La</w:t>
      </w:r>
      <w:r w:rsidR="00FA1048">
        <w:t xml:space="preserve"> </w:t>
      </w:r>
      <w:r w:rsidRPr="000C4BC7">
        <w:t>Salle: Open Court</w:t>
      </w:r>
      <w:r>
        <w:t>, 1995), p.</w:t>
      </w:r>
      <w:r w:rsidR="00AD59EC">
        <w:t xml:space="preserve"> </w:t>
      </w:r>
      <w:r>
        <w:t>172.</w:t>
      </w:r>
    </w:p>
  </w:footnote>
  <w:footnote w:id="19">
    <w:p w:rsidR="00DC46CE" w:rsidRPr="00D64501" w:rsidRDefault="00DC46CE" w:rsidP="00DC46CE">
      <w:pPr>
        <w:pStyle w:val="FootnoteText"/>
        <w:rPr>
          <w:lang w:val="fr-FR"/>
        </w:rPr>
      </w:pPr>
      <w:r>
        <w:rPr>
          <w:rStyle w:val="FootnoteReference"/>
        </w:rPr>
        <w:footnoteRef/>
      </w:r>
      <w:r>
        <w:t xml:space="preserve"> </w:t>
      </w:r>
      <w:r w:rsidRPr="00D64501">
        <w:t xml:space="preserve">Spinoza, </w:t>
      </w:r>
      <w:r w:rsidRPr="00D64501">
        <w:rPr>
          <w:i/>
        </w:rPr>
        <w:t>Complete Works</w:t>
      </w:r>
      <w:r>
        <w:t xml:space="preserve">, ed. by </w:t>
      </w:r>
      <w:r w:rsidRPr="00D64501">
        <w:t xml:space="preserve">Michael L. Morgan </w:t>
      </w:r>
      <w:r>
        <w:t>(</w:t>
      </w:r>
      <w:r w:rsidRPr="00D64501">
        <w:t>Indianapolis</w:t>
      </w:r>
      <w:r>
        <w:t xml:space="preserve">: </w:t>
      </w:r>
      <w:r w:rsidRPr="00D64501">
        <w:t>Hackett Publishing Company</w:t>
      </w:r>
      <w:r>
        <w:t>, 2002), p. 337.</w:t>
      </w:r>
    </w:p>
  </w:footnote>
  <w:footnote w:id="20">
    <w:p w:rsidR="00DC46CE" w:rsidRPr="006E1505" w:rsidRDefault="00DC46CE" w:rsidP="00DC46CE">
      <w:pPr>
        <w:pStyle w:val="FootnoteText"/>
        <w:rPr>
          <w:lang w:val="fr-FR"/>
        </w:rPr>
      </w:pPr>
      <w:r>
        <w:rPr>
          <w:rStyle w:val="FootnoteReference"/>
        </w:rPr>
        <w:footnoteRef/>
      </w:r>
      <w:r>
        <w:t xml:space="preserve"> </w:t>
      </w:r>
      <w:r w:rsidRPr="009B4115">
        <w:t xml:space="preserve">John Rawls, </w:t>
      </w:r>
      <w:r w:rsidRPr="004C6C6D">
        <w:rPr>
          <w:i/>
        </w:rPr>
        <w:t>A Theory of Justice</w:t>
      </w:r>
      <w:r w:rsidRPr="009B4115">
        <w:t>, 2nd edn (Cambridge: Harvard University Press, 1991), p. 53.</w:t>
      </w:r>
    </w:p>
  </w:footnote>
  <w:footnote w:id="21">
    <w:p w:rsidR="00DC46CE" w:rsidRPr="00EB5570" w:rsidRDefault="00DC46CE" w:rsidP="00DC46CE">
      <w:pPr>
        <w:pStyle w:val="FootnoteText"/>
        <w:rPr>
          <w:lang w:val="fr-FR"/>
        </w:rPr>
      </w:pPr>
      <w:r>
        <w:rPr>
          <w:rStyle w:val="FootnoteReference"/>
        </w:rPr>
        <w:footnoteRef/>
      </w:r>
      <w:r>
        <w:t xml:space="preserve"> </w:t>
      </w:r>
      <w:r w:rsidRPr="00016832">
        <w:rPr>
          <w:i/>
          <w:lang w:val="fr-FR"/>
        </w:rPr>
        <w:t>Ibid</w:t>
      </w:r>
      <w:r>
        <w:rPr>
          <w:lang w:val="fr-FR"/>
        </w:rPr>
        <w:t>., p. 72.</w:t>
      </w:r>
    </w:p>
  </w:footnote>
  <w:footnote w:id="22">
    <w:p w:rsidR="00DC46CE" w:rsidRPr="00EB5570" w:rsidRDefault="00DC46CE" w:rsidP="00DC46CE">
      <w:pPr>
        <w:pStyle w:val="FootnoteText"/>
        <w:rPr>
          <w:lang w:val="fr-FR"/>
        </w:rPr>
      </w:pPr>
      <w:r>
        <w:rPr>
          <w:rStyle w:val="FootnoteReference"/>
        </w:rPr>
        <w:footnoteRef/>
      </w:r>
      <w:r>
        <w:t xml:space="preserve"> </w:t>
      </w:r>
      <w:r w:rsidRPr="00016832">
        <w:rPr>
          <w:i/>
          <w:lang w:val="fr-FR"/>
        </w:rPr>
        <w:t>Ibid</w:t>
      </w:r>
      <w:r>
        <w:rPr>
          <w:lang w:val="fr-FR"/>
        </w:rPr>
        <w:t>.</w:t>
      </w:r>
    </w:p>
  </w:footnote>
  <w:footnote w:id="23">
    <w:p w:rsidR="00DC46CE" w:rsidRPr="00D541DC" w:rsidRDefault="00DC46CE" w:rsidP="00DC46CE">
      <w:pPr>
        <w:pStyle w:val="FootnoteText"/>
        <w:rPr>
          <w:lang w:val="fr-FR"/>
        </w:rPr>
      </w:pPr>
      <w:r>
        <w:rPr>
          <w:rStyle w:val="FootnoteReference"/>
        </w:rPr>
        <w:footnoteRef/>
      </w:r>
      <w:r>
        <w:t xml:space="preserve"> </w:t>
      </w:r>
      <w:r w:rsidRPr="00D541DC">
        <w:t>Joshua Cohen</w:t>
      </w:r>
      <w:r>
        <w:t>,</w:t>
      </w:r>
      <w:r w:rsidRPr="00D541DC">
        <w:t xml:space="preserve"> </w:t>
      </w:r>
      <w:r>
        <w:t>‘</w:t>
      </w:r>
      <w:r w:rsidRPr="00D541DC">
        <w:t>The original position and Scanlon’s contractualism</w:t>
      </w:r>
      <w:r>
        <w:t xml:space="preserve">’, in </w:t>
      </w:r>
      <w:r w:rsidRPr="005E7FE5">
        <w:rPr>
          <w:i/>
        </w:rPr>
        <w:t>The Original Position</w:t>
      </w:r>
      <w:r>
        <w:t xml:space="preserve">, ed. by Timothy Hinton (Cambridge: </w:t>
      </w:r>
      <w:r w:rsidRPr="005E7FE5">
        <w:t>Cambridge University Press</w:t>
      </w:r>
      <w:r>
        <w:t xml:space="preserve">, 2015), p. 181. </w:t>
      </w:r>
    </w:p>
  </w:footnote>
  <w:footnote w:id="24">
    <w:p w:rsidR="00DC46CE" w:rsidRPr="00817CE0" w:rsidRDefault="00DC46CE" w:rsidP="00DC46CE">
      <w:pPr>
        <w:pStyle w:val="FootnoteText"/>
        <w:rPr>
          <w:lang w:val="fr-FR"/>
        </w:rPr>
      </w:pPr>
      <w:r>
        <w:rPr>
          <w:rStyle w:val="FootnoteReference"/>
        </w:rPr>
        <w:footnoteRef/>
      </w:r>
      <w:r>
        <w:t xml:space="preserve"> </w:t>
      </w:r>
      <w:r w:rsidRPr="009B4115">
        <w:t xml:space="preserve">Rawls, </w:t>
      </w:r>
      <w:r>
        <w:rPr>
          <w:i/>
        </w:rPr>
        <w:t>op. cit.</w:t>
      </w:r>
      <w:r w:rsidRPr="009B4115">
        <w:t xml:space="preserve">, p. </w:t>
      </w:r>
      <w:r>
        <w:t>11</w:t>
      </w:r>
      <w:r w:rsidRPr="009B4115">
        <w:t>.</w:t>
      </w:r>
    </w:p>
  </w:footnote>
  <w:footnote w:id="25">
    <w:p w:rsidR="00DC46CE" w:rsidRPr="001D3B6D" w:rsidRDefault="00DC46CE" w:rsidP="00DC46CE">
      <w:pPr>
        <w:pStyle w:val="FootnoteText"/>
        <w:rPr>
          <w:lang w:val="fr-FR"/>
        </w:rPr>
      </w:pPr>
      <w:r>
        <w:rPr>
          <w:rStyle w:val="FootnoteReference"/>
        </w:rPr>
        <w:footnoteRef/>
      </w:r>
      <w:r>
        <w:t xml:space="preserve"> </w:t>
      </w:r>
      <w:r w:rsidRPr="009B4115">
        <w:t xml:space="preserve">John Rawls, </w:t>
      </w:r>
      <w:r w:rsidRPr="004C6C6D">
        <w:rPr>
          <w:i/>
        </w:rPr>
        <w:t>A Theory of Justice</w:t>
      </w:r>
      <w:r w:rsidRPr="009B4115">
        <w:t>, 2nd edn (Cambridge: Harvar</w:t>
      </w:r>
      <w:r>
        <w:t>d University Press, 1991), p. 79</w:t>
      </w:r>
      <w:r w:rsidRPr="009B4115">
        <w:t>.</w:t>
      </w:r>
    </w:p>
  </w:footnote>
  <w:footnote w:id="26">
    <w:p w:rsidR="00DC46CE" w:rsidRPr="00CC5059" w:rsidRDefault="00DC46CE" w:rsidP="00DC46CE">
      <w:pPr>
        <w:pStyle w:val="FootnoteText"/>
        <w:rPr>
          <w:lang w:val="fr-FR"/>
        </w:rPr>
      </w:pPr>
      <w:r>
        <w:rPr>
          <w:rStyle w:val="FootnoteReference"/>
        </w:rPr>
        <w:footnoteRef/>
      </w:r>
      <w:r>
        <w:t xml:space="preserve"> Michael J. Sandel, </w:t>
      </w:r>
      <w:r w:rsidRPr="00CC5059">
        <w:rPr>
          <w:i/>
        </w:rPr>
        <w:t>Liberalism and the Limits of Justice</w:t>
      </w:r>
      <w:r w:rsidRPr="009B4115">
        <w:t>, 2nd edn</w:t>
      </w:r>
      <w:r>
        <w:t xml:space="preserve"> (Cambridge: </w:t>
      </w:r>
      <w:r w:rsidRPr="00CC5059">
        <w:t>Cambridge University Press</w:t>
      </w:r>
      <w:r>
        <w:t>, 1998),</w:t>
      </w:r>
      <w:r w:rsidRPr="00CC5059">
        <w:t xml:space="preserve"> </w:t>
      </w:r>
      <w:r>
        <w:rPr>
          <w:lang w:val="fr-FR"/>
        </w:rPr>
        <w:t>p. 27.</w:t>
      </w:r>
    </w:p>
  </w:footnote>
  <w:footnote w:id="27">
    <w:p w:rsidR="00DC46CE" w:rsidRPr="00942669" w:rsidRDefault="00DC46CE" w:rsidP="00DC46CE">
      <w:pPr>
        <w:pStyle w:val="FootnoteText"/>
        <w:rPr>
          <w:lang w:val="fr-FR"/>
        </w:rPr>
      </w:pPr>
      <w:r>
        <w:rPr>
          <w:rStyle w:val="FootnoteReference"/>
        </w:rPr>
        <w:footnoteRef/>
      </w:r>
      <w:r>
        <w:t xml:space="preserve"> </w:t>
      </w:r>
      <w:r w:rsidRPr="00B1110E">
        <w:t>Amartya Sen</w:t>
      </w:r>
      <w:r>
        <w:t>,</w:t>
      </w:r>
      <w:r w:rsidRPr="00B1110E">
        <w:t xml:space="preserve"> </w:t>
      </w:r>
      <w:r w:rsidRPr="00B1110E">
        <w:rPr>
          <w:i/>
        </w:rPr>
        <w:t>The Idea of Justice</w:t>
      </w:r>
      <w:r>
        <w:t xml:space="preserve"> </w:t>
      </w:r>
      <w:r w:rsidRPr="009B4115">
        <w:t>(Cambridge: Harvar</w:t>
      </w:r>
      <w:r>
        <w:t>d University Press, 2009), p.</w:t>
      </w:r>
      <w:r w:rsidRPr="00B1110E">
        <w:t xml:space="preserve"> 1</w:t>
      </w:r>
      <w:r>
        <w:t>2.</w:t>
      </w:r>
    </w:p>
  </w:footnote>
  <w:footnote w:id="28">
    <w:p w:rsidR="00DC46CE" w:rsidRPr="00B1110E" w:rsidRDefault="00DC46CE" w:rsidP="00DC46CE">
      <w:pPr>
        <w:pStyle w:val="FootnoteText"/>
        <w:rPr>
          <w:lang w:val="fr-FR"/>
        </w:rPr>
      </w:pPr>
      <w:r>
        <w:rPr>
          <w:rStyle w:val="FootnoteReference"/>
        </w:rPr>
        <w:footnoteRef/>
      </w:r>
      <w:r>
        <w:t xml:space="preserve"> </w:t>
      </w:r>
      <w:r w:rsidRPr="00016832">
        <w:rPr>
          <w:i/>
        </w:rPr>
        <w:t>Ibid</w:t>
      </w:r>
      <w:r>
        <w:t>., p.</w:t>
      </w:r>
      <w:r w:rsidRPr="00B1110E">
        <w:t xml:space="preserve"> 104</w:t>
      </w:r>
      <w:r>
        <w:t>.</w:t>
      </w:r>
    </w:p>
  </w:footnote>
  <w:footnote w:id="29">
    <w:p w:rsidR="00DC46CE" w:rsidRPr="00E96A24" w:rsidRDefault="00DC46CE" w:rsidP="00DC46CE">
      <w:pPr>
        <w:pStyle w:val="FootnoteText"/>
        <w:rPr>
          <w:lang w:val="fr-FR"/>
        </w:rPr>
      </w:pPr>
      <w:r>
        <w:rPr>
          <w:rStyle w:val="FootnoteReference"/>
        </w:rPr>
        <w:footnoteRef/>
      </w:r>
      <w:r>
        <w:t xml:space="preserve"> </w:t>
      </w:r>
      <w:r w:rsidRPr="00016832">
        <w:rPr>
          <w:i/>
        </w:rPr>
        <w:t>Ibid</w:t>
      </w:r>
      <w:r>
        <w:t>., p. 128.</w:t>
      </w:r>
    </w:p>
  </w:footnote>
  <w:footnote w:id="30">
    <w:p w:rsidR="00DC46CE" w:rsidRPr="00E74364" w:rsidRDefault="00DC46CE" w:rsidP="00DC46CE">
      <w:pPr>
        <w:pStyle w:val="FootnoteText"/>
        <w:rPr>
          <w:lang w:val="fr-FR"/>
        </w:rPr>
      </w:pPr>
      <w:r>
        <w:rPr>
          <w:rStyle w:val="FootnoteReference"/>
        </w:rPr>
        <w:footnoteRef/>
      </w:r>
      <w:r>
        <w:t xml:space="preserve"> </w:t>
      </w:r>
      <w:r w:rsidRPr="009B4115">
        <w:t>Rawls</w:t>
      </w:r>
      <w:r>
        <w:t xml:space="preserve">, </w:t>
      </w:r>
      <w:r>
        <w:rPr>
          <w:i/>
        </w:rPr>
        <w:t>op. cit.</w:t>
      </w:r>
      <w:r w:rsidRPr="009B4115">
        <w:t xml:space="preserve">, </w:t>
      </w:r>
      <w:r>
        <w:t>p. 20.</w:t>
      </w:r>
    </w:p>
  </w:footnote>
  <w:footnote w:id="31">
    <w:p w:rsidR="00DC46CE" w:rsidRPr="00A3459C" w:rsidRDefault="00DC46CE" w:rsidP="00DC46CE">
      <w:pPr>
        <w:pStyle w:val="FootnoteText"/>
        <w:rPr>
          <w:lang w:val="fr-FR"/>
        </w:rPr>
      </w:pPr>
      <w:r>
        <w:rPr>
          <w:rStyle w:val="FootnoteReference"/>
        </w:rPr>
        <w:footnoteRef/>
      </w:r>
      <w:r>
        <w:t xml:space="preserve"> Rawls, </w:t>
      </w:r>
      <w:r>
        <w:rPr>
          <w:i/>
        </w:rPr>
        <w:t>op. cit.</w:t>
      </w:r>
      <w:r w:rsidRPr="009B4115">
        <w:t xml:space="preserve">, </w:t>
      </w:r>
      <w:r>
        <w:t>p. 79.</w:t>
      </w:r>
    </w:p>
  </w:footnote>
  <w:footnote w:id="32">
    <w:p w:rsidR="00DC46CE" w:rsidRPr="00A3459C" w:rsidRDefault="00DC46CE" w:rsidP="00DC46CE">
      <w:pPr>
        <w:pStyle w:val="FootnoteText"/>
        <w:rPr>
          <w:lang w:val="fr-FR"/>
        </w:rPr>
      </w:pPr>
      <w:r>
        <w:rPr>
          <w:rStyle w:val="FootnoteReference"/>
        </w:rPr>
        <w:footnoteRef/>
      </w:r>
      <w:r>
        <w:t xml:space="preserve"> Sandel,</w:t>
      </w:r>
      <w:r w:rsidRPr="00CC5059">
        <w:t xml:space="preserve"> </w:t>
      </w:r>
      <w:r>
        <w:rPr>
          <w:i/>
        </w:rPr>
        <w:t>op. cit.</w:t>
      </w:r>
      <w:r w:rsidRPr="009B4115">
        <w:t xml:space="preserve">, </w:t>
      </w:r>
      <w:r>
        <w:rPr>
          <w:lang w:val="fr-FR"/>
        </w:rPr>
        <w:t>p. 27.</w:t>
      </w:r>
    </w:p>
  </w:footnote>
  <w:footnote w:id="33">
    <w:p w:rsidR="00DC46CE" w:rsidRPr="003E4D5D" w:rsidRDefault="00DC46CE" w:rsidP="00DC46CE">
      <w:pPr>
        <w:pStyle w:val="FootnoteText"/>
        <w:rPr>
          <w:lang w:val="fr-FR"/>
        </w:rPr>
      </w:pPr>
      <w:r>
        <w:rPr>
          <w:rStyle w:val="FootnoteReference"/>
        </w:rPr>
        <w:footnoteRef/>
      </w:r>
      <w:r>
        <w:t xml:space="preserve"> </w:t>
      </w:r>
      <w:r w:rsidRPr="003E4D5D">
        <w:t>T</w:t>
      </w:r>
      <w:r>
        <w:t xml:space="preserve">homas </w:t>
      </w:r>
      <w:r w:rsidRPr="003E4D5D">
        <w:t>M. Scanlon</w:t>
      </w:r>
      <w:r>
        <w:t>, ‘Contractualism and Utilitarianism’, in A. Sen &amp; B. Williams</w:t>
      </w:r>
      <w:r w:rsidRPr="0095771B">
        <w:rPr>
          <w:i/>
        </w:rPr>
        <w:t>, Utilitarianism and</w:t>
      </w:r>
      <w:r>
        <w:rPr>
          <w:i/>
        </w:rPr>
        <w:t xml:space="preserve"> </w:t>
      </w:r>
      <w:r w:rsidRPr="0095771B">
        <w:rPr>
          <w:i/>
        </w:rPr>
        <w:t>beyond</w:t>
      </w:r>
      <w:r>
        <w:t xml:space="preserve"> (Cambridge: Cambridge University Press, 1982, 103–128), p. 127.</w:t>
      </w:r>
    </w:p>
  </w:footnote>
  <w:footnote w:id="34">
    <w:p w:rsidR="00DC46CE" w:rsidRPr="00D90D2A" w:rsidRDefault="00DC46CE" w:rsidP="00DC46CE">
      <w:pPr>
        <w:pStyle w:val="FootnoteText"/>
        <w:rPr>
          <w:lang w:val="fr-FR"/>
        </w:rPr>
      </w:pPr>
      <w:r>
        <w:rPr>
          <w:rStyle w:val="FootnoteReference"/>
        </w:rPr>
        <w:footnoteRef/>
      </w:r>
      <w:r>
        <w:t xml:space="preserve"> </w:t>
      </w:r>
      <w:r w:rsidRPr="00D90D2A">
        <w:t xml:space="preserve">Shaun P. Young, </w:t>
      </w:r>
      <w:r w:rsidRPr="00D90D2A">
        <w:rPr>
          <w:i/>
        </w:rPr>
        <w:t>Reflections on Rawls, An Assessment of his Legacy</w:t>
      </w:r>
      <w:r w:rsidRPr="00D90D2A">
        <w:t xml:space="preserve">, ed. by Shaun P. Young (Farnham: Ashgate, 2009), </w:t>
      </w:r>
      <w:r>
        <w:t xml:space="preserve">p. </w:t>
      </w:r>
      <w:r>
        <w:rPr>
          <w:lang w:val="fr-FR"/>
        </w:rPr>
        <w:t>93.</w:t>
      </w:r>
    </w:p>
  </w:footnote>
  <w:footnote w:id="35">
    <w:p w:rsidR="00DC46CE" w:rsidRPr="000B2F67" w:rsidRDefault="00DC46CE" w:rsidP="00DC46CE">
      <w:pPr>
        <w:pStyle w:val="FootnoteText"/>
        <w:rPr>
          <w:lang w:val="fr-FR"/>
        </w:rPr>
      </w:pPr>
      <w:r>
        <w:rPr>
          <w:rStyle w:val="FootnoteReference"/>
        </w:rPr>
        <w:footnoteRef/>
      </w:r>
      <w:r>
        <w:t xml:space="preserve"> </w:t>
      </w:r>
      <w:r w:rsidRPr="008F3050">
        <w:t xml:space="preserve">Gregory E. Pence, </w:t>
      </w:r>
      <w:r w:rsidRPr="0095771B">
        <w:t>'Fair Contracts and Beautiful Intuitions'</w:t>
      </w:r>
      <w:r w:rsidRPr="008F3050">
        <w:t xml:space="preserve">, in Kai Nielsen and Gregory E. Pence, </w:t>
      </w:r>
      <w:r w:rsidRPr="0095771B">
        <w:t>'Fair Contracts and Beautiful Intuitions'</w:t>
      </w:r>
      <w:r w:rsidRPr="008F3050">
        <w:t xml:space="preserve">, in Kai Nielsen and Roger A. Shiner (eds), </w:t>
      </w:r>
      <w:r w:rsidRPr="008F3050">
        <w:rPr>
          <w:i/>
        </w:rPr>
        <w:t>New Essays on Contract Theory</w:t>
      </w:r>
      <w:r w:rsidRPr="008F3050">
        <w:t xml:space="preserve"> (Canadian Journal of Philosophy Supplementary Volume III, 1977, 137–52), p. 149.</w:t>
      </w:r>
    </w:p>
  </w:footnote>
  <w:footnote w:id="36">
    <w:p w:rsidR="00DC46CE" w:rsidRPr="00CE7258" w:rsidRDefault="00DC46CE" w:rsidP="00DC46CE">
      <w:pPr>
        <w:pStyle w:val="FootnoteText"/>
        <w:rPr>
          <w:lang w:val="fr-FR"/>
        </w:rPr>
      </w:pPr>
      <w:r>
        <w:rPr>
          <w:rStyle w:val="FootnoteReference"/>
        </w:rPr>
        <w:footnoteRef/>
      </w:r>
      <w:r>
        <w:t xml:space="preserve"> </w:t>
      </w:r>
      <w:r w:rsidRPr="00810307">
        <w:t>Louis I. Katzner</w:t>
      </w:r>
      <w:r>
        <w:t>, ‘</w:t>
      </w:r>
      <w:r w:rsidRPr="00810307">
        <w:t>The Original Position and the Veil of Ignorance</w:t>
      </w:r>
      <w:r>
        <w:t xml:space="preserve">’, in </w:t>
      </w:r>
      <w:r w:rsidRPr="00810307">
        <w:t xml:space="preserve">Gene Blocker &amp; Elizabeth Smith (eds.), </w:t>
      </w:r>
      <w:r w:rsidRPr="00810307">
        <w:rPr>
          <w:i/>
        </w:rPr>
        <w:t>John Rawls' Theory of Social Justice</w:t>
      </w:r>
      <w:r>
        <w:t xml:space="preserve"> (Athens: </w:t>
      </w:r>
      <w:r w:rsidRPr="00810307">
        <w:t>Ohio University Press</w:t>
      </w:r>
      <w:r>
        <w:t>, 1980, 42</w:t>
      </w:r>
      <w:r w:rsidRPr="00810307">
        <w:t>–</w:t>
      </w:r>
      <w:r>
        <w:t xml:space="preserve">70), p. </w:t>
      </w:r>
      <w:r>
        <w:rPr>
          <w:lang w:val="fr-FR"/>
        </w:rPr>
        <w:t>62.</w:t>
      </w:r>
    </w:p>
  </w:footnote>
  <w:footnote w:id="37">
    <w:p w:rsidR="00DC46CE" w:rsidRPr="008E3DAB" w:rsidRDefault="00DC46CE" w:rsidP="00DC46CE">
      <w:pPr>
        <w:pStyle w:val="FootnoteText"/>
        <w:rPr>
          <w:lang w:val="fr-FR"/>
        </w:rPr>
      </w:pPr>
      <w:r>
        <w:rPr>
          <w:rStyle w:val="FootnoteReference"/>
        </w:rPr>
        <w:footnoteRef/>
      </w:r>
      <w:r>
        <w:t xml:space="preserve"> </w:t>
      </w:r>
      <w:r>
        <w:rPr>
          <w:lang w:val="fr-FR"/>
        </w:rPr>
        <w:t xml:space="preserve">Sen, </w:t>
      </w:r>
      <w:r>
        <w:rPr>
          <w:i/>
        </w:rPr>
        <w:t>op. cit.</w:t>
      </w:r>
      <w:r w:rsidRPr="009B4115">
        <w:t xml:space="preserve">, </w:t>
      </w:r>
      <w:r>
        <w:rPr>
          <w:lang w:val="fr-FR"/>
        </w:rPr>
        <w:t>p. 105.</w:t>
      </w:r>
    </w:p>
  </w:footnote>
  <w:footnote w:id="38">
    <w:p w:rsidR="00DC46CE" w:rsidRPr="000B7204" w:rsidRDefault="00DC46CE" w:rsidP="00DC46CE">
      <w:pPr>
        <w:pStyle w:val="FootnoteText"/>
        <w:rPr>
          <w:lang w:val="fr-FR"/>
        </w:rPr>
      </w:pPr>
      <w:r>
        <w:rPr>
          <w:rStyle w:val="FootnoteReference"/>
        </w:rPr>
        <w:footnoteRef/>
      </w:r>
      <w:r>
        <w:t xml:space="preserve"> </w:t>
      </w:r>
      <w:r>
        <w:rPr>
          <w:lang w:val="fr-FR"/>
        </w:rPr>
        <w:t xml:space="preserve">Young, </w:t>
      </w:r>
      <w:r>
        <w:rPr>
          <w:i/>
        </w:rPr>
        <w:t>op. cit.</w:t>
      </w:r>
      <w:r w:rsidRPr="009B4115">
        <w:t xml:space="preserve">, </w:t>
      </w:r>
      <w:r>
        <w:rPr>
          <w:lang w:val="fr-FR"/>
        </w:rPr>
        <w:t>p. 95.</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6"/>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2552"/>
    <w:rsid w:val="00016832"/>
    <w:rsid w:val="00022A8C"/>
    <w:rsid w:val="00030E26"/>
    <w:rsid w:val="00061622"/>
    <w:rsid w:val="00095189"/>
    <w:rsid w:val="000B6B44"/>
    <w:rsid w:val="000D1B8E"/>
    <w:rsid w:val="000D3918"/>
    <w:rsid w:val="000D5D91"/>
    <w:rsid w:val="00101BB2"/>
    <w:rsid w:val="0010209A"/>
    <w:rsid w:val="001401F1"/>
    <w:rsid w:val="0015607C"/>
    <w:rsid w:val="00190133"/>
    <w:rsid w:val="00196A84"/>
    <w:rsid w:val="001A568D"/>
    <w:rsid w:val="001B20F4"/>
    <w:rsid w:val="001F25AE"/>
    <w:rsid w:val="001F2D19"/>
    <w:rsid w:val="001F3140"/>
    <w:rsid w:val="00206609"/>
    <w:rsid w:val="0024312F"/>
    <w:rsid w:val="002836BC"/>
    <w:rsid w:val="0028638A"/>
    <w:rsid w:val="00286FC6"/>
    <w:rsid w:val="00294512"/>
    <w:rsid w:val="002B09E4"/>
    <w:rsid w:val="002C2089"/>
    <w:rsid w:val="002D31C4"/>
    <w:rsid w:val="002F1E59"/>
    <w:rsid w:val="0030141E"/>
    <w:rsid w:val="00303B81"/>
    <w:rsid w:val="00334BFD"/>
    <w:rsid w:val="003423CA"/>
    <w:rsid w:val="00343900"/>
    <w:rsid w:val="00366A65"/>
    <w:rsid w:val="00382136"/>
    <w:rsid w:val="0039614D"/>
    <w:rsid w:val="003D3E84"/>
    <w:rsid w:val="003F23E2"/>
    <w:rsid w:val="00425447"/>
    <w:rsid w:val="00467E6E"/>
    <w:rsid w:val="004933B8"/>
    <w:rsid w:val="004A1CF9"/>
    <w:rsid w:val="004E31FC"/>
    <w:rsid w:val="004E352A"/>
    <w:rsid w:val="004E7E7F"/>
    <w:rsid w:val="005127D4"/>
    <w:rsid w:val="00521C8A"/>
    <w:rsid w:val="00526F5D"/>
    <w:rsid w:val="00536C36"/>
    <w:rsid w:val="00551F73"/>
    <w:rsid w:val="00562C9E"/>
    <w:rsid w:val="00567395"/>
    <w:rsid w:val="005742E6"/>
    <w:rsid w:val="00581300"/>
    <w:rsid w:val="00590363"/>
    <w:rsid w:val="005C4820"/>
    <w:rsid w:val="005D4890"/>
    <w:rsid w:val="005D5D73"/>
    <w:rsid w:val="005D722B"/>
    <w:rsid w:val="005E4961"/>
    <w:rsid w:val="00612677"/>
    <w:rsid w:val="00636875"/>
    <w:rsid w:val="006A2AA3"/>
    <w:rsid w:val="006B09A3"/>
    <w:rsid w:val="006B3BE6"/>
    <w:rsid w:val="006B6F39"/>
    <w:rsid w:val="006C08DD"/>
    <w:rsid w:val="006D651C"/>
    <w:rsid w:val="00713518"/>
    <w:rsid w:val="00731067"/>
    <w:rsid w:val="0073686F"/>
    <w:rsid w:val="007461C0"/>
    <w:rsid w:val="007554E1"/>
    <w:rsid w:val="00757DC3"/>
    <w:rsid w:val="00767801"/>
    <w:rsid w:val="00771A36"/>
    <w:rsid w:val="007A1917"/>
    <w:rsid w:val="007A5447"/>
    <w:rsid w:val="007A5AC0"/>
    <w:rsid w:val="007C0A58"/>
    <w:rsid w:val="007C7BFD"/>
    <w:rsid w:val="007D4BE4"/>
    <w:rsid w:val="007D5E7F"/>
    <w:rsid w:val="007E4716"/>
    <w:rsid w:val="007E6863"/>
    <w:rsid w:val="008013DE"/>
    <w:rsid w:val="0081116C"/>
    <w:rsid w:val="008451FB"/>
    <w:rsid w:val="00852727"/>
    <w:rsid w:val="00885819"/>
    <w:rsid w:val="008E496B"/>
    <w:rsid w:val="008E62FF"/>
    <w:rsid w:val="009202BA"/>
    <w:rsid w:val="00923BAB"/>
    <w:rsid w:val="009305CB"/>
    <w:rsid w:val="00966C90"/>
    <w:rsid w:val="00987BD6"/>
    <w:rsid w:val="00987D41"/>
    <w:rsid w:val="009B6538"/>
    <w:rsid w:val="009C7BAB"/>
    <w:rsid w:val="009D2E05"/>
    <w:rsid w:val="009D3411"/>
    <w:rsid w:val="00A413A9"/>
    <w:rsid w:val="00A7207B"/>
    <w:rsid w:val="00A72F7D"/>
    <w:rsid w:val="00A824AD"/>
    <w:rsid w:val="00A8420E"/>
    <w:rsid w:val="00A951C8"/>
    <w:rsid w:val="00AB5633"/>
    <w:rsid w:val="00AD59EC"/>
    <w:rsid w:val="00AE59C5"/>
    <w:rsid w:val="00AF6CE8"/>
    <w:rsid w:val="00B06AD8"/>
    <w:rsid w:val="00B13ADA"/>
    <w:rsid w:val="00B20CE5"/>
    <w:rsid w:val="00B308B0"/>
    <w:rsid w:val="00B50ADD"/>
    <w:rsid w:val="00B56071"/>
    <w:rsid w:val="00B60AC2"/>
    <w:rsid w:val="00BE1D51"/>
    <w:rsid w:val="00C009A9"/>
    <w:rsid w:val="00C01A31"/>
    <w:rsid w:val="00C06587"/>
    <w:rsid w:val="00C15C0B"/>
    <w:rsid w:val="00C50BD4"/>
    <w:rsid w:val="00C52B0A"/>
    <w:rsid w:val="00C664E6"/>
    <w:rsid w:val="00C74BA6"/>
    <w:rsid w:val="00C74D60"/>
    <w:rsid w:val="00C80F3B"/>
    <w:rsid w:val="00CA3268"/>
    <w:rsid w:val="00CC2F41"/>
    <w:rsid w:val="00CC3162"/>
    <w:rsid w:val="00CD0DB8"/>
    <w:rsid w:val="00CD7455"/>
    <w:rsid w:val="00CE2552"/>
    <w:rsid w:val="00CE47F3"/>
    <w:rsid w:val="00CF0C18"/>
    <w:rsid w:val="00D063F7"/>
    <w:rsid w:val="00D07B63"/>
    <w:rsid w:val="00D1462C"/>
    <w:rsid w:val="00D17404"/>
    <w:rsid w:val="00D21A26"/>
    <w:rsid w:val="00D33059"/>
    <w:rsid w:val="00D37AD8"/>
    <w:rsid w:val="00D50F1F"/>
    <w:rsid w:val="00D61C38"/>
    <w:rsid w:val="00D746E5"/>
    <w:rsid w:val="00DA3D58"/>
    <w:rsid w:val="00DA42F0"/>
    <w:rsid w:val="00DA5923"/>
    <w:rsid w:val="00DC3ADB"/>
    <w:rsid w:val="00DC46CE"/>
    <w:rsid w:val="00DD3F7E"/>
    <w:rsid w:val="00DE5AC2"/>
    <w:rsid w:val="00DF228A"/>
    <w:rsid w:val="00E104A8"/>
    <w:rsid w:val="00E3049F"/>
    <w:rsid w:val="00E37845"/>
    <w:rsid w:val="00E62870"/>
    <w:rsid w:val="00E64351"/>
    <w:rsid w:val="00ED5208"/>
    <w:rsid w:val="00EE5CCD"/>
    <w:rsid w:val="00F03646"/>
    <w:rsid w:val="00F34087"/>
    <w:rsid w:val="00F56D37"/>
    <w:rsid w:val="00F70268"/>
    <w:rsid w:val="00F92313"/>
    <w:rsid w:val="00FA1048"/>
    <w:rsid w:val="00FA1612"/>
    <w:rsid w:val="00FA6D95"/>
    <w:rsid w:val="00FF1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4E521B"/>
  <w15:chartTrackingRefBased/>
  <w15:docId w15:val="{F1EA1CE4-A21E-4F53-88C6-9A5B6A3DC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2B0A"/>
    <w:pPr>
      <w:spacing w:after="0" w:line="240" w:lineRule="auto"/>
    </w:pPr>
    <w:rPr>
      <w:lang w:val="en-GB"/>
    </w:rPr>
  </w:style>
  <w:style w:type="character" w:customStyle="1" w:styleId="fontstyle01">
    <w:name w:val="fontstyle01"/>
    <w:basedOn w:val="DefaultParagraphFont"/>
    <w:rsid w:val="00C52B0A"/>
    <w:rPr>
      <w:rFonts w:ascii="Calibri" w:hAnsi="Calibri" w:hint="default"/>
      <w:b w:val="0"/>
      <w:bCs w:val="0"/>
      <w:i w:val="0"/>
      <w:iCs w:val="0"/>
      <w:color w:val="000000"/>
      <w:sz w:val="22"/>
      <w:szCs w:val="22"/>
    </w:rPr>
  </w:style>
  <w:style w:type="paragraph" w:styleId="FootnoteText">
    <w:name w:val="footnote text"/>
    <w:basedOn w:val="Normal"/>
    <w:link w:val="FootnoteTextChar"/>
    <w:uiPriority w:val="99"/>
    <w:semiHidden/>
    <w:unhideWhenUsed/>
    <w:rsid w:val="00C52B0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B0A"/>
    <w:rPr>
      <w:sz w:val="20"/>
      <w:szCs w:val="20"/>
      <w:lang w:val="en-GB"/>
    </w:rPr>
  </w:style>
  <w:style w:type="character" w:styleId="FootnoteReference">
    <w:name w:val="footnote reference"/>
    <w:basedOn w:val="DefaultParagraphFont"/>
    <w:uiPriority w:val="99"/>
    <w:semiHidden/>
    <w:unhideWhenUsed/>
    <w:rsid w:val="00C52B0A"/>
    <w:rPr>
      <w:vertAlign w:val="superscript"/>
    </w:rPr>
  </w:style>
  <w:style w:type="paragraph" w:styleId="Header">
    <w:name w:val="header"/>
    <w:basedOn w:val="Normal"/>
    <w:link w:val="HeaderChar"/>
    <w:uiPriority w:val="99"/>
    <w:unhideWhenUsed/>
    <w:rsid w:val="00382136"/>
    <w:pPr>
      <w:tabs>
        <w:tab w:val="center" w:pos="4703"/>
        <w:tab w:val="right" w:pos="9406"/>
      </w:tabs>
      <w:spacing w:after="0" w:line="240" w:lineRule="auto"/>
    </w:pPr>
  </w:style>
  <w:style w:type="character" w:customStyle="1" w:styleId="HeaderChar">
    <w:name w:val="Header Char"/>
    <w:basedOn w:val="DefaultParagraphFont"/>
    <w:link w:val="Header"/>
    <w:uiPriority w:val="99"/>
    <w:rsid w:val="00382136"/>
    <w:rPr>
      <w:lang w:val="en-GB"/>
    </w:rPr>
  </w:style>
  <w:style w:type="paragraph" w:styleId="Footer">
    <w:name w:val="footer"/>
    <w:basedOn w:val="Normal"/>
    <w:link w:val="FooterChar"/>
    <w:uiPriority w:val="99"/>
    <w:unhideWhenUsed/>
    <w:rsid w:val="00382136"/>
    <w:pPr>
      <w:tabs>
        <w:tab w:val="center" w:pos="4703"/>
        <w:tab w:val="right" w:pos="9406"/>
      </w:tabs>
      <w:spacing w:after="0" w:line="240" w:lineRule="auto"/>
    </w:pPr>
  </w:style>
  <w:style w:type="character" w:customStyle="1" w:styleId="FooterChar">
    <w:name w:val="Footer Char"/>
    <w:basedOn w:val="DefaultParagraphFont"/>
    <w:link w:val="Footer"/>
    <w:uiPriority w:val="99"/>
    <w:rsid w:val="0038213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998655">
      <w:bodyDiv w:val="1"/>
      <w:marLeft w:val="0"/>
      <w:marRight w:val="0"/>
      <w:marTop w:val="0"/>
      <w:marBottom w:val="0"/>
      <w:divBdr>
        <w:top w:val="none" w:sz="0" w:space="0" w:color="auto"/>
        <w:left w:val="none" w:sz="0" w:space="0" w:color="auto"/>
        <w:bottom w:val="none" w:sz="0" w:space="0" w:color="auto"/>
        <w:right w:val="none" w:sz="0" w:space="0" w:color="auto"/>
      </w:divBdr>
    </w:div>
    <w:div w:id="2111315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83B19E-0A1E-4D77-A05E-3E8B5300F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21</Pages>
  <Words>5287</Words>
  <Characters>30136</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KBDD</dc:creator>
  <cp:keywords/>
  <dc:description/>
  <cp:lastModifiedBy>KBDD</cp:lastModifiedBy>
  <cp:revision>8</cp:revision>
  <dcterms:created xsi:type="dcterms:W3CDTF">2018-08-24T12:55:00Z</dcterms:created>
  <dcterms:modified xsi:type="dcterms:W3CDTF">2018-08-24T13:24:00Z</dcterms:modified>
</cp:coreProperties>
</file>