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E0973" w:rsidRPr="00E057CF" w:rsidRDefault="006E0973" w:rsidP="00E057CF">
      <w:pPr>
        <w:jc w:val="center"/>
        <w:rPr>
          <w:b/>
          <w:color w:val="000000" w:themeColor="text1"/>
          <w:sz w:val="32"/>
          <w:szCs w:val="32"/>
          <w:lang w:val="en-GB"/>
        </w:rPr>
      </w:pPr>
    </w:p>
    <w:p w14:paraId="00000002" w14:textId="77777777" w:rsidR="006E0973" w:rsidRPr="00E057CF" w:rsidRDefault="006E0973" w:rsidP="00E057CF">
      <w:pPr>
        <w:jc w:val="center"/>
        <w:rPr>
          <w:b/>
          <w:color w:val="000000" w:themeColor="text1"/>
          <w:sz w:val="32"/>
          <w:szCs w:val="32"/>
          <w:lang w:val="en-GB"/>
        </w:rPr>
      </w:pPr>
    </w:p>
    <w:p w14:paraId="00000003" w14:textId="77777777" w:rsidR="006E0973" w:rsidRPr="00E057CF" w:rsidRDefault="006E0973" w:rsidP="00E057CF">
      <w:pPr>
        <w:jc w:val="center"/>
        <w:rPr>
          <w:b/>
          <w:color w:val="000000" w:themeColor="text1"/>
          <w:sz w:val="32"/>
          <w:szCs w:val="32"/>
          <w:lang w:val="en-GB"/>
        </w:rPr>
      </w:pPr>
    </w:p>
    <w:p w14:paraId="00000004" w14:textId="77777777" w:rsidR="006E0973" w:rsidRPr="00E057CF" w:rsidRDefault="006E0973" w:rsidP="00E057CF">
      <w:pPr>
        <w:jc w:val="center"/>
        <w:rPr>
          <w:b/>
          <w:color w:val="000000" w:themeColor="text1"/>
          <w:sz w:val="32"/>
          <w:szCs w:val="32"/>
          <w:lang w:val="en-GB"/>
        </w:rPr>
      </w:pPr>
    </w:p>
    <w:p w14:paraId="00000005" w14:textId="77777777" w:rsidR="006E0973" w:rsidRPr="00E057CF" w:rsidRDefault="006E0973" w:rsidP="00E057CF">
      <w:pPr>
        <w:jc w:val="center"/>
        <w:rPr>
          <w:b/>
          <w:color w:val="000000" w:themeColor="text1"/>
          <w:sz w:val="32"/>
          <w:szCs w:val="32"/>
          <w:lang w:val="en-GB"/>
        </w:rPr>
      </w:pPr>
    </w:p>
    <w:p w14:paraId="00000006" w14:textId="77777777" w:rsidR="006E0973" w:rsidRPr="00E057CF" w:rsidRDefault="006E0973" w:rsidP="00E057CF">
      <w:pPr>
        <w:jc w:val="center"/>
        <w:rPr>
          <w:b/>
          <w:color w:val="000000" w:themeColor="text1"/>
          <w:sz w:val="32"/>
          <w:szCs w:val="32"/>
          <w:lang w:val="en-GB"/>
        </w:rPr>
      </w:pPr>
    </w:p>
    <w:p w14:paraId="00000007" w14:textId="77777777" w:rsidR="006E0973" w:rsidRPr="00E057CF" w:rsidRDefault="006E0973" w:rsidP="00E057CF">
      <w:pPr>
        <w:jc w:val="center"/>
        <w:rPr>
          <w:b/>
          <w:color w:val="000000" w:themeColor="text1"/>
          <w:sz w:val="32"/>
          <w:szCs w:val="32"/>
          <w:lang w:val="en-GB"/>
        </w:rPr>
      </w:pPr>
    </w:p>
    <w:p w14:paraId="00000008" w14:textId="77777777" w:rsidR="006E0973" w:rsidRPr="00E057CF" w:rsidRDefault="006E0973" w:rsidP="00E057CF">
      <w:pPr>
        <w:jc w:val="center"/>
        <w:rPr>
          <w:b/>
          <w:color w:val="000000" w:themeColor="text1"/>
          <w:sz w:val="32"/>
          <w:szCs w:val="32"/>
          <w:lang w:val="en-GB"/>
        </w:rPr>
      </w:pPr>
    </w:p>
    <w:p w14:paraId="00000009" w14:textId="77777777" w:rsidR="006E0973" w:rsidRPr="00E057CF" w:rsidRDefault="00003969" w:rsidP="00E057CF">
      <w:pPr>
        <w:jc w:val="center"/>
        <w:rPr>
          <w:b/>
          <w:color w:val="000000" w:themeColor="text1"/>
          <w:sz w:val="32"/>
          <w:szCs w:val="32"/>
          <w:lang w:val="en-GB"/>
        </w:rPr>
      </w:pPr>
      <w:r w:rsidRPr="00E057CF">
        <w:rPr>
          <w:b/>
          <w:color w:val="000000" w:themeColor="text1"/>
          <w:sz w:val="32"/>
          <w:szCs w:val="32"/>
          <w:lang w:val="en-GB"/>
        </w:rPr>
        <w:t>CRIMINAL LAW</w:t>
      </w:r>
    </w:p>
    <w:p w14:paraId="0000000A" w14:textId="77777777" w:rsidR="006E0973" w:rsidRPr="00E057CF" w:rsidRDefault="00003969" w:rsidP="00E057CF">
      <w:pPr>
        <w:jc w:val="center"/>
        <w:rPr>
          <w:b/>
          <w:color w:val="000000" w:themeColor="text1"/>
          <w:sz w:val="32"/>
          <w:szCs w:val="32"/>
          <w:lang w:val="en-GB"/>
        </w:rPr>
      </w:pPr>
      <w:r w:rsidRPr="00E057CF">
        <w:rPr>
          <w:b/>
          <w:color w:val="000000" w:themeColor="text1"/>
          <w:sz w:val="32"/>
          <w:szCs w:val="32"/>
          <w:lang w:val="en-GB"/>
        </w:rPr>
        <w:t>BMPL4009</w:t>
      </w:r>
    </w:p>
    <w:p w14:paraId="0000000B" w14:textId="77777777" w:rsidR="006E0973" w:rsidRPr="00E057CF" w:rsidRDefault="00003969" w:rsidP="00E057CF">
      <w:pPr>
        <w:jc w:val="center"/>
        <w:rPr>
          <w:b/>
          <w:color w:val="000000" w:themeColor="text1"/>
          <w:sz w:val="36"/>
          <w:szCs w:val="36"/>
          <w:lang w:val="en-GB"/>
        </w:rPr>
      </w:pPr>
      <w:r w:rsidRPr="00E057CF">
        <w:rPr>
          <w:b/>
          <w:color w:val="000000" w:themeColor="text1"/>
          <w:sz w:val="36"/>
          <w:szCs w:val="36"/>
          <w:lang w:val="en-GB"/>
        </w:rPr>
        <w:t>CONSENT AND ITS ROLE IN CASES INVOLVING BATTERY</w:t>
      </w:r>
    </w:p>
    <w:p w14:paraId="0000000C" w14:textId="1ED52970" w:rsidR="006E0973" w:rsidRPr="00E057CF" w:rsidRDefault="00003969" w:rsidP="00E057CF">
      <w:pPr>
        <w:jc w:val="center"/>
        <w:rPr>
          <w:color w:val="000000" w:themeColor="text1"/>
          <w:lang w:val="en-GB"/>
        </w:rPr>
      </w:pPr>
      <w:r w:rsidRPr="00E057CF">
        <w:rPr>
          <w:color w:val="000000" w:themeColor="text1"/>
          <w:lang w:val="en-GB"/>
        </w:rPr>
        <w:t>STUDENT ID:</w:t>
      </w:r>
      <w:r w:rsidR="006C1A6E">
        <w:rPr>
          <w:color w:val="000000" w:themeColor="text1"/>
          <w:lang w:val="en-GB"/>
        </w:rPr>
        <w:t xml:space="preserve"> </w:t>
      </w:r>
      <w:r>
        <w:t xml:space="preserve"> </w:t>
      </w:r>
      <w:r w:rsidRPr="00003969">
        <w:rPr>
          <w:rFonts w:ascii="Source Sans Pro" w:hAnsi="Source Sans Pro"/>
          <w:color w:val="242130"/>
          <w:shd w:val="clear" w:color="auto" w:fill="FFFFFF"/>
        </w:rPr>
        <w:t>2246428</w:t>
      </w:r>
    </w:p>
    <w:p w14:paraId="01E8AC41" w14:textId="5B409EEA" w:rsidR="006C1A6E" w:rsidRPr="00E057CF" w:rsidRDefault="00003969" w:rsidP="006C1A6E">
      <w:pPr>
        <w:jc w:val="center"/>
        <w:rPr>
          <w:color w:val="000000" w:themeColor="text1"/>
          <w:lang w:val="en-GB"/>
        </w:rPr>
      </w:pPr>
      <w:r w:rsidRPr="00E057CF">
        <w:rPr>
          <w:color w:val="000000" w:themeColor="text1"/>
          <w:lang w:val="en-GB"/>
        </w:rPr>
        <w:t>STUDENT NAME:</w:t>
      </w:r>
      <w:r w:rsidR="006C1A6E" w:rsidRPr="006C1A6E">
        <w:rPr>
          <w:color w:val="000000" w:themeColor="text1"/>
          <w:lang w:val="en-GB"/>
        </w:rPr>
        <w:t xml:space="preserve"> </w:t>
      </w:r>
      <w:r w:rsidR="006C1A6E">
        <w:rPr>
          <w:color w:val="000000" w:themeColor="text1"/>
          <w:lang w:val="en-GB"/>
        </w:rPr>
        <w:t>Ionel Florin Nicolae</w:t>
      </w:r>
    </w:p>
    <w:p w14:paraId="0000000D" w14:textId="5624FCE6" w:rsidR="006E0973" w:rsidRPr="00E057CF" w:rsidRDefault="006E0973" w:rsidP="00E057CF">
      <w:pPr>
        <w:jc w:val="center"/>
        <w:rPr>
          <w:color w:val="000000" w:themeColor="text1"/>
          <w:lang w:val="en-GB"/>
        </w:rPr>
      </w:pPr>
    </w:p>
    <w:p w14:paraId="0000000E" w14:textId="77777777" w:rsidR="006E0973" w:rsidRPr="00E057CF" w:rsidRDefault="00003969" w:rsidP="00E057CF">
      <w:pPr>
        <w:rPr>
          <w:color w:val="000000" w:themeColor="text1"/>
          <w:lang w:val="en-GB"/>
        </w:rPr>
      </w:pPr>
      <w:bookmarkStart w:id="0" w:name="_heading=h.gjdgxs" w:colFirst="0" w:colLast="0"/>
      <w:bookmarkEnd w:id="0"/>
      <w:r w:rsidRPr="00E057CF">
        <w:rPr>
          <w:color w:val="000000" w:themeColor="text1"/>
          <w:lang w:val="en-GB"/>
        </w:rPr>
        <w:br w:type="page"/>
      </w:r>
    </w:p>
    <w:p w14:paraId="0000000F" w14:textId="77777777" w:rsidR="006E0973" w:rsidRPr="00E057CF" w:rsidRDefault="00003969" w:rsidP="00E057CF">
      <w:pPr>
        <w:pStyle w:val="Heading1"/>
        <w:rPr>
          <w:color w:val="000000" w:themeColor="text1"/>
          <w:lang w:val="en-GB"/>
        </w:rPr>
      </w:pPr>
      <w:bookmarkStart w:id="1" w:name="_heading=h.30j0zll" w:colFirst="0" w:colLast="0"/>
      <w:bookmarkEnd w:id="1"/>
      <w:r w:rsidRPr="00E057CF">
        <w:rPr>
          <w:color w:val="000000" w:themeColor="text1"/>
          <w:lang w:val="en-GB"/>
        </w:rPr>
        <w:lastRenderedPageBreak/>
        <w:t>Introduction</w:t>
      </w:r>
    </w:p>
    <w:p w14:paraId="00000010" w14:textId="1A3A962A" w:rsidR="006E0973" w:rsidRPr="00E057CF" w:rsidRDefault="00003969" w:rsidP="00E057CF">
      <w:pPr>
        <w:rPr>
          <w:color w:val="000000" w:themeColor="text1"/>
          <w:lang w:val="en-GB"/>
        </w:rPr>
      </w:pPr>
      <w:r w:rsidRPr="00E057CF">
        <w:rPr>
          <w:color w:val="000000" w:themeColor="text1"/>
          <w:lang w:val="en-GB"/>
        </w:rPr>
        <w:t>Consent is one of the main concepts of criminal law which has different dimensions and elements</w:t>
      </w:r>
      <w:r w:rsidR="00E057CF" w:rsidRPr="00E057CF">
        <w:rPr>
          <w:color w:val="000000" w:themeColor="text1"/>
          <w:lang w:val="en-GB"/>
        </w:rPr>
        <w:t>.</w:t>
      </w:r>
      <w:r w:rsidRPr="00E057CF">
        <w:rPr>
          <w:color w:val="000000" w:themeColor="text1"/>
          <w:lang w:val="en-GB"/>
        </w:rPr>
        <w:t xml:space="preserve"> </w:t>
      </w:r>
      <w:r w:rsidR="00E057CF" w:rsidRPr="00E057CF">
        <w:rPr>
          <w:color w:val="000000" w:themeColor="text1"/>
          <w:lang w:val="en-GB"/>
        </w:rPr>
        <w:t xml:space="preserve">In Criminal law, the concept of consent is influenced </w:t>
      </w:r>
      <w:r w:rsidRPr="00E057CF">
        <w:rPr>
          <w:color w:val="000000" w:themeColor="text1"/>
          <w:lang w:val="en-GB"/>
        </w:rPr>
        <w:t>by ethical, philosophical, and legal dimensions. The study</w:t>
      </w:r>
      <w:r w:rsidR="00E057CF" w:rsidRPr="00E057CF">
        <w:rPr>
          <w:color w:val="000000" w:themeColor="text1"/>
          <w:lang w:val="en-GB"/>
        </w:rPr>
        <w:t xml:space="preserve"> will</w:t>
      </w:r>
      <w:r w:rsidRPr="00E057CF">
        <w:rPr>
          <w:color w:val="000000" w:themeColor="text1"/>
          <w:lang w:val="en-GB"/>
        </w:rPr>
        <w:t xml:space="preserve"> elucidate the entire concept of consent in UK</w:t>
      </w:r>
      <w:r w:rsidR="008D1BDF" w:rsidRPr="00E057CF">
        <w:rPr>
          <w:color w:val="000000" w:themeColor="text1"/>
          <w:lang w:val="en-GB"/>
        </w:rPr>
        <w:t xml:space="preserve"> legislation</w:t>
      </w:r>
      <w:r w:rsidRPr="00E057CF">
        <w:rPr>
          <w:color w:val="000000" w:themeColor="text1"/>
          <w:lang w:val="en-GB"/>
        </w:rPr>
        <w:t xml:space="preserve"> with its ethical and philosophical elements</w:t>
      </w:r>
      <w:r w:rsidR="00E057CF" w:rsidRPr="00E057CF">
        <w:rPr>
          <w:color w:val="000000" w:themeColor="text1"/>
          <w:lang w:val="en-GB"/>
        </w:rPr>
        <w:t>.</w:t>
      </w:r>
      <w:r w:rsidRPr="00E057CF">
        <w:rPr>
          <w:color w:val="000000" w:themeColor="text1"/>
          <w:lang w:val="en-GB"/>
        </w:rPr>
        <w:t xml:space="preserve"> </w:t>
      </w:r>
      <w:r w:rsidR="00E057CF" w:rsidRPr="00E057CF">
        <w:rPr>
          <w:color w:val="000000" w:themeColor="text1"/>
          <w:lang w:val="en-GB"/>
        </w:rPr>
        <w:t xml:space="preserve">Legal </w:t>
      </w:r>
      <w:r w:rsidRPr="00E057CF">
        <w:rPr>
          <w:color w:val="000000" w:themeColor="text1"/>
          <w:lang w:val="en-GB"/>
        </w:rPr>
        <w:t>associations and the role</w:t>
      </w:r>
      <w:r w:rsidR="00E057CF" w:rsidRPr="00E057CF">
        <w:rPr>
          <w:color w:val="000000" w:themeColor="text1"/>
          <w:lang w:val="en-GB"/>
        </w:rPr>
        <w:t xml:space="preserve"> that consent </w:t>
      </w:r>
      <w:r w:rsidRPr="00E057CF">
        <w:rPr>
          <w:color w:val="000000" w:themeColor="text1"/>
          <w:lang w:val="en-GB"/>
        </w:rPr>
        <w:t>plays in cases related to battery</w:t>
      </w:r>
      <w:r w:rsidR="00E057CF" w:rsidRPr="00E057CF">
        <w:rPr>
          <w:color w:val="000000" w:themeColor="text1"/>
          <w:lang w:val="en-GB"/>
        </w:rPr>
        <w:t xml:space="preserve"> will be discussed to develop a clear understanding of the importance it has in criminal legislative application</w:t>
      </w:r>
      <w:r w:rsidRPr="00E057CF">
        <w:rPr>
          <w:color w:val="000000" w:themeColor="text1"/>
          <w:lang w:val="en-GB"/>
        </w:rPr>
        <w:t xml:space="preserve">s. Various legal case laws and practical applications of consent </w:t>
      </w:r>
      <w:r w:rsidR="008D1BDF" w:rsidRPr="00E057CF">
        <w:rPr>
          <w:color w:val="000000" w:themeColor="text1"/>
          <w:lang w:val="en-GB"/>
        </w:rPr>
        <w:t>will</w:t>
      </w:r>
      <w:r w:rsidRPr="00E057CF">
        <w:rPr>
          <w:color w:val="000000" w:themeColor="text1"/>
          <w:lang w:val="en-GB"/>
        </w:rPr>
        <w:t xml:space="preserve"> also</w:t>
      </w:r>
      <w:r w:rsidR="008D1BDF" w:rsidRPr="00E057CF">
        <w:rPr>
          <w:color w:val="000000" w:themeColor="text1"/>
          <w:lang w:val="en-GB"/>
        </w:rPr>
        <w:t xml:space="preserve"> be</w:t>
      </w:r>
      <w:r w:rsidRPr="00E057CF">
        <w:rPr>
          <w:color w:val="000000" w:themeColor="text1"/>
          <w:lang w:val="en-GB"/>
        </w:rPr>
        <w:t xml:space="preserve"> elucidated</w:t>
      </w:r>
      <w:r w:rsidR="00E057CF" w:rsidRPr="00E057CF">
        <w:rPr>
          <w:color w:val="000000" w:themeColor="text1"/>
          <w:lang w:val="en-GB"/>
        </w:rPr>
        <w:t xml:space="preserve"> to strengthen the argument</w:t>
      </w:r>
      <w:r w:rsidRPr="00E057CF">
        <w:rPr>
          <w:color w:val="000000" w:themeColor="text1"/>
          <w:lang w:val="en-GB"/>
        </w:rPr>
        <w:t xml:space="preserve">. Through this, a comprehensive overview of context </w:t>
      </w:r>
      <w:r w:rsidR="008D1BDF" w:rsidRPr="00E057CF">
        <w:rPr>
          <w:color w:val="000000" w:themeColor="text1"/>
          <w:lang w:val="en-GB"/>
        </w:rPr>
        <w:t>will be</w:t>
      </w:r>
      <w:r w:rsidRPr="00E057CF">
        <w:rPr>
          <w:color w:val="000000" w:themeColor="text1"/>
          <w:lang w:val="en-GB"/>
        </w:rPr>
        <w:t xml:space="preserve"> provided about </w:t>
      </w:r>
      <w:r w:rsidR="00E057CF">
        <w:rPr>
          <w:color w:val="000000" w:themeColor="text1"/>
          <w:lang w:val="en-GB"/>
        </w:rPr>
        <w:t xml:space="preserve">legislation related to </w:t>
      </w:r>
      <w:r w:rsidRPr="00E057CF">
        <w:rPr>
          <w:color w:val="000000" w:themeColor="text1"/>
          <w:lang w:val="en-GB"/>
        </w:rPr>
        <w:t>battery</w:t>
      </w:r>
      <w:r w:rsidR="00E057CF">
        <w:rPr>
          <w:color w:val="000000" w:themeColor="text1"/>
          <w:lang w:val="en-GB"/>
        </w:rPr>
        <w:t>,</w:t>
      </w:r>
      <w:r w:rsidRPr="00E057CF">
        <w:rPr>
          <w:color w:val="000000" w:themeColor="text1"/>
          <w:lang w:val="en-GB"/>
        </w:rPr>
        <w:t xml:space="preserve"> prevalent in the UK.</w:t>
      </w:r>
    </w:p>
    <w:p w14:paraId="00000011" w14:textId="77777777" w:rsidR="006E0973" w:rsidRPr="00E057CF" w:rsidRDefault="00003969" w:rsidP="00E057CF">
      <w:pPr>
        <w:pStyle w:val="Heading1"/>
        <w:rPr>
          <w:color w:val="000000" w:themeColor="text1"/>
          <w:lang w:val="en-GB"/>
        </w:rPr>
      </w:pPr>
      <w:bookmarkStart w:id="2" w:name="_heading=h.1fob9te" w:colFirst="0" w:colLast="0"/>
      <w:bookmarkEnd w:id="2"/>
      <w:r w:rsidRPr="00E057CF">
        <w:rPr>
          <w:color w:val="000000" w:themeColor="text1"/>
          <w:lang w:val="en-GB"/>
        </w:rPr>
        <w:t>Discussion</w:t>
      </w:r>
    </w:p>
    <w:p w14:paraId="00000012" w14:textId="5084BCBC" w:rsidR="006E0973" w:rsidRPr="00E057CF" w:rsidRDefault="00003969" w:rsidP="00E057CF">
      <w:pPr>
        <w:rPr>
          <w:color w:val="000000" w:themeColor="text1"/>
          <w:lang w:val="en-GB"/>
        </w:rPr>
      </w:pPr>
      <w:r w:rsidRPr="00E057CF">
        <w:rPr>
          <w:color w:val="000000" w:themeColor="text1"/>
          <w:lang w:val="en-GB"/>
        </w:rPr>
        <w:t>To understand the cases involving battery, the term consent must be understood. Consent can be defined as the willingness and positive cooperation in any action or expression</w:t>
      </w:r>
      <w:r w:rsidR="003B52AA">
        <w:rPr>
          <w:color w:val="000000" w:themeColor="text1"/>
          <w:lang w:val="en-GB"/>
        </w:rPr>
        <w:t>. The</w:t>
      </w:r>
      <w:r w:rsidRPr="00E057CF">
        <w:rPr>
          <w:color w:val="000000" w:themeColor="text1"/>
          <w:lang w:val="en-GB"/>
        </w:rPr>
        <w:t xml:space="preserve"> will</w:t>
      </w:r>
      <w:r w:rsidR="003B52AA">
        <w:rPr>
          <w:color w:val="000000" w:themeColor="text1"/>
          <w:lang w:val="en-GB"/>
        </w:rPr>
        <w:t>ingness</w:t>
      </w:r>
      <w:r w:rsidRPr="00E057CF">
        <w:rPr>
          <w:color w:val="000000" w:themeColor="text1"/>
          <w:lang w:val="en-GB"/>
        </w:rPr>
        <w:t xml:space="preserve"> to engage or participate in any activity without being forced or threatened</w:t>
      </w:r>
      <w:r w:rsidR="003B52AA">
        <w:rPr>
          <w:color w:val="000000" w:themeColor="text1"/>
          <w:lang w:val="en-GB"/>
        </w:rPr>
        <w:t xml:space="preserve"> can be the simplified explanation of the expression</w:t>
      </w:r>
      <w:r w:rsidRPr="00E057CF">
        <w:rPr>
          <w:color w:val="000000" w:themeColor="text1"/>
          <w:lang w:val="en-GB"/>
        </w:rPr>
        <w:t xml:space="preserve"> (</w:t>
      </w:r>
      <w:r w:rsidR="00A40F53" w:rsidRPr="00E057CF">
        <w:rPr>
          <w:color w:val="000000" w:themeColor="text1"/>
          <w:shd w:val="clear" w:color="auto" w:fill="FFFFFF"/>
          <w:lang w:val="en-GB"/>
        </w:rPr>
        <w:t>Berkowitz and Garrett, 2020</w:t>
      </w:r>
      <w:r w:rsidRPr="00E057CF">
        <w:rPr>
          <w:color w:val="000000" w:themeColor="text1"/>
          <w:lang w:val="en-GB"/>
        </w:rPr>
        <w:t xml:space="preserve">). </w:t>
      </w:r>
      <w:r w:rsidR="004879D6" w:rsidRPr="00E057CF">
        <w:rPr>
          <w:color w:val="000000" w:themeColor="text1"/>
          <w:lang w:val="en-GB"/>
        </w:rPr>
        <w:t xml:space="preserve">The </w:t>
      </w:r>
      <w:r w:rsidRPr="00E057CF">
        <w:rPr>
          <w:color w:val="000000" w:themeColor="text1"/>
          <w:lang w:val="en-GB"/>
        </w:rPr>
        <w:t xml:space="preserve">fundamental element of consent comprises that it must be provided freely and the person must </w:t>
      </w:r>
      <w:r w:rsidR="004879D6" w:rsidRPr="00E057CF">
        <w:rPr>
          <w:color w:val="000000" w:themeColor="text1"/>
          <w:lang w:val="en-GB"/>
        </w:rPr>
        <w:t>have the capacity of giving such consent along with the knowledge</w:t>
      </w:r>
      <w:r w:rsidRPr="00E057CF">
        <w:rPr>
          <w:color w:val="000000" w:themeColor="text1"/>
          <w:lang w:val="en-GB"/>
        </w:rPr>
        <w:t xml:space="preserve"> of the consequences </w:t>
      </w:r>
      <w:r w:rsidR="004879D6" w:rsidRPr="00E057CF">
        <w:rPr>
          <w:color w:val="000000" w:themeColor="text1"/>
          <w:lang w:val="en-GB"/>
        </w:rPr>
        <w:t>that such consent is likely to lead to</w:t>
      </w:r>
      <w:r w:rsidRPr="00E057CF">
        <w:rPr>
          <w:color w:val="000000" w:themeColor="text1"/>
          <w:lang w:val="en-GB"/>
        </w:rPr>
        <w:t xml:space="preserve">. </w:t>
      </w:r>
      <w:r w:rsidR="003B52AA">
        <w:rPr>
          <w:color w:val="000000" w:themeColor="text1"/>
          <w:lang w:val="en-GB"/>
        </w:rPr>
        <w:t xml:space="preserve">Battery is a form of offence which involves using physical contact with the intention of causing harm. </w:t>
      </w:r>
      <w:r w:rsidR="003B52AA" w:rsidRPr="00E057CF">
        <w:rPr>
          <w:color w:val="000000" w:themeColor="text1"/>
          <w:lang w:val="en-GB"/>
        </w:rPr>
        <w:t xml:space="preserve">Offences Against the Person Act, 1861 defines that causing grievous harm to any person by any means with the intention of harm, disfiguring or disabling another person </w:t>
      </w:r>
      <w:r w:rsidR="003B52AA">
        <w:rPr>
          <w:color w:val="000000" w:themeColor="text1"/>
          <w:lang w:val="en-GB"/>
        </w:rPr>
        <w:t>can lead to</w:t>
      </w:r>
      <w:r w:rsidR="003B52AA" w:rsidRPr="00E057CF">
        <w:rPr>
          <w:color w:val="000000" w:themeColor="text1"/>
          <w:lang w:val="en-GB"/>
        </w:rPr>
        <w:t xml:space="preserve"> a felony and under the discretion of the court</w:t>
      </w:r>
      <w:r w:rsidR="003B52AA">
        <w:rPr>
          <w:color w:val="000000" w:themeColor="text1"/>
          <w:lang w:val="en-GB"/>
        </w:rPr>
        <w:t xml:space="preserve"> </w:t>
      </w:r>
      <w:r w:rsidR="003B52AA" w:rsidRPr="00E057CF">
        <w:rPr>
          <w:color w:val="000000" w:themeColor="text1"/>
          <w:lang w:val="en-GB"/>
        </w:rPr>
        <w:t>(Legislation.gov.uk, 2023).</w:t>
      </w:r>
      <w:r w:rsidR="003B52AA">
        <w:rPr>
          <w:color w:val="000000" w:themeColor="text1"/>
          <w:lang w:val="en-GB"/>
        </w:rPr>
        <w:t xml:space="preserve"> </w:t>
      </w:r>
      <w:r w:rsidR="00D63A8A" w:rsidRPr="00E057CF">
        <w:rPr>
          <w:color w:val="000000" w:themeColor="text1"/>
          <w:lang w:val="en-GB"/>
        </w:rPr>
        <w:t>Section 39 of the Criminal Justice Act, 1988 defines both assault and battery to be summary offences which can lead to a fine or imprisonment for a term of six months</w:t>
      </w:r>
      <w:r w:rsidR="00E057CF">
        <w:rPr>
          <w:color w:val="000000" w:themeColor="text1"/>
          <w:lang w:val="en-GB"/>
        </w:rPr>
        <w:t xml:space="preserve"> (</w:t>
      </w:r>
      <w:r w:rsidR="00E057CF" w:rsidRPr="00E057CF">
        <w:rPr>
          <w:color w:val="000000" w:themeColor="text1"/>
          <w:lang w:val="en-GB"/>
        </w:rPr>
        <w:t>Legislation.gov.uk, 2023</w:t>
      </w:r>
      <w:r w:rsidR="00E057CF">
        <w:rPr>
          <w:color w:val="000000" w:themeColor="text1"/>
          <w:lang w:val="en-GB"/>
        </w:rPr>
        <w:t>)</w:t>
      </w:r>
      <w:r w:rsidR="00D63A8A" w:rsidRPr="00E057CF">
        <w:rPr>
          <w:color w:val="000000" w:themeColor="text1"/>
          <w:lang w:val="en-GB"/>
        </w:rPr>
        <w:t>. Battery which is defined as an intentional and reckless application of unlawful force on another is usually treated as a form of misdemeanour and not a felony</w:t>
      </w:r>
      <w:r w:rsidR="003B52AA">
        <w:rPr>
          <w:color w:val="000000" w:themeColor="text1"/>
          <w:lang w:val="en-GB"/>
        </w:rPr>
        <w:t>.</w:t>
      </w:r>
      <w:r w:rsidR="00D63A8A" w:rsidRPr="00E057CF">
        <w:rPr>
          <w:color w:val="000000" w:themeColor="text1"/>
          <w:lang w:val="en-GB"/>
        </w:rPr>
        <w:t xml:space="preserve"> </w:t>
      </w:r>
      <w:r w:rsidR="003B52AA" w:rsidRPr="00E057CF">
        <w:rPr>
          <w:color w:val="000000" w:themeColor="text1"/>
          <w:lang w:val="en-GB"/>
        </w:rPr>
        <w:t>However</w:t>
      </w:r>
      <w:r w:rsidR="00D63A8A" w:rsidRPr="00E057CF">
        <w:rPr>
          <w:color w:val="000000" w:themeColor="text1"/>
          <w:lang w:val="en-GB"/>
        </w:rPr>
        <w:t>, under the provided circumstances the Court is at its discretion to treat the same more serious</w:t>
      </w:r>
      <w:r w:rsidR="003B52AA">
        <w:rPr>
          <w:color w:val="000000" w:themeColor="text1"/>
          <w:lang w:val="en-GB"/>
        </w:rPr>
        <w:t>ly.</w:t>
      </w:r>
      <w:r w:rsidR="00D63A8A" w:rsidRPr="00E057CF">
        <w:rPr>
          <w:color w:val="000000" w:themeColor="text1"/>
          <w:lang w:val="en-GB"/>
        </w:rPr>
        <w:t xml:space="preserve"> </w:t>
      </w:r>
      <w:r w:rsidR="003B52AA">
        <w:rPr>
          <w:color w:val="000000" w:themeColor="text1"/>
          <w:lang w:val="en-GB"/>
        </w:rPr>
        <w:t>Considering that</w:t>
      </w:r>
      <w:r w:rsidR="00D63A8A" w:rsidRPr="00E057CF">
        <w:rPr>
          <w:color w:val="000000" w:themeColor="text1"/>
          <w:lang w:val="en-GB"/>
        </w:rPr>
        <w:t xml:space="preserve"> battery is followed by other forms of Assault including Grievous Bodily Harm under Section 18 or 20 of the Offenses Against the Person Act, 1861</w:t>
      </w:r>
      <w:r w:rsidR="003B52AA">
        <w:rPr>
          <w:color w:val="000000" w:themeColor="text1"/>
          <w:lang w:val="en-GB"/>
        </w:rPr>
        <w:t xml:space="preserve"> the Court can treat the summary offense as a serious felony</w:t>
      </w:r>
      <w:r w:rsidR="00E32487" w:rsidRPr="00E057CF">
        <w:rPr>
          <w:color w:val="000000" w:themeColor="text1"/>
          <w:lang w:val="en-GB"/>
        </w:rPr>
        <w:t xml:space="preserve"> (Legislation.gov.uk, 2023)</w:t>
      </w:r>
      <w:r w:rsidRPr="00E057CF">
        <w:rPr>
          <w:color w:val="000000" w:themeColor="text1"/>
          <w:lang w:val="en-GB"/>
        </w:rPr>
        <w:t xml:space="preserve">. Consent is a fundamental concept that separates lawful from </w:t>
      </w:r>
      <w:r w:rsidR="00482B26" w:rsidRPr="00E057CF">
        <w:rPr>
          <w:color w:val="000000" w:themeColor="text1"/>
          <w:lang w:val="en-GB"/>
        </w:rPr>
        <w:t>unlawful actions</w:t>
      </w:r>
      <w:r w:rsidRPr="00E057CF">
        <w:rPr>
          <w:color w:val="000000" w:themeColor="text1"/>
          <w:lang w:val="en-GB"/>
        </w:rPr>
        <w:t xml:space="preserve"> and its role is paramount in</w:t>
      </w:r>
      <w:r w:rsidR="003B52AA">
        <w:rPr>
          <w:color w:val="000000" w:themeColor="text1"/>
          <w:lang w:val="en-GB"/>
        </w:rPr>
        <w:t xml:space="preserve"> different forms of offences including</w:t>
      </w:r>
      <w:r w:rsidRPr="00E057CF">
        <w:rPr>
          <w:color w:val="000000" w:themeColor="text1"/>
          <w:lang w:val="en-GB"/>
        </w:rPr>
        <w:t xml:space="preserve"> sexual offences</w:t>
      </w:r>
      <w:r w:rsidRPr="00E057CF">
        <w:rPr>
          <w:color w:val="000000" w:themeColor="text1"/>
          <w:lang w:val="en-GB"/>
        </w:rPr>
        <w:t xml:space="preserve"> and understanding assisted </w:t>
      </w:r>
      <w:r w:rsidRPr="00E057CF">
        <w:rPr>
          <w:color w:val="000000" w:themeColor="text1"/>
          <w:lang w:val="en-GB"/>
        </w:rPr>
        <w:lastRenderedPageBreak/>
        <w:t xml:space="preserve">homicide </w:t>
      </w:r>
      <w:r w:rsidR="00482B26" w:rsidRPr="00E057CF">
        <w:rPr>
          <w:color w:val="000000" w:themeColor="text1"/>
          <w:lang w:val="en-GB"/>
        </w:rPr>
        <w:t>(Edwards, 2020)</w:t>
      </w:r>
      <w:r w:rsidRPr="00E057CF">
        <w:rPr>
          <w:color w:val="000000" w:themeColor="text1"/>
          <w:lang w:val="en-GB"/>
        </w:rPr>
        <w:t xml:space="preserve">. </w:t>
      </w:r>
      <w:r w:rsidR="00482B26" w:rsidRPr="00E057CF">
        <w:rPr>
          <w:color w:val="000000" w:themeColor="text1"/>
          <w:lang w:val="en-GB"/>
        </w:rPr>
        <w:t xml:space="preserve">The definition of consent is clarified in </w:t>
      </w:r>
      <w:r w:rsidR="003B52AA" w:rsidRPr="00E057CF">
        <w:rPr>
          <w:color w:val="000000" w:themeColor="text1"/>
          <w:lang w:val="en-GB"/>
        </w:rPr>
        <w:t xml:space="preserve">Section </w:t>
      </w:r>
      <w:r w:rsidR="00482B26" w:rsidRPr="00E057CF">
        <w:rPr>
          <w:color w:val="000000" w:themeColor="text1"/>
          <w:lang w:val="en-GB"/>
        </w:rPr>
        <w:t xml:space="preserve">74 of the Sexual Offences Act 2003 as an acceptance of an action </w:t>
      </w:r>
      <w:r w:rsidR="003B52AA">
        <w:rPr>
          <w:color w:val="000000" w:themeColor="text1"/>
          <w:lang w:val="en-GB"/>
        </w:rPr>
        <w:t xml:space="preserve">with knowledge and freedom of the consequences of such </w:t>
      </w:r>
      <w:r w:rsidR="00482B26" w:rsidRPr="00E057CF">
        <w:rPr>
          <w:color w:val="000000" w:themeColor="text1"/>
          <w:lang w:val="en-GB"/>
        </w:rPr>
        <w:t>acceptance</w:t>
      </w:r>
      <w:r w:rsidR="00E32487" w:rsidRPr="00E057CF">
        <w:rPr>
          <w:color w:val="000000" w:themeColor="text1"/>
          <w:lang w:val="en-GB"/>
        </w:rPr>
        <w:t xml:space="preserve"> (Legislation.gov.uk, 2023)</w:t>
      </w:r>
      <w:r w:rsidR="00482B26" w:rsidRPr="00E057CF">
        <w:rPr>
          <w:color w:val="000000" w:themeColor="text1"/>
          <w:lang w:val="en-GB"/>
        </w:rPr>
        <w:t>.</w:t>
      </w:r>
    </w:p>
    <w:p w14:paraId="23E2B0B6" w14:textId="6581F2CD" w:rsidR="00482B26" w:rsidRPr="00E057CF" w:rsidRDefault="00003969" w:rsidP="00E057CF">
      <w:pPr>
        <w:rPr>
          <w:color w:val="000000" w:themeColor="text1"/>
          <w:lang w:val="en-GB"/>
        </w:rPr>
      </w:pPr>
      <w:r w:rsidRPr="00E057CF">
        <w:rPr>
          <w:color w:val="000000" w:themeColor="text1"/>
          <w:lang w:val="en-GB"/>
        </w:rPr>
        <w:t xml:space="preserve">Battery </w:t>
      </w:r>
      <w:r w:rsidR="00E32487" w:rsidRPr="00E057CF">
        <w:rPr>
          <w:color w:val="000000" w:themeColor="text1"/>
          <w:lang w:val="en-GB"/>
        </w:rPr>
        <w:t xml:space="preserve">can be defined as a non-consensual form of touching where there is no consent from one party intimidating the other to </w:t>
      </w:r>
      <w:r w:rsidR="003B52AA">
        <w:rPr>
          <w:color w:val="000000" w:themeColor="text1"/>
          <w:lang w:val="en-GB"/>
        </w:rPr>
        <w:t>make physical contact with</w:t>
      </w:r>
      <w:r w:rsidR="00E32487" w:rsidRPr="00E057CF">
        <w:rPr>
          <w:color w:val="000000" w:themeColor="text1"/>
          <w:lang w:val="en-GB"/>
        </w:rPr>
        <w:t xml:space="preserve"> them in any manner or use any form of force for that reason. For an act of battery to be justified a criminal intention is not always essential as a result of which the action is </w:t>
      </w:r>
      <w:proofErr w:type="spellStart"/>
      <w:r w:rsidR="00E32487" w:rsidRPr="00E057CF">
        <w:rPr>
          <w:color w:val="000000" w:themeColor="text1"/>
          <w:lang w:val="en-GB"/>
        </w:rPr>
        <w:t>labeled</w:t>
      </w:r>
      <w:proofErr w:type="spellEnd"/>
      <w:r w:rsidR="00E32487" w:rsidRPr="00E057CF">
        <w:rPr>
          <w:color w:val="000000" w:themeColor="text1"/>
          <w:lang w:val="en-GB"/>
        </w:rPr>
        <w:t xml:space="preserve"> under summary offence. To understand this, an example will be justified. Suppose</w:t>
      </w:r>
      <w:r w:rsidR="00A40F53" w:rsidRPr="00E057CF">
        <w:rPr>
          <w:color w:val="000000" w:themeColor="text1"/>
          <w:lang w:val="en-GB"/>
        </w:rPr>
        <w:t>,</w:t>
      </w:r>
      <w:r w:rsidR="00E32487" w:rsidRPr="00E057CF">
        <w:rPr>
          <w:color w:val="000000" w:themeColor="text1"/>
          <w:lang w:val="en-GB"/>
        </w:rPr>
        <w:t xml:space="preserve"> a doctor treating their patient in their best interest can be prone to committing a battery provided that the patient has not given active consent for the doctor to touch them</w:t>
      </w:r>
      <w:r w:rsidR="00A40F53" w:rsidRPr="00E057CF">
        <w:rPr>
          <w:color w:val="000000" w:themeColor="text1"/>
          <w:lang w:val="en-GB"/>
        </w:rPr>
        <w:t xml:space="preserve"> (</w:t>
      </w:r>
      <w:r w:rsidR="00A40F53" w:rsidRPr="00E057CF">
        <w:rPr>
          <w:color w:val="000000" w:themeColor="text1"/>
          <w:shd w:val="clear" w:color="auto" w:fill="FFFFFF"/>
          <w:lang w:val="en-GB"/>
        </w:rPr>
        <w:t>Cave, 2021</w:t>
      </w:r>
      <w:r w:rsidR="00A40F53" w:rsidRPr="00E057CF">
        <w:rPr>
          <w:color w:val="000000" w:themeColor="text1"/>
          <w:lang w:val="en-GB"/>
        </w:rPr>
        <w:t>)</w:t>
      </w:r>
      <w:r w:rsidR="00E32487" w:rsidRPr="00E057CF">
        <w:rPr>
          <w:color w:val="000000" w:themeColor="text1"/>
          <w:lang w:val="en-GB"/>
        </w:rPr>
        <w:t xml:space="preserve">. In </w:t>
      </w:r>
      <w:bookmarkStart w:id="3" w:name="_Hlk148524736"/>
      <w:r w:rsidR="00E32487" w:rsidRPr="00E057CF">
        <w:rPr>
          <w:i/>
          <w:iCs/>
          <w:color w:val="000000" w:themeColor="text1"/>
          <w:lang w:val="en-GB"/>
        </w:rPr>
        <w:t>Devi v West Midlands RHA [1980]</w:t>
      </w:r>
      <w:bookmarkEnd w:id="3"/>
      <w:r w:rsidR="00120CAC" w:rsidRPr="00E057CF">
        <w:rPr>
          <w:color w:val="000000" w:themeColor="text1"/>
          <w:lang w:val="en-GB"/>
        </w:rPr>
        <w:t xml:space="preserve">, </w:t>
      </w:r>
      <w:r w:rsidR="00E32487" w:rsidRPr="00E057CF">
        <w:rPr>
          <w:color w:val="000000" w:themeColor="text1"/>
          <w:lang w:val="en-GB"/>
        </w:rPr>
        <w:t xml:space="preserve">a patient underwent surgery for hysterectomy which is a surgery for the removal of the uterus. However, the woman gave consent towards repairing her uterus and not the removal of the same. </w:t>
      </w:r>
      <w:r w:rsidR="00CF7D14" w:rsidRPr="00E057CF">
        <w:rPr>
          <w:color w:val="000000" w:themeColor="text1"/>
          <w:lang w:val="en-GB"/>
        </w:rPr>
        <w:t xml:space="preserve">On </w:t>
      </w:r>
      <w:r w:rsidR="00E32487" w:rsidRPr="00E057CF">
        <w:rPr>
          <w:color w:val="000000" w:themeColor="text1"/>
          <w:lang w:val="en-GB"/>
        </w:rPr>
        <w:t xml:space="preserve">the other hand, the doctor gave a clear </w:t>
      </w:r>
      <w:r w:rsidR="00120CAC" w:rsidRPr="00E057CF">
        <w:rPr>
          <w:color w:val="000000" w:themeColor="text1"/>
          <w:lang w:val="en-GB"/>
        </w:rPr>
        <w:t>explanation of the procedure and the consequences of the same. The lack of knowledge and informed consent led to a rise in the involvement of battery</w:t>
      </w:r>
      <w:r w:rsidR="00CF7D14">
        <w:rPr>
          <w:color w:val="000000" w:themeColor="text1"/>
          <w:lang w:val="en-GB"/>
        </w:rPr>
        <w:t xml:space="preserve"> incident</w:t>
      </w:r>
      <w:r w:rsidR="00120CAC" w:rsidRPr="00E057CF">
        <w:rPr>
          <w:color w:val="000000" w:themeColor="text1"/>
          <w:lang w:val="en-GB"/>
        </w:rPr>
        <w:t>s (Ukcen.net, 2023).</w:t>
      </w:r>
    </w:p>
    <w:p w14:paraId="00000013" w14:textId="5ED7F338" w:rsidR="006E0973" w:rsidRPr="00E057CF" w:rsidRDefault="00003969" w:rsidP="00E057CF">
      <w:pPr>
        <w:rPr>
          <w:color w:val="000000" w:themeColor="text1"/>
          <w:lang w:val="en-GB"/>
        </w:rPr>
      </w:pPr>
      <w:r w:rsidRPr="00E057CF">
        <w:rPr>
          <w:color w:val="000000" w:themeColor="text1"/>
          <w:lang w:val="en-GB"/>
        </w:rPr>
        <w:t xml:space="preserve">Ethics and moral codes play a vital role in the operations of the judicial system of the United Kingdom and as such it is essential to understand the impact it has on the interpretation and implementation of the legislation. </w:t>
      </w:r>
      <w:r w:rsidR="009068EA" w:rsidRPr="00E057CF">
        <w:rPr>
          <w:color w:val="000000" w:themeColor="text1"/>
          <w:lang w:val="en-GB"/>
        </w:rPr>
        <w:t xml:space="preserve">Ending a life is in no manner treated inside the parameters of moral and ethical actions. </w:t>
      </w:r>
      <w:r w:rsidRPr="00E057CF">
        <w:rPr>
          <w:color w:val="000000" w:themeColor="text1"/>
          <w:lang w:val="en-GB"/>
        </w:rPr>
        <w:t xml:space="preserve">The case of </w:t>
      </w:r>
      <w:r w:rsidR="009068EA" w:rsidRPr="00E057CF">
        <w:rPr>
          <w:bCs/>
          <w:i/>
          <w:color w:val="000000" w:themeColor="text1"/>
          <w:lang w:val="en-GB"/>
        </w:rPr>
        <w:t>R (Purdy) v DPP [2009]</w:t>
      </w:r>
      <w:r w:rsidRPr="00E057CF">
        <w:rPr>
          <w:b/>
          <w:i/>
          <w:color w:val="000000" w:themeColor="text1"/>
          <w:lang w:val="en-GB"/>
        </w:rPr>
        <w:t xml:space="preserve"> </w:t>
      </w:r>
      <w:r w:rsidRPr="00E057CF">
        <w:rPr>
          <w:color w:val="000000" w:themeColor="text1"/>
          <w:lang w:val="en-GB"/>
        </w:rPr>
        <w:t>can be viewed</w:t>
      </w:r>
      <w:r w:rsidR="00CF7D14">
        <w:rPr>
          <w:color w:val="000000" w:themeColor="text1"/>
          <w:lang w:val="en-GB"/>
        </w:rPr>
        <w:t xml:space="preserve"> to develop a better understanding of this</w:t>
      </w:r>
      <w:r w:rsidRPr="00E057CF">
        <w:rPr>
          <w:color w:val="000000" w:themeColor="text1"/>
          <w:lang w:val="en-GB"/>
        </w:rPr>
        <w:t>. Debbie,</w:t>
      </w:r>
      <w:r w:rsidR="00CF7D14">
        <w:rPr>
          <w:color w:val="000000" w:themeColor="text1"/>
          <w:lang w:val="en-GB"/>
        </w:rPr>
        <w:t xml:space="preserve"> the appellant in this case,</w:t>
      </w:r>
      <w:r w:rsidRPr="00E057CF">
        <w:rPr>
          <w:color w:val="000000" w:themeColor="text1"/>
          <w:lang w:val="en-GB"/>
        </w:rPr>
        <w:t xml:space="preserve"> after being critically ill with multiple sclerosis wanted to know if her husband was to be prosecuted for assisting her to death. The ruling stated that providing consent in assisted homicide is a crime. </w:t>
      </w:r>
      <w:r w:rsidRPr="00E057CF">
        <w:rPr>
          <w:bCs/>
          <w:iCs/>
          <w:color w:val="000000" w:themeColor="text1"/>
          <w:lang w:val="en-GB"/>
        </w:rPr>
        <w:t>Criminal Justice Act, of 2003</w:t>
      </w:r>
      <w:r w:rsidRPr="00E057CF">
        <w:rPr>
          <w:color w:val="000000" w:themeColor="text1"/>
          <w:lang w:val="en-GB"/>
        </w:rPr>
        <w:t xml:space="preserve"> states that consent</w:t>
      </w:r>
      <w:r w:rsidR="00CF7D14">
        <w:rPr>
          <w:color w:val="000000" w:themeColor="text1"/>
          <w:lang w:val="en-GB"/>
        </w:rPr>
        <w:t xml:space="preserve"> of engagement</w:t>
      </w:r>
      <w:r w:rsidRPr="00E057CF">
        <w:rPr>
          <w:color w:val="000000" w:themeColor="text1"/>
          <w:lang w:val="en-GB"/>
        </w:rPr>
        <w:t xml:space="preserve"> in criminal cases is also subject to be punished (</w:t>
      </w:r>
      <w:r w:rsidR="00120CAC" w:rsidRPr="00E057CF">
        <w:rPr>
          <w:color w:val="000000" w:themeColor="text1"/>
          <w:lang w:val="en-GB"/>
        </w:rPr>
        <w:t>Legislation.gov.uk, 2023</w:t>
      </w:r>
      <w:r w:rsidRPr="00E057CF">
        <w:rPr>
          <w:color w:val="000000" w:themeColor="text1"/>
          <w:lang w:val="en-GB"/>
        </w:rPr>
        <w:t xml:space="preserve">). </w:t>
      </w:r>
      <w:r w:rsidR="00120CAC" w:rsidRPr="00E057CF">
        <w:rPr>
          <w:color w:val="000000" w:themeColor="text1"/>
          <w:lang w:val="en-GB"/>
        </w:rPr>
        <w:t>From this case, it is clear that informed consent cannot be provided as a justification for actions that are against moral and ethical principles.</w:t>
      </w:r>
      <w:r w:rsidRPr="00E057CF">
        <w:rPr>
          <w:color w:val="000000" w:themeColor="text1"/>
          <w:lang w:val="en-GB"/>
        </w:rPr>
        <w:t xml:space="preserve"> </w:t>
      </w:r>
      <w:r w:rsidR="009068EA" w:rsidRPr="00E057CF">
        <w:rPr>
          <w:color w:val="000000" w:themeColor="text1"/>
          <w:lang w:val="en-GB"/>
        </w:rPr>
        <w:t>Suicide is no longer a criminal act in the United Kingdom however, Section 2 of the Suicide Act 1961 recognizes it as a criminal offence for any third party to aid in the process of suicide (Parliament.uk, 2023).</w:t>
      </w:r>
    </w:p>
    <w:p w14:paraId="00000014" w14:textId="53B692EE" w:rsidR="006E0973" w:rsidRPr="00E057CF" w:rsidRDefault="00003969" w:rsidP="00E057CF">
      <w:pPr>
        <w:rPr>
          <w:color w:val="000000" w:themeColor="text1"/>
          <w:lang w:val="en-GB"/>
        </w:rPr>
      </w:pPr>
      <w:r w:rsidRPr="00E057CF">
        <w:rPr>
          <w:color w:val="000000" w:themeColor="text1"/>
          <w:lang w:val="en-GB"/>
        </w:rPr>
        <w:t xml:space="preserve">In the UK legal system, </w:t>
      </w:r>
      <w:r w:rsidR="00CF7D14">
        <w:rPr>
          <w:color w:val="000000" w:themeColor="text1"/>
          <w:lang w:val="en-GB"/>
        </w:rPr>
        <w:t xml:space="preserve">the mere </w:t>
      </w:r>
      <w:r w:rsidR="00CF7D14" w:rsidRPr="00E057CF">
        <w:rPr>
          <w:color w:val="000000" w:themeColor="text1"/>
          <w:lang w:val="en-GB"/>
        </w:rPr>
        <w:t>intention</w:t>
      </w:r>
      <w:r w:rsidR="00CF7D14">
        <w:rPr>
          <w:color w:val="000000" w:themeColor="text1"/>
          <w:lang w:val="en-GB"/>
        </w:rPr>
        <w:t xml:space="preserve"> of applying </w:t>
      </w:r>
      <w:r w:rsidR="00CF7D14" w:rsidRPr="00E057CF">
        <w:rPr>
          <w:color w:val="000000" w:themeColor="text1"/>
          <w:lang w:val="en-GB"/>
        </w:rPr>
        <w:t xml:space="preserve">physical force to harm </w:t>
      </w:r>
      <w:r w:rsidR="00CF7D14">
        <w:rPr>
          <w:color w:val="000000" w:themeColor="text1"/>
          <w:lang w:val="en-GB"/>
        </w:rPr>
        <w:t>an individual is also considered under the perimeters of</w:t>
      </w:r>
      <w:r w:rsidR="00CF7D14" w:rsidRPr="00E057CF">
        <w:rPr>
          <w:color w:val="000000" w:themeColor="text1"/>
          <w:lang w:val="en-GB"/>
        </w:rPr>
        <w:t xml:space="preserve"> </w:t>
      </w:r>
      <w:r w:rsidRPr="00E057CF">
        <w:rPr>
          <w:color w:val="000000" w:themeColor="text1"/>
          <w:lang w:val="en-GB"/>
        </w:rPr>
        <w:t>battery</w:t>
      </w:r>
      <w:r w:rsidR="00CF7D14">
        <w:rPr>
          <w:color w:val="000000" w:themeColor="text1"/>
          <w:lang w:val="en-GB"/>
        </w:rPr>
        <w:t xml:space="preserve"> </w:t>
      </w:r>
      <w:r w:rsidRPr="00E057CF">
        <w:rPr>
          <w:color w:val="000000" w:themeColor="text1"/>
          <w:lang w:val="en-GB"/>
        </w:rPr>
        <w:t>(Greenaway, 2020).</w:t>
      </w:r>
    </w:p>
    <w:p w14:paraId="00000015" w14:textId="0F668948" w:rsidR="006E0973" w:rsidRPr="00E057CF" w:rsidRDefault="00003969" w:rsidP="00E057CF">
      <w:pPr>
        <w:rPr>
          <w:color w:val="000000" w:themeColor="text1"/>
          <w:lang w:val="en-GB"/>
        </w:rPr>
      </w:pPr>
      <w:r w:rsidRPr="00E057CF">
        <w:rPr>
          <w:color w:val="000000" w:themeColor="text1"/>
          <w:lang w:val="en-GB"/>
        </w:rPr>
        <w:t>The presence of consent is essential in cases related to battery</w:t>
      </w:r>
      <w:r w:rsidR="00A40F53" w:rsidRPr="00E057CF">
        <w:rPr>
          <w:color w:val="000000" w:themeColor="text1"/>
          <w:lang w:val="en-GB"/>
        </w:rPr>
        <w:t xml:space="preserve"> (</w:t>
      </w:r>
      <w:r w:rsidR="00A40F53" w:rsidRPr="00E057CF">
        <w:rPr>
          <w:color w:val="000000" w:themeColor="text1"/>
          <w:shd w:val="clear" w:color="auto" w:fill="FFFFFF"/>
          <w:lang w:val="en-GB"/>
        </w:rPr>
        <w:t>Geisinger, 2020</w:t>
      </w:r>
      <w:r w:rsidR="00A40F53" w:rsidRPr="00E057CF">
        <w:rPr>
          <w:color w:val="000000" w:themeColor="text1"/>
          <w:lang w:val="en-GB"/>
        </w:rPr>
        <w:t>)</w:t>
      </w:r>
      <w:r w:rsidRPr="00E057CF">
        <w:rPr>
          <w:color w:val="000000" w:themeColor="text1"/>
          <w:lang w:val="en-GB"/>
        </w:rPr>
        <w:t xml:space="preserve">. </w:t>
      </w:r>
      <w:r w:rsidR="00CF7D14">
        <w:rPr>
          <w:color w:val="000000" w:themeColor="text1"/>
          <w:lang w:val="en-GB"/>
        </w:rPr>
        <w:t xml:space="preserve">In the </w:t>
      </w:r>
      <w:r w:rsidR="00CF7D14" w:rsidRPr="00E057CF">
        <w:rPr>
          <w:color w:val="000000" w:themeColor="text1"/>
          <w:lang w:val="en-GB"/>
        </w:rPr>
        <w:t>UK legal system</w:t>
      </w:r>
      <w:r w:rsidR="00CF7D14">
        <w:rPr>
          <w:color w:val="000000" w:themeColor="text1"/>
          <w:lang w:val="en-GB"/>
        </w:rPr>
        <w:t>, consent</w:t>
      </w:r>
      <w:r w:rsidRPr="00E057CF">
        <w:rPr>
          <w:color w:val="000000" w:themeColor="text1"/>
          <w:lang w:val="en-GB"/>
        </w:rPr>
        <w:t xml:space="preserve"> </w:t>
      </w:r>
      <w:r w:rsidR="00CF7D14">
        <w:rPr>
          <w:color w:val="000000" w:themeColor="text1"/>
          <w:lang w:val="en-GB"/>
        </w:rPr>
        <w:t>plays a vital role in determining the intentions of an action and categorising the severity of the impact it has</w:t>
      </w:r>
      <w:r w:rsidRPr="00E057CF">
        <w:rPr>
          <w:color w:val="000000" w:themeColor="text1"/>
          <w:lang w:val="en-GB"/>
        </w:rPr>
        <w:t xml:space="preserve">. </w:t>
      </w:r>
      <w:r w:rsidR="00CF7D14" w:rsidRPr="00E057CF">
        <w:rPr>
          <w:color w:val="000000" w:themeColor="text1"/>
          <w:lang w:val="en-GB"/>
        </w:rPr>
        <w:t xml:space="preserve">Battery </w:t>
      </w:r>
      <w:r w:rsidRPr="00E057CF">
        <w:rPr>
          <w:color w:val="000000" w:themeColor="text1"/>
          <w:lang w:val="en-GB"/>
        </w:rPr>
        <w:t xml:space="preserve">is not only related to consent but various other considerations </w:t>
      </w:r>
      <w:r w:rsidR="00CF7D14">
        <w:rPr>
          <w:color w:val="000000" w:themeColor="text1"/>
          <w:lang w:val="en-GB"/>
        </w:rPr>
        <w:lastRenderedPageBreak/>
        <w:t xml:space="preserve">are </w:t>
      </w:r>
      <w:r w:rsidRPr="00E057CF">
        <w:rPr>
          <w:color w:val="000000" w:themeColor="text1"/>
          <w:lang w:val="en-GB"/>
        </w:rPr>
        <w:t>require</w:t>
      </w:r>
      <w:r w:rsidR="00CF7D14">
        <w:rPr>
          <w:color w:val="000000" w:themeColor="text1"/>
          <w:lang w:val="en-GB"/>
        </w:rPr>
        <w:t>d to establish a clear intention of battery</w:t>
      </w:r>
      <w:r w:rsidRPr="00E057CF">
        <w:rPr>
          <w:color w:val="000000" w:themeColor="text1"/>
          <w:lang w:val="en-GB"/>
        </w:rPr>
        <w:t>. One of the most notable factors here is that consent must be active, specific, and unambiguous for this case. The case law of</w:t>
      </w:r>
      <w:r w:rsidR="00AB072C" w:rsidRPr="00E057CF">
        <w:rPr>
          <w:b/>
          <w:i/>
          <w:color w:val="000000" w:themeColor="text1"/>
          <w:lang w:val="en-GB"/>
        </w:rPr>
        <w:t xml:space="preserve"> </w:t>
      </w:r>
      <w:r w:rsidR="00AB072C" w:rsidRPr="00E057CF">
        <w:rPr>
          <w:i/>
          <w:iCs/>
          <w:color w:val="000000" w:themeColor="text1"/>
          <w:lang w:val="en-GB"/>
        </w:rPr>
        <w:t>R v Barnes [2004]</w:t>
      </w:r>
      <w:r w:rsidR="00AB072C" w:rsidRPr="00E057CF">
        <w:rPr>
          <w:color w:val="000000" w:themeColor="text1"/>
          <w:lang w:val="en-GB"/>
        </w:rPr>
        <w:t xml:space="preserve"> </w:t>
      </w:r>
      <w:r w:rsidRPr="00E057CF">
        <w:rPr>
          <w:color w:val="000000" w:themeColor="text1"/>
          <w:lang w:val="en-GB"/>
        </w:rPr>
        <w:t>can be mentioned here</w:t>
      </w:r>
      <w:r w:rsidR="00AB072C" w:rsidRPr="00E057CF">
        <w:rPr>
          <w:color w:val="000000" w:themeColor="text1"/>
          <w:lang w:val="en-GB"/>
        </w:rPr>
        <w:t>, where the</w:t>
      </w:r>
      <w:r w:rsidRPr="00E057CF">
        <w:rPr>
          <w:color w:val="000000" w:themeColor="text1"/>
          <w:lang w:val="en-GB"/>
        </w:rPr>
        <w:t xml:space="preserve"> victim was stated to have given consent for physical </w:t>
      </w:r>
      <w:r w:rsidR="00AB072C" w:rsidRPr="00E057CF">
        <w:rPr>
          <w:color w:val="000000" w:themeColor="text1"/>
          <w:lang w:val="en-GB"/>
        </w:rPr>
        <w:t>contact by approving to the rules of playing a football match</w:t>
      </w:r>
      <w:r w:rsidRPr="00E057CF">
        <w:rPr>
          <w:color w:val="000000" w:themeColor="text1"/>
          <w:lang w:val="en-GB"/>
        </w:rPr>
        <w:t xml:space="preserve"> as mentioned by the defendant</w:t>
      </w:r>
      <w:r w:rsidR="00AB072C" w:rsidRPr="00E057CF">
        <w:rPr>
          <w:color w:val="000000" w:themeColor="text1"/>
          <w:lang w:val="en-GB"/>
        </w:rPr>
        <w:t xml:space="preserve">. However, </w:t>
      </w:r>
      <w:r w:rsidRPr="00E057CF">
        <w:rPr>
          <w:color w:val="000000" w:themeColor="text1"/>
          <w:lang w:val="en-GB"/>
        </w:rPr>
        <w:t xml:space="preserve">the court </w:t>
      </w:r>
      <w:r w:rsidR="00AB072C" w:rsidRPr="00E057CF">
        <w:rPr>
          <w:color w:val="000000" w:themeColor="text1"/>
          <w:lang w:val="en-GB"/>
        </w:rPr>
        <w:t>highlighted that intentional</w:t>
      </w:r>
      <w:r w:rsidRPr="00E057CF">
        <w:rPr>
          <w:color w:val="000000" w:themeColor="text1"/>
          <w:lang w:val="en-GB"/>
        </w:rPr>
        <w:t xml:space="preserve"> </w:t>
      </w:r>
      <w:r w:rsidR="00AB072C" w:rsidRPr="00E057CF">
        <w:rPr>
          <w:color w:val="000000" w:themeColor="text1"/>
          <w:lang w:val="en-GB"/>
        </w:rPr>
        <w:t>infliction of injury cannot be given immunity under the regulations and consent of participating in a contact sport.</w:t>
      </w:r>
      <w:r w:rsidRPr="00E057CF">
        <w:rPr>
          <w:color w:val="000000" w:themeColor="text1"/>
          <w:lang w:val="en-GB"/>
        </w:rPr>
        <w:t xml:space="preserve"> </w:t>
      </w:r>
      <w:r w:rsidR="00AB072C" w:rsidRPr="00E057CF">
        <w:rPr>
          <w:color w:val="000000" w:themeColor="text1"/>
          <w:lang w:val="en-GB"/>
        </w:rPr>
        <w:t xml:space="preserve">Such participation </w:t>
      </w:r>
      <w:r w:rsidRPr="00E057CF">
        <w:rPr>
          <w:color w:val="000000" w:themeColor="text1"/>
          <w:lang w:val="en-GB"/>
        </w:rPr>
        <w:t xml:space="preserve">cannot be considered as consent </w:t>
      </w:r>
      <w:r w:rsidR="00AB072C" w:rsidRPr="00E057CF">
        <w:rPr>
          <w:color w:val="000000" w:themeColor="text1"/>
          <w:lang w:val="en-GB"/>
        </w:rPr>
        <w:t>for reckless injury with the intention to cause harm</w:t>
      </w:r>
      <w:r w:rsidRPr="00E057CF">
        <w:rPr>
          <w:color w:val="000000" w:themeColor="text1"/>
          <w:lang w:val="en-GB"/>
        </w:rPr>
        <w:t xml:space="preserve">. In terms of </w:t>
      </w:r>
      <w:r w:rsidR="00AB072C" w:rsidRPr="00E057CF">
        <w:rPr>
          <w:color w:val="000000" w:themeColor="text1"/>
          <w:lang w:val="en-GB"/>
        </w:rPr>
        <w:t xml:space="preserve">contact </w:t>
      </w:r>
      <w:r w:rsidRPr="00E057CF">
        <w:rPr>
          <w:color w:val="000000" w:themeColor="text1"/>
          <w:lang w:val="en-GB"/>
        </w:rPr>
        <w:t>sports and other recreational activities</w:t>
      </w:r>
      <w:r w:rsidR="00AB072C" w:rsidRPr="00E057CF">
        <w:rPr>
          <w:color w:val="000000" w:themeColor="text1"/>
          <w:lang w:val="en-GB"/>
        </w:rPr>
        <w:t xml:space="preserve"> involving such exposure</w:t>
      </w:r>
      <w:r w:rsidRPr="00E057CF">
        <w:rPr>
          <w:color w:val="000000" w:themeColor="text1"/>
          <w:lang w:val="en-GB"/>
        </w:rPr>
        <w:t>, implied c</w:t>
      </w:r>
      <w:r w:rsidRPr="00E057CF">
        <w:rPr>
          <w:color w:val="000000" w:themeColor="text1"/>
          <w:lang w:val="en-GB"/>
        </w:rPr>
        <w:t xml:space="preserve">onsent is </w:t>
      </w:r>
      <w:r w:rsidR="00AB072C" w:rsidRPr="00E057CF">
        <w:rPr>
          <w:color w:val="000000" w:themeColor="text1"/>
          <w:lang w:val="en-GB"/>
        </w:rPr>
        <w:t xml:space="preserve">an essential aspect. </w:t>
      </w:r>
    </w:p>
    <w:p w14:paraId="36ABB222" w14:textId="36871C11" w:rsidR="00176FD2" w:rsidRPr="00E057CF" w:rsidRDefault="00003969" w:rsidP="00E057CF">
      <w:pPr>
        <w:rPr>
          <w:color w:val="000000" w:themeColor="text1"/>
          <w:lang w:val="en-GB"/>
        </w:rPr>
      </w:pPr>
      <w:r w:rsidRPr="00E057CF">
        <w:rPr>
          <w:color w:val="000000" w:themeColor="text1"/>
          <w:lang w:val="en-GB"/>
        </w:rPr>
        <w:t xml:space="preserve">The ethical and philosophical dimensions of consent provide a ground framework based on which individual autonomy, rights, and ethical boundaries of human operations can be evaluated to a great extent. In cases related to battery and criminal law, these </w:t>
      </w:r>
      <w:r w:rsidR="00CF7D14">
        <w:rPr>
          <w:color w:val="000000" w:themeColor="text1"/>
          <w:lang w:val="en-GB"/>
        </w:rPr>
        <w:t xml:space="preserve">factors </w:t>
      </w:r>
      <w:r w:rsidRPr="00E057CF">
        <w:rPr>
          <w:color w:val="000000" w:themeColor="text1"/>
          <w:lang w:val="en-GB"/>
        </w:rPr>
        <w:t xml:space="preserve">help in determining and allocating </w:t>
      </w:r>
      <w:r w:rsidR="00CF7D14">
        <w:rPr>
          <w:color w:val="000000" w:themeColor="text1"/>
          <w:lang w:val="en-GB"/>
        </w:rPr>
        <w:t>liability</w:t>
      </w:r>
      <w:r w:rsidRPr="00E057CF">
        <w:rPr>
          <w:color w:val="000000" w:themeColor="text1"/>
          <w:lang w:val="en-GB"/>
        </w:rPr>
        <w:t xml:space="preserve"> </w:t>
      </w:r>
      <w:r w:rsidR="00CF7D14">
        <w:rPr>
          <w:color w:val="000000" w:themeColor="text1"/>
          <w:lang w:val="en-GB"/>
        </w:rPr>
        <w:t>to the accused</w:t>
      </w:r>
      <w:r w:rsidRPr="00E057CF">
        <w:rPr>
          <w:color w:val="000000" w:themeColor="text1"/>
          <w:lang w:val="en-GB"/>
        </w:rPr>
        <w:t xml:space="preserve"> for their actions. </w:t>
      </w:r>
    </w:p>
    <w:p w14:paraId="2D9631A5" w14:textId="18AC7BBD" w:rsidR="0035457E" w:rsidRPr="00E057CF" w:rsidRDefault="00003969" w:rsidP="00E057CF">
      <w:pPr>
        <w:rPr>
          <w:color w:val="000000" w:themeColor="text1"/>
          <w:lang w:val="en-GB"/>
        </w:rPr>
      </w:pPr>
      <w:r w:rsidRPr="00E057CF">
        <w:rPr>
          <w:color w:val="000000" w:themeColor="text1"/>
          <w:lang w:val="en-GB"/>
        </w:rPr>
        <w:t xml:space="preserve">One of the most notable cases stating the type of consent required in different fields can be viewed in the case study of </w:t>
      </w:r>
      <w:r w:rsidR="00176FD2" w:rsidRPr="00E057CF">
        <w:rPr>
          <w:i/>
          <w:iCs/>
          <w:color w:val="000000" w:themeColor="text1"/>
          <w:lang w:val="en-GB"/>
        </w:rPr>
        <w:t>R v Brown [1994]</w:t>
      </w:r>
      <w:r w:rsidR="00176FD2" w:rsidRPr="00E057CF">
        <w:rPr>
          <w:color w:val="000000" w:themeColor="text1"/>
          <w:lang w:val="en-GB"/>
        </w:rPr>
        <w:t xml:space="preserve"> where</w:t>
      </w:r>
      <w:r w:rsidRPr="00E057CF">
        <w:rPr>
          <w:color w:val="000000" w:themeColor="text1"/>
          <w:lang w:val="en-GB"/>
        </w:rPr>
        <w:t xml:space="preserve"> perverse activities </w:t>
      </w:r>
      <w:r w:rsidR="009E12D5" w:rsidRPr="00E057CF">
        <w:rPr>
          <w:color w:val="000000" w:themeColor="text1"/>
          <w:lang w:val="en-GB"/>
        </w:rPr>
        <w:t xml:space="preserve">including severe forms of sadomasochist sexual acts were highlighted. Here the offenders used consent as a form of partial defence to justify their inhuman actions. The actions of this case </w:t>
      </w:r>
      <w:r w:rsidRPr="00E057CF">
        <w:rPr>
          <w:color w:val="000000" w:themeColor="text1"/>
          <w:lang w:val="en-GB"/>
        </w:rPr>
        <w:t>raised questions about the ultimate limits of consent in different cases</w:t>
      </w:r>
      <w:r w:rsidR="00A40F53" w:rsidRPr="00E057CF">
        <w:rPr>
          <w:color w:val="000000" w:themeColor="text1"/>
          <w:lang w:val="en-GB"/>
        </w:rPr>
        <w:t xml:space="preserve"> (Bailii.org, 2023)</w:t>
      </w:r>
      <w:r w:rsidRPr="00E057CF">
        <w:rPr>
          <w:color w:val="000000" w:themeColor="text1"/>
          <w:lang w:val="en-GB"/>
        </w:rPr>
        <w:t xml:space="preserve">. </w:t>
      </w:r>
      <w:r w:rsidR="009E12D5" w:rsidRPr="00E057CF">
        <w:rPr>
          <w:color w:val="000000" w:themeColor="text1"/>
          <w:lang w:val="en-GB"/>
        </w:rPr>
        <w:t>Following the judgement of</w:t>
      </w:r>
      <w:r w:rsidRPr="00E057CF">
        <w:rPr>
          <w:color w:val="000000" w:themeColor="text1"/>
          <w:lang w:val="en-GB"/>
        </w:rPr>
        <w:t xml:space="preserve"> this case, </w:t>
      </w:r>
      <w:r w:rsidR="009E12D5" w:rsidRPr="00E057CF">
        <w:rPr>
          <w:color w:val="000000" w:themeColor="text1"/>
          <w:lang w:val="en-GB"/>
        </w:rPr>
        <w:t>it was</w:t>
      </w:r>
      <w:r w:rsidRPr="00E057CF">
        <w:rPr>
          <w:color w:val="000000" w:themeColor="text1"/>
          <w:lang w:val="en-GB"/>
        </w:rPr>
        <w:t xml:space="preserve"> laid down that certain extreme violent acts can never be considered lawful. Based on this case, the </w:t>
      </w:r>
      <w:r w:rsidRPr="00E057CF">
        <w:rPr>
          <w:bCs/>
          <w:iCs/>
          <w:color w:val="000000" w:themeColor="text1"/>
          <w:lang w:val="en-GB"/>
        </w:rPr>
        <w:t>Sexual Offenses Act 2002, redefined itself</w:t>
      </w:r>
      <w:r w:rsidR="00CF7D14">
        <w:rPr>
          <w:bCs/>
          <w:iCs/>
          <w:color w:val="000000" w:themeColor="text1"/>
          <w:lang w:val="en-GB"/>
        </w:rPr>
        <w:t>. The amendment</w:t>
      </w:r>
      <w:r w:rsidRPr="00E057CF">
        <w:rPr>
          <w:bCs/>
          <w:iCs/>
          <w:color w:val="000000" w:themeColor="text1"/>
          <w:lang w:val="en-GB"/>
        </w:rPr>
        <w:t xml:space="preserve"> stat</w:t>
      </w:r>
      <w:r w:rsidR="00CF7D14">
        <w:rPr>
          <w:bCs/>
          <w:iCs/>
          <w:color w:val="000000" w:themeColor="text1"/>
          <w:lang w:val="en-GB"/>
        </w:rPr>
        <w:t>ed</w:t>
      </w:r>
      <w:r w:rsidRPr="00E057CF">
        <w:rPr>
          <w:bCs/>
          <w:iCs/>
          <w:color w:val="000000" w:themeColor="text1"/>
          <w:lang w:val="en-GB"/>
        </w:rPr>
        <w:t xml:space="preserve"> that</w:t>
      </w:r>
      <w:r w:rsidR="009E12D5" w:rsidRPr="00E057CF">
        <w:rPr>
          <w:bCs/>
          <w:iCs/>
          <w:color w:val="000000" w:themeColor="text1"/>
          <w:lang w:val="en-GB"/>
        </w:rPr>
        <w:t>,</w:t>
      </w:r>
      <w:r w:rsidRPr="00E057CF">
        <w:rPr>
          <w:bCs/>
          <w:iCs/>
          <w:color w:val="000000" w:themeColor="text1"/>
          <w:lang w:val="en-GB"/>
        </w:rPr>
        <w:t xml:space="preserve"> for sexual activities, the consent given must remain throughout the ac</w:t>
      </w:r>
      <w:r w:rsidRPr="00E057CF">
        <w:rPr>
          <w:color w:val="000000" w:themeColor="text1"/>
          <w:lang w:val="en-GB"/>
        </w:rPr>
        <w:t xml:space="preserve">t and that the individuals must have the right to </w:t>
      </w:r>
      <w:r w:rsidR="0062081A">
        <w:rPr>
          <w:color w:val="000000" w:themeColor="text1"/>
          <w:lang w:val="en-GB"/>
        </w:rPr>
        <w:t>alter</w:t>
      </w:r>
      <w:r w:rsidRPr="00E057CF">
        <w:rPr>
          <w:color w:val="000000" w:themeColor="text1"/>
          <w:lang w:val="en-GB"/>
        </w:rPr>
        <w:t xml:space="preserve"> informed decisions</w:t>
      </w:r>
      <w:r w:rsidR="009E12D5" w:rsidRPr="00E057CF">
        <w:rPr>
          <w:color w:val="000000" w:themeColor="text1"/>
          <w:lang w:val="en-GB"/>
        </w:rPr>
        <w:t xml:space="preserve"> during each involvement</w:t>
      </w:r>
      <w:r w:rsidR="0062081A">
        <w:rPr>
          <w:color w:val="000000" w:themeColor="text1"/>
          <w:lang w:val="en-GB"/>
        </w:rPr>
        <w:t xml:space="preserve"> (</w:t>
      </w:r>
      <w:r w:rsidR="0062081A" w:rsidRPr="00E057CF">
        <w:rPr>
          <w:color w:val="000000" w:themeColor="text1"/>
          <w:lang w:val="en-GB"/>
        </w:rPr>
        <w:t>Edwards, 2020</w:t>
      </w:r>
      <w:r w:rsidR="0062081A">
        <w:rPr>
          <w:color w:val="000000" w:themeColor="text1"/>
          <w:lang w:val="en-GB"/>
        </w:rPr>
        <w:t>)</w:t>
      </w:r>
      <w:r w:rsidRPr="00E057CF">
        <w:rPr>
          <w:color w:val="000000" w:themeColor="text1"/>
          <w:lang w:val="en-GB"/>
        </w:rPr>
        <w:t xml:space="preserve">. </w:t>
      </w:r>
    </w:p>
    <w:p w14:paraId="69D98821" w14:textId="452978F5" w:rsidR="00176FD2" w:rsidRPr="00E057CF" w:rsidRDefault="00003969" w:rsidP="00E057CF">
      <w:pPr>
        <w:rPr>
          <w:color w:val="000000" w:themeColor="text1"/>
          <w:lang w:val="en-GB"/>
        </w:rPr>
      </w:pPr>
      <w:r w:rsidRPr="00E057CF">
        <w:rPr>
          <w:color w:val="000000" w:themeColor="text1"/>
          <w:lang w:val="en-GB"/>
        </w:rPr>
        <w:t>At the very centre of ethical elucidations related to consent, there exist the principles of autonomy of the individuals. It stands for the individual's right to make their own choices about events and actions related to their lives, actions, and bodies. It affirms self-governance and reflects on the fact that every person has the ultimate authority over himself. In the dimension of consent, this feature stands for the fact that every individual has the right to determine what happens with their physical se</w:t>
      </w:r>
      <w:r w:rsidRPr="00E057CF">
        <w:rPr>
          <w:color w:val="000000" w:themeColor="text1"/>
          <w:lang w:val="en-GB"/>
        </w:rPr>
        <w:t xml:space="preserve">lf by determining proper boundaries and determining their terms of interactions with others in society. </w:t>
      </w:r>
    </w:p>
    <w:p w14:paraId="00000017" w14:textId="46A1A465" w:rsidR="006E0973" w:rsidRPr="00E057CF" w:rsidRDefault="00003969" w:rsidP="00E057CF">
      <w:pPr>
        <w:rPr>
          <w:color w:val="000000" w:themeColor="text1"/>
          <w:lang w:val="en-GB"/>
        </w:rPr>
      </w:pPr>
      <w:r w:rsidRPr="00E057CF">
        <w:rPr>
          <w:bCs/>
          <w:iCs/>
          <w:color w:val="000000" w:themeColor="text1"/>
          <w:lang w:val="en-GB"/>
        </w:rPr>
        <w:t xml:space="preserve">In </w:t>
      </w:r>
      <w:r w:rsidR="009E12D5" w:rsidRPr="00E057CF">
        <w:rPr>
          <w:i/>
          <w:iCs/>
          <w:color w:val="000000" w:themeColor="text1"/>
          <w:lang w:val="en-GB"/>
        </w:rPr>
        <w:t>Collins v Wilcock [1984]</w:t>
      </w:r>
      <w:r w:rsidRPr="00E057CF">
        <w:rPr>
          <w:bCs/>
          <w:iCs/>
          <w:color w:val="000000" w:themeColor="text1"/>
          <w:lang w:val="en-GB"/>
        </w:rPr>
        <w:t>, the i</w:t>
      </w:r>
      <w:r w:rsidRPr="00E057CF">
        <w:rPr>
          <w:color w:val="000000" w:themeColor="text1"/>
          <w:lang w:val="en-GB"/>
        </w:rPr>
        <w:t>mportance of consent can be clearly evaluated once again. In this incident, the defendant was a prostitute who was to be questioned by the police. The police, also a female tried to stop her by pulling her hand</w:t>
      </w:r>
      <w:r w:rsidR="009E12D5" w:rsidRPr="00E057CF">
        <w:rPr>
          <w:color w:val="000000" w:themeColor="text1"/>
          <w:lang w:val="en-GB"/>
        </w:rPr>
        <w:t xml:space="preserve"> which resulted in the</w:t>
      </w:r>
      <w:r w:rsidRPr="00E057CF">
        <w:rPr>
          <w:color w:val="000000" w:themeColor="text1"/>
          <w:lang w:val="en-GB"/>
        </w:rPr>
        <w:t xml:space="preserve"> defendant scratching </w:t>
      </w:r>
      <w:r w:rsidR="009E12D5" w:rsidRPr="00E057CF">
        <w:rPr>
          <w:color w:val="000000" w:themeColor="text1"/>
          <w:lang w:val="en-GB"/>
        </w:rPr>
        <w:t>the officer</w:t>
      </w:r>
      <w:r w:rsidRPr="00E057CF">
        <w:rPr>
          <w:color w:val="000000" w:themeColor="text1"/>
          <w:lang w:val="en-GB"/>
        </w:rPr>
        <w:t xml:space="preserve">. </w:t>
      </w:r>
      <w:r w:rsidR="009E12D5" w:rsidRPr="00E057CF">
        <w:rPr>
          <w:color w:val="000000" w:themeColor="text1"/>
          <w:lang w:val="en-GB"/>
        </w:rPr>
        <w:lastRenderedPageBreak/>
        <w:t xml:space="preserve">During the trial, </w:t>
      </w:r>
      <w:r w:rsidRPr="00E057CF">
        <w:rPr>
          <w:color w:val="000000" w:themeColor="text1"/>
          <w:lang w:val="en-GB"/>
        </w:rPr>
        <w:t xml:space="preserve">it was found out that the police </w:t>
      </w:r>
      <w:r w:rsidR="009E12D5" w:rsidRPr="00E057CF">
        <w:rPr>
          <w:color w:val="000000" w:themeColor="text1"/>
          <w:lang w:val="en-GB"/>
        </w:rPr>
        <w:t>had no justified reason or willingness</w:t>
      </w:r>
      <w:r w:rsidRPr="00E057CF">
        <w:rPr>
          <w:color w:val="000000" w:themeColor="text1"/>
          <w:lang w:val="en-GB"/>
        </w:rPr>
        <w:t xml:space="preserve"> to arrest her</w:t>
      </w:r>
      <w:r w:rsidR="009E12D5" w:rsidRPr="00E057CF">
        <w:rPr>
          <w:color w:val="000000" w:themeColor="text1"/>
          <w:lang w:val="en-GB"/>
        </w:rPr>
        <w:t>.</w:t>
      </w:r>
      <w:r w:rsidRPr="00E057CF">
        <w:rPr>
          <w:color w:val="000000" w:themeColor="text1"/>
          <w:lang w:val="en-GB"/>
        </w:rPr>
        <w:t xml:space="preserve"> </w:t>
      </w:r>
      <w:r w:rsidR="009E12D5" w:rsidRPr="00E057CF">
        <w:rPr>
          <w:color w:val="000000" w:themeColor="text1"/>
          <w:lang w:val="en-GB"/>
        </w:rPr>
        <w:t>In such circumstances</w:t>
      </w:r>
      <w:r w:rsidRPr="00E057CF">
        <w:rPr>
          <w:color w:val="000000" w:themeColor="text1"/>
          <w:lang w:val="en-GB"/>
        </w:rPr>
        <w:t xml:space="preserve">, pulling her hand </w:t>
      </w:r>
      <w:r w:rsidR="009E12D5" w:rsidRPr="00E057CF">
        <w:rPr>
          <w:color w:val="000000" w:themeColor="text1"/>
          <w:lang w:val="en-GB"/>
        </w:rPr>
        <w:t>without</w:t>
      </w:r>
      <w:r w:rsidRPr="00E057CF">
        <w:rPr>
          <w:color w:val="000000" w:themeColor="text1"/>
          <w:lang w:val="en-GB"/>
        </w:rPr>
        <w:t xml:space="preserve"> her consent</w:t>
      </w:r>
      <w:r w:rsidR="009E12D5" w:rsidRPr="00E057CF">
        <w:rPr>
          <w:color w:val="000000" w:themeColor="text1"/>
          <w:lang w:val="en-GB"/>
        </w:rPr>
        <w:t xml:space="preserve"> was illegal and led to battery claims</w:t>
      </w:r>
      <w:r w:rsidRPr="00E057CF">
        <w:rPr>
          <w:color w:val="000000" w:themeColor="text1"/>
          <w:lang w:val="en-GB"/>
        </w:rPr>
        <w:t xml:space="preserve">. </w:t>
      </w:r>
      <w:r w:rsidR="009E12D5" w:rsidRPr="00E057CF">
        <w:rPr>
          <w:color w:val="000000" w:themeColor="text1"/>
          <w:lang w:val="en-GB"/>
        </w:rPr>
        <w:t xml:space="preserve">The </w:t>
      </w:r>
      <w:r w:rsidRPr="00E057CF">
        <w:rPr>
          <w:color w:val="000000" w:themeColor="text1"/>
          <w:lang w:val="en-GB"/>
        </w:rPr>
        <w:t>import</w:t>
      </w:r>
      <w:r w:rsidRPr="00E057CF">
        <w:rPr>
          <w:color w:val="000000" w:themeColor="text1"/>
          <w:lang w:val="en-GB"/>
        </w:rPr>
        <w:t xml:space="preserve">ance of consent in battery cases is depicted in great detail </w:t>
      </w:r>
      <w:r w:rsidR="009E12D5" w:rsidRPr="00E057CF">
        <w:rPr>
          <w:color w:val="000000" w:themeColor="text1"/>
          <w:lang w:val="en-GB"/>
        </w:rPr>
        <w:t>as</w:t>
      </w:r>
      <w:r w:rsidRPr="00E057CF">
        <w:rPr>
          <w:color w:val="000000" w:themeColor="text1"/>
          <w:lang w:val="en-GB"/>
        </w:rPr>
        <w:t xml:space="preserve"> it can change the results of an entire trial</w:t>
      </w:r>
      <w:r w:rsidR="0062081A">
        <w:rPr>
          <w:color w:val="000000" w:themeColor="text1"/>
          <w:lang w:val="en-GB"/>
        </w:rPr>
        <w:t xml:space="preserve"> (</w:t>
      </w:r>
      <w:r w:rsidR="0062081A" w:rsidRPr="00E057CF">
        <w:rPr>
          <w:color w:val="000000" w:themeColor="text1"/>
          <w:shd w:val="clear" w:color="auto" w:fill="FFFFFF"/>
          <w:lang w:val="en-GB"/>
        </w:rPr>
        <w:t>Berkowitz and Garrett, 2020</w:t>
      </w:r>
      <w:r w:rsidR="0062081A">
        <w:rPr>
          <w:color w:val="000000" w:themeColor="text1"/>
          <w:lang w:val="en-GB"/>
        </w:rPr>
        <w:t>)</w:t>
      </w:r>
      <w:r w:rsidRPr="00E057CF">
        <w:rPr>
          <w:color w:val="000000" w:themeColor="text1"/>
          <w:lang w:val="en-GB"/>
        </w:rPr>
        <w:t xml:space="preserve">. </w:t>
      </w:r>
    </w:p>
    <w:p w14:paraId="24A77306" w14:textId="52A84B8B" w:rsidR="00176FD2" w:rsidRPr="00E057CF" w:rsidRDefault="00003969" w:rsidP="00E057CF">
      <w:pPr>
        <w:rPr>
          <w:color w:val="000000" w:themeColor="text1"/>
          <w:lang w:val="en-GB"/>
        </w:rPr>
      </w:pPr>
      <w:r w:rsidRPr="00E057CF">
        <w:rPr>
          <w:color w:val="000000" w:themeColor="text1"/>
          <w:lang w:val="en-GB"/>
        </w:rPr>
        <w:t xml:space="preserve">Consent is also associated with the concept of personal choices. In other words, showing respect for any person’s authority requires understanding and </w:t>
      </w:r>
      <w:r w:rsidRPr="00E057CF">
        <w:rPr>
          <w:color w:val="000000" w:themeColor="text1"/>
          <w:lang w:val="en-GB"/>
        </w:rPr>
        <w:t>acknowledging their choices. In cases related to battery, physical contact without the consent of both persons is termed as a violation of an individual’s choices and autonomy (</w:t>
      </w:r>
      <w:r w:rsidR="00E057CF" w:rsidRPr="00E057CF">
        <w:rPr>
          <w:color w:val="000000" w:themeColor="text1"/>
          <w:shd w:val="clear" w:color="auto" w:fill="FFFFFF"/>
          <w:lang w:val="en-GB"/>
        </w:rPr>
        <w:t>Berkowitz and Garrett, 2020</w:t>
      </w:r>
      <w:r w:rsidRPr="00E057CF">
        <w:rPr>
          <w:color w:val="000000" w:themeColor="text1"/>
          <w:lang w:val="en-GB"/>
        </w:rPr>
        <w:t xml:space="preserve">). Ethically, it is considered to be a great breach since it negates the basic fact that all individuals possess the right to determine the actions to be done with their bodies. Therefore, it leads to severe consequences in the UK society as per the established legal system. </w:t>
      </w:r>
    </w:p>
    <w:p w14:paraId="281D2558" w14:textId="77777777" w:rsidR="00176FD2" w:rsidRPr="00E057CF" w:rsidRDefault="00003969" w:rsidP="00E057CF">
      <w:pPr>
        <w:pStyle w:val="Heading1"/>
        <w:rPr>
          <w:color w:val="000000" w:themeColor="text1"/>
          <w:lang w:val="en-GB"/>
        </w:rPr>
      </w:pPr>
      <w:r w:rsidRPr="00E057CF">
        <w:rPr>
          <w:color w:val="000000" w:themeColor="text1"/>
          <w:lang w:val="en-GB"/>
        </w:rPr>
        <w:t>Conclusion</w:t>
      </w:r>
    </w:p>
    <w:p w14:paraId="012E5798" w14:textId="0D4EB594" w:rsidR="00176FD2" w:rsidRPr="00E057CF" w:rsidRDefault="00003969" w:rsidP="00E057CF">
      <w:pPr>
        <w:rPr>
          <w:color w:val="000000" w:themeColor="text1"/>
          <w:lang w:val="en-GB"/>
        </w:rPr>
      </w:pPr>
      <w:bookmarkStart w:id="4" w:name="_heading=h.3dy6vkm" w:colFirst="0" w:colLast="0"/>
      <w:bookmarkEnd w:id="4"/>
      <w:r w:rsidRPr="00E057CF">
        <w:rPr>
          <w:color w:val="000000" w:themeColor="text1"/>
          <w:lang w:val="en-GB"/>
        </w:rPr>
        <w:t xml:space="preserve">The essay </w:t>
      </w:r>
      <w:r w:rsidRPr="00E057CF">
        <w:rPr>
          <w:color w:val="000000" w:themeColor="text1"/>
          <w:lang w:val="en-GB"/>
        </w:rPr>
        <w:t>concludes with an understanding of the term consent and its importance in the UK legal system. The association of consent with the offence of battery is highlighted throughout the essay. The ethical and philosophical aspects of criminal law with concerns like self-determination, personal rights, and autonomy are also depicted in detail. Using different case laws and acts prevalent in the UK legal system, the court rules regarding the issue of consent in various cases are also evaluated. Finally, the legal c</w:t>
      </w:r>
      <w:r w:rsidRPr="00E057CF">
        <w:rPr>
          <w:color w:val="000000" w:themeColor="text1"/>
          <w:lang w:val="en-GB"/>
        </w:rPr>
        <w:t>onsiderations, policies, and principles associated with battery and the importance of consent in terms of determining criminal actions in the United Kingdom can be understood from this essay.</w:t>
      </w:r>
    </w:p>
    <w:p w14:paraId="2B715912" w14:textId="77777777" w:rsidR="00176FD2" w:rsidRPr="00E057CF" w:rsidRDefault="00176FD2" w:rsidP="00E057CF">
      <w:pPr>
        <w:rPr>
          <w:color w:val="000000" w:themeColor="text1"/>
          <w:lang w:val="en-GB"/>
        </w:rPr>
      </w:pPr>
    </w:p>
    <w:p w14:paraId="6EAD89E2" w14:textId="77777777" w:rsidR="00176FD2" w:rsidRPr="00E057CF" w:rsidRDefault="00176FD2" w:rsidP="00E057CF">
      <w:pPr>
        <w:rPr>
          <w:color w:val="000000" w:themeColor="text1"/>
          <w:lang w:val="en-GB"/>
        </w:rPr>
      </w:pPr>
    </w:p>
    <w:p w14:paraId="00000020" w14:textId="77777777" w:rsidR="006E0973" w:rsidRPr="00E057CF" w:rsidRDefault="00003969" w:rsidP="00E057CF">
      <w:pPr>
        <w:rPr>
          <w:color w:val="000000" w:themeColor="text1"/>
          <w:lang w:val="en-GB"/>
        </w:rPr>
      </w:pPr>
      <w:bookmarkStart w:id="5" w:name="_heading=h.3znysh7" w:colFirst="0" w:colLast="0"/>
      <w:bookmarkEnd w:id="5"/>
      <w:r w:rsidRPr="00E057CF">
        <w:rPr>
          <w:color w:val="000000" w:themeColor="text1"/>
          <w:lang w:val="en-GB"/>
        </w:rPr>
        <w:br w:type="page"/>
      </w:r>
    </w:p>
    <w:p w14:paraId="0000002C" w14:textId="77777777" w:rsidR="006E0973" w:rsidRPr="00E057CF" w:rsidRDefault="00003969" w:rsidP="00E057CF">
      <w:pPr>
        <w:pStyle w:val="Heading1"/>
        <w:rPr>
          <w:color w:val="000000" w:themeColor="text1"/>
          <w:lang w:val="en-GB"/>
        </w:rPr>
      </w:pPr>
      <w:bookmarkStart w:id="6" w:name="_heading=h.2et92p0" w:colFirst="0" w:colLast="0"/>
      <w:bookmarkStart w:id="7" w:name="_heading=h.tyjcwt" w:colFirst="0" w:colLast="0"/>
      <w:bookmarkEnd w:id="6"/>
      <w:bookmarkEnd w:id="7"/>
      <w:r w:rsidRPr="00E057CF">
        <w:rPr>
          <w:color w:val="000000" w:themeColor="text1"/>
          <w:lang w:val="en-GB"/>
        </w:rPr>
        <w:lastRenderedPageBreak/>
        <w:t>References</w:t>
      </w:r>
    </w:p>
    <w:p w14:paraId="32F8E715" w14:textId="77777777" w:rsidR="00E057CF" w:rsidRDefault="00003969" w:rsidP="00E057CF">
      <w:pPr>
        <w:rPr>
          <w:color w:val="000000" w:themeColor="text1"/>
          <w:lang w:val="en-GB"/>
        </w:rPr>
      </w:pPr>
      <w:bookmarkStart w:id="8" w:name="_Hlk150417010"/>
      <w:r w:rsidRPr="00E057CF">
        <w:rPr>
          <w:color w:val="000000" w:themeColor="text1"/>
          <w:lang w:val="en-GB"/>
        </w:rPr>
        <w:t xml:space="preserve">Bailii.org, 2023. </w:t>
      </w:r>
      <w:r w:rsidRPr="00E057CF">
        <w:rPr>
          <w:i/>
          <w:iCs/>
          <w:color w:val="000000" w:themeColor="text1"/>
          <w:lang w:val="en-GB"/>
        </w:rPr>
        <w:t>England and Wales Court of Appeal (Criminal Division) Decisions</w:t>
      </w:r>
      <w:r w:rsidRPr="00E057CF">
        <w:rPr>
          <w:color w:val="000000" w:themeColor="text1"/>
          <w:lang w:val="en-GB"/>
        </w:rPr>
        <w:t xml:space="preserve"> Available at: </w:t>
      </w:r>
      <w:hyperlink r:id="rId8" w:history="1">
        <w:r w:rsidRPr="00E057CF">
          <w:rPr>
            <w:rStyle w:val="Hyperlink"/>
            <w:color w:val="000000" w:themeColor="text1"/>
            <w:lang w:val="en-GB"/>
          </w:rPr>
          <w:t>https://www.bailii.org/cgi-bin/format.cgi?doc=/ew/cases/EWCA/Crim/2004/3246.html&amp;query=(title:(+R+))+AND+(title:(+v+))+AND+(title:(+Barnes+))</w:t>
        </w:r>
      </w:hyperlink>
      <w:r w:rsidRPr="00E057CF">
        <w:rPr>
          <w:color w:val="000000" w:themeColor="text1"/>
          <w:lang w:val="en-GB"/>
        </w:rPr>
        <w:t xml:space="preserve"> [Accessed on 17 October 2023]</w:t>
      </w:r>
    </w:p>
    <w:p w14:paraId="332FE0F2" w14:textId="6B18D6E4" w:rsidR="00E057CF" w:rsidRPr="00E057CF" w:rsidRDefault="00003969" w:rsidP="00E057CF">
      <w:pPr>
        <w:rPr>
          <w:color w:val="000000" w:themeColor="text1"/>
          <w:lang w:val="en-GB"/>
        </w:rPr>
      </w:pPr>
      <w:r w:rsidRPr="00E057CF">
        <w:rPr>
          <w:color w:val="000000" w:themeColor="text1"/>
          <w:shd w:val="clear" w:color="auto" w:fill="FFFFFF"/>
          <w:lang w:val="en-GB"/>
        </w:rPr>
        <w:t xml:space="preserve">Berkowitz, I. and Garrett, J.R., 2020. Legal and ethical considerations for requiring consent for </w:t>
      </w:r>
      <w:proofErr w:type="spellStart"/>
      <w:r w:rsidRPr="00E057CF">
        <w:rPr>
          <w:color w:val="000000" w:themeColor="text1"/>
          <w:shd w:val="clear" w:color="auto" w:fill="FFFFFF"/>
          <w:lang w:val="en-GB"/>
        </w:rPr>
        <w:t>apnea</w:t>
      </w:r>
      <w:proofErr w:type="spellEnd"/>
      <w:r w:rsidRPr="00E057CF">
        <w:rPr>
          <w:color w:val="000000" w:themeColor="text1"/>
          <w:shd w:val="clear" w:color="auto" w:fill="FFFFFF"/>
          <w:lang w:val="en-GB"/>
        </w:rPr>
        <w:t xml:space="preserve"> testing in brain death determination. </w:t>
      </w:r>
      <w:r w:rsidRPr="00E057CF">
        <w:rPr>
          <w:i/>
          <w:iCs/>
          <w:color w:val="000000" w:themeColor="text1"/>
          <w:shd w:val="clear" w:color="auto" w:fill="FFFFFF"/>
          <w:lang w:val="en-GB"/>
        </w:rPr>
        <w:t>The American Journal of Bioethics</w:t>
      </w:r>
      <w:r w:rsidRPr="00E057CF">
        <w:rPr>
          <w:color w:val="000000" w:themeColor="text1"/>
          <w:shd w:val="clear" w:color="auto" w:fill="FFFFFF"/>
          <w:lang w:val="en-GB"/>
        </w:rPr>
        <w:t>, </w:t>
      </w:r>
      <w:r w:rsidRPr="00E057CF">
        <w:rPr>
          <w:i/>
          <w:iCs/>
          <w:color w:val="000000" w:themeColor="text1"/>
          <w:shd w:val="clear" w:color="auto" w:fill="FFFFFF"/>
          <w:lang w:val="en-GB"/>
        </w:rPr>
        <w:t>20</w:t>
      </w:r>
      <w:r w:rsidRPr="00E057CF">
        <w:rPr>
          <w:color w:val="000000" w:themeColor="text1"/>
          <w:shd w:val="clear" w:color="auto" w:fill="FFFFFF"/>
          <w:lang w:val="en-GB"/>
        </w:rPr>
        <w:t>(6), pp.4-16.</w:t>
      </w:r>
    </w:p>
    <w:p w14:paraId="55364D60" w14:textId="77777777" w:rsidR="00E057CF" w:rsidRDefault="00003969" w:rsidP="00E057CF">
      <w:pPr>
        <w:widowControl w:val="0"/>
        <w:pBdr>
          <w:top w:val="nil"/>
          <w:left w:val="nil"/>
          <w:bottom w:val="nil"/>
          <w:right w:val="nil"/>
          <w:between w:val="nil"/>
        </w:pBdr>
        <w:jc w:val="left"/>
        <w:rPr>
          <w:color w:val="000000" w:themeColor="text1"/>
          <w:shd w:val="clear" w:color="auto" w:fill="FFFFFF"/>
          <w:lang w:val="en-GB"/>
        </w:rPr>
      </w:pPr>
      <w:r w:rsidRPr="00E057CF">
        <w:rPr>
          <w:color w:val="000000" w:themeColor="text1"/>
          <w:shd w:val="clear" w:color="auto" w:fill="FFFFFF"/>
          <w:lang w:val="en-GB"/>
        </w:rPr>
        <w:t>Cave, E., 2021. Valid consent to medical treatment. </w:t>
      </w:r>
      <w:r w:rsidRPr="00E057CF">
        <w:rPr>
          <w:i/>
          <w:iCs/>
          <w:color w:val="000000" w:themeColor="text1"/>
          <w:shd w:val="clear" w:color="auto" w:fill="FFFFFF"/>
          <w:lang w:val="en-GB"/>
        </w:rPr>
        <w:t>Journal of medical ethics</w:t>
      </w:r>
      <w:r w:rsidRPr="00E057CF">
        <w:rPr>
          <w:color w:val="000000" w:themeColor="text1"/>
          <w:shd w:val="clear" w:color="auto" w:fill="FFFFFF"/>
          <w:lang w:val="en-GB"/>
        </w:rPr>
        <w:t>, </w:t>
      </w:r>
      <w:r w:rsidRPr="00E057CF">
        <w:rPr>
          <w:i/>
          <w:iCs/>
          <w:color w:val="000000" w:themeColor="text1"/>
          <w:shd w:val="clear" w:color="auto" w:fill="FFFFFF"/>
          <w:lang w:val="en-GB"/>
        </w:rPr>
        <w:t>47</w:t>
      </w:r>
      <w:r w:rsidRPr="00E057CF">
        <w:rPr>
          <w:color w:val="000000" w:themeColor="text1"/>
          <w:shd w:val="clear" w:color="auto" w:fill="FFFFFF"/>
          <w:lang w:val="en-GB"/>
        </w:rPr>
        <w:t xml:space="preserve">(12), </w:t>
      </w:r>
      <w:proofErr w:type="gramStart"/>
      <w:r w:rsidRPr="00E057CF">
        <w:rPr>
          <w:color w:val="000000" w:themeColor="text1"/>
          <w:shd w:val="clear" w:color="auto" w:fill="FFFFFF"/>
          <w:lang w:val="en-GB"/>
        </w:rPr>
        <w:t>pp.e</w:t>
      </w:r>
      <w:proofErr w:type="gramEnd"/>
      <w:r w:rsidRPr="00E057CF">
        <w:rPr>
          <w:color w:val="000000" w:themeColor="text1"/>
          <w:shd w:val="clear" w:color="auto" w:fill="FFFFFF"/>
          <w:lang w:val="en-GB"/>
        </w:rPr>
        <w:t>31-e31.</w:t>
      </w:r>
    </w:p>
    <w:p w14:paraId="064F752F" w14:textId="5FB862E0" w:rsidR="00A40F53" w:rsidRPr="00E057CF" w:rsidRDefault="00003969" w:rsidP="00E057CF">
      <w:pPr>
        <w:widowControl w:val="0"/>
        <w:pBdr>
          <w:top w:val="nil"/>
          <w:left w:val="nil"/>
          <w:bottom w:val="nil"/>
          <w:right w:val="nil"/>
          <w:between w:val="nil"/>
        </w:pBdr>
        <w:jc w:val="left"/>
        <w:rPr>
          <w:color w:val="000000" w:themeColor="text1"/>
          <w:shd w:val="clear" w:color="auto" w:fill="FFFFFF"/>
          <w:lang w:val="en-GB"/>
        </w:rPr>
      </w:pPr>
      <w:r w:rsidRPr="00E057CF">
        <w:rPr>
          <w:color w:val="000000" w:themeColor="text1"/>
          <w:lang w:val="en-GB"/>
        </w:rPr>
        <w:t xml:space="preserve">Edwards, S.S., 2020. Consent and the ‘rough </w:t>
      </w:r>
      <w:proofErr w:type="spellStart"/>
      <w:r w:rsidRPr="00E057CF">
        <w:rPr>
          <w:color w:val="000000" w:themeColor="text1"/>
          <w:lang w:val="en-GB"/>
        </w:rPr>
        <w:t>sex’defence</w:t>
      </w:r>
      <w:proofErr w:type="spellEnd"/>
      <w:r w:rsidRPr="00E057CF">
        <w:rPr>
          <w:color w:val="000000" w:themeColor="text1"/>
          <w:lang w:val="en-GB"/>
        </w:rPr>
        <w:t xml:space="preserve"> in </w:t>
      </w:r>
      <w:r w:rsidRPr="00E057CF">
        <w:rPr>
          <w:color w:val="000000" w:themeColor="text1"/>
          <w:lang w:val="en-GB"/>
        </w:rPr>
        <w:t>rape, murder, manslaughter and gross negligence. </w:t>
      </w:r>
      <w:r w:rsidRPr="00E057CF">
        <w:rPr>
          <w:i/>
          <w:color w:val="000000" w:themeColor="text1"/>
          <w:lang w:val="en-GB"/>
        </w:rPr>
        <w:t>The Journal of Criminal Law</w:t>
      </w:r>
      <w:r w:rsidRPr="00E057CF">
        <w:rPr>
          <w:color w:val="000000" w:themeColor="text1"/>
          <w:lang w:val="en-GB"/>
        </w:rPr>
        <w:t>, </w:t>
      </w:r>
      <w:r w:rsidRPr="00E057CF">
        <w:rPr>
          <w:i/>
          <w:color w:val="000000" w:themeColor="text1"/>
          <w:lang w:val="en-GB"/>
        </w:rPr>
        <w:t>84</w:t>
      </w:r>
      <w:r w:rsidRPr="00E057CF">
        <w:rPr>
          <w:color w:val="000000" w:themeColor="text1"/>
          <w:lang w:val="en-GB"/>
        </w:rPr>
        <w:t>(4), pp.293-311.</w:t>
      </w:r>
    </w:p>
    <w:p w14:paraId="314F3CB4" w14:textId="77777777" w:rsidR="00A40F53" w:rsidRPr="00E057CF" w:rsidRDefault="00003969" w:rsidP="00E057CF">
      <w:pPr>
        <w:widowControl w:val="0"/>
        <w:pBdr>
          <w:top w:val="nil"/>
          <w:left w:val="nil"/>
          <w:bottom w:val="nil"/>
          <w:right w:val="nil"/>
          <w:between w:val="nil"/>
        </w:pBdr>
        <w:jc w:val="left"/>
        <w:rPr>
          <w:color w:val="000000" w:themeColor="text1"/>
          <w:shd w:val="clear" w:color="auto" w:fill="FFFFFF"/>
          <w:lang w:val="en-GB"/>
        </w:rPr>
      </w:pPr>
      <w:r w:rsidRPr="00E057CF">
        <w:rPr>
          <w:color w:val="000000" w:themeColor="text1"/>
          <w:shd w:val="clear" w:color="auto" w:fill="FFFFFF"/>
          <w:lang w:val="en-GB"/>
        </w:rPr>
        <w:t>Geisinger, A., 2020. Does Saying" Yes" Always Make It Right? The Role of Consent in Civil Battery. </w:t>
      </w:r>
      <w:r w:rsidRPr="00E057CF">
        <w:rPr>
          <w:i/>
          <w:iCs/>
          <w:color w:val="000000" w:themeColor="text1"/>
          <w:shd w:val="clear" w:color="auto" w:fill="FFFFFF"/>
          <w:lang w:val="en-GB"/>
        </w:rPr>
        <w:t>UC Davis L. Rev.</w:t>
      </w:r>
      <w:r w:rsidRPr="00E057CF">
        <w:rPr>
          <w:color w:val="000000" w:themeColor="text1"/>
          <w:shd w:val="clear" w:color="auto" w:fill="FFFFFF"/>
          <w:lang w:val="en-GB"/>
        </w:rPr>
        <w:t>, </w:t>
      </w:r>
      <w:r w:rsidRPr="00E057CF">
        <w:rPr>
          <w:i/>
          <w:iCs/>
          <w:color w:val="000000" w:themeColor="text1"/>
          <w:shd w:val="clear" w:color="auto" w:fill="FFFFFF"/>
          <w:lang w:val="en-GB"/>
        </w:rPr>
        <w:t>54</w:t>
      </w:r>
      <w:r w:rsidRPr="00E057CF">
        <w:rPr>
          <w:color w:val="000000" w:themeColor="text1"/>
          <w:shd w:val="clear" w:color="auto" w:fill="FFFFFF"/>
          <w:lang w:val="en-GB"/>
        </w:rPr>
        <w:t>, p.1853.</w:t>
      </w:r>
    </w:p>
    <w:p w14:paraId="47D89ACF" w14:textId="46E70A26" w:rsidR="00A40F53" w:rsidRPr="00E057CF" w:rsidRDefault="00003969" w:rsidP="00E057CF">
      <w:pPr>
        <w:rPr>
          <w:color w:val="000000" w:themeColor="text1"/>
          <w:lang w:val="en-GB"/>
        </w:rPr>
      </w:pPr>
      <w:r w:rsidRPr="00E057CF">
        <w:rPr>
          <w:color w:val="000000" w:themeColor="text1"/>
          <w:lang w:val="en-GB"/>
        </w:rPr>
        <w:t>Greenaway, J.A., 2020. Joseph A. Greenaway Jr. Lecture Series on Law and Justice Speak at Your Own Peril.</w:t>
      </w:r>
      <w:r w:rsidRPr="00E057CF">
        <w:rPr>
          <w:i/>
          <w:color w:val="000000" w:themeColor="text1"/>
          <w:lang w:val="en-GB"/>
        </w:rPr>
        <w:t xml:space="preserve"> British Journal of American Legal Studies</w:t>
      </w:r>
      <w:r w:rsidRPr="00E057CF">
        <w:rPr>
          <w:color w:val="000000" w:themeColor="text1"/>
          <w:lang w:val="en-GB"/>
        </w:rPr>
        <w:t>, 9(1), pp.1-15.</w:t>
      </w:r>
    </w:p>
    <w:p w14:paraId="5BB7D3BC" w14:textId="6701D0F4" w:rsidR="00A40F53" w:rsidRPr="00E057CF" w:rsidRDefault="00003969" w:rsidP="00E057CF">
      <w:pPr>
        <w:rPr>
          <w:color w:val="000000" w:themeColor="text1"/>
          <w:lang w:val="en-GB"/>
        </w:rPr>
      </w:pPr>
      <w:r w:rsidRPr="00E057CF">
        <w:rPr>
          <w:color w:val="000000" w:themeColor="text1"/>
          <w:lang w:val="en-GB"/>
        </w:rPr>
        <w:t xml:space="preserve">Legislation.gov.uk, 2023. </w:t>
      </w:r>
      <w:r w:rsidRPr="00E057CF">
        <w:rPr>
          <w:i/>
          <w:iCs/>
          <w:color w:val="000000" w:themeColor="text1"/>
          <w:lang w:val="en-GB"/>
        </w:rPr>
        <w:t>UKPGA</w:t>
      </w:r>
      <w:r w:rsidRPr="00E057CF">
        <w:rPr>
          <w:color w:val="000000" w:themeColor="text1"/>
          <w:lang w:val="en-GB"/>
        </w:rPr>
        <w:t xml:space="preserve"> Available at: </w:t>
      </w:r>
      <w:hyperlink r:id="rId9" w:history="1">
        <w:r w:rsidRPr="00E057CF">
          <w:rPr>
            <w:rStyle w:val="Hyperlink"/>
            <w:color w:val="000000" w:themeColor="text1"/>
            <w:lang w:val="en-GB"/>
          </w:rPr>
          <w:t>https://www.legislation.gov.uk/ukpga/Vict/24-25/100/enacted/data.pdf</w:t>
        </w:r>
      </w:hyperlink>
      <w:r w:rsidRPr="00E057CF">
        <w:rPr>
          <w:color w:val="000000" w:themeColor="text1"/>
          <w:lang w:val="en-GB"/>
        </w:rPr>
        <w:t xml:space="preserve"> [Accessed on 18 October 2023]</w:t>
      </w:r>
    </w:p>
    <w:p w14:paraId="3642B9A6" w14:textId="3C96A6A5" w:rsidR="00A40F53" w:rsidRPr="00E057CF" w:rsidRDefault="00003969" w:rsidP="00E057CF">
      <w:pPr>
        <w:rPr>
          <w:color w:val="000000" w:themeColor="text1"/>
          <w:lang w:val="en-GB"/>
        </w:rPr>
      </w:pPr>
      <w:r w:rsidRPr="00E057CF">
        <w:rPr>
          <w:color w:val="000000" w:themeColor="text1"/>
          <w:lang w:val="en-GB"/>
        </w:rPr>
        <w:t xml:space="preserve">Parliament.uk, 2023. </w:t>
      </w:r>
      <w:r w:rsidRPr="00E057CF">
        <w:rPr>
          <w:i/>
          <w:iCs/>
          <w:color w:val="000000" w:themeColor="text1"/>
          <w:lang w:val="en-GB"/>
        </w:rPr>
        <w:t>Publications</w:t>
      </w:r>
      <w:r w:rsidRPr="00E057CF">
        <w:rPr>
          <w:color w:val="000000" w:themeColor="text1"/>
          <w:lang w:val="en-GB"/>
        </w:rPr>
        <w:t xml:space="preserve"> Available at: </w:t>
      </w:r>
      <w:hyperlink r:id="rId10" w:history="1">
        <w:r w:rsidRPr="00E057CF">
          <w:rPr>
            <w:rStyle w:val="Hyperlink"/>
            <w:color w:val="000000" w:themeColor="text1"/>
            <w:lang w:val="en-GB"/>
          </w:rPr>
          <w:t>https://www.parliament.uk/business/publications/research/key-issues-parliament-2015/social-change/debating-assisted-suicide/</w:t>
        </w:r>
      </w:hyperlink>
      <w:r w:rsidRPr="00E057CF">
        <w:rPr>
          <w:color w:val="000000" w:themeColor="text1"/>
          <w:lang w:val="en-GB"/>
        </w:rPr>
        <w:t xml:space="preserve"> [Accessed on 17 October 2023]</w:t>
      </w:r>
    </w:p>
    <w:p w14:paraId="38D8F3CA" w14:textId="2EA21C8A" w:rsidR="00A40F53" w:rsidRDefault="00003969" w:rsidP="00E057CF">
      <w:pPr>
        <w:rPr>
          <w:color w:val="000000" w:themeColor="text1"/>
          <w:lang w:val="en-GB"/>
        </w:rPr>
      </w:pPr>
      <w:r w:rsidRPr="00E057CF">
        <w:rPr>
          <w:color w:val="000000" w:themeColor="text1"/>
          <w:lang w:val="en-GB"/>
        </w:rPr>
        <w:t xml:space="preserve">Ukcen.net, 2023. </w:t>
      </w:r>
      <w:r w:rsidRPr="00E057CF">
        <w:rPr>
          <w:i/>
          <w:iCs/>
          <w:color w:val="000000" w:themeColor="text1"/>
          <w:lang w:val="en-GB"/>
        </w:rPr>
        <w:t xml:space="preserve">Ethical Issues </w:t>
      </w:r>
      <w:r w:rsidRPr="00E057CF">
        <w:rPr>
          <w:color w:val="000000" w:themeColor="text1"/>
          <w:lang w:val="en-GB"/>
        </w:rPr>
        <w:t xml:space="preserve">Available at: </w:t>
      </w:r>
      <w:hyperlink r:id="rId11" w:history="1">
        <w:r w:rsidRPr="00E057CF">
          <w:rPr>
            <w:rStyle w:val="Hyperlink"/>
            <w:color w:val="000000" w:themeColor="text1"/>
            <w:lang w:val="en-GB"/>
          </w:rPr>
          <w:t>http://www.ukcen.net/ethical_issues/consent/legal_considerations1</w:t>
        </w:r>
      </w:hyperlink>
      <w:r w:rsidRPr="00E057CF">
        <w:rPr>
          <w:color w:val="000000" w:themeColor="text1"/>
          <w:lang w:val="en-GB"/>
        </w:rPr>
        <w:t xml:space="preserve"> [Accessed on 18 October 2023]</w:t>
      </w:r>
    </w:p>
    <w:bookmarkEnd w:id="8"/>
    <w:p w14:paraId="18F401BC" w14:textId="77777777" w:rsidR="003B52AA" w:rsidRPr="003B52AA" w:rsidRDefault="00003969" w:rsidP="003B52AA">
      <w:pPr>
        <w:rPr>
          <w:b/>
          <w:bCs/>
          <w:color w:val="000000" w:themeColor="text1"/>
          <w:lang w:val="en-GB"/>
        </w:rPr>
      </w:pPr>
      <w:r w:rsidRPr="003B52AA">
        <w:rPr>
          <w:b/>
          <w:bCs/>
          <w:color w:val="000000" w:themeColor="text1"/>
          <w:lang w:val="en-GB"/>
        </w:rPr>
        <w:t>Acts</w:t>
      </w:r>
    </w:p>
    <w:p w14:paraId="63F3458A" w14:textId="77777777" w:rsidR="003B52AA" w:rsidRPr="003B52AA" w:rsidRDefault="00003969" w:rsidP="003B52AA">
      <w:pPr>
        <w:rPr>
          <w:i/>
          <w:iCs/>
          <w:color w:val="000000" w:themeColor="text1"/>
          <w:lang w:val="en-GB"/>
        </w:rPr>
      </w:pPr>
      <w:r w:rsidRPr="003B52AA">
        <w:rPr>
          <w:i/>
          <w:iCs/>
          <w:color w:val="000000" w:themeColor="text1"/>
          <w:lang w:val="en-GB"/>
        </w:rPr>
        <w:t>Criminal Justice Act, 1988</w:t>
      </w:r>
    </w:p>
    <w:p w14:paraId="06BF9A79" w14:textId="77777777" w:rsidR="003B52AA" w:rsidRPr="003B52AA" w:rsidRDefault="00003969" w:rsidP="003B52AA">
      <w:pPr>
        <w:rPr>
          <w:i/>
          <w:iCs/>
          <w:color w:val="000000" w:themeColor="text1"/>
          <w:lang w:val="en-GB"/>
        </w:rPr>
      </w:pPr>
      <w:r w:rsidRPr="003B52AA">
        <w:rPr>
          <w:i/>
          <w:iCs/>
          <w:color w:val="000000" w:themeColor="text1"/>
          <w:lang w:val="en-GB"/>
        </w:rPr>
        <w:t>Offenses Against the Person Act, 1861</w:t>
      </w:r>
    </w:p>
    <w:p w14:paraId="7F95D78A" w14:textId="77777777" w:rsidR="003B52AA" w:rsidRPr="003B52AA" w:rsidRDefault="00003969" w:rsidP="003B52AA">
      <w:pPr>
        <w:rPr>
          <w:i/>
          <w:iCs/>
          <w:color w:val="000000" w:themeColor="text1"/>
          <w:lang w:val="en-GB"/>
        </w:rPr>
      </w:pPr>
      <w:r w:rsidRPr="003B52AA">
        <w:rPr>
          <w:i/>
          <w:iCs/>
          <w:color w:val="000000" w:themeColor="text1"/>
          <w:lang w:val="en-GB"/>
        </w:rPr>
        <w:t>Sexual Offences Act, 2003</w:t>
      </w:r>
    </w:p>
    <w:p w14:paraId="1213B42E" w14:textId="24C51A7C" w:rsidR="003B52AA" w:rsidRPr="003B52AA" w:rsidRDefault="00003969" w:rsidP="00E057CF">
      <w:pPr>
        <w:rPr>
          <w:i/>
          <w:iCs/>
          <w:color w:val="000000" w:themeColor="text1"/>
          <w:lang w:val="en-GB"/>
        </w:rPr>
      </w:pPr>
      <w:r w:rsidRPr="003B52AA">
        <w:rPr>
          <w:i/>
          <w:iCs/>
          <w:color w:val="000000" w:themeColor="text1"/>
          <w:lang w:val="en-GB"/>
        </w:rPr>
        <w:t>Suicide Act, 1961</w:t>
      </w:r>
    </w:p>
    <w:p w14:paraId="2F963F1A" w14:textId="77777777" w:rsidR="00A40F53" w:rsidRPr="00E057CF" w:rsidRDefault="00003969" w:rsidP="00E057CF">
      <w:pPr>
        <w:rPr>
          <w:b/>
          <w:bCs/>
          <w:lang w:val="en-GB"/>
        </w:rPr>
      </w:pPr>
      <w:r w:rsidRPr="00E057CF">
        <w:rPr>
          <w:b/>
          <w:bCs/>
          <w:lang w:val="en-GB"/>
        </w:rPr>
        <w:t>Case Laws</w:t>
      </w:r>
    </w:p>
    <w:p w14:paraId="22D1B6E5" w14:textId="77777777" w:rsidR="00A40F53" w:rsidRPr="00E057CF" w:rsidRDefault="00003969" w:rsidP="00E057CF">
      <w:pPr>
        <w:rPr>
          <w:color w:val="000000" w:themeColor="text1"/>
          <w:lang w:val="en-GB"/>
        </w:rPr>
      </w:pPr>
      <w:r w:rsidRPr="00E057CF">
        <w:rPr>
          <w:color w:val="000000" w:themeColor="text1"/>
          <w:lang w:val="en-GB"/>
        </w:rPr>
        <w:t>Collins v Wilcock [1984] 1 WLR 1172</w:t>
      </w:r>
    </w:p>
    <w:p w14:paraId="626222D1" w14:textId="77777777" w:rsidR="00A40F53" w:rsidRPr="00E057CF" w:rsidRDefault="00003969" w:rsidP="00E057CF">
      <w:pPr>
        <w:rPr>
          <w:color w:val="000000" w:themeColor="text1"/>
          <w:lang w:val="en-GB"/>
        </w:rPr>
      </w:pPr>
      <w:r w:rsidRPr="00E057CF">
        <w:rPr>
          <w:color w:val="000000" w:themeColor="text1"/>
          <w:lang w:val="en-GB"/>
        </w:rPr>
        <w:t xml:space="preserve">Devi v West </w:t>
      </w:r>
      <w:r w:rsidRPr="00E057CF">
        <w:rPr>
          <w:color w:val="000000" w:themeColor="text1"/>
          <w:lang w:val="en-GB"/>
        </w:rPr>
        <w:t>Midlands RHA [1980] C.L.Y. 687</w:t>
      </w:r>
    </w:p>
    <w:p w14:paraId="69DE8B88" w14:textId="77777777" w:rsidR="00A40F53" w:rsidRPr="00E057CF" w:rsidRDefault="00003969" w:rsidP="00E057CF">
      <w:pPr>
        <w:rPr>
          <w:color w:val="000000" w:themeColor="text1"/>
          <w:lang w:val="en-GB"/>
        </w:rPr>
      </w:pPr>
      <w:r w:rsidRPr="00E057CF">
        <w:rPr>
          <w:color w:val="000000" w:themeColor="text1"/>
          <w:lang w:val="en-GB"/>
        </w:rPr>
        <w:lastRenderedPageBreak/>
        <w:t xml:space="preserve">R (Purdy) v DPP [2009] EWCA </w:t>
      </w:r>
      <w:proofErr w:type="spellStart"/>
      <w:r w:rsidRPr="00E057CF">
        <w:rPr>
          <w:color w:val="000000" w:themeColor="text1"/>
          <w:lang w:val="en-GB"/>
        </w:rPr>
        <w:t>Civ</w:t>
      </w:r>
      <w:proofErr w:type="spellEnd"/>
      <w:r w:rsidRPr="00E057CF">
        <w:rPr>
          <w:color w:val="000000" w:themeColor="text1"/>
          <w:lang w:val="en-GB"/>
        </w:rPr>
        <w:t xml:space="preserve"> 92</w:t>
      </w:r>
    </w:p>
    <w:p w14:paraId="199BD7EB" w14:textId="77777777" w:rsidR="00A40F53" w:rsidRPr="00E057CF" w:rsidRDefault="00003969" w:rsidP="00E057CF">
      <w:pPr>
        <w:rPr>
          <w:color w:val="000000" w:themeColor="text1"/>
          <w:lang w:val="en-GB"/>
        </w:rPr>
      </w:pPr>
      <w:r w:rsidRPr="00E057CF">
        <w:rPr>
          <w:color w:val="000000" w:themeColor="text1"/>
          <w:lang w:val="en-GB"/>
        </w:rPr>
        <w:t>R v Barnes [2004] EWCA Crim 3246</w:t>
      </w:r>
    </w:p>
    <w:p w14:paraId="0AB72159" w14:textId="77777777" w:rsidR="00A40F53" w:rsidRDefault="00003969" w:rsidP="00E057CF">
      <w:pPr>
        <w:rPr>
          <w:color w:val="000000" w:themeColor="text1"/>
          <w:lang w:val="en-GB"/>
        </w:rPr>
      </w:pPr>
      <w:r w:rsidRPr="00E057CF">
        <w:rPr>
          <w:color w:val="000000" w:themeColor="text1"/>
          <w:lang w:val="en-GB"/>
        </w:rPr>
        <w:t>R v Brown [1994] 1 AC 212</w:t>
      </w:r>
    </w:p>
    <w:sectPr w:rsidR="00A40F53" w:rsidSect="008D4DD9">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B2797" w14:textId="77777777" w:rsidR="00003969" w:rsidRDefault="00003969">
      <w:pPr>
        <w:spacing w:line="240" w:lineRule="auto"/>
      </w:pPr>
      <w:r>
        <w:separator/>
      </w:r>
    </w:p>
  </w:endnote>
  <w:endnote w:type="continuationSeparator" w:id="0">
    <w:p w14:paraId="6A814DC1" w14:textId="77777777" w:rsidR="00003969" w:rsidRDefault="000039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3327530D" w:rsidR="006E0973" w:rsidRDefault="00003969">
    <w:pPr>
      <w:jc w:val="right"/>
      <w:rPr>
        <w:b/>
      </w:rPr>
    </w:pPr>
    <w:r>
      <w:rPr>
        <w:b/>
      </w:rPr>
      <w:fldChar w:fldCharType="begin"/>
    </w:r>
    <w:r>
      <w:rPr>
        <w:b/>
      </w:rPr>
      <w:instrText>PAGE</w:instrText>
    </w:r>
    <w:r>
      <w:rPr>
        <w:b/>
      </w:rPr>
      <w:fldChar w:fldCharType="separate"/>
    </w:r>
    <w:r w:rsidR="008D4DD9">
      <w:rPr>
        <w:b/>
        <w:noProof/>
      </w:rPr>
      <w:t>1</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FFC3B" w14:textId="77777777" w:rsidR="00003969" w:rsidRDefault="00003969">
      <w:pPr>
        <w:spacing w:line="240" w:lineRule="auto"/>
      </w:pPr>
      <w:r>
        <w:separator/>
      </w:r>
    </w:p>
  </w:footnote>
  <w:footnote w:type="continuationSeparator" w:id="0">
    <w:p w14:paraId="0BB77CCF" w14:textId="77777777" w:rsidR="00003969" w:rsidRDefault="000039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B22263"/>
    <w:multiLevelType w:val="hybridMultilevel"/>
    <w:tmpl w:val="E05CC710"/>
    <w:lvl w:ilvl="0" w:tplc="2C62193C">
      <w:start w:val="1"/>
      <w:numFmt w:val="decimal"/>
      <w:lvlText w:val="%1."/>
      <w:lvlJc w:val="left"/>
      <w:pPr>
        <w:ind w:left="720" w:hanging="360"/>
      </w:pPr>
    </w:lvl>
    <w:lvl w:ilvl="1" w:tplc="8092E2C2" w:tentative="1">
      <w:start w:val="1"/>
      <w:numFmt w:val="lowerLetter"/>
      <w:lvlText w:val="%2."/>
      <w:lvlJc w:val="left"/>
      <w:pPr>
        <w:ind w:left="1440" w:hanging="360"/>
      </w:pPr>
    </w:lvl>
    <w:lvl w:ilvl="2" w:tplc="B6824778" w:tentative="1">
      <w:start w:val="1"/>
      <w:numFmt w:val="lowerRoman"/>
      <w:lvlText w:val="%3."/>
      <w:lvlJc w:val="right"/>
      <w:pPr>
        <w:ind w:left="2160" w:hanging="180"/>
      </w:pPr>
    </w:lvl>
    <w:lvl w:ilvl="3" w:tplc="4314E664" w:tentative="1">
      <w:start w:val="1"/>
      <w:numFmt w:val="decimal"/>
      <w:lvlText w:val="%4."/>
      <w:lvlJc w:val="left"/>
      <w:pPr>
        <w:ind w:left="2880" w:hanging="360"/>
      </w:pPr>
    </w:lvl>
    <w:lvl w:ilvl="4" w:tplc="1E16BD64" w:tentative="1">
      <w:start w:val="1"/>
      <w:numFmt w:val="lowerLetter"/>
      <w:lvlText w:val="%5."/>
      <w:lvlJc w:val="left"/>
      <w:pPr>
        <w:ind w:left="3600" w:hanging="360"/>
      </w:pPr>
    </w:lvl>
    <w:lvl w:ilvl="5" w:tplc="4202C0FA" w:tentative="1">
      <w:start w:val="1"/>
      <w:numFmt w:val="lowerRoman"/>
      <w:lvlText w:val="%6."/>
      <w:lvlJc w:val="right"/>
      <w:pPr>
        <w:ind w:left="4320" w:hanging="180"/>
      </w:pPr>
    </w:lvl>
    <w:lvl w:ilvl="6" w:tplc="D744D736" w:tentative="1">
      <w:start w:val="1"/>
      <w:numFmt w:val="decimal"/>
      <w:lvlText w:val="%7."/>
      <w:lvlJc w:val="left"/>
      <w:pPr>
        <w:ind w:left="5040" w:hanging="360"/>
      </w:pPr>
    </w:lvl>
    <w:lvl w:ilvl="7" w:tplc="F4340FFA" w:tentative="1">
      <w:start w:val="1"/>
      <w:numFmt w:val="lowerLetter"/>
      <w:lvlText w:val="%8."/>
      <w:lvlJc w:val="left"/>
      <w:pPr>
        <w:ind w:left="5760" w:hanging="360"/>
      </w:pPr>
    </w:lvl>
    <w:lvl w:ilvl="8" w:tplc="35DEFC26" w:tentative="1">
      <w:start w:val="1"/>
      <w:numFmt w:val="lowerRoman"/>
      <w:lvlText w:val="%9."/>
      <w:lvlJc w:val="right"/>
      <w:pPr>
        <w:ind w:left="6480" w:hanging="180"/>
      </w:pPr>
    </w:lvl>
  </w:abstractNum>
  <w:num w:numId="1" w16cid:durableId="1989555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973"/>
    <w:rsid w:val="00003969"/>
    <w:rsid w:val="00120CAC"/>
    <w:rsid w:val="00176FD2"/>
    <w:rsid w:val="0035457E"/>
    <w:rsid w:val="003B52AA"/>
    <w:rsid w:val="004209F0"/>
    <w:rsid w:val="00482B26"/>
    <w:rsid w:val="004879D6"/>
    <w:rsid w:val="0062081A"/>
    <w:rsid w:val="006C1A6E"/>
    <w:rsid w:val="006D65CC"/>
    <w:rsid w:val="006E0973"/>
    <w:rsid w:val="007A7D98"/>
    <w:rsid w:val="008D1BDF"/>
    <w:rsid w:val="008D4DD9"/>
    <w:rsid w:val="009068EA"/>
    <w:rsid w:val="009E12D5"/>
    <w:rsid w:val="00A40F53"/>
    <w:rsid w:val="00AB072C"/>
    <w:rsid w:val="00CF7D14"/>
    <w:rsid w:val="00D63A8A"/>
    <w:rsid w:val="00E057CF"/>
    <w:rsid w:val="00E324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18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9F3362"/>
    <w:rPr>
      <w:color w:val="0000FF" w:themeColor="hyperlink"/>
      <w:u w:val="single"/>
    </w:rPr>
  </w:style>
  <w:style w:type="character" w:styleId="UnresolvedMention">
    <w:name w:val="Unresolved Mention"/>
    <w:basedOn w:val="DefaultParagraphFont"/>
    <w:uiPriority w:val="99"/>
    <w:semiHidden/>
    <w:unhideWhenUsed/>
    <w:rsid w:val="009F3362"/>
    <w:rPr>
      <w:color w:val="605E5C"/>
      <w:shd w:val="clear" w:color="auto" w:fill="E1DFDD"/>
    </w:rPr>
  </w:style>
  <w:style w:type="paragraph" w:styleId="Header">
    <w:name w:val="header"/>
    <w:basedOn w:val="Normal"/>
    <w:link w:val="HeaderChar"/>
    <w:uiPriority w:val="99"/>
    <w:unhideWhenUsed/>
    <w:rsid w:val="008D1BDF"/>
    <w:pPr>
      <w:tabs>
        <w:tab w:val="center" w:pos="4680"/>
        <w:tab w:val="right" w:pos="9360"/>
      </w:tabs>
      <w:spacing w:line="240" w:lineRule="auto"/>
    </w:pPr>
  </w:style>
  <w:style w:type="character" w:customStyle="1" w:styleId="HeaderChar">
    <w:name w:val="Header Char"/>
    <w:basedOn w:val="DefaultParagraphFont"/>
    <w:link w:val="Header"/>
    <w:uiPriority w:val="99"/>
    <w:rsid w:val="008D1BDF"/>
  </w:style>
  <w:style w:type="paragraph" w:styleId="Footer">
    <w:name w:val="footer"/>
    <w:basedOn w:val="Normal"/>
    <w:link w:val="FooterChar"/>
    <w:uiPriority w:val="99"/>
    <w:unhideWhenUsed/>
    <w:rsid w:val="008D1BDF"/>
    <w:pPr>
      <w:tabs>
        <w:tab w:val="center" w:pos="4680"/>
        <w:tab w:val="right" w:pos="9360"/>
      </w:tabs>
      <w:spacing w:line="240" w:lineRule="auto"/>
    </w:pPr>
  </w:style>
  <w:style w:type="character" w:customStyle="1" w:styleId="FooterChar">
    <w:name w:val="Footer Char"/>
    <w:basedOn w:val="DefaultParagraphFont"/>
    <w:link w:val="Footer"/>
    <w:uiPriority w:val="99"/>
    <w:rsid w:val="008D1BDF"/>
  </w:style>
  <w:style w:type="character" w:styleId="FollowedHyperlink">
    <w:name w:val="FollowedHyperlink"/>
    <w:basedOn w:val="DefaultParagraphFont"/>
    <w:uiPriority w:val="99"/>
    <w:semiHidden/>
    <w:unhideWhenUsed/>
    <w:rsid w:val="00A40F53"/>
    <w:rPr>
      <w:color w:val="800080" w:themeColor="followedHyperlink"/>
      <w:u w:val="single"/>
    </w:rPr>
  </w:style>
  <w:style w:type="paragraph" w:styleId="ListParagraph">
    <w:name w:val="List Paragraph"/>
    <w:basedOn w:val="Normal"/>
    <w:uiPriority w:val="34"/>
    <w:qFormat/>
    <w:rsid w:val="00A40F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ailii.org/cgi-bin/format.cgi?doc=/ew/cases/EWCA/Crim/2004/3246.html&amp;query=(title:(+R+))+AND+(title:(+v+))+AND+(title:(+Barn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kcen.net/ethical_issues/consent/legal_considerations1" TargetMode="External"/><Relationship Id="rId5" Type="http://schemas.openxmlformats.org/officeDocument/2006/relationships/webSettings" Target="webSettings.xml"/><Relationship Id="rId10" Type="http://schemas.openxmlformats.org/officeDocument/2006/relationships/hyperlink" Target="https://www.parliament.uk/business/publications/research/key-issues-parliament-2015/social-change/debating-assisted-suicide/" TargetMode="External"/><Relationship Id="rId4" Type="http://schemas.openxmlformats.org/officeDocument/2006/relationships/settings" Target="settings.xml"/><Relationship Id="rId9" Type="http://schemas.openxmlformats.org/officeDocument/2006/relationships/hyperlink" Target="https://www.legislation.gov.uk/ukpga/Vict/24-25/100/enacted/data.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GJAKjJlLVwwL8B17krtqOF9zfQ==">CgMxLjAyCGguZ2pkZ3hzMgloLjMwajB6bGwyCWguMWZvYjl0ZTIJaC4zem55c2g3MgloLjNkeTZ2a20yCWguMmV0OTJwMDIIaC50eWpjd3Q4AHIhMTlzUmdiazluNy1Ra1dzUEVTeTMwOVBfSTJBdjFYaWRl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1868</Words>
  <Characters>10654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2023-10-18T05:53:00Z</dcterms:created>
  <dcterms:modified xsi:type="dcterms:W3CDTF">2023-11-09T09:45:00Z</dcterms:modified>
</cp:coreProperties>
</file>