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7D54CB" w14:textId="0B91A866" w:rsidR="00D66E21" w:rsidRPr="002E1C1F" w:rsidRDefault="00EF380E" w:rsidP="00A66E2A">
      <w:pPr>
        <w:spacing w:before="30" w:after="30" w:line="360" w:lineRule="auto"/>
        <w:rPr>
          <w:rFonts w:ascii="Arial" w:hAnsi="Arial" w:cs="Arial"/>
        </w:rPr>
      </w:pPr>
      <w:r w:rsidRPr="002E1C1F">
        <w:rPr>
          <w:rFonts w:ascii="Arial" w:hAnsi="Arial" w:cs="Arial"/>
        </w:rPr>
        <w:t>Student Name: Susannah Moriarty</w:t>
      </w:r>
    </w:p>
    <w:p w14:paraId="13FE713A" w14:textId="01796EF6" w:rsidR="00EF380E" w:rsidRPr="002E1C1F" w:rsidRDefault="00EF380E" w:rsidP="00A66E2A">
      <w:pPr>
        <w:spacing w:before="30" w:after="30" w:line="360" w:lineRule="auto"/>
        <w:rPr>
          <w:rFonts w:ascii="Arial" w:hAnsi="Arial" w:cs="Arial"/>
        </w:rPr>
      </w:pPr>
      <w:r w:rsidRPr="002E1C1F">
        <w:rPr>
          <w:rFonts w:ascii="Arial" w:hAnsi="Arial" w:cs="Arial"/>
        </w:rPr>
        <w:t>Student Number: 2331924</w:t>
      </w:r>
    </w:p>
    <w:p w14:paraId="38555B8E" w14:textId="0809D2A3" w:rsidR="00EF380E" w:rsidRPr="002E1C1F" w:rsidRDefault="00EF380E" w:rsidP="00A66E2A">
      <w:pPr>
        <w:spacing w:before="30" w:after="30" w:line="360" w:lineRule="auto"/>
        <w:rPr>
          <w:rFonts w:ascii="Arial" w:hAnsi="Arial" w:cs="Arial"/>
        </w:rPr>
      </w:pPr>
      <w:r w:rsidRPr="002E1C1F">
        <w:rPr>
          <w:rFonts w:ascii="Arial" w:hAnsi="Arial" w:cs="Arial"/>
        </w:rPr>
        <w:t>Module Title: Introduction to Independent Research Skills</w:t>
      </w:r>
    </w:p>
    <w:p w14:paraId="239849E6" w14:textId="0388FBE8" w:rsidR="00EF380E" w:rsidRPr="002E1C1F" w:rsidRDefault="00EF380E" w:rsidP="00A66E2A">
      <w:pPr>
        <w:spacing w:before="30" w:after="30" w:line="360" w:lineRule="auto"/>
        <w:rPr>
          <w:rFonts w:ascii="Arial" w:hAnsi="Arial" w:cs="Arial"/>
        </w:rPr>
      </w:pPr>
      <w:r w:rsidRPr="002E1C1F">
        <w:rPr>
          <w:rFonts w:ascii="Arial" w:hAnsi="Arial" w:cs="Arial"/>
        </w:rPr>
        <w:t>Module Code: BMHP5019_BIRM</w:t>
      </w:r>
    </w:p>
    <w:p w14:paraId="35CE3C8D" w14:textId="70D600F0" w:rsidR="00EF380E" w:rsidRPr="002E1C1F" w:rsidRDefault="00EF380E" w:rsidP="00A66E2A">
      <w:pPr>
        <w:spacing w:before="30" w:after="30" w:line="360" w:lineRule="auto"/>
        <w:rPr>
          <w:rFonts w:ascii="Arial" w:hAnsi="Arial" w:cs="Arial"/>
        </w:rPr>
      </w:pPr>
      <w:r w:rsidRPr="002E1C1F">
        <w:rPr>
          <w:rFonts w:ascii="Arial" w:hAnsi="Arial" w:cs="Arial"/>
        </w:rPr>
        <w:t>Lecturer Name: Philip Jones</w:t>
      </w:r>
    </w:p>
    <w:p w14:paraId="532A407E" w14:textId="77777777" w:rsidR="00EF380E" w:rsidRPr="002E1C1F" w:rsidRDefault="00EF380E" w:rsidP="00A66E2A">
      <w:pPr>
        <w:spacing w:before="30" w:after="30" w:line="360" w:lineRule="auto"/>
        <w:rPr>
          <w:rFonts w:ascii="Arial" w:hAnsi="Arial" w:cs="Arial"/>
        </w:rPr>
      </w:pPr>
    </w:p>
    <w:p w14:paraId="68AE69A5" w14:textId="77777777" w:rsidR="00EF380E" w:rsidRPr="002E1C1F" w:rsidRDefault="00EF380E" w:rsidP="00A66E2A">
      <w:pPr>
        <w:spacing w:before="30" w:after="30" w:line="360" w:lineRule="auto"/>
        <w:rPr>
          <w:rFonts w:ascii="Arial" w:hAnsi="Arial" w:cs="Arial"/>
        </w:rPr>
      </w:pPr>
    </w:p>
    <w:p w14:paraId="5A8B1AA0" w14:textId="77777777" w:rsidR="00EF380E" w:rsidRPr="002E1C1F" w:rsidRDefault="00EF380E" w:rsidP="00A66E2A">
      <w:pPr>
        <w:spacing w:before="30" w:after="30" w:line="360" w:lineRule="auto"/>
        <w:rPr>
          <w:rFonts w:ascii="Arial" w:hAnsi="Arial" w:cs="Arial"/>
        </w:rPr>
      </w:pPr>
    </w:p>
    <w:p w14:paraId="1E5C45C2" w14:textId="77777777" w:rsidR="00EF380E" w:rsidRPr="002E1C1F" w:rsidRDefault="00EF380E" w:rsidP="00A66E2A">
      <w:pPr>
        <w:spacing w:before="30" w:after="30" w:line="360" w:lineRule="auto"/>
        <w:rPr>
          <w:rFonts w:ascii="Arial" w:hAnsi="Arial" w:cs="Arial"/>
        </w:rPr>
      </w:pPr>
    </w:p>
    <w:p w14:paraId="1F972271" w14:textId="77777777" w:rsidR="00EF380E" w:rsidRPr="002E1C1F" w:rsidRDefault="00EF380E" w:rsidP="00A66E2A">
      <w:pPr>
        <w:spacing w:before="30" w:after="30" w:line="360" w:lineRule="auto"/>
        <w:rPr>
          <w:rFonts w:ascii="Arial" w:hAnsi="Arial" w:cs="Arial"/>
        </w:rPr>
      </w:pPr>
    </w:p>
    <w:p w14:paraId="1BB46D35" w14:textId="77777777" w:rsidR="00EF380E" w:rsidRPr="002E1C1F" w:rsidRDefault="00EF380E" w:rsidP="00A66E2A">
      <w:pPr>
        <w:spacing w:before="30" w:after="30" w:line="360" w:lineRule="auto"/>
        <w:rPr>
          <w:rFonts w:ascii="Arial" w:hAnsi="Arial" w:cs="Arial"/>
        </w:rPr>
      </w:pPr>
    </w:p>
    <w:p w14:paraId="4C988448" w14:textId="77777777" w:rsidR="00EF380E" w:rsidRPr="002E1C1F" w:rsidRDefault="00EF380E" w:rsidP="00A66E2A">
      <w:pPr>
        <w:spacing w:before="30" w:after="30" w:line="360" w:lineRule="auto"/>
        <w:rPr>
          <w:rFonts w:ascii="Arial" w:hAnsi="Arial" w:cs="Arial"/>
        </w:rPr>
      </w:pPr>
    </w:p>
    <w:p w14:paraId="30DB0488" w14:textId="77777777" w:rsidR="00EF380E" w:rsidRPr="002E1C1F" w:rsidRDefault="00EF380E" w:rsidP="00A66E2A">
      <w:pPr>
        <w:spacing w:before="30" w:after="30" w:line="360" w:lineRule="auto"/>
        <w:rPr>
          <w:rFonts w:ascii="Arial" w:hAnsi="Arial" w:cs="Arial"/>
        </w:rPr>
      </w:pPr>
    </w:p>
    <w:p w14:paraId="6B81FBD6" w14:textId="77777777" w:rsidR="00EF380E" w:rsidRPr="002E1C1F" w:rsidRDefault="00EF380E" w:rsidP="00A66E2A">
      <w:pPr>
        <w:spacing w:before="30" w:after="30" w:line="360" w:lineRule="auto"/>
        <w:rPr>
          <w:rFonts w:ascii="Arial" w:hAnsi="Arial" w:cs="Arial"/>
        </w:rPr>
      </w:pPr>
    </w:p>
    <w:p w14:paraId="4E3723E3" w14:textId="77777777" w:rsidR="00EF380E" w:rsidRPr="002E1C1F" w:rsidRDefault="00EF380E" w:rsidP="00A66E2A">
      <w:pPr>
        <w:spacing w:before="30" w:after="30" w:line="360" w:lineRule="auto"/>
        <w:rPr>
          <w:rFonts w:ascii="Arial" w:hAnsi="Arial" w:cs="Arial"/>
        </w:rPr>
      </w:pPr>
    </w:p>
    <w:p w14:paraId="2B2363C9" w14:textId="77777777" w:rsidR="00EF380E" w:rsidRPr="002E1C1F" w:rsidRDefault="00EF380E" w:rsidP="00A66E2A">
      <w:pPr>
        <w:spacing w:before="30" w:after="30" w:line="360" w:lineRule="auto"/>
        <w:rPr>
          <w:rFonts w:ascii="Arial" w:hAnsi="Arial" w:cs="Arial"/>
        </w:rPr>
      </w:pPr>
    </w:p>
    <w:p w14:paraId="345D34E8" w14:textId="77777777" w:rsidR="00EF380E" w:rsidRPr="002E1C1F" w:rsidRDefault="00EF380E" w:rsidP="00A66E2A">
      <w:pPr>
        <w:spacing w:before="30" w:after="30" w:line="360" w:lineRule="auto"/>
        <w:rPr>
          <w:rFonts w:ascii="Arial" w:hAnsi="Arial" w:cs="Arial"/>
        </w:rPr>
      </w:pPr>
    </w:p>
    <w:p w14:paraId="4671E4C7" w14:textId="77777777" w:rsidR="00EF380E" w:rsidRPr="002E1C1F" w:rsidRDefault="00EF380E" w:rsidP="00A66E2A">
      <w:pPr>
        <w:spacing w:before="30" w:after="30" w:line="360" w:lineRule="auto"/>
        <w:rPr>
          <w:rFonts w:ascii="Arial" w:hAnsi="Arial" w:cs="Arial"/>
        </w:rPr>
      </w:pPr>
    </w:p>
    <w:p w14:paraId="4F397144" w14:textId="77777777" w:rsidR="00EF380E" w:rsidRPr="002E1C1F" w:rsidRDefault="00EF380E" w:rsidP="00A66E2A">
      <w:pPr>
        <w:spacing w:before="30" w:after="30" w:line="360" w:lineRule="auto"/>
        <w:rPr>
          <w:rFonts w:ascii="Arial" w:hAnsi="Arial" w:cs="Arial"/>
        </w:rPr>
      </w:pPr>
    </w:p>
    <w:p w14:paraId="4988C0E9" w14:textId="77777777" w:rsidR="00EF380E" w:rsidRPr="002E1C1F" w:rsidRDefault="00EF380E" w:rsidP="00A66E2A">
      <w:pPr>
        <w:spacing w:before="30" w:after="30" w:line="360" w:lineRule="auto"/>
        <w:rPr>
          <w:rFonts w:ascii="Arial" w:hAnsi="Arial" w:cs="Arial"/>
        </w:rPr>
      </w:pPr>
    </w:p>
    <w:p w14:paraId="0362E9B9" w14:textId="77777777" w:rsidR="00EF380E" w:rsidRPr="002E1C1F" w:rsidRDefault="00EF380E" w:rsidP="00A66E2A">
      <w:pPr>
        <w:spacing w:before="30" w:after="30" w:line="360" w:lineRule="auto"/>
        <w:rPr>
          <w:rFonts w:ascii="Arial" w:hAnsi="Arial" w:cs="Arial"/>
        </w:rPr>
      </w:pPr>
    </w:p>
    <w:p w14:paraId="01215A81" w14:textId="77777777" w:rsidR="00EF380E" w:rsidRPr="002E1C1F" w:rsidRDefault="00EF380E" w:rsidP="00A66E2A">
      <w:pPr>
        <w:spacing w:before="30" w:after="30" w:line="360" w:lineRule="auto"/>
        <w:rPr>
          <w:rFonts w:ascii="Arial" w:hAnsi="Arial" w:cs="Arial"/>
        </w:rPr>
      </w:pPr>
    </w:p>
    <w:p w14:paraId="612C5AA7" w14:textId="77777777" w:rsidR="00EF380E" w:rsidRPr="002E1C1F" w:rsidRDefault="00EF380E" w:rsidP="00A66E2A">
      <w:pPr>
        <w:spacing w:before="30" w:after="30" w:line="360" w:lineRule="auto"/>
        <w:rPr>
          <w:rFonts w:ascii="Arial" w:hAnsi="Arial" w:cs="Arial"/>
        </w:rPr>
      </w:pPr>
    </w:p>
    <w:p w14:paraId="4C1EA095" w14:textId="77777777" w:rsidR="00EF380E" w:rsidRPr="002E1C1F" w:rsidRDefault="00EF380E" w:rsidP="00A66E2A">
      <w:pPr>
        <w:spacing w:before="30" w:after="30" w:line="360" w:lineRule="auto"/>
        <w:rPr>
          <w:rFonts w:ascii="Arial" w:hAnsi="Arial" w:cs="Arial"/>
        </w:rPr>
      </w:pPr>
    </w:p>
    <w:p w14:paraId="6F1AFD0A" w14:textId="77777777" w:rsidR="00EF380E" w:rsidRPr="002E1C1F" w:rsidRDefault="00EF380E" w:rsidP="00A66E2A">
      <w:pPr>
        <w:spacing w:before="30" w:after="30" w:line="360" w:lineRule="auto"/>
        <w:rPr>
          <w:rFonts w:ascii="Arial" w:hAnsi="Arial" w:cs="Arial"/>
        </w:rPr>
      </w:pPr>
    </w:p>
    <w:p w14:paraId="017B748C" w14:textId="77777777" w:rsidR="00EF380E" w:rsidRPr="002E1C1F" w:rsidRDefault="00EF380E" w:rsidP="00A66E2A">
      <w:pPr>
        <w:spacing w:before="30" w:after="30" w:line="360" w:lineRule="auto"/>
        <w:rPr>
          <w:rFonts w:ascii="Arial" w:hAnsi="Arial" w:cs="Arial"/>
        </w:rPr>
      </w:pPr>
    </w:p>
    <w:p w14:paraId="4EF5D359" w14:textId="77777777" w:rsidR="00EF380E" w:rsidRPr="002E1C1F" w:rsidRDefault="00EF380E" w:rsidP="00A66E2A">
      <w:pPr>
        <w:spacing w:before="30" w:after="30" w:line="360" w:lineRule="auto"/>
        <w:rPr>
          <w:rFonts w:ascii="Arial" w:hAnsi="Arial" w:cs="Arial"/>
        </w:rPr>
      </w:pPr>
    </w:p>
    <w:p w14:paraId="4101B354" w14:textId="77777777" w:rsidR="00EF380E" w:rsidRPr="002E1C1F" w:rsidRDefault="00EF380E" w:rsidP="00A66E2A">
      <w:pPr>
        <w:spacing w:before="30" w:after="30" w:line="360" w:lineRule="auto"/>
        <w:rPr>
          <w:rFonts w:ascii="Arial" w:hAnsi="Arial" w:cs="Arial"/>
        </w:rPr>
      </w:pPr>
    </w:p>
    <w:p w14:paraId="101ECAA2" w14:textId="77777777" w:rsidR="00EF380E" w:rsidRPr="002E1C1F" w:rsidRDefault="00EF380E" w:rsidP="00A66E2A">
      <w:pPr>
        <w:spacing w:before="30" w:after="30" w:line="360" w:lineRule="auto"/>
        <w:rPr>
          <w:rFonts w:ascii="Arial" w:hAnsi="Arial" w:cs="Arial"/>
        </w:rPr>
      </w:pPr>
    </w:p>
    <w:p w14:paraId="6F0D335F" w14:textId="77777777" w:rsidR="00F6118C" w:rsidRPr="002E1C1F" w:rsidRDefault="00F6118C" w:rsidP="00A66E2A">
      <w:pPr>
        <w:spacing w:before="30" w:after="30" w:line="360" w:lineRule="auto"/>
        <w:rPr>
          <w:rFonts w:ascii="Arial" w:hAnsi="Arial" w:cs="Arial"/>
        </w:rPr>
      </w:pPr>
    </w:p>
    <w:p w14:paraId="7C01B4E9" w14:textId="77777777" w:rsidR="00F6118C" w:rsidRPr="002E1C1F" w:rsidRDefault="00F6118C" w:rsidP="00A66E2A">
      <w:pPr>
        <w:spacing w:before="30" w:after="30" w:line="360" w:lineRule="auto"/>
        <w:rPr>
          <w:rFonts w:ascii="Arial" w:hAnsi="Arial" w:cs="Arial"/>
        </w:rPr>
      </w:pPr>
    </w:p>
    <w:p w14:paraId="03B6CAB8" w14:textId="77777777" w:rsidR="00F6118C" w:rsidRPr="002E1C1F" w:rsidRDefault="00F6118C" w:rsidP="00A66E2A">
      <w:pPr>
        <w:spacing w:before="30" w:after="30" w:line="360" w:lineRule="auto"/>
        <w:rPr>
          <w:rFonts w:ascii="Arial" w:hAnsi="Arial" w:cs="Arial"/>
        </w:rPr>
      </w:pPr>
    </w:p>
    <w:p w14:paraId="0546D4AA" w14:textId="77777777" w:rsidR="00F6118C" w:rsidRPr="002E1C1F" w:rsidRDefault="00F6118C" w:rsidP="00A66E2A">
      <w:pPr>
        <w:spacing w:before="30" w:after="30" w:line="360" w:lineRule="auto"/>
        <w:rPr>
          <w:rFonts w:ascii="Arial" w:hAnsi="Arial" w:cs="Arial"/>
        </w:rPr>
      </w:pPr>
    </w:p>
    <w:p w14:paraId="5A8A9E01" w14:textId="77777777" w:rsidR="00F6118C" w:rsidRPr="002E1C1F" w:rsidRDefault="00F6118C" w:rsidP="00A66E2A">
      <w:pPr>
        <w:spacing w:before="30" w:after="30" w:line="360" w:lineRule="auto"/>
        <w:rPr>
          <w:rFonts w:ascii="Arial" w:hAnsi="Arial" w:cs="Arial"/>
        </w:rPr>
      </w:pPr>
    </w:p>
    <w:p w14:paraId="7676AB76" w14:textId="21168887" w:rsidR="00EF380E" w:rsidRPr="002E1C1F" w:rsidRDefault="00EF380E" w:rsidP="00A66E2A">
      <w:pPr>
        <w:spacing w:before="30" w:after="30" w:line="360" w:lineRule="auto"/>
        <w:rPr>
          <w:rFonts w:ascii="Arial" w:hAnsi="Arial" w:cs="Arial"/>
        </w:rPr>
      </w:pPr>
      <w:r w:rsidRPr="002E1C1F">
        <w:rPr>
          <w:rFonts w:ascii="Arial" w:hAnsi="Arial" w:cs="Arial"/>
        </w:rPr>
        <w:lastRenderedPageBreak/>
        <w:t>Research Question: To what extent does social prescribing support young people’s mental health and what are the primary barriers to engagement?</w:t>
      </w:r>
    </w:p>
    <w:p w14:paraId="2EB3AEC2" w14:textId="77777777" w:rsidR="00F6118C" w:rsidRPr="002E1C1F" w:rsidRDefault="00F6118C" w:rsidP="00A66E2A">
      <w:pPr>
        <w:spacing w:before="30" w:after="30" w:line="360" w:lineRule="auto"/>
        <w:rPr>
          <w:rFonts w:ascii="Arial" w:hAnsi="Arial" w:cs="Arial"/>
        </w:rPr>
      </w:pPr>
    </w:p>
    <w:p w14:paraId="4BC58E20" w14:textId="782A2648" w:rsidR="00EF380E" w:rsidRPr="002E1C1F" w:rsidRDefault="00EF380E" w:rsidP="00A66E2A">
      <w:pPr>
        <w:spacing w:before="30" w:after="30" w:line="360" w:lineRule="auto"/>
        <w:rPr>
          <w:rFonts w:ascii="Arial" w:hAnsi="Arial" w:cs="Arial"/>
        </w:rPr>
      </w:pPr>
      <w:r w:rsidRPr="002E1C1F">
        <w:rPr>
          <w:rFonts w:ascii="Arial" w:hAnsi="Arial" w:cs="Arial"/>
        </w:rPr>
        <w:t xml:space="preserve">This scoping review aims to map out existing evidence regarding non-clinical interventions for young people age 10-19. The mental health services for young people faces unpresidential demand, social prescribing has become a </w:t>
      </w:r>
      <w:r w:rsidR="00062ED5" w:rsidRPr="002E1C1F">
        <w:rPr>
          <w:rFonts w:ascii="Arial" w:hAnsi="Arial" w:cs="Arial"/>
        </w:rPr>
        <w:t>vital wellbeing</w:t>
      </w:r>
      <w:r w:rsidR="00E72286" w:rsidRPr="002E1C1F">
        <w:rPr>
          <w:rFonts w:ascii="Arial" w:hAnsi="Arial" w:cs="Arial"/>
        </w:rPr>
        <w:t xml:space="preserve"> tool</w:t>
      </w:r>
      <w:r w:rsidR="00062ED5" w:rsidRPr="002E1C1F">
        <w:rPr>
          <w:rFonts w:ascii="Arial" w:hAnsi="Arial" w:cs="Arial"/>
        </w:rPr>
        <w:t xml:space="preserve"> while waiting intervention (Fancourt et al.,2023). The primary objective is to identify the active ingredients of successful referrals (Steffen et al.,2024) and evaluate the role of the Link Worker in facilitating community access (Farina et al., 2024). By synthesising qualitative data this study seeks to identify gaps in current provisions and offer recommendations for better integrated care for young people.</w:t>
      </w:r>
    </w:p>
    <w:p w14:paraId="181409E6" w14:textId="372D456B" w:rsidR="00062ED5" w:rsidRPr="002E1C1F" w:rsidRDefault="00062ED5" w:rsidP="00A66E2A">
      <w:pPr>
        <w:spacing w:before="30" w:after="30" w:line="360" w:lineRule="auto"/>
        <w:rPr>
          <w:rFonts w:ascii="Arial" w:hAnsi="Arial" w:cs="Arial"/>
        </w:rPr>
      </w:pPr>
      <w:r w:rsidRPr="002E1C1F">
        <w:rPr>
          <w:rFonts w:ascii="Arial" w:hAnsi="Arial" w:cs="Arial"/>
        </w:rPr>
        <w:t xml:space="preserve">Young </w:t>
      </w:r>
      <w:r w:rsidR="002B7D6A" w:rsidRPr="002E1C1F">
        <w:rPr>
          <w:rFonts w:ascii="Arial" w:hAnsi="Arial" w:cs="Arial"/>
        </w:rPr>
        <w:t>people’s</w:t>
      </w:r>
      <w:r w:rsidRPr="002E1C1F">
        <w:rPr>
          <w:rFonts w:ascii="Arial" w:hAnsi="Arial" w:cs="Arial"/>
        </w:rPr>
        <w:t xml:space="preserve"> mental health is a critical public health priority. Traditional clinical models such as CAMHS, are often overwhelmed, leading to extensive waiting lists </w:t>
      </w:r>
      <w:r w:rsidR="002B7D6A" w:rsidRPr="002E1C1F">
        <w:rPr>
          <w:rFonts w:ascii="Arial" w:hAnsi="Arial" w:cs="Arial"/>
        </w:rPr>
        <w:t>leaving young people with little to no support (</w:t>
      </w:r>
      <w:proofErr w:type="spellStart"/>
      <w:r w:rsidR="002B7D6A" w:rsidRPr="002E1C1F">
        <w:rPr>
          <w:rFonts w:ascii="Arial" w:hAnsi="Arial" w:cs="Arial"/>
        </w:rPr>
        <w:t>Francourt</w:t>
      </w:r>
      <w:proofErr w:type="spellEnd"/>
      <w:r w:rsidR="002B7D6A" w:rsidRPr="002E1C1F">
        <w:rPr>
          <w:rFonts w:ascii="Arial" w:hAnsi="Arial" w:cs="Arial"/>
        </w:rPr>
        <w:t xml:space="preserve"> et al., 2023). Social prescribing offers a holistic alternative by connecting young people to community-based assets. However, its success is highly dependant on the quality of the therapeutic relationships and the relevance of the activities provided (Steffen et al., 2023) </w:t>
      </w:r>
    </w:p>
    <w:p w14:paraId="75F97272" w14:textId="7822CD83" w:rsidR="002B7D6A" w:rsidRPr="002E1C1F" w:rsidRDefault="002B7D6A" w:rsidP="00A66E2A">
      <w:pPr>
        <w:spacing w:before="30" w:after="30" w:line="360" w:lineRule="auto"/>
        <w:rPr>
          <w:rFonts w:ascii="Arial" w:hAnsi="Arial" w:cs="Arial"/>
        </w:rPr>
      </w:pPr>
      <w:r w:rsidRPr="002E1C1F">
        <w:rPr>
          <w:rFonts w:ascii="Arial" w:hAnsi="Arial" w:cs="Arial"/>
        </w:rPr>
        <w:t>This research is essential because young people face uni</w:t>
      </w:r>
      <w:r w:rsidR="000A3956" w:rsidRPr="002E1C1F">
        <w:rPr>
          <w:rFonts w:ascii="Arial" w:hAnsi="Arial" w:cs="Arial"/>
        </w:rPr>
        <w:t>que development barriers, including fear of stigma and a lack of age-appropriate community services (Hayes et al.,2023). Furthermore, the Link Worker is identified as the “pivotal bridge” in this process, yet practitioners often struggle with inconsistent referral pathways and the “postcode lottery</w:t>
      </w:r>
      <w:r w:rsidR="00FA2928" w:rsidRPr="002E1C1F">
        <w:rPr>
          <w:rFonts w:ascii="Arial" w:hAnsi="Arial" w:cs="Arial"/>
        </w:rPr>
        <w:t xml:space="preserve">” </w:t>
      </w:r>
      <w:r w:rsidR="000A3956" w:rsidRPr="002E1C1F">
        <w:rPr>
          <w:rFonts w:ascii="Arial" w:hAnsi="Arial" w:cs="Arial"/>
        </w:rPr>
        <w:t xml:space="preserve">of available assets (Farina et al.,2024. Hayes et al.,2023) By mapping the frontline challenges, this review will identify how to make social prescribing more accessible for all young people. </w:t>
      </w:r>
    </w:p>
    <w:p w14:paraId="671A0AC0" w14:textId="1139591E" w:rsidR="000A3956" w:rsidRPr="002E1C1F" w:rsidRDefault="000A3956" w:rsidP="00A66E2A">
      <w:pPr>
        <w:spacing w:before="30" w:after="30" w:line="360" w:lineRule="auto"/>
        <w:rPr>
          <w:rFonts w:ascii="Arial" w:hAnsi="Arial" w:cs="Arial"/>
        </w:rPr>
      </w:pPr>
      <w:r w:rsidRPr="002E1C1F">
        <w:rPr>
          <w:rFonts w:ascii="Arial" w:hAnsi="Arial" w:cs="Arial"/>
        </w:rPr>
        <w:t xml:space="preserve">Adopting the </w:t>
      </w:r>
      <w:r w:rsidR="003D2D51" w:rsidRPr="002E1C1F">
        <w:rPr>
          <w:rFonts w:ascii="Arial" w:hAnsi="Arial" w:cs="Arial"/>
        </w:rPr>
        <w:t>Arksey and O’Malley (2025) scoping review framework</w:t>
      </w:r>
      <w:r w:rsidR="00A30A7F" w:rsidRPr="002E1C1F">
        <w:rPr>
          <w:rFonts w:ascii="Arial" w:hAnsi="Arial" w:cs="Arial"/>
        </w:rPr>
        <w:t xml:space="preserve"> and </w:t>
      </w:r>
      <w:r w:rsidR="0056313B" w:rsidRPr="002E1C1F">
        <w:rPr>
          <w:rFonts w:ascii="Arial" w:hAnsi="Arial" w:cs="Arial"/>
        </w:rPr>
        <w:t xml:space="preserve">following the project management guidance of </w:t>
      </w:r>
      <w:r w:rsidR="00FD0F3C" w:rsidRPr="002E1C1F">
        <w:rPr>
          <w:rFonts w:ascii="Arial" w:hAnsi="Arial" w:cs="Arial"/>
        </w:rPr>
        <w:t>B</w:t>
      </w:r>
      <w:r w:rsidR="0056313B" w:rsidRPr="002E1C1F">
        <w:rPr>
          <w:rFonts w:ascii="Arial" w:hAnsi="Arial" w:cs="Arial"/>
        </w:rPr>
        <w:t xml:space="preserve">ell and </w:t>
      </w:r>
      <w:r w:rsidR="00FD0F3C" w:rsidRPr="002E1C1F">
        <w:rPr>
          <w:rFonts w:ascii="Arial" w:hAnsi="Arial" w:cs="Arial"/>
        </w:rPr>
        <w:t>W</w:t>
      </w:r>
      <w:r w:rsidR="0056313B" w:rsidRPr="002E1C1F">
        <w:rPr>
          <w:rFonts w:ascii="Arial" w:hAnsi="Arial" w:cs="Arial"/>
        </w:rPr>
        <w:t>aters (2022)</w:t>
      </w:r>
      <w:r w:rsidR="006A5565" w:rsidRPr="002E1C1F">
        <w:rPr>
          <w:rFonts w:ascii="Arial" w:hAnsi="Arial" w:cs="Arial"/>
        </w:rPr>
        <w:t>.</w:t>
      </w:r>
      <w:r w:rsidR="003D2D51" w:rsidRPr="002E1C1F">
        <w:rPr>
          <w:rFonts w:ascii="Arial" w:hAnsi="Arial" w:cs="Arial"/>
        </w:rPr>
        <w:t xml:space="preserve"> I will systematically map the literatures found in the UWTSD Library and CINAHL. The search will utilise Boolean operators (Social Prescribing A</w:t>
      </w:r>
      <w:r w:rsidR="005271A8" w:rsidRPr="002E1C1F">
        <w:rPr>
          <w:rFonts w:ascii="Arial" w:hAnsi="Arial" w:cs="Arial"/>
        </w:rPr>
        <w:t>ND</w:t>
      </w:r>
      <w:r w:rsidR="003D2D51" w:rsidRPr="002E1C1F">
        <w:rPr>
          <w:rFonts w:ascii="Arial" w:hAnsi="Arial" w:cs="Arial"/>
        </w:rPr>
        <w:t xml:space="preserve"> Adolescent OR Young people A</w:t>
      </w:r>
      <w:r w:rsidR="005271A8" w:rsidRPr="002E1C1F">
        <w:rPr>
          <w:rFonts w:ascii="Arial" w:hAnsi="Arial" w:cs="Arial"/>
        </w:rPr>
        <w:t>ND</w:t>
      </w:r>
      <w:r w:rsidR="003D2D51" w:rsidRPr="002E1C1F">
        <w:rPr>
          <w:rFonts w:ascii="Arial" w:hAnsi="Arial" w:cs="Arial"/>
        </w:rPr>
        <w:t xml:space="preserve"> mental health) for articles published between 2016 and 2026. Following Aveyard (2014), data will be synthesised using thematic analysis to identify three core themes., service efficacy, the Link Worker relationship and the structural barriers. To ensure rigor, I will appraise the evidence using CASP (2018) checklist.</w:t>
      </w:r>
    </w:p>
    <w:p w14:paraId="39FD8F39" w14:textId="57F5D38D" w:rsidR="003D2D51" w:rsidRPr="002E1C1F" w:rsidRDefault="003D2D51" w:rsidP="00A66E2A">
      <w:pPr>
        <w:spacing w:before="30" w:after="30" w:line="360" w:lineRule="auto"/>
        <w:rPr>
          <w:rFonts w:ascii="Arial" w:hAnsi="Arial" w:cs="Arial"/>
        </w:rPr>
      </w:pPr>
      <w:r w:rsidRPr="002E1C1F">
        <w:rPr>
          <w:rFonts w:ascii="Arial" w:hAnsi="Arial" w:cs="Arial"/>
        </w:rPr>
        <w:t xml:space="preserve">As this is secondary research utilising existing published literature no primary data collection is required, and there is no direct contact with the participants. Ethical integrity will be maintained </w:t>
      </w:r>
      <w:r w:rsidR="005271A8" w:rsidRPr="002E1C1F">
        <w:rPr>
          <w:rFonts w:ascii="Arial" w:hAnsi="Arial" w:cs="Arial"/>
        </w:rPr>
        <w:t>through the</w:t>
      </w:r>
      <w:r w:rsidRPr="002E1C1F">
        <w:rPr>
          <w:rFonts w:ascii="Arial" w:hAnsi="Arial" w:cs="Arial"/>
        </w:rPr>
        <w:t xml:space="preserve"> transpare</w:t>
      </w:r>
      <w:r w:rsidR="005271A8" w:rsidRPr="002E1C1F">
        <w:rPr>
          <w:rFonts w:ascii="Arial" w:hAnsi="Arial" w:cs="Arial"/>
        </w:rPr>
        <w:t>nt report findings and adherence to the UWTSD Harvard referencing standards ensuring academic honesty and avoiding plagiarism</w:t>
      </w:r>
      <w:r w:rsidR="008B05E4" w:rsidRPr="002E1C1F">
        <w:rPr>
          <w:rFonts w:ascii="Arial" w:hAnsi="Arial" w:cs="Arial"/>
        </w:rPr>
        <w:t xml:space="preserve"> following the </w:t>
      </w:r>
      <w:r w:rsidR="008B05E4" w:rsidRPr="002E1C1F">
        <w:rPr>
          <w:rFonts w:ascii="Arial" w:hAnsi="Arial" w:cs="Arial"/>
        </w:rPr>
        <w:lastRenderedPageBreak/>
        <w:t>guidance of Bell and Waters (2022)</w:t>
      </w:r>
      <w:r w:rsidR="00627B4B" w:rsidRPr="002E1C1F">
        <w:rPr>
          <w:rFonts w:ascii="Arial" w:hAnsi="Arial" w:cs="Arial"/>
        </w:rPr>
        <w:t xml:space="preserve">. </w:t>
      </w:r>
      <w:r w:rsidR="0013372A" w:rsidRPr="002E1C1F">
        <w:rPr>
          <w:rFonts w:ascii="Arial" w:hAnsi="Arial" w:cs="Arial"/>
        </w:rPr>
        <w:t xml:space="preserve">This approach ensures the voice of the young person and </w:t>
      </w:r>
      <w:r w:rsidR="00AA55A2" w:rsidRPr="002E1C1F">
        <w:rPr>
          <w:rFonts w:ascii="Arial" w:hAnsi="Arial" w:cs="Arial"/>
        </w:rPr>
        <w:t>practitioners</w:t>
      </w:r>
      <w:r w:rsidR="0013372A" w:rsidRPr="002E1C1F">
        <w:rPr>
          <w:rFonts w:ascii="Arial" w:hAnsi="Arial" w:cs="Arial"/>
        </w:rPr>
        <w:t xml:space="preserve"> </w:t>
      </w:r>
      <w:r w:rsidR="00ED7691" w:rsidRPr="002E1C1F">
        <w:rPr>
          <w:rFonts w:ascii="Arial" w:hAnsi="Arial" w:cs="Arial"/>
        </w:rPr>
        <w:t>represented in the primary studies</w:t>
      </w:r>
      <w:r w:rsidR="00761332" w:rsidRPr="002E1C1F">
        <w:rPr>
          <w:rFonts w:ascii="Arial" w:hAnsi="Arial" w:cs="Arial"/>
        </w:rPr>
        <w:t xml:space="preserve"> is</w:t>
      </w:r>
      <w:r w:rsidR="00ED7691" w:rsidRPr="002E1C1F">
        <w:rPr>
          <w:rFonts w:ascii="Arial" w:hAnsi="Arial" w:cs="Arial"/>
        </w:rPr>
        <w:t xml:space="preserve"> re</w:t>
      </w:r>
      <w:r w:rsidR="003C1F58" w:rsidRPr="002E1C1F">
        <w:rPr>
          <w:rFonts w:ascii="Arial" w:hAnsi="Arial" w:cs="Arial"/>
        </w:rPr>
        <w:t>ported accurately and ethically (Bell and waters, 2022)</w:t>
      </w:r>
    </w:p>
    <w:p w14:paraId="5660664A" w14:textId="77777777" w:rsidR="00062ED5" w:rsidRPr="002E1C1F" w:rsidRDefault="00062ED5" w:rsidP="00A66E2A">
      <w:pPr>
        <w:spacing w:before="30" w:after="30" w:line="360" w:lineRule="auto"/>
        <w:rPr>
          <w:rFonts w:ascii="Arial" w:hAnsi="Arial" w:cs="Arial"/>
        </w:rPr>
      </w:pPr>
    </w:p>
    <w:p w14:paraId="31E81110" w14:textId="77777777" w:rsidR="005271A8" w:rsidRPr="002E1C1F" w:rsidRDefault="005271A8" w:rsidP="00A66E2A">
      <w:pPr>
        <w:spacing w:before="30" w:after="30" w:line="360" w:lineRule="auto"/>
        <w:rPr>
          <w:rFonts w:ascii="Arial" w:hAnsi="Arial" w:cs="Arial"/>
        </w:rPr>
      </w:pPr>
    </w:p>
    <w:p w14:paraId="6495A24E" w14:textId="77777777" w:rsidR="005271A8" w:rsidRPr="002E1C1F" w:rsidRDefault="005271A8" w:rsidP="00A66E2A">
      <w:pPr>
        <w:spacing w:before="30" w:after="30" w:line="360" w:lineRule="auto"/>
        <w:rPr>
          <w:rFonts w:ascii="Arial" w:hAnsi="Arial" w:cs="Arial"/>
        </w:rPr>
      </w:pPr>
    </w:p>
    <w:p w14:paraId="6AF3FCF6" w14:textId="77777777" w:rsidR="005271A8" w:rsidRPr="002E1C1F" w:rsidRDefault="005271A8" w:rsidP="00A66E2A">
      <w:pPr>
        <w:spacing w:before="30" w:after="30" w:line="360" w:lineRule="auto"/>
        <w:rPr>
          <w:rFonts w:ascii="Arial" w:hAnsi="Arial" w:cs="Arial"/>
        </w:rPr>
      </w:pPr>
    </w:p>
    <w:p w14:paraId="7F0FF5C9" w14:textId="77777777" w:rsidR="005271A8" w:rsidRPr="002E1C1F" w:rsidRDefault="005271A8" w:rsidP="00A66E2A">
      <w:pPr>
        <w:spacing w:before="30" w:after="30" w:line="360" w:lineRule="auto"/>
        <w:rPr>
          <w:rFonts w:ascii="Arial" w:hAnsi="Arial" w:cs="Arial"/>
        </w:rPr>
      </w:pPr>
    </w:p>
    <w:p w14:paraId="37491674" w14:textId="77777777" w:rsidR="005271A8" w:rsidRPr="002E1C1F" w:rsidRDefault="005271A8" w:rsidP="00A66E2A">
      <w:pPr>
        <w:spacing w:before="30" w:after="30" w:line="360" w:lineRule="auto"/>
        <w:rPr>
          <w:rFonts w:ascii="Arial" w:hAnsi="Arial" w:cs="Arial"/>
        </w:rPr>
      </w:pPr>
    </w:p>
    <w:p w14:paraId="358DF207" w14:textId="77777777" w:rsidR="005271A8" w:rsidRPr="002E1C1F" w:rsidRDefault="005271A8" w:rsidP="00A66E2A">
      <w:pPr>
        <w:spacing w:before="30" w:after="30" w:line="360" w:lineRule="auto"/>
        <w:rPr>
          <w:rFonts w:ascii="Arial" w:hAnsi="Arial" w:cs="Arial"/>
        </w:rPr>
      </w:pPr>
    </w:p>
    <w:p w14:paraId="01183E74" w14:textId="77777777" w:rsidR="005271A8" w:rsidRPr="002E1C1F" w:rsidRDefault="005271A8" w:rsidP="00A66E2A">
      <w:pPr>
        <w:spacing w:before="30" w:after="30" w:line="360" w:lineRule="auto"/>
        <w:rPr>
          <w:rFonts w:ascii="Arial" w:hAnsi="Arial" w:cs="Arial"/>
        </w:rPr>
      </w:pPr>
    </w:p>
    <w:p w14:paraId="56473636" w14:textId="77777777" w:rsidR="00F6118C" w:rsidRPr="002E1C1F" w:rsidRDefault="00F6118C" w:rsidP="00A66E2A">
      <w:pPr>
        <w:spacing w:before="30" w:after="30" w:line="360" w:lineRule="auto"/>
        <w:rPr>
          <w:rFonts w:ascii="Arial" w:hAnsi="Arial" w:cs="Arial"/>
        </w:rPr>
      </w:pPr>
    </w:p>
    <w:p w14:paraId="27AEF408" w14:textId="77777777" w:rsidR="00F6118C" w:rsidRPr="002E1C1F" w:rsidRDefault="00F6118C" w:rsidP="00A66E2A">
      <w:pPr>
        <w:spacing w:before="30" w:after="30" w:line="360" w:lineRule="auto"/>
        <w:rPr>
          <w:rFonts w:ascii="Arial" w:hAnsi="Arial" w:cs="Arial"/>
        </w:rPr>
      </w:pPr>
    </w:p>
    <w:p w14:paraId="6FDAAEC3" w14:textId="77777777" w:rsidR="00FD2CBD" w:rsidRPr="002E1C1F" w:rsidRDefault="00FD2CBD" w:rsidP="00A66E2A">
      <w:pPr>
        <w:spacing w:before="30" w:after="30" w:line="360" w:lineRule="auto"/>
        <w:rPr>
          <w:rFonts w:ascii="Arial" w:hAnsi="Arial" w:cs="Arial"/>
        </w:rPr>
      </w:pPr>
    </w:p>
    <w:p w14:paraId="52380B05" w14:textId="77777777" w:rsidR="00FD2CBD" w:rsidRPr="002E1C1F" w:rsidRDefault="00FD2CBD" w:rsidP="00A66E2A">
      <w:pPr>
        <w:spacing w:before="30" w:after="30" w:line="360" w:lineRule="auto"/>
        <w:rPr>
          <w:rFonts w:ascii="Arial" w:hAnsi="Arial" w:cs="Arial"/>
        </w:rPr>
      </w:pPr>
    </w:p>
    <w:p w14:paraId="177ED01C" w14:textId="77777777" w:rsidR="00FD2CBD" w:rsidRPr="002E1C1F" w:rsidRDefault="00FD2CBD" w:rsidP="00A66E2A">
      <w:pPr>
        <w:spacing w:before="30" w:after="30" w:line="360" w:lineRule="auto"/>
        <w:rPr>
          <w:rFonts w:ascii="Arial" w:hAnsi="Arial" w:cs="Arial"/>
        </w:rPr>
      </w:pPr>
    </w:p>
    <w:p w14:paraId="37567139" w14:textId="77777777" w:rsidR="00FD2CBD" w:rsidRPr="002E1C1F" w:rsidRDefault="00FD2CBD" w:rsidP="00A66E2A">
      <w:pPr>
        <w:spacing w:before="30" w:after="30" w:line="360" w:lineRule="auto"/>
        <w:rPr>
          <w:rFonts w:ascii="Arial" w:hAnsi="Arial" w:cs="Arial"/>
        </w:rPr>
      </w:pPr>
    </w:p>
    <w:p w14:paraId="31C5DCA3" w14:textId="77777777" w:rsidR="00FD2CBD" w:rsidRPr="002E1C1F" w:rsidRDefault="00FD2CBD" w:rsidP="00A66E2A">
      <w:pPr>
        <w:spacing w:before="30" w:after="30" w:line="360" w:lineRule="auto"/>
        <w:rPr>
          <w:rFonts w:ascii="Arial" w:hAnsi="Arial" w:cs="Arial"/>
        </w:rPr>
      </w:pPr>
    </w:p>
    <w:p w14:paraId="496B4E78" w14:textId="77777777" w:rsidR="00FD2CBD" w:rsidRPr="002E1C1F" w:rsidRDefault="00FD2CBD" w:rsidP="00A66E2A">
      <w:pPr>
        <w:spacing w:before="30" w:after="30" w:line="360" w:lineRule="auto"/>
        <w:rPr>
          <w:rFonts w:ascii="Arial" w:hAnsi="Arial" w:cs="Arial"/>
        </w:rPr>
      </w:pPr>
    </w:p>
    <w:p w14:paraId="17D39DDD" w14:textId="77777777" w:rsidR="00FD2CBD" w:rsidRPr="002E1C1F" w:rsidRDefault="00FD2CBD" w:rsidP="00A66E2A">
      <w:pPr>
        <w:spacing w:before="30" w:after="30" w:line="360" w:lineRule="auto"/>
        <w:rPr>
          <w:rFonts w:ascii="Arial" w:hAnsi="Arial" w:cs="Arial"/>
        </w:rPr>
      </w:pPr>
    </w:p>
    <w:p w14:paraId="5AF57BBC" w14:textId="77777777" w:rsidR="00FD2CBD" w:rsidRPr="002E1C1F" w:rsidRDefault="00FD2CBD" w:rsidP="00A66E2A">
      <w:pPr>
        <w:spacing w:before="30" w:after="30" w:line="360" w:lineRule="auto"/>
        <w:rPr>
          <w:rFonts w:ascii="Arial" w:hAnsi="Arial" w:cs="Arial"/>
        </w:rPr>
      </w:pPr>
    </w:p>
    <w:p w14:paraId="7D63BA9F" w14:textId="77777777" w:rsidR="00FD2CBD" w:rsidRPr="002E1C1F" w:rsidRDefault="00FD2CBD" w:rsidP="00A66E2A">
      <w:pPr>
        <w:spacing w:before="30" w:after="30" w:line="360" w:lineRule="auto"/>
        <w:rPr>
          <w:rFonts w:ascii="Arial" w:hAnsi="Arial" w:cs="Arial"/>
        </w:rPr>
      </w:pPr>
    </w:p>
    <w:p w14:paraId="48FC410C" w14:textId="77777777" w:rsidR="00FD2CBD" w:rsidRPr="002E1C1F" w:rsidRDefault="00FD2CBD" w:rsidP="00A66E2A">
      <w:pPr>
        <w:spacing w:before="30" w:after="30" w:line="360" w:lineRule="auto"/>
        <w:rPr>
          <w:rFonts w:ascii="Arial" w:hAnsi="Arial" w:cs="Arial"/>
        </w:rPr>
      </w:pPr>
    </w:p>
    <w:p w14:paraId="2322A3B4" w14:textId="77777777" w:rsidR="00FD2CBD" w:rsidRPr="002E1C1F" w:rsidRDefault="00FD2CBD" w:rsidP="00A66E2A">
      <w:pPr>
        <w:spacing w:before="30" w:after="30" w:line="360" w:lineRule="auto"/>
        <w:rPr>
          <w:rFonts w:ascii="Arial" w:hAnsi="Arial" w:cs="Arial"/>
        </w:rPr>
      </w:pPr>
    </w:p>
    <w:p w14:paraId="2590E051" w14:textId="77777777" w:rsidR="00FD2CBD" w:rsidRPr="002E1C1F" w:rsidRDefault="00FD2CBD" w:rsidP="00A66E2A">
      <w:pPr>
        <w:spacing w:before="30" w:after="30" w:line="360" w:lineRule="auto"/>
        <w:rPr>
          <w:rFonts w:ascii="Arial" w:hAnsi="Arial" w:cs="Arial"/>
        </w:rPr>
      </w:pPr>
    </w:p>
    <w:p w14:paraId="3A943C81" w14:textId="77777777" w:rsidR="00FD2CBD" w:rsidRPr="002E1C1F" w:rsidRDefault="00FD2CBD" w:rsidP="00A66E2A">
      <w:pPr>
        <w:spacing w:before="30" w:after="30" w:line="360" w:lineRule="auto"/>
        <w:rPr>
          <w:rFonts w:ascii="Arial" w:hAnsi="Arial" w:cs="Arial"/>
        </w:rPr>
      </w:pPr>
    </w:p>
    <w:p w14:paraId="6C33E167" w14:textId="77777777" w:rsidR="00FD2CBD" w:rsidRPr="002E1C1F" w:rsidRDefault="00FD2CBD" w:rsidP="00A66E2A">
      <w:pPr>
        <w:spacing w:before="30" w:after="30" w:line="360" w:lineRule="auto"/>
        <w:rPr>
          <w:rFonts w:ascii="Arial" w:hAnsi="Arial" w:cs="Arial"/>
        </w:rPr>
      </w:pPr>
    </w:p>
    <w:p w14:paraId="490BB823" w14:textId="77777777" w:rsidR="00FD2CBD" w:rsidRPr="002E1C1F" w:rsidRDefault="00FD2CBD" w:rsidP="00A66E2A">
      <w:pPr>
        <w:spacing w:before="30" w:after="30" w:line="360" w:lineRule="auto"/>
        <w:rPr>
          <w:rFonts w:ascii="Arial" w:hAnsi="Arial" w:cs="Arial"/>
        </w:rPr>
      </w:pPr>
    </w:p>
    <w:p w14:paraId="6BC5CCEF" w14:textId="77777777" w:rsidR="00FD2CBD" w:rsidRPr="002E1C1F" w:rsidRDefault="00FD2CBD" w:rsidP="00A66E2A">
      <w:pPr>
        <w:spacing w:before="30" w:after="30" w:line="360" w:lineRule="auto"/>
        <w:rPr>
          <w:rFonts w:ascii="Arial" w:hAnsi="Arial" w:cs="Arial"/>
        </w:rPr>
      </w:pPr>
    </w:p>
    <w:p w14:paraId="11A27AC8" w14:textId="77777777" w:rsidR="00FD2CBD" w:rsidRPr="002E1C1F" w:rsidRDefault="00FD2CBD" w:rsidP="00A66E2A">
      <w:pPr>
        <w:spacing w:before="30" w:after="30" w:line="360" w:lineRule="auto"/>
        <w:rPr>
          <w:rFonts w:ascii="Arial" w:hAnsi="Arial" w:cs="Arial"/>
        </w:rPr>
      </w:pPr>
    </w:p>
    <w:p w14:paraId="24C92CFA" w14:textId="77777777" w:rsidR="00FD2CBD" w:rsidRPr="002E1C1F" w:rsidRDefault="00FD2CBD" w:rsidP="00A66E2A">
      <w:pPr>
        <w:spacing w:before="30" w:after="30" w:line="360" w:lineRule="auto"/>
        <w:rPr>
          <w:rFonts w:ascii="Arial" w:hAnsi="Arial" w:cs="Arial"/>
        </w:rPr>
      </w:pPr>
    </w:p>
    <w:p w14:paraId="2F07A937" w14:textId="77777777" w:rsidR="00FD2CBD" w:rsidRPr="002E1C1F" w:rsidRDefault="00FD2CBD" w:rsidP="00A66E2A">
      <w:pPr>
        <w:spacing w:before="30" w:after="30" w:line="360" w:lineRule="auto"/>
        <w:rPr>
          <w:rFonts w:ascii="Arial" w:hAnsi="Arial" w:cs="Arial"/>
        </w:rPr>
      </w:pPr>
    </w:p>
    <w:p w14:paraId="3DA10621" w14:textId="77777777" w:rsidR="00FD2CBD" w:rsidRPr="002E1C1F" w:rsidRDefault="00FD2CBD" w:rsidP="00A66E2A">
      <w:pPr>
        <w:spacing w:before="30" w:after="30" w:line="360" w:lineRule="auto"/>
        <w:rPr>
          <w:rFonts w:ascii="Arial" w:hAnsi="Arial" w:cs="Arial"/>
        </w:rPr>
      </w:pPr>
    </w:p>
    <w:p w14:paraId="19F65F0C" w14:textId="77777777" w:rsidR="00FD2CBD" w:rsidRPr="002E1C1F" w:rsidRDefault="00FD2CBD" w:rsidP="00A66E2A">
      <w:pPr>
        <w:spacing w:before="30" w:after="30" w:line="360" w:lineRule="auto"/>
        <w:rPr>
          <w:rFonts w:ascii="Arial" w:hAnsi="Arial" w:cs="Arial"/>
        </w:rPr>
      </w:pPr>
    </w:p>
    <w:p w14:paraId="31E6D118" w14:textId="019A5D35" w:rsidR="00EF380E" w:rsidRPr="002E1C1F" w:rsidRDefault="005271A8" w:rsidP="00A66E2A">
      <w:pPr>
        <w:spacing w:before="30" w:after="30" w:line="360" w:lineRule="auto"/>
        <w:rPr>
          <w:rFonts w:ascii="Arial" w:hAnsi="Arial" w:cs="Arial"/>
        </w:rPr>
      </w:pPr>
      <w:r w:rsidRPr="002E1C1F">
        <w:rPr>
          <w:rFonts w:ascii="Arial" w:hAnsi="Arial" w:cs="Arial"/>
        </w:rPr>
        <w:lastRenderedPageBreak/>
        <w:t>Reference List</w:t>
      </w:r>
    </w:p>
    <w:p w14:paraId="30905EC5" w14:textId="77777777" w:rsidR="005271A8" w:rsidRPr="007D0326" w:rsidRDefault="005271A8" w:rsidP="00A66E2A">
      <w:pPr>
        <w:pStyle w:val="NormalWeb"/>
        <w:spacing w:before="30" w:beforeAutospacing="0" w:after="30" w:afterAutospacing="0" w:line="360" w:lineRule="auto"/>
        <w:rPr>
          <w:rFonts w:ascii="Arial" w:hAnsi="Arial" w:cs="Arial"/>
          <w:sz w:val="22"/>
          <w:szCs w:val="22"/>
        </w:rPr>
      </w:pPr>
      <w:r w:rsidRPr="007D0326">
        <w:rPr>
          <w:rFonts w:ascii="Arial" w:hAnsi="Arial" w:cs="Arial"/>
          <w:sz w:val="22"/>
          <w:szCs w:val="22"/>
        </w:rPr>
        <w:t xml:space="preserve">Arksey, H. and O'Malley, L. (2005) ‘Scoping studies: towards a methodological framework’, </w:t>
      </w:r>
      <w:r w:rsidRPr="007D0326">
        <w:rPr>
          <w:rFonts w:ascii="Arial" w:hAnsi="Arial" w:cs="Arial"/>
          <w:i/>
          <w:iCs/>
          <w:sz w:val="22"/>
          <w:szCs w:val="22"/>
        </w:rPr>
        <w:t>International Journal of Social Research Methodology</w:t>
      </w:r>
      <w:r w:rsidRPr="007D0326">
        <w:rPr>
          <w:rFonts w:ascii="Arial" w:hAnsi="Arial" w:cs="Arial"/>
          <w:sz w:val="22"/>
          <w:szCs w:val="22"/>
        </w:rPr>
        <w:t>, 8(1), pp. 19-32.</w:t>
      </w:r>
    </w:p>
    <w:p w14:paraId="04F75EEE" w14:textId="77777777" w:rsidR="004A07C0" w:rsidRPr="007D0326" w:rsidRDefault="004A07C0" w:rsidP="00A66E2A">
      <w:pPr>
        <w:pStyle w:val="NormalWeb"/>
        <w:spacing w:before="30" w:beforeAutospacing="0" w:after="30" w:afterAutospacing="0" w:line="360" w:lineRule="auto"/>
        <w:rPr>
          <w:rFonts w:ascii="Arial" w:hAnsi="Arial" w:cs="Arial"/>
          <w:sz w:val="22"/>
          <w:szCs w:val="22"/>
        </w:rPr>
      </w:pPr>
    </w:p>
    <w:p w14:paraId="7AF33610" w14:textId="6CFFE8BC" w:rsidR="005271A8" w:rsidRPr="007D0326" w:rsidRDefault="005271A8" w:rsidP="00A66E2A">
      <w:pPr>
        <w:pStyle w:val="NormalWeb"/>
        <w:spacing w:before="30" w:beforeAutospacing="0" w:after="30" w:afterAutospacing="0" w:line="360" w:lineRule="auto"/>
        <w:rPr>
          <w:rFonts w:ascii="Arial" w:hAnsi="Arial" w:cs="Arial"/>
          <w:sz w:val="22"/>
          <w:szCs w:val="22"/>
        </w:rPr>
      </w:pPr>
      <w:r w:rsidRPr="007D0326">
        <w:rPr>
          <w:rFonts w:ascii="Arial" w:hAnsi="Arial" w:cs="Arial"/>
          <w:sz w:val="22"/>
          <w:szCs w:val="22"/>
        </w:rPr>
        <w:t xml:space="preserve">Aveyard, H. (2014) </w:t>
      </w:r>
      <w:r w:rsidRPr="007D0326">
        <w:rPr>
          <w:rFonts w:ascii="Arial" w:hAnsi="Arial" w:cs="Arial"/>
          <w:i/>
          <w:iCs/>
          <w:sz w:val="22"/>
          <w:szCs w:val="22"/>
        </w:rPr>
        <w:t>Doing a literature review in health and social care: a practical guide</w:t>
      </w:r>
      <w:r w:rsidRPr="007D0326">
        <w:rPr>
          <w:rFonts w:ascii="Arial" w:hAnsi="Arial" w:cs="Arial"/>
          <w:sz w:val="22"/>
          <w:szCs w:val="22"/>
        </w:rPr>
        <w:t xml:space="preserve">. 3rd </w:t>
      </w:r>
      <w:proofErr w:type="spellStart"/>
      <w:r w:rsidRPr="007D0326">
        <w:rPr>
          <w:rFonts w:ascii="Arial" w:hAnsi="Arial" w:cs="Arial"/>
          <w:sz w:val="22"/>
          <w:szCs w:val="22"/>
        </w:rPr>
        <w:t>edn</w:t>
      </w:r>
      <w:proofErr w:type="spellEnd"/>
      <w:r w:rsidRPr="007D0326">
        <w:rPr>
          <w:rFonts w:ascii="Arial" w:hAnsi="Arial" w:cs="Arial"/>
          <w:sz w:val="22"/>
          <w:szCs w:val="22"/>
        </w:rPr>
        <w:t>. Maidenhead: Open University Press.</w:t>
      </w:r>
    </w:p>
    <w:p w14:paraId="4FB41C71" w14:textId="77777777" w:rsidR="004A07C0" w:rsidRPr="007D0326" w:rsidRDefault="004A07C0" w:rsidP="00A66E2A">
      <w:pPr>
        <w:pStyle w:val="NormalWeb"/>
        <w:spacing w:before="30" w:beforeAutospacing="0" w:after="30" w:afterAutospacing="0" w:line="360" w:lineRule="auto"/>
        <w:rPr>
          <w:rFonts w:ascii="Arial" w:hAnsi="Arial" w:cs="Arial"/>
          <w:sz w:val="22"/>
          <w:szCs w:val="22"/>
        </w:rPr>
      </w:pPr>
    </w:p>
    <w:p w14:paraId="6EBD93D5" w14:textId="4CBA8090" w:rsidR="00EF1F99" w:rsidRPr="007D0326" w:rsidRDefault="00EF1F99" w:rsidP="00A66E2A">
      <w:pPr>
        <w:pStyle w:val="NormalWeb"/>
        <w:spacing w:before="30" w:beforeAutospacing="0" w:after="30" w:afterAutospacing="0" w:line="360" w:lineRule="auto"/>
        <w:rPr>
          <w:rFonts w:ascii="Arial" w:hAnsi="Arial" w:cs="Arial"/>
          <w:sz w:val="22"/>
          <w:szCs w:val="22"/>
        </w:rPr>
      </w:pPr>
      <w:r w:rsidRPr="007D0326">
        <w:rPr>
          <w:rFonts w:ascii="Arial" w:hAnsi="Arial" w:cs="Arial"/>
          <w:sz w:val="22"/>
          <w:szCs w:val="22"/>
        </w:rPr>
        <w:t xml:space="preserve">Bell, J. and Waters, S. (2022) </w:t>
      </w:r>
      <w:r w:rsidRPr="007D0326">
        <w:rPr>
          <w:rFonts w:ascii="Arial" w:hAnsi="Arial" w:cs="Arial"/>
          <w:i/>
          <w:iCs/>
          <w:sz w:val="22"/>
          <w:szCs w:val="22"/>
        </w:rPr>
        <w:t>Doing your research project: a guide for first-time researchers</w:t>
      </w:r>
      <w:r w:rsidRPr="007D0326">
        <w:rPr>
          <w:rFonts w:ascii="Arial" w:hAnsi="Arial" w:cs="Arial"/>
          <w:sz w:val="22"/>
          <w:szCs w:val="22"/>
        </w:rPr>
        <w:t xml:space="preserve">. 7th </w:t>
      </w:r>
      <w:proofErr w:type="spellStart"/>
      <w:r w:rsidRPr="007D0326">
        <w:rPr>
          <w:rFonts w:ascii="Arial" w:hAnsi="Arial" w:cs="Arial"/>
          <w:sz w:val="22"/>
          <w:szCs w:val="22"/>
        </w:rPr>
        <w:t>edn</w:t>
      </w:r>
      <w:proofErr w:type="spellEnd"/>
      <w:r w:rsidRPr="007D0326">
        <w:rPr>
          <w:rFonts w:ascii="Arial" w:hAnsi="Arial" w:cs="Arial"/>
          <w:sz w:val="22"/>
          <w:szCs w:val="22"/>
        </w:rPr>
        <w:t>. Maidenhead: Open University Press.</w:t>
      </w:r>
    </w:p>
    <w:p w14:paraId="5037127A" w14:textId="77777777" w:rsidR="004A07C0" w:rsidRPr="007D0326" w:rsidRDefault="004A07C0" w:rsidP="00A66E2A">
      <w:pPr>
        <w:pStyle w:val="NormalWeb"/>
        <w:spacing w:before="30" w:beforeAutospacing="0" w:after="30" w:afterAutospacing="0" w:line="360" w:lineRule="auto"/>
        <w:rPr>
          <w:rFonts w:ascii="Arial" w:hAnsi="Arial" w:cs="Arial"/>
          <w:sz w:val="22"/>
          <w:szCs w:val="22"/>
        </w:rPr>
      </w:pPr>
    </w:p>
    <w:p w14:paraId="5F6DF9AC" w14:textId="5B571130" w:rsidR="005271A8" w:rsidRPr="007D0326" w:rsidRDefault="005271A8" w:rsidP="00A66E2A">
      <w:pPr>
        <w:pStyle w:val="NormalWeb"/>
        <w:spacing w:before="30" w:beforeAutospacing="0" w:after="30" w:afterAutospacing="0" w:line="360" w:lineRule="auto"/>
        <w:rPr>
          <w:rFonts w:ascii="Arial" w:hAnsi="Arial" w:cs="Arial"/>
          <w:sz w:val="22"/>
          <w:szCs w:val="22"/>
        </w:rPr>
      </w:pPr>
      <w:r w:rsidRPr="007D0326">
        <w:rPr>
          <w:rFonts w:ascii="Arial" w:hAnsi="Arial" w:cs="Arial"/>
          <w:sz w:val="22"/>
          <w:szCs w:val="22"/>
        </w:rPr>
        <w:t xml:space="preserve">CASP (2018) </w:t>
      </w:r>
      <w:r w:rsidRPr="007D0326">
        <w:rPr>
          <w:rFonts w:ascii="Arial" w:hAnsi="Arial" w:cs="Arial"/>
          <w:i/>
          <w:iCs/>
          <w:sz w:val="22"/>
          <w:szCs w:val="22"/>
        </w:rPr>
        <w:t>CASP Qualitative Checklist</w:t>
      </w:r>
      <w:r w:rsidRPr="007D0326">
        <w:rPr>
          <w:rFonts w:ascii="Arial" w:hAnsi="Arial" w:cs="Arial"/>
          <w:sz w:val="22"/>
          <w:szCs w:val="22"/>
        </w:rPr>
        <w:t xml:space="preserve">. [Online]. Available at: </w:t>
      </w:r>
      <w:hyperlink r:id="rId7" w:tgtFrame="_blank" w:history="1">
        <w:r w:rsidRPr="007D0326">
          <w:rPr>
            <w:rStyle w:val="Hyperlink"/>
            <w:rFonts w:ascii="Arial" w:eastAsiaTheme="majorEastAsia" w:hAnsi="Arial" w:cs="Arial"/>
            <w:sz w:val="22"/>
            <w:szCs w:val="22"/>
          </w:rPr>
          <w:t>https://casp-uk.net/</w:t>
        </w:r>
      </w:hyperlink>
      <w:r w:rsidRPr="007D0326">
        <w:rPr>
          <w:rFonts w:ascii="Arial" w:hAnsi="Arial" w:cs="Arial"/>
          <w:sz w:val="22"/>
          <w:szCs w:val="22"/>
        </w:rPr>
        <w:t xml:space="preserve"> (Accessed: 15 February 2026).</w:t>
      </w:r>
    </w:p>
    <w:p w14:paraId="257F97DF" w14:textId="77777777" w:rsidR="004A07C0" w:rsidRPr="007D0326" w:rsidRDefault="004A07C0" w:rsidP="00A66E2A">
      <w:pPr>
        <w:pStyle w:val="NormalWeb"/>
        <w:spacing w:before="30" w:beforeAutospacing="0" w:after="30" w:afterAutospacing="0" w:line="360" w:lineRule="auto"/>
        <w:rPr>
          <w:rFonts w:ascii="Arial" w:hAnsi="Arial" w:cs="Arial"/>
          <w:sz w:val="22"/>
          <w:szCs w:val="22"/>
        </w:rPr>
      </w:pPr>
    </w:p>
    <w:p w14:paraId="1910310D" w14:textId="29FAFEDC" w:rsidR="005271A8" w:rsidRPr="007D0326" w:rsidRDefault="005271A8" w:rsidP="00A66E2A">
      <w:pPr>
        <w:pStyle w:val="NormalWeb"/>
        <w:spacing w:before="30" w:beforeAutospacing="0" w:after="30" w:afterAutospacing="0" w:line="360" w:lineRule="auto"/>
        <w:rPr>
          <w:rFonts w:ascii="Arial" w:hAnsi="Arial" w:cs="Arial"/>
          <w:sz w:val="22"/>
          <w:szCs w:val="22"/>
        </w:rPr>
      </w:pPr>
      <w:r w:rsidRPr="007D0326">
        <w:rPr>
          <w:rFonts w:ascii="Arial" w:hAnsi="Arial" w:cs="Arial"/>
          <w:sz w:val="22"/>
          <w:szCs w:val="22"/>
        </w:rPr>
        <w:t xml:space="preserve">Fancourt, D. et al. (2023) ‘Wellbeing while waiting evaluating social prescribing in CAMHS: study protocol for a hybrid type II implementation-effectiveness study’, </w:t>
      </w:r>
      <w:r w:rsidRPr="007D0326">
        <w:rPr>
          <w:rFonts w:ascii="Arial" w:hAnsi="Arial" w:cs="Arial"/>
          <w:i/>
          <w:iCs/>
          <w:sz w:val="22"/>
          <w:szCs w:val="22"/>
        </w:rPr>
        <w:t>BMC Psychiatry</w:t>
      </w:r>
      <w:r w:rsidRPr="007D0326">
        <w:rPr>
          <w:rFonts w:ascii="Arial" w:hAnsi="Arial" w:cs="Arial"/>
          <w:sz w:val="22"/>
          <w:szCs w:val="22"/>
        </w:rPr>
        <w:t>, 23(1), pp. 1-7.</w:t>
      </w:r>
    </w:p>
    <w:p w14:paraId="2241A7F6" w14:textId="77777777" w:rsidR="004A07C0" w:rsidRPr="007D0326" w:rsidRDefault="004A07C0" w:rsidP="00A66E2A">
      <w:pPr>
        <w:pStyle w:val="NormalWeb"/>
        <w:spacing w:before="30" w:beforeAutospacing="0" w:after="30" w:afterAutospacing="0" w:line="360" w:lineRule="auto"/>
        <w:rPr>
          <w:rFonts w:ascii="Arial" w:hAnsi="Arial" w:cs="Arial"/>
          <w:sz w:val="22"/>
          <w:szCs w:val="22"/>
        </w:rPr>
      </w:pPr>
    </w:p>
    <w:p w14:paraId="1D3672FA" w14:textId="04B27B1C" w:rsidR="005271A8" w:rsidRPr="007D0326" w:rsidRDefault="005271A8" w:rsidP="00A66E2A">
      <w:pPr>
        <w:pStyle w:val="NormalWeb"/>
        <w:spacing w:before="30" w:beforeAutospacing="0" w:after="30" w:afterAutospacing="0" w:line="360" w:lineRule="auto"/>
        <w:rPr>
          <w:rFonts w:ascii="Arial" w:hAnsi="Arial" w:cs="Arial"/>
          <w:sz w:val="22"/>
          <w:szCs w:val="22"/>
        </w:rPr>
      </w:pPr>
      <w:r w:rsidRPr="007D0326">
        <w:rPr>
          <w:rFonts w:ascii="Arial" w:hAnsi="Arial" w:cs="Arial"/>
          <w:sz w:val="22"/>
          <w:szCs w:val="22"/>
        </w:rPr>
        <w:t xml:space="preserve">Farina, I. et al. (2024) ‘Link workers in social prescribing for young people work: a case study from Sheffield Futures’, </w:t>
      </w:r>
      <w:r w:rsidRPr="007D0326">
        <w:rPr>
          <w:rFonts w:ascii="Arial" w:hAnsi="Arial" w:cs="Arial"/>
          <w:i/>
          <w:iCs/>
          <w:sz w:val="22"/>
          <w:szCs w:val="22"/>
        </w:rPr>
        <w:t>International Journal of Integrated Care</w:t>
      </w:r>
      <w:r w:rsidRPr="007D0326">
        <w:rPr>
          <w:rFonts w:ascii="Arial" w:hAnsi="Arial" w:cs="Arial"/>
          <w:sz w:val="22"/>
          <w:szCs w:val="22"/>
        </w:rPr>
        <w:t>, 24(1), p. 8.</w:t>
      </w:r>
    </w:p>
    <w:p w14:paraId="500F0C00" w14:textId="77777777" w:rsidR="004A07C0" w:rsidRPr="007D0326" w:rsidRDefault="004A07C0" w:rsidP="00A66E2A">
      <w:pPr>
        <w:pStyle w:val="NormalWeb"/>
        <w:spacing w:before="30" w:beforeAutospacing="0" w:after="30" w:afterAutospacing="0" w:line="360" w:lineRule="auto"/>
        <w:rPr>
          <w:rFonts w:ascii="Arial" w:hAnsi="Arial" w:cs="Arial"/>
          <w:sz w:val="22"/>
          <w:szCs w:val="22"/>
        </w:rPr>
      </w:pPr>
    </w:p>
    <w:p w14:paraId="4CE59D96" w14:textId="03713FCA" w:rsidR="005271A8" w:rsidRPr="007D0326" w:rsidRDefault="005271A8" w:rsidP="00A66E2A">
      <w:pPr>
        <w:pStyle w:val="NormalWeb"/>
        <w:spacing w:before="30" w:beforeAutospacing="0" w:after="30" w:afterAutospacing="0" w:line="360" w:lineRule="auto"/>
        <w:rPr>
          <w:rFonts w:ascii="Arial" w:hAnsi="Arial" w:cs="Arial"/>
          <w:sz w:val="22"/>
          <w:szCs w:val="22"/>
        </w:rPr>
      </w:pPr>
      <w:r w:rsidRPr="007D0326">
        <w:rPr>
          <w:rFonts w:ascii="Arial" w:hAnsi="Arial" w:cs="Arial"/>
          <w:sz w:val="22"/>
          <w:szCs w:val="22"/>
        </w:rPr>
        <w:t xml:space="preserve">Hayes, D. et al. (2023) ‘Barriers and facilitators to social prescribing in child and youth mental health: perspectives from the frontline’, </w:t>
      </w:r>
      <w:r w:rsidRPr="007D0326">
        <w:rPr>
          <w:rFonts w:ascii="Arial" w:hAnsi="Arial" w:cs="Arial"/>
          <w:i/>
          <w:iCs/>
          <w:sz w:val="22"/>
          <w:szCs w:val="22"/>
        </w:rPr>
        <w:t>European Child &amp; Adolescent Psychiatry</w:t>
      </w:r>
      <w:r w:rsidRPr="007D0326">
        <w:rPr>
          <w:rFonts w:ascii="Arial" w:hAnsi="Arial" w:cs="Arial"/>
          <w:sz w:val="22"/>
          <w:szCs w:val="22"/>
        </w:rPr>
        <w:t>, 33(5), pp. 1465-1479.</w:t>
      </w:r>
    </w:p>
    <w:p w14:paraId="433E84D4" w14:textId="77777777" w:rsidR="004A07C0" w:rsidRPr="007D0326" w:rsidRDefault="004A07C0" w:rsidP="00A66E2A">
      <w:pPr>
        <w:pStyle w:val="NoSpacing"/>
        <w:spacing w:line="360" w:lineRule="auto"/>
        <w:rPr>
          <w:rFonts w:ascii="Arial" w:hAnsi="Arial" w:cs="Arial"/>
        </w:rPr>
      </w:pPr>
    </w:p>
    <w:p w14:paraId="1FDB693F" w14:textId="6BE86C71" w:rsidR="005271A8" w:rsidRPr="007D0326" w:rsidRDefault="005271A8" w:rsidP="00A66E2A">
      <w:pPr>
        <w:pStyle w:val="NormalWeb"/>
        <w:spacing w:before="30" w:beforeAutospacing="0" w:after="30" w:afterAutospacing="0" w:line="360" w:lineRule="auto"/>
        <w:rPr>
          <w:rFonts w:ascii="Arial" w:hAnsi="Arial" w:cs="Arial"/>
          <w:sz w:val="22"/>
          <w:szCs w:val="22"/>
        </w:rPr>
      </w:pPr>
      <w:r w:rsidRPr="007D0326">
        <w:rPr>
          <w:rFonts w:ascii="Arial" w:hAnsi="Arial" w:cs="Arial"/>
          <w:sz w:val="22"/>
          <w:szCs w:val="22"/>
        </w:rPr>
        <w:t xml:space="preserve">Steffen, M.W. et al. (2025) ‘Identifying the active ingredients and contextual factors of social prescribing when used to support the mental health of children and young people: a qualitative study’, </w:t>
      </w:r>
      <w:r w:rsidRPr="007D0326">
        <w:rPr>
          <w:rFonts w:ascii="Arial" w:hAnsi="Arial" w:cs="Arial"/>
          <w:i/>
          <w:iCs/>
          <w:sz w:val="22"/>
          <w:szCs w:val="22"/>
        </w:rPr>
        <w:t>European Child &amp; Adolescent Psychiatry</w:t>
      </w:r>
      <w:r w:rsidRPr="007D0326">
        <w:rPr>
          <w:rFonts w:ascii="Arial" w:hAnsi="Arial" w:cs="Arial"/>
          <w:sz w:val="22"/>
          <w:szCs w:val="22"/>
        </w:rPr>
        <w:t>, 34, pp. 3249–3259.</w:t>
      </w:r>
    </w:p>
    <w:p w14:paraId="086CA887" w14:textId="77777777" w:rsidR="005271A8" w:rsidRDefault="005271A8" w:rsidP="004A07C0">
      <w:pPr>
        <w:spacing w:before="30" w:after="30"/>
      </w:pPr>
    </w:p>
    <w:sectPr w:rsidR="005271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80E"/>
    <w:rsid w:val="00062ED5"/>
    <w:rsid w:val="000A3956"/>
    <w:rsid w:val="0013372A"/>
    <w:rsid w:val="0016462F"/>
    <w:rsid w:val="002B7D6A"/>
    <w:rsid w:val="002E1C1F"/>
    <w:rsid w:val="003C1F58"/>
    <w:rsid w:val="003D2D51"/>
    <w:rsid w:val="004A07C0"/>
    <w:rsid w:val="005271A8"/>
    <w:rsid w:val="0056313B"/>
    <w:rsid w:val="00627B4B"/>
    <w:rsid w:val="006A5565"/>
    <w:rsid w:val="00761332"/>
    <w:rsid w:val="007C6DF9"/>
    <w:rsid w:val="007D0326"/>
    <w:rsid w:val="008B05E4"/>
    <w:rsid w:val="009D5B0D"/>
    <w:rsid w:val="00A30A7F"/>
    <w:rsid w:val="00A36B28"/>
    <w:rsid w:val="00A64159"/>
    <w:rsid w:val="00A66E2A"/>
    <w:rsid w:val="00AA55A2"/>
    <w:rsid w:val="00D66E21"/>
    <w:rsid w:val="00DA311E"/>
    <w:rsid w:val="00DB580A"/>
    <w:rsid w:val="00E275D3"/>
    <w:rsid w:val="00E72286"/>
    <w:rsid w:val="00ED7691"/>
    <w:rsid w:val="00EF1F99"/>
    <w:rsid w:val="00EF380E"/>
    <w:rsid w:val="00F6118C"/>
    <w:rsid w:val="00FA2928"/>
    <w:rsid w:val="00FD0F3C"/>
    <w:rsid w:val="00FD2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A09AC"/>
  <w15:chartTrackingRefBased/>
  <w15:docId w15:val="{94752B3C-66FE-43D3-B002-5FD9CFEAE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38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38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38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38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38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38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38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38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38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8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38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38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38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38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38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8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8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80E"/>
    <w:rPr>
      <w:rFonts w:eastAsiaTheme="majorEastAsia" w:cstheme="majorBidi"/>
      <w:color w:val="272727" w:themeColor="text1" w:themeTint="D8"/>
    </w:rPr>
  </w:style>
  <w:style w:type="paragraph" w:styleId="Title">
    <w:name w:val="Title"/>
    <w:basedOn w:val="Normal"/>
    <w:next w:val="Normal"/>
    <w:link w:val="TitleChar"/>
    <w:uiPriority w:val="10"/>
    <w:qFormat/>
    <w:rsid w:val="00EF38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8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8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38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80E"/>
    <w:pPr>
      <w:spacing w:before="160"/>
      <w:jc w:val="center"/>
    </w:pPr>
    <w:rPr>
      <w:i/>
      <w:iCs/>
      <w:color w:val="404040" w:themeColor="text1" w:themeTint="BF"/>
    </w:rPr>
  </w:style>
  <w:style w:type="character" w:customStyle="1" w:styleId="QuoteChar">
    <w:name w:val="Quote Char"/>
    <w:basedOn w:val="DefaultParagraphFont"/>
    <w:link w:val="Quote"/>
    <w:uiPriority w:val="29"/>
    <w:rsid w:val="00EF380E"/>
    <w:rPr>
      <w:i/>
      <w:iCs/>
      <w:color w:val="404040" w:themeColor="text1" w:themeTint="BF"/>
    </w:rPr>
  </w:style>
  <w:style w:type="paragraph" w:styleId="ListParagraph">
    <w:name w:val="List Paragraph"/>
    <w:basedOn w:val="Normal"/>
    <w:uiPriority w:val="34"/>
    <w:qFormat/>
    <w:rsid w:val="00EF380E"/>
    <w:pPr>
      <w:ind w:left="720"/>
      <w:contextualSpacing/>
    </w:pPr>
  </w:style>
  <w:style w:type="character" w:styleId="IntenseEmphasis">
    <w:name w:val="Intense Emphasis"/>
    <w:basedOn w:val="DefaultParagraphFont"/>
    <w:uiPriority w:val="21"/>
    <w:qFormat/>
    <w:rsid w:val="00EF380E"/>
    <w:rPr>
      <w:i/>
      <w:iCs/>
      <w:color w:val="0F4761" w:themeColor="accent1" w:themeShade="BF"/>
    </w:rPr>
  </w:style>
  <w:style w:type="paragraph" w:styleId="IntenseQuote">
    <w:name w:val="Intense Quote"/>
    <w:basedOn w:val="Normal"/>
    <w:next w:val="Normal"/>
    <w:link w:val="IntenseQuoteChar"/>
    <w:uiPriority w:val="30"/>
    <w:qFormat/>
    <w:rsid w:val="00EF38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380E"/>
    <w:rPr>
      <w:i/>
      <w:iCs/>
      <w:color w:val="0F4761" w:themeColor="accent1" w:themeShade="BF"/>
    </w:rPr>
  </w:style>
  <w:style w:type="character" w:styleId="IntenseReference">
    <w:name w:val="Intense Reference"/>
    <w:basedOn w:val="DefaultParagraphFont"/>
    <w:uiPriority w:val="32"/>
    <w:qFormat/>
    <w:rsid w:val="00EF380E"/>
    <w:rPr>
      <w:b/>
      <w:bCs/>
      <w:smallCaps/>
      <w:color w:val="0F4761" w:themeColor="accent1" w:themeShade="BF"/>
      <w:spacing w:val="5"/>
    </w:rPr>
  </w:style>
  <w:style w:type="paragraph" w:styleId="NormalWeb">
    <w:name w:val="Normal (Web)"/>
    <w:basedOn w:val="Normal"/>
    <w:uiPriority w:val="99"/>
    <w:semiHidden/>
    <w:unhideWhenUsed/>
    <w:rsid w:val="005271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5271A8"/>
    <w:rPr>
      <w:color w:val="0000FF"/>
      <w:u w:val="single"/>
    </w:rPr>
  </w:style>
  <w:style w:type="paragraph" w:styleId="NoSpacing">
    <w:name w:val="No Spacing"/>
    <w:uiPriority w:val="1"/>
    <w:qFormat/>
    <w:rsid w:val="00A66E2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casp-uk.ne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2" ma:contentTypeDescription="Create a new document." ma:contentTypeScope="" ma:versionID="139bf1d4e6e6f02805a90d7126cd9cfa">
  <xsd:schema xmlns:xsd="http://www.w3.org/2001/XMLSchema" xmlns:xs="http://www.w3.org/2001/XMLSchema" xmlns:p="http://schemas.microsoft.com/office/2006/metadata/properties" xmlns:ns3="6642d537-5170-4cd9-a3f2-9ec198ee3eac" targetNamespace="http://schemas.microsoft.com/office/2006/metadata/properties" ma:root="true" ma:fieldsID="d141eafac75bad00fe925901508014e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740042ED-B7D8-4417-9389-65FAD0CCAB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A3BA54-2AE2-4CB9-AFA6-AB11A831A9B0}">
  <ds:schemaRefs>
    <ds:schemaRef ds:uri="http://schemas.microsoft.com/sharepoint/v3/contenttype/forms"/>
  </ds:schemaRefs>
</ds:datastoreItem>
</file>

<file path=customXml/itemProps3.xml><?xml version="1.0" encoding="utf-8"?>
<ds:datastoreItem xmlns:ds="http://schemas.openxmlformats.org/officeDocument/2006/customXml" ds:itemID="{ABDC8870-376E-4633-AE49-A8C4C73F45AE}">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4</Pages>
  <Words>707</Words>
  <Characters>4035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Susannah Moriarty (2331924)</dc:creator>
  <cp:keywords/>
  <dc:description/>
  <cp:lastModifiedBy>Susannah Moriarty (2331924)</cp:lastModifiedBy>
  <cp:revision>26</cp:revision>
  <dcterms:created xsi:type="dcterms:W3CDTF">2026-02-15T10:01:00Z</dcterms:created>
  <dcterms:modified xsi:type="dcterms:W3CDTF">2026-02-15T12:12:00Z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