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E3841" w14:textId="77777777" w:rsidR="00BC14F3" w:rsidRPr="00C61ACB" w:rsidRDefault="00BC14F3" w:rsidP="00BC14F3">
      <w:pPr>
        <w:jc w:val="center"/>
        <w:rPr>
          <w:rFonts w:ascii="Arial" w:hAnsi="Arial" w:cs="Arial"/>
          <w:b/>
          <w:bCs/>
          <w:sz w:val="22"/>
          <w:szCs w:val="22"/>
        </w:rPr>
      </w:pPr>
      <w:r w:rsidRPr="00C61ACB">
        <w:rPr>
          <w:rFonts w:ascii="Arial" w:hAnsi="Arial" w:cs="Arial"/>
          <w:b/>
          <w:bCs/>
          <w:sz w:val="22"/>
          <w:szCs w:val="22"/>
        </w:rPr>
        <w:t>BMHP5019_BIRM – Introduction to Independent Research Skills</w:t>
      </w:r>
    </w:p>
    <w:p w14:paraId="2280F4C6" w14:textId="12019CE8" w:rsidR="00BC14F3" w:rsidRPr="00C61ACB" w:rsidRDefault="00BC14F3" w:rsidP="00BC14F3">
      <w:pPr>
        <w:jc w:val="center"/>
        <w:rPr>
          <w:rFonts w:ascii="Arial" w:hAnsi="Arial" w:cs="Arial"/>
          <w:b/>
          <w:bCs/>
          <w:sz w:val="22"/>
          <w:szCs w:val="22"/>
        </w:rPr>
      </w:pPr>
      <w:r w:rsidRPr="00C61ACB">
        <w:rPr>
          <w:rFonts w:ascii="Arial" w:hAnsi="Arial" w:cs="Arial"/>
          <w:b/>
          <w:bCs/>
          <w:sz w:val="22"/>
          <w:szCs w:val="22"/>
        </w:rPr>
        <w:t xml:space="preserve">Component </w:t>
      </w:r>
      <w:r w:rsidR="00A05B90">
        <w:rPr>
          <w:rFonts w:ascii="Arial" w:hAnsi="Arial" w:cs="Arial"/>
          <w:b/>
          <w:bCs/>
          <w:sz w:val="22"/>
          <w:szCs w:val="22"/>
        </w:rPr>
        <w:t>2</w:t>
      </w:r>
    </w:p>
    <w:p w14:paraId="483B1DA1" w14:textId="09BE9B60" w:rsidR="00BC14F3" w:rsidRPr="00C61ACB" w:rsidRDefault="00A05B90" w:rsidP="00BC14F3">
      <w:pPr>
        <w:jc w:val="center"/>
        <w:rPr>
          <w:rFonts w:ascii="Arial" w:hAnsi="Arial" w:cs="Arial"/>
          <w:b/>
          <w:bCs/>
          <w:sz w:val="22"/>
          <w:szCs w:val="22"/>
        </w:rPr>
      </w:pPr>
      <w:r>
        <w:rPr>
          <w:rFonts w:ascii="Arial" w:hAnsi="Arial" w:cs="Arial"/>
          <w:b/>
          <w:bCs/>
          <w:sz w:val="22"/>
          <w:szCs w:val="22"/>
        </w:rPr>
        <w:t>WRITTEN ASSIGNMENT (RESEARCH REPORT)</w:t>
      </w:r>
    </w:p>
    <w:p w14:paraId="1EEC9131" w14:textId="77777777" w:rsidR="00BC14F3" w:rsidRPr="00C61ACB" w:rsidRDefault="00BC14F3" w:rsidP="00BC14F3">
      <w:pPr>
        <w:jc w:val="center"/>
        <w:rPr>
          <w:rFonts w:ascii="Arial" w:hAnsi="Arial" w:cs="Arial"/>
          <w:b/>
          <w:bCs/>
          <w:sz w:val="22"/>
          <w:szCs w:val="22"/>
        </w:rPr>
      </w:pPr>
    </w:p>
    <w:p w14:paraId="748AC742" w14:textId="77777777" w:rsidR="00BC14F3" w:rsidRPr="00C61ACB" w:rsidRDefault="00BC14F3" w:rsidP="00BC14F3">
      <w:pPr>
        <w:jc w:val="center"/>
        <w:rPr>
          <w:rFonts w:ascii="Arial" w:hAnsi="Arial" w:cs="Arial"/>
          <w:b/>
          <w:bCs/>
          <w:sz w:val="22"/>
          <w:szCs w:val="22"/>
        </w:rPr>
      </w:pPr>
    </w:p>
    <w:p w14:paraId="0B0B339A" w14:textId="77777777" w:rsidR="00BC14F3" w:rsidRPr="00C61ACB" w:rsidRDefault="00BC14F3" w:rsidP="00BC14F3">
      <w:pPr>
        <w:jc w:val="center"/>
        <w:rPr>
          <w:rFonts w:ascii="Arial" w:hAnsi="Arial" w:cs="Arial"/>
          <w:b/>
          <w:bCs/>
          <w:sz w:val="22"/>
          <w:szCs w:val="22"/>
        </w:rPr>
      </w:pPr>
      <w:r w:rsidRPr="00C61ACB">
        <w:rPr>
          <w:rFonts w:ascii="Arial" w:hAnsi="Arial" w:cs="Arial"/>
          <w:b/>
          <w:bCs/>
          <w:sz w:val="22"/>
          <w:szCs w:val="22"/>
        </w:rPr>
        <w:t>Student Name:</w:t>
      </w:r>
      <w:r>
        <w:rPr>
          <w:rFonts w:ascii="Arial" w:hAnsi="Arial" w:cs="Arial"/>
          <w:b/>
          <w:bCs/>
          <w:sz w:val="22"/>
          <w:szCs w:val="22"/>
        </w:rPr>
        <w:t xml:space="preserve"> Naureen Hussain</w:t>
      </w:r>
    </w:p>
    <w:p w14:paraId="47C761E7" w14:textId="77777777" w:rsidR="00BC14F3" w:rsidRPr="00C61ACB" w:rsidRDefault="00BC14F3" w:rsidP="00BC14F3">
      <w:pPr>
        <w:jc w:val="center"/>
        <w:rPr>
          <w:rFonts w:ascii="Arial" w:hAnsi="Arial" w:cs="Arial"/>
          <w:b/>
          <w:bCs/>
          <w:sz w:val="22"/>
          <w:szCs w:val="22"/>
        </w:rPr>
      </w:pPr>
      <w:r w:rsidRPr="00C61ACB">
        <w:rPr>
          <w:rFonts w:ascii="Arial" w:hAnsi="Arial" w:cs="Arial"/>
          <w:b/>
          <w:bCs/>
          <w:sz w:val="22"/>
          <w:szCs w:val="22"/>
        </w:rPr>
        <w:t>Student Number:</w:t>
      </w:r>
      <w:r>
        <w:rPr>
          <w:rFonts w:ascii="Arial" w:hAnsi="Arial" w:cs="Arial"/>
          <w:b/>
          <w:bCs/>
          <w:sz w:val="22"/>
          <w:szCs w:val="22"/>
        </w:rPr>
        <w:t xml:space="preserve"> 2410266</w:t>
      </w:r>
    </w:p>
    <w:p w14:paraId="4703B548" w14:textId="77777777" w:rsidR="00BC14F3" w:rsidRPr="00C61ACB" w:rsidRDefault="00BC14F3" w:rsidP="00BC14F3">
      <w:pPr>
        <w:jc w:val="center"/>
        <w:rPr>
          <w:rFonts w:ascii="Arial" w:hAnsi="Arial" w:cs="Arial"/>
          <w:sz w:val="22"/>
          <w:szCs w:val="22"/>
        </w:rPr>
      </w:pPr>
    </w:p>
    <w:p w14:paraId="744E673E" w14:textId="77777777" w:rsidR="00BC14F3" w:rsidRPr="00C61ACB" w:rsidRDefault="00BC14F3" w:rsidP="00BC14F3">
      <w:pPr>
        <w:jc w:val="center"/>
        <w:rPr>
          <w:rFonts w:ascii="Arial" w:hAnsi="Arial" w:cs="Arial"/>
          <w:sz w:val="22"/>
          <w:szCs w:val="22"/>
        </w:rPr>
      </w:pPr>
    </w:p>
    <w:p w14:paraId="7EDB986D" w14:textId="77777777" w:rsidR="00BC14F3" w:rsidRPr="00C61ACB" w:rsidRDefault="00BC14F3" w:rsidP="00BC14F3">
      <w:pPr>
        <w:jc w:val="center"/>
        <w:rPr>
          <w:rFonts w:ascii="Arial" w:hAnsi="Arial" w:cs="Arial"/>
          <w:sz w:val="22"/>
          <w:szCs w:val="22"/>
        </w:rPr>
      </w:pPr>
    </w:p>
    <w:p w14:paraId="497384CF" w14:textId="77777777" w:rsidR="00BC14F3" w:rsidRPr="00C61ACB" w:rsidRDefault="00BC14F3" w:rsidP="00BC14F3">
      <w:pPr>
        <w:jc w:val="center"/>
        <w:rPr>
          <w:rFonts w:ascii="Arial" w:hAnsi="Arial" w:cs="Arial"/>
          <w:sz w:val="22"/>
          <w:szCs w:val="22"/>
        </w:rPr>
      </w:pPr>
    </w:p>
    <w:p w14:paraId="6FBAD2BC" w14:textId="77777777" w:rsidR="00BC14F3" w:rsidRPr="00C61ACB" w:rsidRDefault="00BC14F3" w:rsidP="00BC14F3">
      <w:pPr>
        <w:jc w:val="center"/>
        <w:rPr>
          <w:rFonts w:ascii="Arial" w:hAnsi="Arial" w:cs="Arial"/>
          <w:b/>
          <w:bCs/>
          <w:sz w:val="22"/>
          <w:szCs w:val="22"/>
          <w:u w:val="single"/>
        </w:rPr>
      </w:pPr>
      <w:r w:rsidRPr="00C61ACB">
        <w:rPr>
          <w:rFonts w:ascii="Arial" w:hAnsi="Arial" w:cs="Arial"/>
          <w:b/>
          <w:bCs/>
          <w:sz w:val="22"/>
          <w:szCs w:val="22"/>
          <w:u w:val="single"/>
        </w:rPr>
        <w:t>Title</w:t>
      </w:r>
    </w:p>
    <w:p w14:paraId="6D3378D2" w14:textId="77777777" w:rsidR="00BC14F3" w:rsidRPr="00C61ACB" w:rsidRDefault="00BC14F3" w:rsidP="00BC14F3">
      <w:pPr>
        <w:jc w:val="center"/>
        <w:rPr>
          <w:rFonts w:ascii="Arial" w:hAnsi="Arial" w:cs="Arial"/>
          <w:sz w:val="22"/>
          <w:szCs w:val="22"/>
        </w:rPr>
      </w:pPr>
      <w:r w:rsidRPr="00C61ACB">
        <w:rPr>
          <w:rFonts w:ascii="Arial" w:hAnsi="Arial" w:cs="Arial"/>
          <w:sz w:val="22"/>
          <w:szCs w:val="22"/>
        </w:rPr>
        <w:t xml:space="preserve">A Scoping Review of </w:t>
      </w:r>
      <w:r>
        <w:t>Substance misuse in young adults ages 18-25 in the United Kingdom</w:t>
      </w:r>
    </w:p>
    <w:p w14:paraId="6AAEFA4F" w14:textId="77777777" w:rsidR="00BC14F3" w:rsidRPr="00C61ACB" w:rsidRDefault="00BC14F3" w:rsidP="00BC14F3">
      <w:pPr>
        <w:rPr>
          <w:rFonts w:ascii="Arial" w:hAnsi="Arial" w:cs="Arial"/>
          <w:sz w:val="22"/>
          <w:szCs w:val="22"/>
        </w:rPr>
      </w:pPr>
    </w:p>
    <w:p w14:paraId="474A6EB1" w14:textId="77777777" w:rsidR="00BC14F3" w:rsidRDefault="00BC14F3" w:rsidP="002A4D3E">
      <w:pPr>
        <w:spacing w:line="360" w:lineRule="auto"/>
        <w:rPr>
          <w:rFonts w:ascii="Arial" w:hAnsi="Arial" w:cs="Arial"/>
          <w:b/>
          <w:bCs/>
          <w:sz w:val="22"/>
          <w:szCs w:val="22"/>
        </w:rPr>
      </w:pPr>
    </w:p>
    <w:p w14:paraId="4FB96F94" w14:textId="77777777" w:rsidR="00BC14F3" w:rsidRDefault="00BC14F3" w:rsidP="002A4D3E">
      <w:pPr>
        <w:spacing w:line="360" w:lineRule="auto"/>
        <w:rPr>
          <w:rFonts w:ascii="Arial" w:hAnsi="Arial" w:cs="Arial"/>
          <w:b/>
          <w:bCs/>
          <w:sz w:val="22"/>
          <w:szCs w:val="22"/>
        </w:rPr>
      </w:pPr>
    </w:p>
    <w:p w14:paraId="78AC9269" w14:textId="77777777" w:rsidR="00BC14F3" w:rsidRDefault="00BC14F3" w:rsidP="002A4D3E">
      <w:pPr>
        <w:spacing w:line="360" w:lineRule="auto"/>
        <w:rPr>
          <w:rFonts w:ascii="Arial" w:hAnsi="Arial" w:cs="Arial"/>
          <w:b/>
          <w:bCs/>
          <w:sz w:val="22"/>
          <w:szCs w:val="22"/>
        </w:rPr>
      </w:pPr>
    </w:p>
    <w:p w14:paraId="4D8198AA" w14:textId="77777777" w:rsidR="00BC14F3" w:rsidRDefault="00BC14F3" w:rsidP="002A4D3E">
      <w:pPr>
        <w:spacing w:line="360" w:lineRule="auto"/>
        <w:rPr>
          <w:rFonts w:ascii="Arial" w:hAnsi="Arial" w:cs="Arial"/>
          <w:b/>
          <w:bCs/>
          <w:sz w:val="22"/>
          <w:szCs w:val="22"/>
        </w:rPr>
      </w:pPr>
    </w:p>
    <w:p w14:paraId="1A2EC92D" w14:textId="77777777" w:rsidR="00BC14F3" w:rsidRDefault="00BC14F3" w:rsidP="002A4D3E">
      <w:pPr>
        <w:spacing w:line="360" w:lineRule="auto"/>
        <w:rPr>
          <w:rFonts w:ascii="Arial" w:hAnsi="Arial" w:cs="Arial"/>
          <w:b/>
          <w:bCs/>
          <w:sz w:val="22"/>
          <w:szCs w:val="22"/>
        </w:rPr>
      </w:pPr>
    </w:p>
    <w:p w14:paraId="66E66E82" w14:textId="77777777" w:rsidR="00BC14F3" w:rsidRDefault="00BC14F3" w:rsidP="002A4D3E">
      <w:pPr>
        <w:spacing w:line="360" w:lineRule="auto"/>
        <w:rPr>
          <w:rFonts w:ascii="Arial" w:hAnsi="Arial" w:cs="Arial"/>
          <w:b/>
          <w:bCs/>
          <w:sz w:val="22"/>
          <w:szCs w:val="22"/>
        </w:rPr>
      </w:pPr>
    </w:p>
    <w:p w14:paraId="41CA779A" w14:textId="77777777" w:rsidR="00BC14F3" w:rsidRDefault="00BC14F3" w:rsidP="002A4D3E">
      <w:pPr>
        <w:spacing w:line="360" w:lineRule="auto"/>
        <w:rPr>
          <w:rFonts w:ascii="Arial" w:hAnsi="Arial" w:cs="Arial"/>
          <w:b/>
          <w:bCs/>
          <w:sz w:val="22"/>
          <w:szCs w:val="22"/>
        </w:rPr>
      </w:pPr>
    </w:p>
    <w:p w14:paraId="37833554" w14:textId="77777777" w:rsidR="00BC14F3" w:rsidRDefault="00BC14F3" w:rsidP="002A4D3E">
      <w:pPr>
        <w:spacing w:line="360" w:lineRule="auto"/>
        <w:rPr>
          <w:rFonts w:ascii="Arial" w:hAnsi="Arial" w:cs="Arial"/>
          <w:b/>
          <w:bCs/>
          <w:sz w:val="22"/>
          <w:szCs w:val="22"/>
        </w:rPr>
      </w:pPr>
    </w:p>
    <w:p w14:paraId="3A3D34CC" w14:textId="77777777" w:rsidR="00BC14F3" w:rsidRDefault="00BC14F3" w:rsidP="002A4D3E">
      <w:pPr>
        <w:spacing w:line="360" w:lineRule="auto"/>
        <w:rPr>
          <w:rFonts w:ascii="Arial" w:hAnsi="Arial" w:cs="Arial"/>
          <w:b/>
          <w:bCs/>
          <w:sz w:val="22"/>
          <w:szCs w:val="22"/>
        </w:rPr>
      </w:pPr>
    </w:p>
    <w:p w14:paraId="22B51EA8" w14:textId="77777777" w:rsidR="00BC14F3" w:rsidRDefault="00BC14F3" w:rsidP="002A4D3E">
      <w:pPr>
        <w:spacing w:line="360" w:lineRule="auto"/>
        <w:rPr>
          <w:rFonts w:ascii="Arial" w:hAnsi="Arial" w:cs="Arial"/>
          <w:b/>
          <w:bCs/>
          <w:sz w:val="22"/>
          <w:szCs w:val="22"/>
        </w:rPr>
      </w:pPr>
    </w:p>
    <w:p w14:paraId="73181CE4" w14:textId="77777777" w:rsidR="00BC14F3" w:rsidRDefault="00BC14F3" w:rsidP="002A4D3E">
      <w:pPr>
        <w:spacing w:line="360" w:lineRule="auto"/>
        <w:rPr>
          <w:rFonts w:ascii="Arial" w:hAnsi="Arial" w:cs="Arial"/>
          <w:b/>
          <w:bCs/>
          <w:sz w:val="22"/>
          <w:szCs w:val="22"/>
        </w:rPr>
      </w:pPr>
    </w:p>
    <w:p w14:paraId="0A8E5B42" w14:textId="77777777" w:rsidR="00BC14F3" w:rsidRDefault="00BC14F3" w:rsidP="002A4D3E">
      <w:pPr>
        <w:spacing w:line="360" w:lineRule="auto"/>
        <w:rPr>
          <w:rFonts w:ascii="Arial" w:hAnsi="Arial" w:cs="Arial"/>
          <w:b/>
          <w:bCs/>
          <w:sz w:val="22"/>
          <w:szCs w:val="22"/>
        </w:rPr>
      </w:pPr>
    </w:p>
    <w:p w14:paraId="6C53D159" w14:textId="77777777" w:rsidR="00BC14F3" w:rsidRDefault="00BC14F3" w:rsidP="002A4D3E">
      <w:pPr>
        <w:spacing w:line="360" w:lineRule="auto"/>
        <w:rPr>
          <w:rFonts w:ascii="Arial" w:hAnsi="Arial" w:cs="Arial"/>
          <w:b/>
          <w:bCs/>
          <w:sz w:val="22"/>
          <w:szCs w:val="22"/>
        </w:rPr>
      </w:pPr>
    </w:p>
    <w:p w14:paraId="221CD896" w14:textId="266ADAAC" w:rsidR="00E81DDD" w:rsidRPr="00576508" w:rsidRDefault="00FC54A6" w:rsidP="002A4D3E">
      <w:pPr>
        <w:spacing w:line="360" w:lineRule="auto"/>
        <w:rPr>
          <w:rFonts w:ascii="Arial" w:hAnsi="Arial" w:cs="Arial"/>
          <w:b/>
          <w:bCs/>
          <w:sz w:val="22"/>
          <w:szCs w:val="22"/>
        </w:rPr>
      </w:pPr>
      <w:r w:rsidRPr="00576508">
        <w:rPr>
          <w:rFonts w:ascii="Arial" w:hAnsi="Arial" w:cs="Arial"/>
          <w:b/>
          <w:bCs/>
          <w:sz w:val="22"/>
          <w:szCs w:val="22"/>
        </w:rPr>
        <w:lastRenderedPageBreak/>
        <w:t>Introduction</w:t>
      </w:r>
    </w:p>
    <w:p w14:paraId="5EB2F0CC"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Substance misuse remains a significant public health issue in the United Kingdom (UK), particularly among young adults aged 18–25 years. This stage, often referred to as emerging adulthood, is characterised by psychological, social, and developmental changes, including increased independence, transitions in education and employment, and the formation of new social relationships (Arnett, 2015). These changes are associated with greater experimentation with alcohol and illicit drugs, making emerging adulthood a critical period for the development of substance misuse behaviours (Duke and Welch, 2026). Individuals aged 18–25 consistently report the highest rates of recreational drug use in the UK, highlighting the need to understand the factors influencing substance misuse within this population (Office for National Statistics, 2025).</w:t>
      </w:r>
    </w:p>
    <w:p w14:paraId="11CCB61A"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Substance misuse is defined as the harmful or hazardous use of psychoactive substances, including alcohol, prescription medications, and illicit drugs, resulting in adverse physical, psychological, or social consequences (World Health Organization, 2024). In the UK, it contributes to preventable morbidity, mortality, poor mental health, criminal justice involvement, homelessness, and health inequalities. Substance misuse frequently coexists with adverse childhood experiences (ACEs), trauma, socioeconomic disadvantage, and social exclusion, requiring coordinated responses across health, social care, and public health services (</w:t>
      </w:r>
      <w:proofErr w:type="spellStart"/>
      <w:r w:rsidRPr="00625842">
        <w:rPr>
          <w:rFonts w:ascii="Arial" w:hAnsi="Arial" w:cs="Arial"/>
          <w:sz w:val="22"/>
          <w:szCs w:val="22"/>
        </w:rPr>
        <w:t>Sebalo</w:t>
      </w:r>
      <w:proofErr w:type="spellEnd"/>
      <w:r w:rsidRPr="00625842">
        <w:rPr>
          <w:rFonts w:ascii="Arial" w:hAnsi="Arial" w:cs="Arial"/>
          <w:sz w:val="22"/>
          <w:szCs w:val="22"/>
        </w:rPr>
        <w:t xml:space="preserve"> et al., 2023).</w:t>
      </w:r>
    </w:p>
    <w:p w14:paraId="7572BDD0"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 xml:space="preserve">Recent evidence suggests that substance misuse among young adults cannot be understood solely through individual behaviour but must also consider developmental processes, adverse life experiences, peer influences, social environments, and access to support services. Duke and Welch (2026) argue that current UK drug treatment services often fail to meet the needs of 18–25-year-olds because care is divided between children's and adult services, resulting in fragmented transitions and reduced engagement. Their evaluation demonstrated the value of developmentally appropriate, community-based interventions. Similarly, </w:t>
      </w:r>
      <w:proofErr w:type="spellStart"/>
      <w:r w:rsidRPr="00625842">
        <w:rPr>
          <w:rFonts w:ascii="Arial" w:hAnsi="Arial" w:cs="Arial"/>
          <w:sz w:val="22"/>
          <w:szCs w:val="22"/>
        </w:rPr>
        <w:t>Sebalo</w:t>
      </w:r>
      <w:proofErr w:type="spellEnd"/>
      <w:r w:rsidRPr="00625842">
        <w:rPr>
          <w:rFonts w:ascii="Arial" w:hAnsi="Arial" w:cs="Arial"/>
          <w:sz w:val="22"/>
          <w:szCs w:val="22"/>
        </w:rPr>
        <w:t xml:space="preserve"> et al. (2023) found that exposure to multiple ACEs was consistently associated with increased alcohol and drug use, with poor emotional regulation and maladaptive coping identified as key mechanisms, reinforcing the need for trauma-informed practice.</w:t>
      </w:r>
    </w:p>
    <w:p w14:paraId="4DE8C182"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Given the high prevalence of substance misuse among young adults and the evolving UK policy landscape, there is a need to synthesise current evidence on the factors influencing substance misuse in this population. A scoping review is appropriate because it maps existing evidence, identifies knowledge gaps, and informs future research, policy, and practice across diverse study designs.</w:t>
      </w:r>
    </w:p>
    <w:p w14:paraId="75547642"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lastRenderedPageBreak/>
        <w:t>The review question is:</w:t>
      </w:r>
    </w:p>
    <w:p w14:paraId="4449C09B" w14:textId="77777777" w:rsidR="00625842" w:rsidRPr="00576508" w:rsidRDefault="00625842" w:rsidP="002A4D3E">
      <w:pPr>
        <w:spacing w:line="360" w:lineRule="auto"/>
        <w:rPr>
          <w:rFonts w:ascii="Arial" w:hAnsi="Arial" w:cs="Arial"/>
          <w:sz w:val="22"/>
          <w:szCs w:val="22"/>
        </w:rPr>
      </w:pPr>
      <w:r w:rsidRPr="00576508">
        <w:rPr>
          <w:rFonts w:ascii="Arial" w:hAnsi="Arial" w:cs="Arial"/>
          <w:sz w:val="22"/>
          <w:szCs w:val="22"/>
        </w:rPr>
        <w:t>What factors influence substance misuse among young adults aged 18–25 years in the United Kingdom, and what are the implications for UK health, social care, and digital health practice?</w:t>
      </w:r>
    </w:p>
    <w:p w14:paraId="5C6ED33F"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The objectives of this review are to:</w:t>
      </w:r>
    </w:p>
    <w:p w14:paraId="22AB0908" w14:textId="77777777" w:rsidR="00625842" w:rsidRPr="00625842" w:rsidRDefault="00625842" w:rsidP="002A4D3E">
      <w:pPr>
        <w:numPr>
          <w:ilvl w:val="0"/>
          <w:numId w:val="7"/>
        </w:numPr>
        <w:spacing w:line="360" w:lineRule="auto"/>
        <w:rPr>
          <w:rFonts w:ascii="Arial" w:hAnsi="Arial" w:cs="Arial"/>
          <w:sz w:val="22"/>
          <w:szCs w:val="22"/>
        </w:rPr>
      </w:pPr>
      <w:r w:rsidRPr="00625842">
        <w:rPr>
          <w:rFonts w:ascii="Arial" w:hAnsi="Arial" w:cs="Arial"/>
          <w:sz w:val="22"/>
          <w:szCs w:val="22"/>
        </w:rPr>
        <w:t xml:space="preserve">identify peer-reviewed research examining substance misuse among young adults aged 18–25 years in the United </w:t>
      </w:r>
      <w:proofErr w:type="gramStart"/>
      <w:r w:rsidRPr="00625842">
        <w:rPr>
          <w:rFonts w:ascii="Arial" w:hAnsi="Arial" w:cs="Arial"/>
          <w:sz w:val="22"/>
          <w:szCs w:val="22"/>
        </w:rPr>
        <w:t>Kingdom;</w:t>
      </w:r>
      <w:proofErr w:type="gramEnd"/>
    </w:p>
    <w:p w14:paraId="16863606" w14:textId="77777777" w:rsidR="00625842" w:rsidRPr="00625842" w:rsidRDefault="00625842" w:rsidP="002A4D3E">
      <w:pPr>
        <w:numPr>
          <w:ilvl w:val="0"/>
          <w:numId w:val="7"/>
        </w:numPr>
        <w:spacing w:line="360" w:lineRule="auto"/>
        <w:rPr>
          <w:rFonts w:ascii="Arial" w:hAnsi="Arial" w:cs="Arial"/>
          <w:sz w:val="22"/>
          <w:szCs w:val="22"/>
        </w:rPr>
      </w:pPr>
      <w:r w:rsidRPr="00625842">
        <w:rPr>
          <w:rFonts w:ascii="Arial" w:hAnsi="Arial" w:cs="Arial"/>
          <w:sz w:val="22"/>
          <w:szCs w:val="22"/>
        </w:rPr>
        <w:t xml:space="preserve">explore the principal factors associated with alcohol and drug </w:t>
      </w:r>
      <w:proofErr w:type="gramStart"/>
      <w:r w:rsidRPr="00625842">
        <w:rPr>
          <w:rFonts w:ascii="Arial" w:hAnsi="Arial" w:cs="Arial"/>
          <w:sz w:val="22"/>
          <w:szCs w:val="22"/>
        </w:rPr>
        <w:t>misuse;</w:t>
      </w:r>
      <w:proofErr w:type="gramEnd"/>
    </w:p>
    <w:p w14:paraId="35D34DE9" w14:textId="77777777" w:rsidR="00625842" w:rsidRPr="00625842" w:rsidRDefault="00625842" w:rsidP="002A4D3E">
      <w:pPr>
        <w:numPr>
          <w:ilvl w:val="0"/>
          <w:numId w:val="7"/>
        </w:numPr>
        <w:spacing w:line="360" w:lineRule="auto"/>
        <w:rPr>
          <w:rFonts w:ascii="Arial" w:hAnsi="Arial" w:cs="Arial"/>
          <w:sz w:val="22"/>
          <w:szCs w:val="22"/>
        </w:rPr>
      </w:pPr>
      <w:r w:rsidRPr="00625842">
        <w:rPr>
          <w:rFonts w:ascii="Arial" w:hAnsi="Arial" w:cs="Arial"/>
          <w:sz w:val="22"/>
          <w:szCs w:val="22"/>
        </w:rPr>
        <w:t>examine the implications of current evidence for UK health, social care, and digital health practice; and</w:t>
      </w:r>
    </w:p>
    <w:p w14:paraId="0660B34C" w14:textId="77777777" w:rsidR="00625842" w:rsidRPr="00625842" w:rsidRDefault="00625842" w:rsidP="002A4D3E">
      <w:pPr>
        <w:numPr>
          <w:ilvl w:val="0"/>
          <w:numId w:val="7"/>
        </w:numPr>
        <w:spacing w:line="360" w:lineRule="auto"/>
        <w:rPr>
          <w:rFonts w:ascii="Arial" w:hAnsi="Arial" w:cs="Arial"/>
          <w:sz w:val="22"/>
          <w:szCs w:val="22"/>
        </w:rPr>
      </w:pPr>
      <w:r w:rsidRPr="00625842">
        <w:rPr>
          <w:rFonts w:ascii="Arial" w:hAnsi="Arial" w:cs="Arial"/>
          <w:sz w:val="22"/>
          <w:szCs w:val="22"/>
        </w:rPr>
        <w:t>identify gaps in the evidence base to inform future research, policy, and service development.</w:t>
      </w:r>
    </w:p>
    <w:p w14:paraId="2DE270A1" w14:textId="77777777" w:rsidR="00625842" w:rsidRPr="002A4D3E" w:rsidRDefault="00625842" w:rsidP="002A4D3E">
      <w:pPr>
        <w:spacing w:line="360" w:lineRule="auto"/>
        <w:rPr>
          <w:rFonts w:ascii="Arial" w:hAnsi="Arial" w:cs="Arial"/>
          <w:sz w:val="22"/>
          <w:szCs w:val="22"/>
        </w:rPr>
      </w:pPr>
    </w:p>
    <w:p w14:paraId="509E2AD0" w14:textId="77777777" w:rsidR="00625842" w:rsidRPr="002A4D3E" w:rsidRDefault="00625842" w:rsidP="002A4D3E">
      <w:pPr>
        <w:spacing w:line="360" w:lineRule="auto"/>
        <w:rPr>
          <w:rFonts w:ascii="Arial" w:hAnsi="Arial" w:cs="Arial"/>
          <w:b/>
          <w:bCs/>
          <w:sz w:val="22"/>
          <w:szCs w:val="22"/>
        </w:rPr>
      </w:pPr>
      <w:r w:rsidRPr="00625842">
        <w:rPr>
          <w:rFonts w:ascii="Arial" w:hAnsi="Arial" w:cs="Arial"/>
          <w:b/>
          <w:bCs/>
          <w:sz w:val="22"/>
          <w:szCs w:val="22"/>
        </w:rPr>
        <w:t>Background</w:t>
      </w:r>
    </w:p>
    <w:p w14:paraId="4B0ED4D1"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Substance misuse among young adults is a significant public health issue in the United Kingdom, placing considerable pressure on health, social care, and criminal justice systems. Individuals aged 18–25 report the highest rates of illicit drug use, reflecting the developmental characteristics of emerging adulthood alongside social, environmental, and psychological influences (Office for National Statistics, 2025). This life stage is characterised by identity exploration, increased independence, educational and employment transitions, and greater exposure to risk-taking behaviours that may contribute to alcohol and drug experimentation (Arnett, 2015). While experimentation is often temporary, persistent substance misuse can result in dependence, poor mental health, educational disengagement, unemployment, and criminal justice involvement.</w:t>
      </w:r>
    </w:p>
    <w:p w14:paraId="1307432D"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 xml:space="preserve">The relationship between substance misuse and mental health is particularly significant in this age group. Young adults experiencing anxiety, depression, or psychological distress are more likely to use alcohol or drugs as maladaptive coping strategies, while substance misuse can further worsen existing mental health conditions. </w:t>
      </w:r>
      <w:proofErr w:type="spellStart"/>
      <w:r w:rsidRPr="00A94E23">
        <w:rPr>
          <w:rFonts w:ascii="Arial" w:hAnsi="Arial" w:cs="Arial"/>
          <w:sz w:val="22"/>
          <w:szCs w:val="22"/>
        </w:rPr>
        <w:t>Sebalo</w:t>
      </w:r>
      <w:proofErr w:type="spellEnd"/>
      <w:r w:rsidRPr="00A94E23">
        <w:rPr>
          <w:rFonts w:ascii="Arial" w:hAnsi="Arial" w:cs="Arial"/>
          <w:sz w:val="22"/>
          <w:szCs w:val="22"/>
        </w:rPr>
        <w:t xml:space="preserve"> et al. (2023) found that adverse childhood experiences (ACEs), including abuse, neglect, and household dysfunction, consistently increased the likelihood of alcohol and drug misuse during emerging adulthood. Their review identified impaired emotional regulation and maladaptive coping as key mechanisms, reinforcing the importance of trauma-informed care.</w:t>
      </w:r>
    </w:p>
    <w:p w14:paraId="18A8C262"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lastRenderedPageBreak/>
        <w:t xml:space="preserve">In England, substance misuse policy is guided by </w:t>
      </w:r>
      <w:r w:rsidRPr="00A94E23">
        <w:rPr>
          <w:rFonts w:ascii="Arial" w:hAnsi="Arial" w:cs="Arial"/>
          <w:i/>
          <w:iCs/>
          <w:sz w:val="22"/>
          <w:szCs w:val="22"/>
        </w:rPr>
        <w:t>From Harm to Hope: A 10-Year Drugs Plan</w:t>
      </w:r>
      <w:r w:rsidRPr="00A94E23">
        <w:rPr>
          <w:rFonts w:ascii="Arial" w:hAnsi="Arial" w:cs="Arial"/>
          <w:sz w:val="22"/>
          <w:szCs w:val="22"/>
        </w:rPr>
        <w:t xml:space="preserve"> (HM Government, 2021), which prioritises prevention, early intervention, recovery, and partnership working across healthcare, education, housing, social care, and criminal justice. Although the strategy recognises young people as a priority group, it gives limited attention to the distinct developmental needs of emerging adults aged 18–25 years.</w:t>
      </w:r>
    </w:p>
    <w:p w14:paraId="1D35E373"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 xml:space="preserve">The legislative framework is underpinned by the </w:t>
      </w:r>
      <w:r w:rsidRPr="00A94E23">
        <w:rPr>
          <w:rFonts w:ascii="Arial" w:hAnsi="Arial" w:cs="Arial"/>
          <w:i/>
          <w:iCs/>
          <w:sz w:val="22"/>
          <w:szCs w:val="22"/>
        </w:rPr>
        <w:t>Misuse of Drugs Act 1971</w:t>
      </w:r>
      <w:r w:rsidRPr="00A94E23">
        <w:rPr>
          <w:rFonts w:ascii="Arial" w:hAnsi="Arial" w:cs="Arial"/>
          <w:sz w:val="22"/>
          <w:szCs w:val="22"/>
        </w:rPr>
        <w:t xml:space="preserve">, while the </w:t>
      </w:r>
      <w:r w:rsidRPr="00A94E23">
        <w:rPr>
          <w:rFonts w:ascii="Arial" w:hAnsi="Arial" w:cs="Arial"/>
          <w:i/>
          <w:iCs/>
          <w:sz w:val="22"/>
          <w:szCs w:val="22"/>
        </w:rPr>
        <w:t>Care Act 2014</w:t>
      </w:r>
      <w:r w:rsidRPr="00A94E23">
        <w:rPr>
          <w:rFonts w:ascii="Arial" w:hAnsi="Arial" w:cs="Arial"/>
          <w:sz w:val="22"/>
          <w:szCs w:val="22"/>
        </w:rPr>
        <w:t xml:space="preserve"> and </w:t>
      </w:r>
      <w:r w:rsidRPr="00A94E23">
        <w:rPr>
          <w:rFonts w:ascii="Arial" w:hAnsi="Arial" w:cs="Arial"/>
          <w:i/>
          <w:iCs/>
          <w:sz w:val="22"/>
          <w:szCs w:val="22"/>
        </w:rPr>
        <w:t>Health and Care Act 2022</w:t>
      </w:r>
      <w:r w:rsidRPr="00A94E23">
        <w:rPr>
          <w:rFonts w:ascii="Arial" w:hAnsi="Arial" w:cs="Arial"/>
          <w:sz w:val="22"/>
          <w:szCs w:val="22"/>
        </w:rPr>
        <w:t xml:space="preserve"> promote person-centred, integrated care. NICE guidance (NG64 and CG115) further supports evidence-based prevention, psychosocial interventions, and collaborative care, reflecting a shift towards treating substance misuse as a public health issue rather than solely a criminal justice concern.</w:t>
      </w:r>
    </w:p>
    <w:p w14:paraId="37636EF2"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 xml:space="preserve">Despite these developments, evidence suggests services remain fragmented for emerging adults. Duke and Welch (2026) argue that many young people experience a break in care when transitioning from </w:t>
      </w:r>
      <w:proofErr w:type="gramStart"/>
      <w:r w:rsidRPr="00A94E23">
        <w:rPr>
          <w:rFonts w:ascii="Arial" w:hAnsi="Arial" w:cs="Arial"/>
          <w:sz w:val="22"/>
          <w:szCs w:val="22"/>
        </w:rPr>
        <w:t>children's</w:t>
      </w:r>
      <w:proofErr w:type="gramEnd"/>
      <w:r w:rsidRPr="00A94E23">
        <w:rPr>
          <w:rFonts w:ascii="Arial" w:hAnsi="Arial" w:cs="Arial"/>
          <w:sz w:val="22"/>
          <w:szCs w:val="22"/>
        </w:rPr>
        <w:t xml:space="preserve"> to adult services, as adult provision is often designed for older adults with established dependency rather than younger adults requiring flexible, outreach-based support. Their findings highlight the need for developmentally appropriate, person-centred services.</w:t>
      </w:r>
    </w:p>
    <w:p w14:paraId="7CA40E48" w14:textId="77777777" w:rsidR="00A94E23" w:rsidRPr="00A94E23" w:rsidRDefault="00A94E23" w:rsidP="002A4D3E">
      <w:pPr>
        <w:spacing w:line="360" w:lineRule="auto"/>
        <w:rPr>
          <w:rFonts w:ascii="Arial" w:hAnsi="Arial" w:cs="Arial"/>
          <w:b/>
          <w:bCs/>
          <w:sz w:val="22"/>
          <w:szCs w:val="22"/>
        </w:rPr>
      </w:pPr>
      <w:r w:rsidRPr="00A94E23">
        <w:rPr>
          <w:rFonts w:ascii="Arial" w:hAnsi="Arial" w:cs="Arial"/>
          <w:sz w:val="22"/>
          <w:szCs w:val="22"/>
        </w:rPr>
        <w:t>The increasing use of digital health presents opportunities to improve engagement. Online screening, telehealth, mobile health applications, and digital harm-reduction resources may improve accessibility, reduce stigma, and support earlier intervention among young adults reluctant to access traditional services. However, further research is needed to evaluate their effectiveness. Overall, although policy increasingly recognises substance misuse as a complex public health challenge, significant gaps remain in meeting the needs of emerging</w:t>
      </w:r>
      <w:r w:rsidRPr="00A94E23">
        <w:rPr>
          <w:rFonts w:ascii="Arial" w:hAnsi="Arial" w:cs="Arial"/>
          <w:b/>
          <w:bCs/>
          <w:sz w:val="22"/>
          <w:szCs w:val="22"/>
        </w:rPr>
        <w:t xml:space="preserve"> adults, particularly during the transition from child to adult services.</w:t>
      </w:r>
    </w:p>
    <w:p w14:paraId="3A62E59E" w14:textId="77777777" w:rsidR="00A94E23" w:rsidRPr="00625842" w:rsidRDefault="00A94E23" w:rsidP="002A4D3E">
      <w:pPr>
        <w:spacing w:line="360" w:lineRule="auto"/>
        <w:rPr>
          <w:rFonts w:ascii="Arial" w:hAnsi="Arial" w:cs="Arial"/>
          <w:b/>
          <w:bCs/>
          <w:sz w:val="22"/>
          <w:szCs w:val="22"/>
        </w:rPr>
      </w:pPr>
    </w:p>
    <w:p w14:paraId="56FAB655" w14:textId="77777777" w:rsidR="00625842" w:rsidRPr="00625842" w:rsidRDefault="00625842" w:rsidP="002A4D3E">
      <w:pPr>
        <w:spacing w:line="360" w:lineRule="auto"/>
        <w:rPr>
          <w:rFonts w:ascii="Arial" w:hAnsi="Arial" w:cs="Arial"/>
          <w:b/>
          <w:bCs/>
          <w:sz w:val="22"/>
          <w:szCs w:val="22"/>
        </w:rPr>
      </w:pPr>
      <w:r w:rsidRPr="00625842">
        <w:rPr>
          <w:rFonts w:ascii="Arial" w:hAnsi="Arial" w:cs="Arial"/>
          <w:b/>
          <w:bCs/>
          <w:sz w:val="22"/>
          <w:szCs w:val="22"/>
        </w:rPr>
        <w:t>Methods</w:t>
      </w:r>
    </w:p>
    <w:p w14:paraId="6B31ACEC" w14:textId="77777777" w:rsidR="00625842" w:rsidRPr="00625842" w:rsidRDefault="00625842" w:rsidP="002A4D3E">
      <w:pPr>
        <w:spacing w:line="360" w:lineRule="auto"/>
        <w:rPr>
          <w:rFonts w:ascii="Arial" w:hAnsi="Arial" w:cs="Arial"/>
          <w:b/>
          <w:bCs/>
          <w:sz w:val="22"/>
          <w:szCs w:val="22"/>
        </w:rPr>
      </w:pPr>
      <w:r w:rsidRPr="00625842">
        <w:rPr>
          <w:rFonts w:ascii="Arial" w:hAnsi="Arial" w:cs="Arial"/>
          <w:b/>
          <w:bCs/>
          <w:sz w:val="22"/>
          <w:szCs w:val="22"/>
        </w:rPr>
        <w:t>Research Design</w:t>
      </w:r>
    </w:p>
    <w:p w14:paraId="6BC3D5F7"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This study employed a scoping review methodology to identify, map, and synthesise peer-reviewed evidence relating to factors influencing substance misuse among young adults aged 18–25 years in the United Kingdom. A scoping review was considered appropriate because the available evidence comprises qualitative, quantitative, and mixed-methods research. Unlike systematic reviews, which primarily evaluate intervention effectiveness, scoping reviews aim to map existing evidence, identify key concepts and knowledge gaps, and inform future research, policy, and practice (Arksey and O'Malley, 2005; Peters et al., 2020).</w:t>
      </w:r>
    </w:p>
    <w:p w14:paraId="174C9901" w14:textId="3255B284" w:rsidR="00625842" w:rsidRPr="002A4D3E" w:rsidRDefault="00625842" w:rsidP="002A4D3E">
      <w:pPr>
        <w:spacing w:line="360" w:lineRule="auto"/>
        <w:rPr>
          <w:rFonts w:ascii="Arial" w:hAnsi="Arial" w:cs="Arial"/>
          <w:sz w:val="22"/>
          <w:szCs w:val="22"/>
        </w:rPr>
      </w:pPr>
      <w:r w:rsidRPr="00625842">
        <w:rPr>
          <w:rFonts w:ascii="Arial" w:hAnsi="Arial" w:cs="Arial"/>
          <w:sz w:val="22"/>
          <w:szCs w:val="22"/>
        </w:rPr>
        <w:lastRenderedPageBreak/>
        <w:t>The review followed the Preferred Reporting Items for Systematic Reviews and Meta-Analyses Extension for Scoping Reviews (PRISMA-</w:t>
      </w:r>
      <w:proofErr w:type="spellStart"/>
      <w:r w:rsidRPr="00625842">
        <w:rPr>
          <w:rFonts w:ascii="Arial" w:hAnsi="Arial" w:cs="Arial"/>
          <w:sz w:val="22"/>
          <w:szCs w:val="22"/>
        </w:rPr>
        <w:t>ScR</w:t>
      </w:r>
      <w:proofErr w:type="spellEnd"/>
      <w:r w:rsidRPr="00625842">
        <w:rPr>
          <w:rFonts w:ascii="Arial" w:hAnsi="Arial" w:cs="Arial"/>
          <w:sz w:val="22"/>
          <w:szCs w:val="22"/>
        </w:rPr>
        <w:t>) guidelines (</w:t>
      </w:r>
      <w:proofErr w:type="spellStart"/>
      <w:r w:rsidRPr="00625842">
        <w:rPr>
          <w:rFonts w:ascii="Arial" w:hAnsi="Arial" w:cs="Arial"/>
          <w:sz w:val="22"/>
          <w:szCs w:val="22"/>
        </w:rPr>
        <w:t>Tricco</w:t>
      </w:r>
      <w:proofErr w:type="spellEnd"/>
      <w:r w:rsidRPr="00625842">
        <w:rPr>
          <w:rFonts w:ascii="Arial" w:hAnsi="Arial" w:cs="Arial"/>
          <w:sz w:val="22"/>
          <w:szCs w:val="22"/>
        </w:rPr>
        <w:t xml:space="preserve"> et al., 2018). Although conducted independently for educational purposes and not prospectively registered, recognised methodological guidance was followed to enhance transparency, reproducibility, and methodological rigour.</w:t>
      </w:r>
    </w:p>
    <w:p w14:paraId="7BB2F3F1" w14:textId="266E6ECE" w:rsidR="00896E2D" w:rsidRPr="002A4D3E" w:rsidRDefault="00896E2D" w:rsidP="002A4D3E">
      <w:pPr>
        <w:spacing w:line="360" w:lineRule="auto"/>
        <w:rPr>
          <w:rFonts w:ascii="Arial" w:hAnsi="Arial" w:cs="Arial"/>
          <w:sz w:val="22"/>
          <w:szCs w:val="22"/>
        </w:rPr>
      </w:pPr>
      <w:r w:rsidRPr="002A4D3E">
        <w:rPr>
          <w:rFonts w:ascii="Arial" w:hAnsi="Arial" w:cs="Arial"/>
          <w:sz w:val="22"/>
          <w:szCs w:val="22"/>
        </w:rPr>
        <w:t xml:space="preserve">Search strategy </w:t>
      </w:r>
    </w:p>
    <w:p w14:paraId="70931C1D" w14:textId="77777777" w:rsidR="00896E2D" w:rsidRPr="00896E2D" w:rsidRDefault="00896E2D" w:rsidP="002A4D3E">
      <w:pPr>
        <w:spacing w:line="360" w:lineRule="auto"/>
        <w:rPr>
          <w:rFonts w:ascii="Arial" w:hAnsi="Arial" w:cs="Arial"/>
          <w:sz w:val="22"/>
          <w:szCs w:val="22"/>
        </w:rPr>
      </w:pPr>
      <w:r w:rsidRPr="00896E2D">
        <w:rPr>
          <w:rFonts w:ascii="Arial" w:hAnsi="Arial" w:cs="Arial"/>
          <w:sz w:val="22"/>
          <w:szCs w:val="22"/>
        </w:rPr>
        <w:t>A comprehensive electronic literature search was undertaken using three major health and multidisciplinary databases:</w:t>
      </w:r>
    </w:p>
    <w:p w14:paraId="56AA67E4" w14:textId="77777777" w:rsidR="00896E2D" w:rsidRPr="00896E2D" w:rsidRDefault="00896E2D" w:rsidP="002A4D3E">
      <w:pPr>
        <w:numPr>
          <w:ilvl w:val="0"/>
          <w:numId w:val="1"/>
        </w:numPr>
        <w:spacing w:line="360" w:lineRule="auto"/>
        <w:rPr>
          <w:rFonts w:ascii="Arial" w:hAnsi="Arial" w:cs="Arial"/>
          <w:sz w:val="22"/>
          <w:szCs w:val="22"/>
        </w:rPr>
      </w:pPr>
      <w:r w:rsidRPr="00896E2D">
        <w:rPr>
          <w:rFonts w:ascii="Arial" w:hAnsi="Arial" w:cs="Arial"/>
          <w:sz w:val="22"/>
          <w:szCs w:val="22"/>
        </w:rPr>
        <w:t>Academic Search Premier (EBSCOhost)</w:t>
      </w:r>
    </w:p>
    <w:p w14:paraId="62606A45" w14:textId="59E03C40" w:rsidR="00896E2D" w:rsidRPr="00896E2D" w:rsidRDefault="009C077C" w:rsidP="002A4D3E">
      <w:pPr>
        <w:numPr>
          <w:ilvl w:val="0"/>
          <w:numId w:val="1"/>
        </w:numPr>
        <w:spacing w:line="360" w:lineRule="auto"/>
        <w:rPr>
          <w:rFonts w:ascii="Arial" w:hAnsi="Arial" w:cs="Arial"/>
          <w:sz w:val="22"/>
          <w:szCs w:val="22"/>
        </w:rPr>
      </w:pPr>
      <w:r>
        <w:rPr>
          <w:rFonts w:ascii="Arial" w:hAnsi="Arial" w:cs="Arial"/>
          <w:sz w:val="22"/>
          <w:szCs w:val="22"/>
        </w:rPr>
        <w:t>Pro Quest Central</w:t>
      </w:r>
    </w:p>
    <w:p w14:paraId="27D9CE1B" w14:textId="77777777" w:rsidR="00896E2D" w:rsidRPr="00896E2D" w:rsidRDefault="00896E2D" w:rsidP="002A4D3E">
      <w:pPr>
        <w:numPr>
          <w:ilvl w:val="0"/>
          <w:numId w:val="1"/>
        </w:numPr>
        <w:spacing w:line="360" w:lineRule="auto"/>
        <w:rPr>
          <w:rFonts w:ascii="Arial" w:hAnsi="Arial" w:cs="Arial"/>
          <w:sz w:val="22"/>
          <w:szCs w:val="22"/>
        </w:rPr>
      </w:pPr>
      <w:r w:rsidRPr="00896E2D">
        <w:rPr>
          <w:rFonts w:ascii="Arial" w:hAnsi="Arial" w:cs="Arial"/>
          <w:sz w:val="22"/>
          <w:szCs w:val="22"/>
        </w:rPr>
        <w:t>PubMed</w:t>
      </w:r>
    </w:p>
    <w:p w14:paraId="69C4B101" w14:textId="77777777" w:rsidR="00896E2D" w:rsidRPr="00896E2D" w:rsidRDefault="00896E2D" w:rsidP="002A4D3E">
      <w:pPr>
        <w:spacing w:line="360" w:lineRule="auto"/>
        <w:rPr>
          <w:rFonts w:ascii="Arial" w:hAnsi="Arial" w:cs="Arial"/>
          <w:sz w:val="22"/>
          <w:szCs w:val="22"/>
        </w:rPr>
      </w:pPr>
      <w:r w:rsidRPr="00896E2D">
        <w:rPr>
          <w:rFonts w:ascii="Arial" w:hAnsi="Arial" w:cs="Arial"/>
          <w:sz w:val="22"/>
          <w:szCs w:val="22"/>
        </w:rPr>
        <w:t>These databases were selected because they provide extensive coverage of medicine, nursing, psychology, public health and social care literature relevant to substance misuse.</w:t>
      </w:r>
    </w:p>
    <w:p w14:paraId="39C77357" w14:textId="77777777" w:rsidR="00896E2D" w:rsidRPr="00896E2D" w:rsidRDefault="00896E2D" w:rsidP="002A4D3E">
      <w:pPr>
        <w:spacing w:line="360" w:lineRule="auto"/>
        <w:rPr>
          <w:rFonts w:ascii="Arial" w:hAnsi="Arial" w:cs="Arial"/>
          <w:sz w:val="22"/>
          <w:szCs w:val="22"/>
        </w:rPr>
      </w:pPr>
      <w:r w:rsidRPr="00896E2D">
        <w:rPr>
          <w:rFonts w:ascii="Arial" w:hAnsi="Arial" w:cs="Arial"/>
          <w:sz w:val="22"/>
          <w:szCs w:val="22"/>
        </w:rPr>
        <w:t>The search strategy combined Medical Subject Headings (</w:t>
      </w:r>
      <w:proofErr w:type="spellStart"/>
      <w:r w:rsidRPr="00896E2D">
        <w:rPr>
          <w:rFonts w:ascii="Arial" w:hAnsi="Arial" w:cs="Arial"/>
          <w:sz w:val="22"/>
          <w:szCs w:val="22"/>
        </w:rPr>
        <w:t>MeSH</w:t>
      </w:r>
      <w:proofErr w:type="spellEnd"/>
      <w:r w:rsidRPr="00896E2D">
        <w:rPr>
          <w:rFonts w:ascii="Arial" w:hAnsi="Arial" w:cs="Arial"/>
          <w:sz w:val="22"/>
          <w:szCs w:val="22"/>
        </w:rPr>
        <w:t>), database subject headings and free-text keywords using Boolean operators (AND/OR). The principal search terms included:</w:t>
      </w:r>
    </w:p>
    <w:p w14:paraId="33A0B3BD" w14:textId="77777777" w:rsidR="00896E2D" w:rsidRPr="00896E2D" w:rsidRDefault="00896E2D" w:rsidP="002A4D3E">
      <w:pPr>
        <w:numPr>
          <w:ilvl w:val="0"/>
          <w:numId w:val="2"/>
        </w:numPr>
        <w:spacing w:line="360" w:lineRule="auto"/>
        <w:rPr>
          <w:rFonts w:ascii="Arial" w:hAnsi="Arial" w:cs="Arial"/>
          <w:sz w:val="22"/>
          <w:szCs w:val="22"/>
        </w:rPr>
      </w:pPr>
      <w:r w:rsidRPr="00896E2D">
        <w:rPr>
          <w:rFonts w:ascii="Arial" w:hAnsi="Arial" w:cs="Arial"/>
          <w:sz w:val="22"/>
          <w:szCs w:val="22"/>
        </w:rPr>
        <w:t>"</w:t>
      </w:r>
      <w:proofErr w:type="gramStart"/>
      <w:r w:rsidRPr="00896E2D">
        <w:rPr>
          <w:rFonts w:ascii="Arial" w:hAnsi="Arial" w:cs="Arial"/>
          <w:sz w:val="22"/>
          <w:szCs w:val="22"/>
        </w:rPr>
        <w:t>substance</w:t>
      </w:r>
      <w:proofErr w:type="gramEnd"/>
      <w:r w:rsidRPr="00896E2D">
        <w:rPr>
          <w:rFonts w:ascii="Arial" w:hAnsi="Arial" w:cs="Arial"/>
          <w:sz w:val="22"/>
          <w:szCs w:val="22"/>
        </w:rPr>
        <w:t xml:space="preserve"> misuse"</w:t>
      </w:r>
    </w:p>
    <w:p w14:paraId="371C190D" w14:textId="77777777" w:rsidR="00896E2D" w:rsidRPr="00896E2D" w:rsidRDefault="00896E2D" w:rsidP="002A4D3E">
      <w:pPr>
        <w:numPr>
          <w:ilvl w:val="0"/>
          <w:numId w:val="2"/>
        </w:numPr>
        <w:spacing w:line="360" w:lineRule="auto"/>
        <w:rPr>
          <w:rFonts w:ascii="Arial" w:hAnsi="Arial" w:cs="Arial"/>
          <w:sz w:val="22"/>
          <w:szCs w:val="22"/>
        </w:rPr>
      </w:pPr>
      <w:r w:rsidRPr="00896E2D">
        <w:rPr>
          <w:rFonts w:ascii="Arial" w:hAnsi="Arial" w:cs="Arial"/>
          <w:sz w:val="22"/>
          <w:szCs w:val="22"/>
        </w:rPr>
        <w:t>"</w:t>
      </w:r>
      <w:proofErr w:type="gramStart"/>
      <w:r w:rsidRPr="00896E2D">
        <w:rPr>
          <w:rFonts w:ascii="Arial" w:hAnsi="Arial" w:cs="Arial"/>
          <w:sz w:val="22"/>
          <w:szCs w:val="22"/>
        </w:rPr>
        <w:t>drug</w:t>
      </w:r>
      <w:proofErr w:type="gramEnd"/>
      <w:r w:rsidRPr="00896E2D">
        <w:rPr>
          <w:rFonts w:ascii="Arial" w:hAnsi="Arial" w:cs="Arial"/>
          <w:sz w:val="22"/>
          <w:szCs w:val="22"/>
        </w:rPr>
        <w:t xml:space="preserve"> use"</w:t>
      </w:r>
    </w:p>
    <w:p w14:paraId="4BF9D4D3" w14:textId="77777777" w:rsidR="00896E2D" w:rsidRPr="00896E2D" w:rsidRDefault="00896E2D" w:rsidP="002A4D3E">
      <w:pPr>
        <w:numPr>
          <w:ilvl w:val="0"/>
          <w:numId w:val="2"/>
        </w:numPr>
        <w:spacing w:line="360" w:lineRule="auto"/>
        <w:rPr>
          <w:rFonts w:ascii="Arial" w:hAnsi="Arial" w:cs="Arial"/>
          <w:sz w:val="22"/>
          <w:szCs w:val="22"/>
        </w:rPr>
      </w:pPr>
      <w:r w:rsidRPr="00896E2D">
        <w:rPr>
          <w:rFonts w:ascii="Arial" w:hAnsi="Arial" w:cs="Arial"/>
          <w:sz w:val="22"/>
          <w:szCs w:val="22"/>
        </w:rPr>
        <w:t>"</w:t>
      </w:r>
      <w:proofErr w:type="gramStart"/>
      <w:r w:rsidRPr="00896E2D">
        <w:rPr>
          <w:rFonts w:ascii="Arial" w:hAnsi="Arial" w:cs="Arial"/>
          <w:sz w:val="22"/>
          <w:szCs w:val="22"/>
        </w:rPr>
        <w:t>alcohol</w:t>
      </w:r>
      <w:proofErr w:type="gramEnd"/>
      <w:r w:rsidRPr="00896E2D">
        <w:rPr>
          <w:rFonts w:ascii="Arial" w:hAnsi="Arial" w:cs="Arial"/>
          <w:sz w:val="22"/>
          <w:szCs w:val="22"/>
        </w:rPr>
        <w:t xml:space="preserve"> misuse"</w:t>
      </w:r>
    </w:p>
    <w:p w14:paraId="4A6678F8" w14:textId="77777777" w:rsidR="00896E2D" w:rsidRPr="00896E2D" w:rsidRDefault="00896E2D" w:rsidP="002A4D3E">
      <w:pPr>
        <w:numPr>
          <w:ilvl w:val="0"/>
          <w:numId w:val="2"/>
        </w:numPr>
        <w:spacing w:line="360" w:lineRule="auto"/>
        <w:rPr>
          <w:rFonts w:ascii="Arial" w:hAnsi="Arial" w:cs="Arial"/>
          <w:sz w:val="22"/>
          <w:szCs w:val="22"/>
        </w:rPr>
      </w:pPr>
      <w:r w:rsidRPr="00896E2D">
        <w:rPr>
          <w:rFonts w:ascii="Arial" w:hAnsi="Arial" w:cs="Arial"/>
          <w:sz w:val="22"/>
          <w:szCs w:val="22"/>
        </w:rPr>
        <w:t>"</w:t>
      </w:r>
      <w:proofErr w:type="gramStart"/>
      <w:r w:rsidRPr="00896E2D">
        <w:rPr>
          <w:rFonts w:ascii="Arial" w:hAnsi="Arial" w:cs="Arial"/>
          <w:sz w:val="22"/>
          <w:szCs w:val="22"/>
        </w:rPr>
        <w:t>young</w:t>
      </w:r>
      <w:proofErr w:type="gramEnd"/>
      <w:r w:rsidRPr="00896E2D">
        <w:rPr>
          <w:rFonts w:ascii="Arial" w:hAnsi="Arial" w:cs="Arial"/>
          <w:sz w:val="22"/>
          <w:szCs w:val="22"/>
        </w:rPr>
        <w:t xml:space="preserve"> adults"</w:t>
      </w:r>
    </w:p>
    <w:p w14:paraId="583BA586" w14:textId="77777777" w:rsidR="00896E2D" w:rsidRPr="00896E2D" w:rsidRDefault="00896E2D" w:rsidP="002A4D3E">
      <w:pPr>
        <w:numPr>
          <w:ilvl w:val="0"/>
          <w:numId w:val="2"/>
        </w:numPr>
        <w:spacing w:line="360" w:lineRule="auto"/>
        <w:rPr>
          <w:rFonts w:ascii="Arial" w:hAnsi="Arial" w:cs="Arial"/>
          <w:sz w:val="22"/>
          <w:szCs w:val="22"/>
        </w:rPr>
      </w:pPr>
      <w:r w:rsidRPr="00896E2D">
        <w:rPr>
          <w:rFonts w:ascii="Arial" w:hAnsi="Arial" w:cs="Arial"/>
          <w:sz w:val="22"/>
          <w:szCs w:val="22"/>
        </w:rPr>
        <w:t>"18–25 years"</w:t>
      </w:r>
    </w:p>
    <w:p w14:paraId="0349E0F2" w14:textId="77777777" w:rsidR="00896E2D" w:rsidRPr="00896E2D" w:rsidRDefault="00896E2D" w:rsidP="002A4D3E">
      <w:pPr>
        <w:numPr>
          <w:ilvl w:val="0"/>
          <w:numId w:val="2"/>
        </w:numPr>
        <w:spacing w:line="360" w:lineRule="auto"/>
        <w:rPr>
          <w:rFonts w:ascii="Arial" w:hAnsi="Arial" w:cs="Arial"/>
          <w:sz w:val="22"/>
          <w:szCs w:val="22"/>
        </w:rPr>
      </w:pPr>
      <w:r w:rsidRPr="00896E2D">
        <w:rPr>
          <w:rFonts w:ascii="Arial" w:hAnsi="Arial" w:cs="Arial"/>
          <w:sz w:val="22"/>
          <w:szCs w:val="22"/>
        </w:rPr>
        <w:t>"</w:t>
      </w:r>
      <w:proofErr w:type="gramStart"/>
      <w:r w:rsidRPr="00896E2D">
        <w:rPr>
          <w:rFonts w:ascii="Arial" w:hAnsi="Arial" w:cs="Arial"/>
          <w:sz w:val="22"/>
          <w:szCs w:val="22"/>
        </w:rPr>
        <w:t>emerging</w:t>
      </w:r>
      <w:proofErr w:type="gramEnd"/>
      <w:r w:rsidRPr="00896E2D">
        <w:rPr>
          <w:rFonts w:ascii="Arial" w:hAnsi="Arial" w:cs="Arial"/>
          <w:sz w:val="22"/>
          <w:szCs w:val="22"/>
        </w:rPr>
        <w:t xml:space="preserve"> adults"</w:t>
      </w:r>
    </w:p>
    <w:p w14:paraId="44476088" w14:textId="77777777" w:rsidR="00896E2D" w:rsidRPr="00896E2D" w:rsidRDefault="00896E2D" w:rsidP="002A4D3E">
      <w:pPr>
        <w:numPr>
          <w:ilvl w:val="0"/>
          <w:numId w:val="2"/>
        </w:numPr>
        <w:spacing w:line="360" w:lineRule="auto"/>
        <w:rPr>
          <w:rFonts w:ascii="Arial" w:hAnsi="Arial" w:cs="Arial"/>
          <w:sz w:val="22"/>
          <w:szCs w:val="22"/>
        </w:rPr>
      </w:pPr>
      <w:r w:rsidRPr="00896E2D">
        <w:rPr>
          <w:rFonts w:ascii="Arial" w:hAnsi="Arial" w:cs="Arial"/>
          <w:sz w:val="22"/>
          <w:szCs w:val="22"/>
        </w:rPr>
        <w:t>"United Kingdom"</w:t>
      </w:r>
    </w:p>
    <w:p w14:paraId="014F193B" w14:textId="77777777" w:rsidR="00896E2D" w:rsidRPr="00896E2D" w:rsidRDefault="00896E2D" w:rsidP="002A4D3E">
      <w:pPr>
        <w:spacing w:line="360" w:lineRule="auto"/>
        <w:rPr>
          <w:rFonts w:ascii="Arial" w:hAnsi="Arial" w:cs="Arial"/>
          <w:sz w:val="22"/>
          <w:szCs w:val="22"/>
        </w:rPr>
      </w:pPr>
      <w:r w:rsidRPr="00896E2D">
        <w:rPr>
          <w:rFonts w:ascii="Arial" w:hAnsi="Arial" w:cs="Arial"/>
          <w:sz w:val="22"/>
          <w:szCs w:val="22"/>
        </w:rPr>
        <w:t>An example search string was:</w:t>
      </w:r>
    </w:p>
    <w:p w14:paraId="52878C0D" w14:textId="77777777" w:rsidR="00896E2D" w:rsidRPr="00896E2D" w:rsidRDefault="00896E2D" w:rsidP="002A4D3E">
      <w:pPr>
        <w:spacing w:line="360" w:lineRule="auto"/>
        <w:rPr>
          <w:rFonts w:ascii="Arial" w:hAnsi="Arial" w:cs="Arial"/>
          <w:sz w:val="22"/>
          <w:szCs w:val="22"/>
        </w:rPr>
      </w:pPr>
      <w:r w:rsidRPr="00896E2D">
        <w:rPr>
          <w:rFonts w:ascii="Arial" w:hAnsi="Arial" w:cs="Arial"/>
          <w:sz w:val="22"/>
          <w:szCs w:val="22"/>
        </w:rPr>
        <w:t>("substance misuse" OR "drug use" OR "alcohol misuse") AND ("young adults" OR "18–25 years" OR "emerging adults") AND ("United Kingdom" OR UK OR England)</w:t>
      </w:r>
    </w:p>
    <w:p w14:paraId="3514C197" w14:textId="77777777" w:rsidR="00896E2D" w:rsidRPr="00896E2D" w:rsidRDefault="00896E2D" w:rsidP="002A4D3E">
      <w:pPr>
        <w:spacing w:line="360" w:lineRule="auto"/>
        <w:rPr>
          <w:rFonts w:ascii="Arial" w:hAnsi="Arial" w:cs="Arial"/>
          <w:sz w:val="22"/>
          <w:szCs w:val="22"/>
        </w:rPr>
      </w:pPr>
      <w:r w:rsidRPr="00896E2D">
        <w:rPr>
          <w:rFonts w:ascii="Arial" w:hAnsi="Arial" w:cs="Arial"/>
          <w:sz w:val="22"/>
          <w:szCs w:val="22"/>
        </w:rPr>
        <w:t>Reference lists of relevant articles were also examined to identify additional studies that met the eligibility criteria.</w:t>
      </w:r>
    </w:p>
    <w:p w14:paraId="3AD61074" w14:textId="76A0F65F" w:rsidR="00896E2D" w:rsidRPr="002A4D3E" w:rsidRDefault="00896E2D" w:rsidP="002A4D3E">
      <w:pPr>
        <w:spacing w:line="360" w:lineRule="auto"/>
        <w:rPr>
          <w:rFonts w:ascii="Arial" w:hAnsi="Arial" w:cs="Arial"/>
          <w:sz w:val="22"/>
          <w:szCs w:val="22"/>
        </w:rPr>
      </w:pPr>
      <w:r w:rsidRPr="002A4D3E">
        <w:rPr>
          <w:rFonts w:ascii="Arial" w:hAnsi="Arial" w:cs="Arial"/>
          <w:sz w:val="22"/>
          <w:szCs w:val="22"/>
        </w:rPr>
        <w:t xml:space="preserve">Eligibility criteria </w:t>
      </w:r>
    </w:p>
    <w:p w14:paraId="000E9199" w14:textId="5CD79FC7" w:rsidR="00896E2D" w:rsidRPr="002A4D3E" w:rsidRDefault="00896E2D" w:rsidP="002A4D3E">
      <w:pPr>
        <w:spacing w:line="360" w:lineRule="auto"/>
        <w:rPr>
          <w:rFonts w:ascii="Arial" w:hAnsi="Arial" w:cs="Arial"/>
          <w:sz w:val="22"/>
          <w:szCs w:val="22"/>
        </w:rPr>
      </w:pPr>
      <w:r w:rsidRPr="002A4D3E">
        <w:rPr>
          <w:rFonts w:ascii="Arial" w:hAnsi="Arial" w:cs="Arial"/>
          <w:sz w:val="22"/>
          <w:szCs w:val="22"/>
        </w:rPr>
        <w:lastRenderedPageBreak/>
        <w:t>Studies were selected according to predefined inclusion and exclusion criteria to ensure consistency throughout the screening process.</w:t>
      </w:r>
    </w:p>
    <w:p w14:paraId="3316BAC7" w14:textId="77777777" w:rsidR="002A5E3B" w:rsidRPr="002A5E3B" w:rsidRDefault="002A5E3B" w:rsidP="002A4D3E">
      <w:pPr>
        <w:spacing w:line="360" w:lineRule="auto"/>
        <w:rPr>
          <w:rFonts w:ascii="Arial" w:hAnsi="Arial" w:cs="Arial"/>
          <w:b/>
          <w:bCs/>
          <w:sz w:val="22"/>
          <w:szCs w:val="22"/>
        </w:rPr>
      </w:pPr>
      <w:r w:rsidRPr="002A5E3B">
        <w:rPr>
          <w:rFonts w:ascii="Arial" w:hAnsi="Arial" w:cs="Arial"/>
          <w:b/>
          <w:bCs/>
          <w:sz w:val="22"/>
          <w:szCs w:val="22"/>
        </w:rPr>
        <w:t>Inclusion criteria</w:t>
      </w:r>
    </w:p>
    <w:p w14:paraId="0A082C87" w14:textId="77777777" w:rsidR="002A5E3B" w:rsidRPr="002A5E3B" w:rsidRDefault="002A5E3B" w:rsidP="002A4D3E">
      <w:pPr>
        <w:numPr>
          <w:ilvl w:val="0"/>
          <w:numId w:val="3"/>
        </w:numPr>
        <w:spacing w:line="360" w:lineRule="auto"/>
        <w:rPr>
          <w:rFonts w:ascii="Arial" w:hAnsi="Arial" w:cs="Arial"/>
          <w:sz w:val="22"/>
          <w:szCs w:val="22"/>
        </w:rPr>
      </w:pPr>
      <w:r w:rsidRPr="002A5E3B">
        <w:rPr>
          <w:rFonts w:ascii="Arial" w:hAnsi="Arial" w:cs="Arial"/>
          <w:sz w:val="22"/>
          <w:szCs w:val="22"/>
        </w:rPr>
        <w:t>Peer-reviewed journal articles.</w:t>
      </w:r>
    </w:p>
    <w:p w14:paraId="76A0EE69" w14:textId="77777777" w:rsidR="002A5E3B" w:rsidRPr="002A5E3B" w:rsidRDefault="002A5E3B" w:rsidP="002A4D3E">
      <w:pPr>
        <w:numPr>
          <w:ilvl w:val="0"/>
          <w:numId w:val="3"/>
        </w:numPr>
        <w:spacing w:line="360" w:lineRule="auto"/>
        <w:rPr>
          <w:rFonts w:ascii="Arial" w:hAnsi="Arial" w:cs="Arial"/>
          <w:sz w:val="22"/>
          <w:szCs w:val="22"/>
        </w:rPr>
      </w:pPr>
      <w:r w:rsidRPr="002A5E3B">
        <w:rPr>
          <w:rFonts w:ascii="Arial" w:hAnsi="Arial" w:cs="Arial"/>
          <w:sz w:val="22"/>
          <w:szCs w:val="22"/>
        </w:rPr>
        <w:t>Published in English.</w:t>
      </w:r>
    </w:p>
    <w:p w14:paraId="16E73B44" w14:textId="77777777" w:rsidR="002A5E3B" w:rsidRPr="002A5E3B" w:rsidRDefault="002A5E3B" w:rsidP="002A4D3E">
      <w:pPr>
        <w:numPr>
          <w:ilvl w:val="0"/>
          <w:numId w:val="3"/>
        </w:numPr>
        <w:spacing w:line="360" w:lineRule="auto"/>
        <w:rPr>
          <w:rFonts w:ascii="Arial" w:hAnsi="Arial" w:cs="Arial"/>
          <w:sz w:val="22"/>
          <w:szCs w:val="22"/>
        </w:rPr>
      </w:pPr>
      <w:r w:rsidRPr="002A5E3B">
        <w:rPr>
          <w:rFonts w:ascii="Arial" w:hAnsi="Arial" w:cs="Arial"/>
          <w:sz w:val="22"/>
          <w:szCs w:val="22"/>
        </w:rPr>
        <w:t>Published between 2015 and 2026.</w:t>
      </w:r>
    </w:p>
    <w:p w14:paraId="3FD962C4" w14:textId="77777777" w:rsidR="002A5E3B" w:rsidRPr="002A5E3B" w:rsidRDefault="002A5E3B" w:rsidP="002A4D3E">
      <w:pPr>
        <w:numPr>
          <w:ilvl w:val="0"/>
          <w:numId w:val="3"/>
        </w:numPr>
        <w:spacing w:line="360" w:lineRule="auto"/>
        <w:rPr>
          <w:rFonts w:ascii="Arial" w:hAnsi="Arial" w:cs="Arial"/>
          <w:sz w:val="22"/>
          <w:szCs w:val="22"/>
        </w:rPr>
      </w:pPr>
      <w:r w:rsidRPr="002A5E3B">
        <w:rPr>
          <w:rFonts w:ascii="Arial" w:hAnsi="Arial" w:cs="Arial"/>
          <w:sz w:val="22"/>
          <w:szCs w:val="22"/>
        </w:rPr>
        <w:t>Primary or secondary research.</w:t>
      </w:r>
    </w:p>
    <w:p w14:paraId="11AEC27C" w14:textId="77777777" w:rsidR="002A5E3B" w:rsidRPr="002A5E3B" w:rsidRDefault="002A5E3B" w:rsidP="002A4D3E">
      <w:pPr>
        <w:numPr>
          <w:ilvl w:val="0"/>
          <w:numId w:val="3"/>
        </w:numPr>
        <w:spacing w:line="360" w:lineRule="auto"/>
        <w:rPr>
          <w:rFonts w:ascii="Arial" w:hAnsi="Arial" w:cs="Arial"/>
          <w:sz w:val="22"/>
          <w:szCs w:val="22"/>
        </w:rPr>
      </w:pPr>
      <w:r w:rsidRPr="002A5E3B">
        <w:rPr>
          <w:rFonts w:ascii="Arial" w:hAnsi="Arial" w:cs="Arial"/>
          <w:sz w:val="22"/>
          <w:szCs w:val="22"/>
        </w:rPr>
        <w:t>Participants aged 18–25 years, or studies reporting separate findings for this age group.</w:t>
      </w:r>
    </w:p>
    <w:p w14:paraId="7867DB3F" w14:textId="77777777" w:rsidR="002A5E3B" w:rsidRPr="002A5E3B" w:rsidRDefault="002A5E3B" w:rsidP="002A4D3E">
      <w:pPr>
        <w:numPr>
          <w:ilvl w:val="0"/>
          <w:numId w:val="3"/>
        </w:numPr>
        <w:spacing w:line="360" w:lineRule="auto"/>
        <w:rPr>
          <w:rFonts w:ascii="Arial" w:hAnsi="Arial" w:cs="Arial"/>
          <w:sz w:val="22"/>
          <w:szCs w:val="22"/>
        </w:rPr>
      </w:pPr>
      <w:r w:rsidRPr="002A5E3B">
        <w:rPr>
          <w:rFonts w:ascii="Arial" w:hAnsi="Arial" w:cs="Arial"/>
          <w:sz w:val="22"/>
          <w:szCs w:val="22"/>
        </w:rPr>
        <w:t>Research examining alcohol misuse, illicit drug use or substance misuse.</w:t>
      </w:r>
    </w:p>
    <w:p w14:paraId="4352F5AD" w14:textId="77777777" w:rsidR="002A5E3B" w:rsidRPr="002A5E3B" w:rsidRDefault="002A5E3B" w:rsidP="002A4D3E">
      <w:pPr>
        <w:numPr>
          <w:ilvl w:val="0"/>
          <w:numId w:val="3"/>
        </w:numPr>
        <w:spacing w:line="360" w:lineRule="auto"/>
        <w:rPr>
          <w:rFonts w:ascii="Arial" w:hAnsi="Arial" w:cs="Arial"/>
          <w:sz w:val="22"/>
          <w:szCs w:val="22"/>
        </w:rPr>
      </w:pPr>
      <w:r w:rsidRPr="002A5E3B">
        <w:rPr>
          <w:rFonts w:ascii="Arial" w:hAnsi="Arial" w:cs="Arial"/>
          <w:sz w:val="22"/>
          <w:szCs w:val="22"/>
        </w:rPr>
        <w:t>Studies conducted within the United Kingdom or containing findings directly applicable to UK health and social care practice.</w:t>
      </w:r>
    </w:p>
    <w:p w14:paraId="60A7B600" w14:textId="77777777" w:rsidR="002A5E3B" w:rsidRPr="002A5E3B" w:rsidRDefault="002A5E3B" w:rsidP="002A4D3E">
      <w:pPr>
        <w:spacing w:line="360" w:lineRule="auto"/>
        <w:rPr>
          <w:rFonts w:ascii="Arial" w:hAnsi="Arial" w:cs="Arial"/>
          <w:b/>
          <w:bCs/>
          <w:sz w:val="22"/>
          <w:szCs w:val="22"/>
        </w:rPr>
      </w:pPr>
      <w:r w:rsidRPr="002A5E3B">
        <w:rPr>
          <w:rFonts w:ascii="Arial" w:hAnsi="Arial" w:cs="Arial"/>
          <w:b/>
          <w:bCs/>
          <w:sz w:val="22"/>
          <w:szCs w:val="22"/>
        </w:rPr>
        <w:t>Exclusion criteria</w:t>
      </w:r>
    </w:p>
    <w:p w14:paraId="1CFE1B22" w14:textId="77777777" w:rsidR="002A5E3B" w:rsidRPr="002A5E3B" w:rsidRDefault="002A5E3B" w:rsidP="002A4D3E">
      <w:pPr>
        <w:numPr>
          <w:ilvl w:val="0"/>
          <w:numId w:val="4"/>
        </w:numPr>
        <w:spacing w:line="360" w:lineRule="auto"/>
        <w:rPr>
          <w:rFonts w:ascii="Arial" w:hAnsi="Arial" w:cs="Arial"/>
          <w:sz w:val="22"/>
          <w:szCs w:val="22"/>
        </w:rPr>
      </w:pPr>
      <w:r w:rsidRPr="002A5E3B">
        <w:rPr>
          <w:rFonts w:ascii="Arial" w:hAnsi="Arial" w:cs="Arial"/>
          <w:sz w:val="22"/>
          <w:szCs w:val="22"/>
        </w:rPr>
        <w:t>Grey literature, editorials, opinion articles and conference abstracts.</w:t>
      </w:r>
    </w:p>
    <w:p w14:paraId="5B63A7DD" w14:textId="77777777" w:rsidR="002A5E3B" w:rsidRPr="002A5E3B" w:rsidRDefault="002A5E3B" w:rsidP="002A4D3E">
      <w:pPr>
        <w:numPr>
          <w:ilvl w:val="0"/>
          <w:numId w:val="4"/>
        </w:numPr>
        <w:spacing w:line="360" w:lineRule="auto"/>
        <w:rPr>
          <w:rFonts w:ascii="Arial" w:hAnsi="Arial" w:cs="Arial"/>
          <w:sz w:val="22"/>
          <w:szCs w:val="22"/>
        </w:rPr>
      </w:pPr>
      <w:r w:rsidRPr="002A5E3B">
        <w:rPr>
          <w:rFonts w:ascii="Arial" w:hAnsi="Arial" w:cs="Arial"/>
          <w:sz w:val="22"/>
          <w:szCs w:val="22"/>
        </w:rPr>
        <w:t>Studies involving participants younger than 18 years without separate analysis for young adults.</w:t>
      </w:r>
    </w:p>
    <w:p w14:paraId="192BB230" w14:textId="77777777" w:rsidR="002A5E3B" w:rsidRPr="002A5E3B" w:rsidRDefault="002A5E3B" w:rsidP="002A4D3E">
      <w:pPr>
        <w:numPr>
          <w:ilvl w:val="0"/>
          <w:numId w:val="4"/>
        </w:numPr>
        <w:spacing w:line="360" w:lineRule="auto"/>
        <w:rPr>
          <w:rFonts w:ascii="Arial" w:hAnsi="Arial" w:cs="Arial"/>
          <w:sz w:val="22"/>
          <w:szCs w:val="22"/>
        </w:rPr>
      </w:pPr>
      <w:r w:rsidRPr="002A5E3B">
        <w:rPr>
          <w:rFonts w:ascii="Arial" w:hAnsi="Arial" w:cs="Arial"/>
          <w:sz w:val="22"/>
          <w:szCs w:val="22"/>
        </w:rPr>
        <w:t>Research focusing exclusively on tobacco or nicotine use.</w:t>
      </w:r>
    </w:p>
    <w:p w14:paraId="3C5F9A4E" w14:textId="77777777" w:rsidR="002A5E3B" w:rsidRPr="002A5E3B" w:rsidRDefault="002A5E3B" w:rsidP="002A4D3E">
      <w:pPr>
        <w:numPr>
          <w:ilvl w:val="0"/>
          <w:numId w:val="4"/>
        </w:numPr>
        <w:spacing w:line="360" w:lineRule="auto"/>
        <w:rPr>
          <w:rFonts w:ascii="Arial" w:hAnsi="Arial" w:cs="Arial"/>
          <w:sz w:val="22"/>
          <w:szCs w:val="22"/>
        </w:rPr>
      </w:pPr>
      <w:r w:rsidRPr="002A5E3B">
        <w:rPr>
          <w:rFonts w:ascii="Arial" w:hAnsi="Arial" w:cs="Arial"/>
          <w:sz w:val="22"/>
          <w:szCs w:val="22"/>
        </w:rPr>
        <w:t>Non-English publications.</w:t>
      </w:r>
    </w:p>
    <w:p w14:paraId="3AAF6506" w14:textId="77777777" w:rsidR="002A5E3B" w:rsidRPr="002A5E3B" w:rsidRDefault="002A5E3B" w:rsidP="002A4D3E">
      <w:pPr>
        <w:numPr>
          <w:ilvl w:val="0"/>
          <w:numId w:val="4"/>
        </w:numPr>
        <w:spacing w:line="360" w:lineRule="auto"/>
        <w:rPr>
          <w:rFonts w:ascii="Arial" w:hAnsi="Arial" w:cs="Arial"/>
          <w:sz w:val="22"/>
          <w:szCs w:val="22"/>
        </w:rPr>
      </w:pPr>
      <w:r w:rsidRPr="002A5E3B">
        <w:rPr>
          <w:rFonts w:ascii="Arial" w:hAnsi="Arial" w:cs="Arial"/>
          <w:sz w:val="22"/>
          <w:szCs w:val="22"/>
        </w:rPr>
        <w:t>Articles where the full text was unavailable.</w:t>
      </w:r>
    </w:p>
    <w:p w14:paraId="75C363FA" w14:textId="77777777" w:rsidR="002A5E3B" w:rsidRPr="00576508" w:rsidRDefault="002A5E3B" w:rsidP="002A4D3E">
      <w:pPr>
        <w:spacing w:line="360" w:lineRule="auto"/>
        <w:rPr>
          <w:rFonts w:ascii="Arial" w:hAnsi="Arial" w:cs="Arial"/>
          <w:b/>
          <w:bCs/>
          <w:sz w:val="22"/>
          <w:szCs w:val="22"/>
        </w:rPr>
      </w:pPr>
      <w:r w:rsidRPr="00576508">
        <w:rPr>
          <w:rFonts w:ascii="Arial" w:hAnsi="Arial" w:cs="Arial"/>
          <w:b/>
          <w:bCs/>
          <w:sz w:val="22"/>
          <w:szCs w:val="22"/>
        </w:rPr>
        <w:t>Study Selection</w:t>
      </w:r>
    </w:p>
    <w:p w14:paraId="63DF74FD" w14:textId="77777777" w:rsidR="002A5E3B" w:rsidRPr="002A5E3B" w:rsidRDefault="002A5E3B" w:rsidP="002A4D3E">
      <w:pPr>
        <w:spacing w:line="360" w:lineRule="auto"/>
        <w:rPr>
          <w:rFonts w:ascii="Arial" w:hAnsi="Arial" w:cs="Arial"/>
          <w:sz w:val="22"/>
          <w:szCs w:val="22"/>
        </w:rPr>
      </w:pPr>
      <w:r w:rsidRPr="002A5E3B">
        <w:rPr>
          <w:rFonts w:ascii="Arial" w:hAnsi="Arial" w:cs="Arial"/>
          <w:sz w:val="22"/>
          <w:szCs w:val="22"/>
        </w:rPr>
        <w:t>Following completion of the database searches, duplicate records were removed. Titles and abstracts were screened against the inclusion criteria before potentially eligible articles underwent full-text review. The screening process aimed to identify studies that directly addressed the review question regarding factors influencing substance misuse among young adults aged 18–25 years.</w:t>
      </w:r>
    </w:p>
    <w:p w14:paraId="0E9801D4" w14:textId="77777777" w:rsidR="002A5E3B" w:rsidRPr="002A5E3B" w:rsidRDefault="002A5E3B" w:rsidP="002A4D3E">
      <w:pPr>
        <w:spacing w:line="360" w:lineRule="auto"/>
        <w:rPr>
          <w:rFonts w:ascii="Arial" w:hAnsi="Arial" w:cs="Arial"/>
          <w:sz w:val="22"/>
          <w:szCs w:val="22"/>
        </w:rPr>
      </w:pPr>
      <w:r w:rsidRPr="002A5E3B">
        <w:rPr>
          <w:rFonts w:ascii="Arial" w:hAnsi="Arial" w:cs="Arial"/>
          <w:sz w:val="22"/>
          <w:szCs w:val="22"/>
        </w:rPr>
        <w:t>Five peer-reviewed studies were ultimately included within the scoping review. These studies represented a range of methodological approaches, including qualitative research, cross-sectional studies and systematic reviews, providing a broad understanding of the factors influencing substance misuse within this population.</w:t>
      </w:r>
    </w:p>
    <w:p w14:paraId="788AD56A" w14:textId="77777777" w:rsidR="002A5E3B" w:rsidRPr="00576508" w:rsidRDefault="002A5E3B" w:rsidP="002A4D3E">
      <w:pPr>
        <w:spacing w:line="360" w:lineRule="auto"/>
        <w:rPr>
          <w:rFonts w:ascii="Arial" w:hAnsi="Arial" w:cs="Arial"/>
          <w:b/>
          <w:bCs/>
          <w:sz w:val="22"/>
          <w:szCs w:val="22"/>
        </w:rPr>
      </w:pPr>
      <w:r w:rsidRPr="00576508">
        <w:rPr>
          <w:rFonts w:ascii="Arial" w:hAnsi="Arial" w:cs="Arial"/>
          <w:b/>
          <w:bCs/>
          <w:sz w:val="22"/>
          <w:szCs w:val="22"/>
        </w:rPr>
        <w:lastRenderedPageBreak/>
        <w:t>Data Extraction</w:t>
      </w:r>
    </w:p>
    <w:p w14:paraId="012A3494" w14:textId="77777777" w:rsidR="002A5E3B" w:rsidRPr="002A5E3B" w:rsidRDefault="002A5E3B" w:rsidP="002A4D3E">
      <w:pPr>
        <w:spacing w:line="360" w:lineRule="auto"/>
        <w:rPr>
          <w:rFonts w:ascii="Arial" w:hAnsi="Arial" w:cs="Arial"/>
          <w:sz w:val="22"/>
          <w:szCs w:val="22"/>
        </w:rPr>
      </w:pPr>
      <w:r w:rsidRPr="002A5E3B">
        <w:rPr>
          <w:rFonts w:ascii="Arial" w:hAnsi="Arial" w:cs="Arial"/>
          <w:sz w:val="22"/>
          <w:szCs w:val="22"/>
        </w:rPr>
        <w:t>Relevant information was extracted from each included study using a structured data extraction table developed specifically for this review. Extracted information included:</w:t>
      </w:r>
    </w:p>
    <w:p w14:paraId="4B2FC8FD"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 xml:space="preserve">author(s) and year of </w:t>
      </w:r>
      <w:proofErr w:type="gramStart"/>
      <w:r w:rsidRPr="002A5E3B">
        <w:rPr>
          <w:rFonts w:ascii="Arial" w:hAnsi="Arial" w:cs="Arial"/>
          <w:sz w:val="22"/>
          <w:szCs w:val="22"/>
        </w:rPr>
        <w:t>publication;</w:t>
      </w:r>
      <w:proofErr w:type="gramEnd"/>
    </w:p>
    <w:p w14:paraId="033E66BC"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 xml:space="preserve">country of </w:t>
      </w:r>
      <w:proofErr w:type="gramStart"/>
      <w:r w:rsidRPr="002A5E3B">
        <w:rPr>
          <w:rFonts w:ascii="Arial" w:hAnsi="Arial" w:cs="Arial"/>
          <w:sz w:val="22"/>
          <w:szCs w:val="22"/>
        </w:rPr>
        <w:t>study;</w:t>
      </w:r>
      <w:proofErr w:type="gramEnd"/>
    </w:p>
    <w:p w14:paraId="0BF7EA8E"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 xml:space="preserve">study </w:t>
      </w:r>
      <w:proofErr w:type="gramStart"/>
      <w:r w:rsidRPr="002A5E3B">
        <w:rPr>
          <w:rFonts w:ascii="Arial" w:hAnsi="Arial" w:cs="Arial"/>
          <w:sz w:val="22"/>
          <w:szCs w:val="22"/>
        </w:rPr>
        <w:t>aims;</w:t>
      </w:r>
      <w:proofErr w:type="gramEnd"/>
    </w:p>
    <w:p w14:paraId="40EDFC2A"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 xml:space="preserve">research </w:t>
      </w:r>
      <w:proofErr w:type="gramStart"/>
      <w:r w:rsidRPr="002A5E3B">
        <w:rPr>
          <w:rFonts w:ascii="Arial" w:hAnsi="Arial" w:cs="Arial"/>
          <w:sz w:val="22"/>
          <w:szCs w:val="22"/>
        </w:rPr>
        <w:t>design;</w:t>
      </w:r>
      <w:proofErr w:type="gramEnd"/>
    </w:p>
    <w:p w14:paraId="04EFB909"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 xml:space="preserve">participant </w:t>
      </w:r>
      <w:proofErr w:type="gramStart"/>
      <w:r w:rsidRPr="002A5E3B">
        <w:rPr>
          <w:rFonts w:ascii="Arial" w:hAnsi="Arial" w:cs="Arial"/>
          <w:sz w:val="22"/>
          <w:szCs w:val="22"/>
        </w:rPr>
        <w:t>characteristics;</w:t>
      </w:r>
      <w:proofErr w:type="gramEnd"/>
    </w:p>
    <w:p w14:paraId="7B9A3408"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 xml:space="preserve">sample </w:t>
      </w:r>
      <w:proofErr w:type="gramStart"/>
      <w:r w:rsidRPr="002A5E3B">
        <w:rPr>
          <w:rFonts w:ascii="Arial" w:hAnsi="Arial" w:cs="Arial"/>
          <w:sz w:val="22"/>
          <w:szCs w:val="22"/>
        </w:rPr>
        <w:t>size;</w:t>
      </w:r>
      <w:proofErr w:type="gramEnd"/>
    </w:p>
    <w:p w14:paraId="65CB05B9"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 xml:space="preserve">methods of data </w:t>
      </w:r>
      <w:proofErr w:type="gramStart"/>
      <w:r w:rsidRPr="002A5E3B">
        <w:rPr>
          <w:rFonts w:ascii="Arial" w:hAnsi="Arial" w:cs="Arial"/>
          <w:sz w:val="22"/>
          <w:szCs w:val="22"/>
        </w:rPr>
        <w:t>collection;</w:t>
      </w:r>
      <w:proofErr w:type="gramEnd"/>
    </w:p>
    <w:p w14:paraId="38A77CEC"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key findings; and</w:t>
      </w:r>
    </w:p>
    <w:p w14:paraId="0C704719" w14:textId="77777777" w:rsidR="002A5E3B" w:rsidRPr="002A5E3B" w:rsidRDefault="002A5E3B" w:rsidP="002A4D3E">
      <w:pPr>
        <w:numPr>
          <w:ilvl w:val="0"/>
          <w:numId w:val="5"/>
        </w:numPr>
        <w:spacing w:line="360" w:lineRule="auto"/>
        <w:rPr>
          <w:rFonts w:ascii="Arial" w:hAnsi="Arial" w:cs="Arial"/>
          <w:sz w:val="22"/>
          <w:szCs w:val="22"/>
        </w:rPr>
      </w:pPr>
      <w:r w:rsidRPr="002A5E3B">
        <w:rPr>
          <w:rFonts w:ascii="Arial" w:hAnsi="Arial" w:cs="Arial"/>
          <w:sz w:val="22"/>
          <w:szCs w:val="22"/>
        </w:rPr>
        <w:t>relevance to the review question.</w:t>
      </w:r>
    </w:p>
    <w:p w14:paraId="4A6449FF" w14:textId="77777777" w:rsidR="002A5E3B" w:rsidRDefault="002A5E3B" w:rsidP="002A4D3E">
      <w:pPr>
        <w:spacing w:line="360" w:lineRule="auto"/>
        <w:rPr>
          <w:rFonts w:ascii="Arial" w:hAnsi="Arial" w:cs="Arial"/>
          <w:sz w:val="22"/>
          <w:szCs w:val="22"/>
        </w:rPr>
      </w:pPr>
      <w:r w:rsidRPr="002A5E3B">
        <w:rPr>
          <w:rFonts w:ascii="Arial" w:hAnsi="Arial" w:cs="Arial"/>
          <w:sz w:val="22"/>
          <w:szCs w:val="22"/>
        </w:rPr>
        <w:t>Using a standardised extraction process enhanced consistency and facilitated comparison across the included studies.</w:t>
      </w:r>
    </w:p>
    <w:p w14:paraId="0EE0EC71" w14:textId="77777777" w:rsidR="00BC14F3" w:rsidRDefault="00BC14F3" w:rsidP="002A4D3E">
      <w:pPr>
        <w:spacing w:line="360" w:lineRule="auto"/>
        <w:rPr>
          <w:rFonts w:ascii="Arial" w:hAnsi="Arial" w:cs="Arial"/>
          <w:sz w:val="22"/>
          <w:szCs w:val="22"/>
        </w:rPr>
      </w:pPr>
    </w:p>
    <w:p w14:paraId="2DBD3C16" w14:textId="77777777" w:rsidR="00BC14F3" w:rsidRDefault="00BC14F3" w:rsidP="002A4D3E">
      <w:pPr>
        <w:spacing w:line="360" w:lineRule="auto"/>
        <w:rPr>
          <w:rFonts w:ascii="Arial" w:hAnsi="Arial" w:cs="Arial"/>
          <w:sz w:val="22"/>
          <w:szCs w:val="22"/>
        </w:rPr>
      </w:pPr>
    </w:p>
    <w:p w14:paraId="33BF5FB9" w14:textId="77777777" w:rsidR="00BC14F3" w:rsidRDefault="00BC14F3" w:rsidP="002A4D3E">
      <w:pPr>
        <w:spacing w:line="360" w:lineRule="auto"/>
        <w:rPr>
          <w:rFonts w:ascii="Arial" w:hAnsi="Arial" w:cs="Arial"/>
          <w:sz w:val="22"/>
          <w:szCs w:val="22"/>
        </w:rPr>
      </w:pPr>
    </w:p>
    <w:p w14:paraId="4787589D" w14:textId="77777777" w:rsidR="00BC14F3" w:rsidRDefault="00BC14F3" w:rsidP="002A4D3E">
      <w:pPr>
        <w:spacing w:line="360" w:lineRule="auto"/>
        <w:rPr>
          <w:rFonts w:ascii="Arial" w:hAnsi="Arial" w:cs="Arial"/>
          <w:sz w:val="22"/>
          <w:szCs w:val="22"/>
        </w:rPr>
      </w:pPr>
    </w:p>
    <w:p w14:paraId="1951CD07" w14:textId="77777777" w:rsidR="00BC14F3" w:rsidRDefault="00BC14F3" w:rsidP="002A4D3E">
      <w:pPr>
        <w:spacing w:line="360" w:lineRule="auto"/>
        <w:rPr>
          <w:rFonts w:ascii="Arial" w:hAnsi="Arial" w:cs="Arial"/>
          <w:sz w:val="22"/>
          <w:szCs w:val="22"/>
        </w:rPr>
      </w:pPr>
    </w:p>
    <w:p w14:paraId="31A96BCB" w14:textId="77777777" w:rsidR="00BC14F3" w:rsidRDefault="00BC14F3" w:rsidP="002A4D3E">
      <w:pPr>
        <w:spacing w:line="360" w:lineRule="auto"/>
        <w:rPr>
          <w:rFonts w:ascii="Arial" w:hAnsi="Arial" w:cs="Arial"/>
          <w:sz w:val="22"/>
          <w:szCs w:val="22"/>
        </w:rPr>
      </w:pPr>
    </w:p>
    <w:p w14:paraId="49A24841" w14:textId="77777777" w:rsidR="00BC14F3" w:rsidRDefault="00BC14F3" w:rsidP="002A4D3E">
      <w:pPr>
        <w:spacing w:line="360" w:lineRule="auto"/>
        <w:rPr>
          <w:rFonts w:ascii="Arial" w:hAnsi="Arial" w:cs="Arial"/>
          <w:sz w:val="22"/>
          <w:szCs w:val="22"/>
        </w:rPr>
      </w:pPr>
    </w:p>
    <w:p w14:paraId="25F903AD" w14:textId="77777777" w:rsidR="00BC14F3" w:rsidRDefault="00BC14F3" w:rsidP="002A4D3E">
      <w:pPr>
        <w:spacing w:line="360" w:lineRule="auto"/>
        <w:rPr>
          <w:rFonts w:ascii="Arial" w:hAnsi="Arial" w:cs="Arial"/>
          <w:sz w:val="22"/>
          <w:szCs w:val="22"/>
        </w:rPr>
      </w:pPr>
    </w:p>
    <w:p w14:paraId="1925B69F" w14:textId="77777777" w:rsidR="00BC14F3" w:rsidRDefault="00BC14F3" w:rsidP="002A4D3E">
      <w:pPr>
        <w:spacing w:line="360" w:lineRule="auto"/>
        <w:rPr>
          <w:rFonts w:ascii="Arial" w:hAnsi="Arial" w:cs="Arial"/>
          <w:sz w:val="22"/>
          <w:szCs w:val="22"/>
        </w:rPr>
      </w:pPr>
    </w:p>
    <w:p w14:paraId="4267B1F4" w14:textId="77777777" w:rsidR="00BC14F3" w:rsidRDefault="00BC14F3" w:rsidP="002A4D3E">
      <w:pPr>
        <w:spacing w:line="360" w:lineRule="auto"/>
        <w:rPr>
          <w:rFonts w:ascii="Arial" w:hAnsi="Arial" w:cs="Arial"/>
          <w:sz w:val="22"/>
          <w:szCs w:val="22"/>
        </w:rPr>
      </w:pPr>
    </w:p>
    <w:p w14:paraId="13332C5B" w14:textId="77777777" w:rsidR="00BC14F3" w:rsidRDefault="00BC14F3" w:rsidP="002A4D3E">
      <w:pPr>
        <w:spacing w:line="360" w:lineRule="auto"/>
        <w:rPr>
          <w:rFonts w:ascii="Arial" w:hAnsi="Arial" w:cs="Arial"/>
          <w:sz w:val="22"/>
          <w:szCs w:val="22"/>
        </w:rPr>
      </w:pPr>
    </w:p>
    <w:p w14:paraId="0E284087" w14:textId="77777777" w:rsidR="00BC14F3" w:rsidRDefault="00BC14F3" w:rsidP="002A4D3E">
      <w:pPr>
        <w:spacing w:line="360" w:lineRule="auto"/>
        <w:rPr>
          <w:rFonts w:ascii="Arial" w:hAnsi="Arial" w:cs="Arial"/>
          <w:sz w:val="22"/>
          <w:szCs w:val="22"/>
        </w:rPr>
      </w:pPr>
    </w:p>
    <w:p w14:paraId="6E2E7705" w14:textId="556AF765" w:rsidR="00BC14F3" w:rsidRDefault="00BC14F3" w:rsidP="002A4D3E">
      <w:pPr>
        <w:spacing w:line="360" w:lineRule="auto"/>
        <w:rPr>
          <w:rFonts w:ascii="Arial" w:hAnsi="Arial" w:cs="Arial"/>
          <w:sz w:val="22"/>
          <w:szCs w:val="22"/>
        </w:rPr>
      </w:pPr>
      <w:r>
        <w:rPr>
          <w:rFonts w:ascii="Arial" w:hAnsi="Arial" w:cs="Arial"/>
          <w:sz w:val="22"/>
          <w:szCs w:val="22"/>
        </w:rPr>
        <w:lastRenderedPageBreak/>
        <w:t>SEARCH RESULTS</w:t>
      </w:r>
    </w:p>
    <w:tbl>
      <w:tblPr>
        <w:tblStyle w:val="TableGrid"/>
        <w:tblW w:w="0" w:type="auto"/>
        <w:tblLook w:val="04A0" w:firstRow="1" w:lastRow="0" w:firstColumn="1" w:lastColumn="0" w:noHBand="0" w:noVBand="1"/>
      </w:tblPr>
      <w:tblGrid>
        <w:gridCol w:w="1498"/>
        <w:gridCol w:w="1500"/>
        <w:gridCol w:w="1533"/>
        <w:gridCol w:w="1493"/>
        <w:gridCol w:w="1493"/>
        <w:gridCol w:w="1499"/>
      </w:tblGrid>
      <w:tr w:rsidR="00BC14F3" w14:paraId="2642B714" w14:textId="77777777" w:rsidTr="0060456E">
        <w:tc>
          <w:tcPr>
            <w:tcW w:w="1502" w:type="dxa"/>
          </w:tcPr>
          <w:p w14:paraId="6657C1C9" w14:textId="77777777" w:rsidR="00BC14F3" w:rsidRDefault="00BC14F3" w:rsidP="0060456E">
            <w:pPr>
              <w:rPr>
                <w:rFonts w:ascii="Arial" w:hAnsi="Arial" w:cs="Arial"/>
                <w:sz w:val="22"/>
                <w:szCs w:val="22"/>
              </w:rPr>
            </w:pPr>
            <w:r>
              <w:rPr>
                <w:rFonts w:ascii="Arial" w:hAnsi="Arial" w:cs="Arial"/>
                <w:sz w:val="22"/>
                <w:szCs w:val="22"/>
              </w:rPr>
              <w:t>DATABASE</w:t>
            </w:r>
          </w:p>
        </w:tc>
        <w:tc>
          <w:tcPr>
            <w:tcW w:w="1502" w:type="dxa"/>
          </w:tcPr>
          <w:p w14:paraId="4FB21974" w14:textId="77777777" w:rsidR="00BC14F3" w:rsidRDefault="00BC14F3" w:rsidP="0060456E">
            <w:pPr>
              <w:rPr>
                <w:rFonts w:ascii="Arial" w:hAnsi="Arial" w:cs="Arial"/>
                <w:sz w:val="22"/>
                <w:szCs w:val="22"/>
              </w:rPr>
            </w:pPr>
            <w:r>
              <w:rPr>
                <w:rFonts w:ascii="Arial" w:hAnsi="Arial" w:cs="Arial"/>
                <w:sz w:val="22"/>
                <w:szCs w:val="22"/>
              </w:rPr>
              <w:t>SEARCH SENTENCE</w:t>
            </w:r>
          </w:p>
        </w:tc>
        <w:tc>
          <w:tcPr>
            <w:tcW w:w="1503" w:type="dxa"/>
          </w:tcPr>
          <w:p w14:paraId="7E876462" w14:textId="77777777" w:rsidR="00BC14F3" w:rsidRDefault="00BC14F3" w:rsidP="0060456E">
            <w:pPr>
              <w:rPr>
                <w:rFonts w:ascii="Arial" w:hAnsi="Arial" w:cs="Arial"/>
                <w:sz w:val="22"/>
                <w:szCs w:val="22"/>
              </w:rPr>
            </w:pPr>
            <w:r>
              <w:rPr>
                <w:rFonts w:ascii="Arial" w:hAnsi="Arial" w:cs="Arial"/>
                <w:sz w:val="22"/>
                <w:szCs w:val="22"/>
              </w:rPr>
              <w:t xml:space="preserve">FILTERS </w:t>
            </w:r>
          </w:p>
        </w:tc>
        <w:tc>
          <w:tcPr>
            <w:tcW w:w="1503" w:type="dxa"/>
          </w:tcPr>
          <w:p w14:paraId="2B22FD5D" w14:textId="77777777" w:rsidR="00BC14F3" w:rsidRDefault="00BC14F3" w:rsidP="0060456E">
            <w:pPr>
              <w:rPr>
                <w:rFonts w:ascii="Arial" w:hAnsi="Arial" w:cs="Arial"/>
                <w:sz w:val="22"/>
                <w:szCs w:val="22"/>
              </w:rPr>
            </w:pPr>
            <w:r>
              <w:rPr>
                <w:rFonts w:ascii="Arial" w:hAnsi="Arial" w:cs="Arial"/>
                <w:sz w:val="22"/>
                <w:szCs w:val="22"/>
              </w:rPr>
              <w:t>BEFORE FILTERS</w:t>
            </w:r>
          </w:p>
        </w:tc>
        <w:tc>
          <w:tcPr>
            <w:tcW w:w="1503" w:type="dxa"/>
          </w:tcPr>
          <w:p w14:paraId="785E92B4" w14:textId="77777777" w:rsidR="00BC14F3" w:rsidRDefault="00BC14F3" w:rsidP="0060456E">
            <w:pPr>
              <w:rPr>
                <w:rFonts w:ascii="Arial" w:hAnsi="Arial" w:cs="Arial"/>
                <w:sz w:val="22"/>
                <w:szCs w:val="22"/>
              </w:rPr>
            </w:pPr>
            <w:r>
              <w:rPr>
                <w:rFonts w:ascii="Arial" w:hAnsi="Arial" w:cs="Arial"/>
                <w:sz w:val="22"/>
                <w:szCs w:val="22"/>
              </w:rPr>
              <w:t>AFTER FILTERS</w:t>
            </w:r>
          </w:p>
        </w:tc>
        <w:tc>
          <w:tcPr>
            <w:tcW w:w="1503" w:type="dxa"/>
          </w:tcPr>
          <w:p w14:paraId="5F2EECE3" w14:textId="77777777" w:rsidR="00BC14F3" w:rsidRDefault="00BC14F3" w:rsidP="0060456E">
            <w:pPr>
              <w:rPr>
                <w:rFonts w:ascii="Arial" w:hAnsi="Arial" w:cs="Arial"/>
                <w:sz w:val="22"/>
                <w:szCs w:val="22"/>
              </w:rPr>
            </w:pPr>
            <w:r>
              <w:rPr>
                <w:rFonts w:ascii="Arial" w:hAnsi="Arial" w:cs="Arial"/>
                <w:sz w:val="22"/>
                <w:szCs w:val="22"/>
              </w:rPr>
              <w:t>DOUBLE RESULTS REMOVED</w:t>
            </w:r>
          </w:p>
        </w:tc>
      </w:tr>
      <w:tr w:rsidR="00BC14F3" w14:paraId="3AF14C91" w14:textId="77777777" w:rsidTr="0060456E">
        <w:tc>
          <w:tcPr>
            <w:tcW w:w="1502" w:type="dxa"/>
          </w:tcPr>
          <w:p w14:paraId="68764258" w14:textId="77777777" w:rsidR="00BC14F3" w:rsidRDefault="00BC14F3" w:rsidP="0060456E">
            <w:pPr>
              <w:rPr>
                <w:rFonts w:ascii="Arial" w:hAnsi="Arial" w:cs="Arial"/>
                <w:sz w:val="22"/>
                <w:szCs w:val="22"/>
              </w:rPr>
            </w:pPr>
            <w:r>
              <w:rPr>
                <w:rFonts w:ascii="Arial" w:hAnsi="Arial" w:cs="Arial"/>
                <w:sz w:val="22"/>
                <w:szCs w:val="22"/>
              </w:rPr>
              <w:t>EBSCO</w:t>
            </w:r>
          </w:p>
        </w:tc>
        <w:tc>
          <w:tcPr>
            <w:tcW w:w="1502" w:type="dxa"/>
          </w:tcPr>
          <w:p w14:paraId="1BDC2022" w14:textId="77777777" w:rsidR="00BC14F3" w:rsidRPr="009D29A3" w:rsidRDefault="00BC14F3" w:rsidP="0060456E">
            <w:pPr>
              <w:rPr>
                <w:rFonts w:ascii="Arial" w:hAnsi="Arial" w:cs="Arial"/>
                <w:sz w:val="12"/>
                <w:szCs w:val="12"/>
              </w:rPr>
            </w:pPr>
            <w:proofErr w:type="gramStart"/>
            <w:r w:rsidRPr="009D29A3">
              <w:rPr>
                <w:rFonts w:ascii="Arial" w:hAnsi="Arial" w:cs="Arial"/>
                <w:sz w:val="12"/>
                <w:szCs w:val="12"/>
              </w:rPr>
              <w:t>( "</w:t>
            </w:r>
            <w:proofErr w:type="gramEnd"/>
            <w:r w:rsidRPr="009D29A3">
              <w:rPr>
                <w:rFonts w:ascii="Arial" w:hAnsi="Arial" w:cs="Arial"/>
                <w:sz w:val="12"/>
                <w:szCs w:val="12"/>
              </w:rPr>
              <w:t>substance misuse" OR "substance abuse" OR "drug addiction" OR "drug use</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young adults" OR "emerging adulthood" OR "youth" OR "students</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18-25" OR "18 to 25" OR "aged 18</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UK" OR "United Kingdom" OR "Britain" OR "England" OR "Scotland" OR "Wales" OR "Northern Ireland</w:t>
            </w:r>
            <w:proofErr w:type="gramStart"/>
            <w:r w:rsidRPr="009D29A3">
              <w:rPr>
                <w:rFonts w:ascii="Arial" w:hAnsi="Arial" w:cs="Arial"/>
                <w:sz w:val="12"/>
                <w:szCs w:val="12"/>
              </w:rPr>
              <w:t>" )</w:t>
            </w:r>
            <w:proofErr w:type="gramEnd"/>
          </w:p>
          <w:p w14:paraId="66C97CFC" w14:textId="77777777" w:rsidR="00BC14F3" w:rsidRDefault="00BC14F3" w:rsidP="0060456E">
            <w:pPr>
              <w:rPr>
                <w:rFonts w:ascii="Arial" w:hAnsi="Arial" w:cs="Arial"/>
                <w:sz w:val="22"/>
                <w:szCs w:val="22"/>
              </w:rPr>
            </w:pPr>
          </w:p>
        </w:tc>
        <w:tc>
          <w:tcPr>
            <w:tcW w:w="1503" w:type="dxa"/>
          </w:tcPr>
          <w:p w14:paraId="5ACCB812" w14:textId="77777777" w:rsidR="00BC14F3" w:rsidRDefault="00BC14F3" w:rsidP="0060456E">
            <w:pPr>
              <w:rPr>
                <w:rFonts w:ascii="Arial" w:hAnsi="Arial" w:cs="Arial"/>
                <w:sz w:val="22"/>
                <w:szCs w:val="22"/>
              </w:rPr>
            </w:pPr>
            <w:r>
              <w:rPr>
                <w:rFonts w:ascii="Arial" w:hAnsi="Arial" w:cs="Arial"/>
                <w:sz w:val="22"/>
                <w:szCs w:val="22"/>
              </w:rPr>
              <w:t>2015-2025</w:t>
            </w:r>
          </w:p>
          <w:p w14:paraId="7ABE7349" w14:textId="77777777" w:rsidR="00BC14F3" w:rsidRDefault="00BC14F3" w:rsidP="0060456E">
            <w:pPr>
              <w:rPr>
                <w:rFonts w:ascii="Arial" w:hAnsi="Arial" w:cs="Arial"/>
                <w:sz w:val="22"/>
                <w:szCs w:val="22"/>
              </w:rPr>
            </w:pPr>
          </w:p>
          <w:p w14:paraId="7759B52C" w14:textId="77777777" w:rsidR="00BC14F3" w:rsidRDefault="00BC14F3" w:rsidP="0060456E">
            <w:pPr>
              <w:rPr>
                <w:rFonts w:ascii="Arial" w:hAnsi="Arial" w:cs="Arial"/>
                <w:sz w:val="22"/>
                <w:szCs w:val="22"/>
              </w:rPr>
            </w:pPr>
            <w:r>
              <w:rPr>
                <w:rFonts w:ascii="Arial" w:hAnsi="Arial" w:cs="Arial"/>
                <w:sz w:val="22"/>
                <w:szCs w:val="22"/>
              </w:rPr>
              <w:t>ENGLISH LANGUAGE</w:t>
            </w:r>
          </w:p>
          <w:p w14:paraId="47884A5A" w14:textId="77777777" w:rsidR="00BC14F3" w:rsidRDefault="00BC14F3" w:rsidP="0060456E">
            <w:pPr>
              <w:rPr>
                <w:rFonts w:ascii="Arial" w:hAnsi="Arial" w:cs="Arial"/>
                <w:sz w:val="22"/>
                <w:szCs w:val="22"/>
              </w:rPr>
            </w:pPr>
          </w:p>
          <w:p w14:paraId="529931CA" w14:textId="77777777" w:rsidR="00BC14F3" w:rsidRDefault="00BC14F3" w:rsidP="0060456E">
            <w:pPr>
              <w:rPr>
                <w:rFonts w:ascii="Arial" w:hAnsi="Arial" w:cs="Arial"/>
                <w:sz w:val="22"/>
                <w:szCs w:val="22"/>
              </w:rPr>
            </w:pPr>
            <w:r>
              <w:rPr>
                <w:rFonts w:ascii="Arial" w:hAnsi="Arial" w:cs="Arial"/>
                <w:sz w:val="22"/>
                <w:szCs w:val="22"/>
              </w:rPr>
              <w:t>SCHOLARLY</w:t>
            </w:r>
          </w:p>
          <w:p w14:paraId="5A17FD14" w14:textId="77777777" w:rsidR="00BC14F3" w:rsidRDefault="00BC14F3" w:rsidP="0060456E">
            <w:pPr>
              <w:rPr>
                <w:rFonts w:ascii="Arial" w:hAnsi="Arial" w:cs="Arial"/>
                <w:sz w:val="22"/>
                <w:szCs w:val="22"/>
              </w:rPr>
            </w:pPr>
            <w:r>
              <w:rPr>
                <w:rFonts w:ascii="Arial" w:hAnsi="Arial" w:cs="Arial"/>
                <w:sz w:val="22"/>
                <w:szCs w:val="22"/>
              </w:rPr>
              <w:t>JOURNALS</w:t>
            </w:r>
          </w:p>
          <w:p w14:paraId="6554DB47" w14:textId="77777777" w:rsidR="00BC14F3" w:rsidRDefault="00BC14F3" w:rsidP="0060456E">
            <w:pPr>
              <w:rPr>
                <w:rFonts w:ascii="Arial" w:hAnsi="Arial" w:cs="Arial"/>
                <w:sz w:val="22"/>
                <w:szCs w:val="22"/>
              </w:rPr>
            </w:pPr>
          </w:p>
          <w:p w14:paraId="036D2C08" w14:textId="77777777" w:rsidR="00BC14F3" w:rsidRDefault="00BC14F3" w:rsidP="0060456E">
            <w:pPr>
              <w:rPr>
                <w:rFonts w:ascii="Arial" w:hAnsi="Arial" w:cs="Arial"/>
                <w:sz w:val="22"/>
                <w:szCs w:val="22"/>
              </w:rPr>
            </w:pPr>
            <w:r>
              <w:rPr>
                <w:rFonts w:ascii="Arial" w:hAnsi="Arial" w:cs="Arial"/>
                <w:sz w:val="22"/>
                <w:szCs w:val="22"/>
              </w:rPr>
              <w:t>PEER REVIEWED</w:t>
            </w:r>
          </w:p>
        </w:tc>
        <w:tc>
          <w:tcPr>
            <w:tcW w:w="1503" w:type="dxa"/>
          </w:tcPr>
          <w:p w14:paraId="0E3EDE57" w14:textId="77777777" w:rsidR="00BC14F3" w:rsidRDefault="00BC14F3" w:rsidP="0060456E">
            <w:pPr>
              <w:rPr>
                <w:rFonts w:ascii="Arial" w:hAnsi="Arial" w:cs="Arial"/>
                <w:sz w:val="22"/>
                <w:szCs w:val="22"/>
              </w:rPr>
            </w:pPr>
            <w:r>
              <w:rPr>
                <w:rFonts w:ascii="Arial" w:hAnsi="Arial" w:cs="Arial"/>
                <w:sz w:val="22"/>
                <w:szCs w:val="22"/>
              </w:rPr>
              <w:t>34</w:t>
            </w:r>
          </w:p>
        </w:tc>
        <w:tc>
          <w:tcPr>
            <w:tcW w:w="1503" w:type="dxa"/>
          </w:tcPr>
          <w:p w14:paraId="1CE46242" w14:textId="77777777" w:rsidR="00BC14F3" w:rsidRDefault="00BC14F3" w:rsidP="0060456E">
            <w:pPr>
              <w:rPr>
                <w:rFonts w:ascii="Arial" w:hAnsi="Arial" w:cs="Arial"/>
                <w:sz w:val="22"/>
                <w:szCs w:val="22"/>
              </w:rPr>
            </w:pPr>
            <w:r>
              <w:rPr>
                <w:rFonts w:ascii="Arial" w:hAnsi="Arial" w:cs="Arial"/>
                <w:sz w:val="22"/>
                <w:szCs w:val="22"/>
              </w:rPr>
              <w:t>9</w:t>
            </w:r>
          </w:p>
        </w:tc>
        <w:tc>
          <w:tcPr>
            <w:tcW w:w="1503" w:type="dxa"/>
          </w:tcPr>
          <w:p w14:paraId="009A4FBA" w14:textId="77777777" w:rsidR="00BC14F3" w:rsidRDefault="00BC14F3" w:rsidP="0060456E">
            <w:pPr>
              <w:rPr>
                <w:rFonts w:ascii="Arial" w:hAnsi="Arial" w:cs="Arial"/>
                <w:sz w:val="22"/>
                <w:szCs w:val="22"/>
              </w:rPr>
            </w:pPr>
            <w:r>
              <w:rPr>
                <w:rFonts w:ascii="Arial" w:hAnsi="Arial" w:cs="Arial"/>
                <w:sz w:val="22"/>
                <w:szCs w:val="22"/>
              </w:rPr>
              <w:t>9</w:t>
            </w:r>
          </w:p>
        </w:tc>
      </w:tr>
      <w:tr w:rsidR="00BC14F3" w14:paraId="4864BEBF" w14:textId="77777777" w:rsidTr="0060456E">
        <w:tc>
          <w:tcPr>
            <w:tcW w:w="1502" w:type="dxa"/>
          </w:tcPr>
          <w:p w14:paraId="561320C8" w14:textId="77777777" w:rsidR="00BC14F3" w:rsidRDefault="00BC14F3" w:rsidP="0060456E">
            <w:pPr>
              <w:rPr>
                <w:rFonts w:ascii="Arial" w:hAnsi="Arial" w:cs="Arial"/>
                <w:sz w:val="22"/>
                <w:szCs w:val="22"/>
              </w:rPr>
            </w:pPr>
            <w:r>
              <w:rPr>
                <w:rFonts w:ascii="Arial" w:hAnsi="Arial" w:cs="Arial"/>
                <w:sz w:val="22"/>
                <w:szCs w:val="22"/>
              </w:rPr>
              <w:t>PRO QUEST CENTRAL</w:t>
            </w:r>
          </w:p>
        </w:tc>
        <w:tc>
          <w:tcPr>
            <w:tcW w:w="1502" w:type="dxa"/>
          </w:tcPr>
          <w:p w14:paraId="36DD7040" w14:textId="77777777" w:rsidR="00BC14F3" w:rsidRPr="009D29A3" w:rsidRDefault="00BC14F3" w:rsidP="0060456E">
            <w:pPr>
              <w:rPr>
                <w:rFonts w:ascii="Arial" w:hAnsi="Arial" w:cs="Arial"/>
                <w:sz w:val="12"/>
                <w:szCs w:val="12"/>
              </w:rPr>
            </w:pPr>
            <w:proofErr w:type="gramStart"/>
            <w:r w:rsidRPr="009D29A3">
              <w:rPr>
                <w:rFonts w:ascii="Arial" w:hAnsi="Arial" w:cs="Arial"/>
                <w:sz w:val="12"/>
                <w:szCs w:val="12"/>
              </w:rPr>
              <w:t>( "</w:t>
            </w:r>
            <w:proofErr w:type="gramEnd"/>
            <w:r w:rsidRPr="009D29A3">
              <w:rPr>
                <w:rFonts w:ascii="Arial" w:hAnsi="Arial" w:cs="Arial"/>
                <w:sz w:val="12"/>
                <w:szCs w:val="12"/>
              </w:rPr>
              <w:t>substance misuse" OR "substance abuse" OR "drug addiction" OR "drug use</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young adults" OR "emerging adulthood" OR "youth" OR "students</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18-25" OR "18 to 25" OR "aged 18</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UK" OR "United Kingdom" OR "Britain" OR "England" OR "Scotland" OR "Wales" OR "Northern Ireland</w:t>
            </w:r>
            <w:proofErr w:type="gramStart"/>
            <w:r w:rsidRPr="009D29A3">
              <w:rPr>
                <w:rFonts w:ascii="Arial" w:hAnsi="Arial" w:cs="Arial"/>
                <w:sz w:val="12"/>
                <w:szCs w:val="12"/>
              </w:rPr>
              <w:t>" )</w:t>
            </w:r>
            <w:proofErr w:type="gramEnd"/>
          </w:p>
          <w:p w14:paraId="682807B0" w14:textId="77777777" w:rsidR="00BC14F3" w:rsidRDefault="00BC14F3" w:rsidP="0060456E">
            <w:pPr>
              <w:rPr>
                <w:rFonts w:ascii="Arial" w:hAnsi="Arial" w:cs="Arial"/>
                <w:sz w:val="22"/>
                <w:szCs w:val="22"/>
              </w:rPr>
            </w:pPr>
          </w:p>
        </w:tc>
        <w:tc>
          <w:tcPr>
            <w:tcW w:w="1503" w:type="dxa"/>
          </w:tcPr>
          <w:p w14:paraId="62BBCCDE" w14:textId="77777777" w:rsidR="00BC14F3" w:rsidRDefault="00BC14F3" w:rsidP="0060456E">
            <w:pPr>
              <w:rPr>
                <w:rFonts w:ascii="Arial" w:hAnsi="Arial" w:cs="Arial"/>
                <w:sz w:val="22"/>
                <w:szCs w:val="22"/>
              </w:rPr>
            </w:pPr>
            <w:r>
              <w:rPr>
                <w:rFonts w:ascii="Arial" w:hAnsi="Arial" w:cs="Arial"/>
                <w:sz w:val="22"/>
                <w:szCs w:val="22"/>
              </w:rPr>
              <w:t>2015-2025</w:t>
            </w:r>
          </w:p>
          <w:p w14:paraId="59AF49FF" w14:textId="77777777" w:rsidR="00BC14F3" w:rsidRDefault="00BC14F3" w:rsidP="0060456E">
            <w:pPr>
              <w:rPr>
                <w:rFonts w:ascii="Arial" w:hAnsi="Arial" w:cs="Arial"/>
                <w:sz w:val="22"/>
                <w:szCs w:val="22"/>
              </w:rPr>
            </w:pPr>
          </w:p>
          <w:p w14:paraId="34B6A450" w14:textId="77777777" w:rsidR="00BC14F3" w:rsidRDefault="00BC14F3" w:rsidP="0060456E">
            <w:pPr>
              <w:rPr>
                <w:rFonts w:ascii="Arial" w:hAnsi="Arial" w:cs="Arial"/>
                <w:sz w:val="22"/>
                <w:szCs w:val="22"/>
              </w:rPr>
            </w:pPr>
            <w:r>
              <w:rPr>
                <w:rFonts w:ascii="Arial" w:hAnsi="Arial" w:cs="Arial"/>
                <w:sz w:val="22"/>
                <w:szCs w:val="22"/>
              </w:rPr>
              <w:t>ENGLISH LANGUAGE</w:t>
            </w:r>
          </w:p>
          <w:p w14:paraId="5DCA6162" w14:textId="77777777" w:rsidR="00BC14F3" w:rsidRDefault="00BC14F3" w:rsidP="0060456E">
            <w:pPr>
              <w:rPr>
                <w:rFonts w:ascii="Arial" w:hAnsi="Arial" w:cs="Arial"/>
                <w:sz w:val="22"/>
                <w:szCs w:val="22"/>
              </w:rPr>
            </w:pPr>
          </w:p>
          <w:p w14:paraId="3806E204" w14:textId="77777777" w:rsidR="00BC14F3" w:rsidRDefault="00BC14F3" w:rsidP="0060456E">
            <w:pPr>
              <w:rPr>
                <w:rFonts w:ascii="Arial" w:hAnsi="Arial" w:cs="Arial"/>
                <w:sz w:val="22"/>
                <w:szCs w:val="22"/>
              </w:rPr>
            </w:pPr>
            <w:r>
              <w:rPr>
                <w:rFonts w:ascii="Arial" w:hAnsi="Arial" w:cs="Arial"/>
                <w:sz w:val="22"/>
                <w:szCs w:val="22"/>
              </w:rPr>
              <w:t>SCHOLARLY</w:t>
            </w:r>
          </w:p>
          <w:p w14:paraId="7B197F21" w14:textId="77777777" w:rsidR="00BC14F3" w:rsidRDefault="00BC14F3" w:rsidP="0060456E">
            <w:pPr>
              <w:rPr>
                <w:rFonts w:ascii="Arial" w:hAnsi="Arial" w:cs="Arial"/>
                <w:sz w:val="22"/>
                <w:szCs w:val="22"/>
              </w:rPr>
            </w:pPr>
            <w:r>
              <w:rPr>
                <w:rFonts w:ascii="Arial" w:hAnsi="Arial" w:cs="Arial"/>
                <w:sz w:val="22"/>
                <w:szCs w:val="22"/>
              </w:rPr>
              <w:t>JOURNALS</w:t>
            </w:r>
          </w:p>
          <w:p w14:paraId="1C2F005D" w14:textId="77777777" w:rsidR="00BC14F3" w:rsidRDefault="00BC14F3" w:rsidP="0060456E">
            <w:pPr>
              <w:rPr>
                <w:rFonts w:ascii="Arial" w:hAnsi="Arial" w:cs="Arial"/>
                <w:sz w:val="22"/>
                <w:szCs w:val="22"/>
              </w:rPr>
            </w:pPr>
          </w:p>
          <w:p w14:paraId="522DAE80" w14:textId="77777777" w:rsidR="00BC14F3" w:rsidRDefault="00BC14F3" w:rsidP="0060456E">
            <w:pPr>
              <w:rPr>
                <w:rFonts w:ascii="Arial" w:hAnsi="Arial" w:cs="Arial"/>
                <w:sz w:val="22"/>
                <w:szCs w:val="22"/>
              </w:rPr>
            </w:pPr>
            <w:r>
              <w:rPr>
                <w:rFonts w:ascii="Arial" w:hAnsi="Arial" w:cs="Arial"/>
                <w:sz w:val="22"/>
                <w:szCs w:val="22"/>
              </w:rPr>
              <w:t>PEER REVIEWED</w:t>
            </w:r>
          </w:p>
        </w:tc>
        <w:tc>
          <w:tcPr>
            <w:tcW w:w="1503" w:type="dxa"/>
          </w:tcPr>
          <w:p w14:paraId="3D8C3F9D" w14:textId="77777777" w:rsidR="00BC14F3" w:rsidRDefault="00BC14F3" w:rsidP="0060456E">
            <w:pPr>
              <w:rPr>
                <w:rFonts w:ascii="Arial" w:hAnsi="Arial" w:cs="Arial"/>
                <w:sz w:val="22"/>
                <w:szCs w:val="22"/>
              </w:rPr>
            </w:pPr>
            <w:r>
              <w:rPr>
                <w:rFonts w:ascii="Arial" w:hAnsi="Arial" w:cs="Arial"/>
                <w:sz w:val="22"/>
                <w:szCs w:val="22"/>
              </w:rPr>
              <w:t>26,726</w:t>
            </w:r>
          </w:p>
        </w:tc>
        <w:tc>
          <w:tcPr>
            <w:tcW w:w="1503" w:type="dxa"/>
          </w:tcPr>
          <w:p w14:paraId="48713F14" w14:textId="77777777" w:rsidR="00BC14F3" w:rsidRDefault="00BC14F3" w:rsidP="0060456E">
            <w:pPr>
              <w:rPr>
                <w:rFonts w:ascii="Arial" w:hAnsi="Arial" w:cs="Arial"/>
                <w:sz w:val="22"/>
                <w:szCs w:val="22"/>
              </w:rPr>
            </w:pPr>
            <w:r>
              <w:rPr>
                <w:rFonts w:ascii="Arial" w:hAnsi="Arial" w:cs="Arial"/>
                <w:sz w:val="22"/>
                <w:szCs w:val="22"/>
              </w:rPr>
              <w:t>6</w:t>
            </w:r>
          </w:p>
        </w:tc>
        <w:tc>
          <w:tcPr>
            <w:tcW w:w="1503" w:type="dxa"/>
          </w:tcPr>
          <w:p w14:paraId="3B8DC253" w14:textId="77777777" w:rsidR="00BC14F3" w:rsidRDefault="00BC14F3" w:rsidP="0060456E">
            <w:pPr>
              <w:rPr>
                <w:rFonts w:ascii="Arial" w:hAnsi="Arial" w:cs="Arial"/>
                <w:sz w:val="22"/>
                <w:szCs w:val="22"/>
              </w:rPr>
            </w:pPr>
            <w:r>
              <w:rPr>
                <w:rFonts w:ascii="Arial" w:hAnsi="Arial" w:cs="Arial"/>
                <w:sz w:val="22"/>
                <w:szCs w:val="22"/>
              </w:rPr>
              <w:t>5</w:t>
            </w:r>
          </w:p>
        </w:tc>
      </w:tr>
      <w:tr w:rsidR="00BC14F3" w14:paraId="63FA22D7" w14:textId="77777777" w:rsidTr="0060456E">
        <w:tc>
          <w:tcPr>
            <w:tcW w:w="1502" w:type="dxa"/>
          </w:tcPr>
          <w:p w14:paraId="5BF681FF" w14:textId="77777777" w:rsidR="00BC14F3" w:rsidRDefault="00BC14F3" w:rsidP="0060456E">
            <w:pPr>
              <w:rPr>
                <w:rFonts w:ascii="Arial" w:hAnsi="Arial" w:cs="Arial"/>
                <w:sz w:val="22"/>
                <w:szCs w:val="22"/>
              </w:rPr>
            </w:pPr>
            <w:r>
              <w:rPr>
                <w:rFonts w:ascii="Arial" w:hAnsi="Arial" w:cs="Arial"/>
                <w:sz w:val="22"/>
                <w:szCs w:val="22"/>
              </w:rPr>
              <w:t>PUBMED</w:t>
            </w:r>
          </w:p>
        </w:tc>
        <w:tc>
          <w:tcPr>
            <w:tcW w:w="1502" w:type="dxa"/>
          </w:tcPr>
          <w:p w14:paraId="1AE600F6" w14:textId="77777777" w:rsidR="00BC14F3" w:rsidRPr="009D29A3" w:rsidRDefault="00BC14F3" w:rsidP="0060456E">
            <w:pPr>
              <w:rPr>
                <w:rFonts w:ascii="Arial" w:hAnsi="Arial" w:cs="Arial"/>
                <w:sz w:val="12"/>
                <w:szCs w:val="12"/>
              </w:rPr>
            </w:pPr>
            <w:proofErr w:type="gramStart"/>
            <w:r w:rsidRPr="009D29A3">
              <w:rPr>
                <w:rFonts w:ascii="Arial" w:hAnsi="Arial" w:cs="Arial"/>
                <w:sz w:val="12"/>
                <w:szCs w:val="12"/>
              </w:rPr>
              <w:t>( "</w:t>
            </w:r>
            <w:proofErr w:type="gramEnd"/>
            <w:r w:rsidRPr="009D29A3">
              <w:rPr>
                <w:rFonts w:ascii="Arial" w:hAnsi="Arial" w:cs="Arial"/>
                <w:sz w:val="12"/>
                <w:szCs w:val="12"/>
              </w:rPr>
              <w:t>substance misuse" OR "substance abuse" OR "drug addiction" OR "drug use</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young adults" OR "emerging adulthood" OR "youth" OR "students</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18-25" OR "18 to 25" OR "aged 18</w:t>
            </w:r>
            <w:proofErr w:type="gramStart"/>
            <w:r w:rsidRPr="009D29A3">
              <w:rPr>
                <w:rFonts w:ascii="Arial" w:hAnsi="Arial" w:cs="Arial"/>
                <w:sz w:val="12"/>
                <w:szCs w:val="12"/>
              </w:rPr>
              <w:t>" )</w:t>
            </w:r>
            <w:proofErr w:type="gramEnd"/>
            <w:r w:rsidRPr="009D29A3">
              <w:rPr>
                <w:rFonts w:ascii="Arial" w:hAnsi="Arial" w:cs="Arial"/>
                <w:sz w:val="12"/>
                <w:szCs w:val="12"/>
              </w:rPr>
              <w:t xml:space="preserve"> AND </w:t>
            </w:r>
            <w:proofErr w:type="gramStart"/>
            <w:r w:rsidRPr="009D29A3">
              <w:rPr>
                <w:rFonts w:ascii="Arial" w:hAnsi="Arial" w:cs="Arial"/>
                <w:sz w:val="12"/>
                <w:szCs w:val="12"/>
              </w:rPr>
              <w:t>( "</w:t>
            </w:r>
            <w:proofErr w:type="gramEnd"/>
            <w:r w:rsidRPr="009D29A3">
              <w:rPr>
                <w:rFonts w:ascii="Arial" w:hAnsi="Arial" w:cs="Arial"/>
                <w:sz w:val="12"/>
                <w:szCs w:val="12"/>
              </w:rPr>
              <w:t>UK" OR "United Kingdom" OR "Britain" OR "England" OR "Scotland" OR "Wales" OR "Northern Ireland</w:t>
            </w:r>
            <w:proofErr w:type="gramStart"/>
            <w:r w:rsidRPr="009D29A3">
              <w:rPr>
                <w:rFonts w:ascii="Arial" w:hAnsi="Arial" w:cs="Arial"/>
                <w:sz w:val="12"/>
                <w:szCs w:val="12"/>
              </w:rPr>
              <w:t>" )</w:t>
            </w:r>
            <w:proofErr w:type="gramEnd"/>
          </w:p>
          <w:p w14:paraId="04BF915F" w14:textId="77777777" w:rsidR="00BC14F3" w:rsidRDefault="00BC14F3" w:rsidP="0060456E">
            <w:pPr>
              <w:rPr>
                <w:rFonts w:ascii="Arial" w:hAnsi="Arial" w:cs="Arial"/>
                <w:sz w:val="22"/>
                <w:szCs w:val="22"/>
              </w:rPr>
            </w:pPr>
          </w:p>
        </w:tc>
        <w:tc>
          <w:tcPr>
            <w:tcW w:w="1503" w:type="dxa"/>
          </w:tcPr>
          <w:p w14:paraId="44389F3C" w14:textId="77777777" w:rsidR="00BC14F3" w:rsidRDefault="00BC14F3" w:rsidP="0060456E">
            <w:pPr>
              <w:rPr>
                <w:rFonts w:ascii="Arial" w:hAnsi="Arial" w:cs="Arial"/>
                <w:sz w:val="22"/>
                <w:szCs w:val="22"/>
              </w:rPr>
            </w:pPr>
            <w:r>
              <w:rPr>
                <w:rFonts w:ascii="Arial" w:hAnsi="Arial" w:cs="Arial"/>
                <w:sz w:val="22"/>
                <w:szCs w:val="22"/>
              </w:rPr>
              <w:t>2015-2025</w:t>
            </w:r>
          </w:p>
          <w:p w14:paraId="4B41A3B4" w14:textId="77777777" w:rsidR="00BC14F3" w:rsidRDefault="00BC14F3" w:rsidP="0060456E">
            <w:pPr>
              <w:rPr>
                <w:rFonts w:ascii="Arial" w:hAnsi="Arial" w:cs="Arial"/>
                <w:sz w:val="22"/>
                <w:szCs w:val="22"/>
              </w:rPr>
            </w:pPr>
          </w:p>
          <w:p w14:paraId="3032013D" w14:textId="77777777" w:rsidR="00BC14F3" w:rsidRDefault="00BC14F3" w:rsidP="0060456E">
            <w:pPr>
              <w:rPr>
                <w:rFonts w:ascii="Arial" w:hAnsi="Arial" w:cs="Arial"/>
                <w:sz w:val="22"/>
                <w:szCs w:val="22"/>
              </w:rPr>
            </w:pPr>
            <w:r>
              <w:rPr>
                <w:rFonts w:ascii="Arial" w:hAnsi="Arial" w:cs="Arial"/>
                <w:sz w:val="22"/>
                <w:szCs w:val="22"/>
              </w:rPr>
              <w:t>ENGLISH LANGUAGE</w:t>
            </w:r>
          </w:p>
          <w:p w14:paraId="09665AA1" w14:textId="77777777" w:rsidR="00BC14F3" w:rsidRDefault="00BC14F3" w:rsidP="0060456E">
            <w:pPr>
              <w:rPr>
                <w:rFonts w:ascii="Arial" w:hAnsi="Arial" w:cs="Arial"/>
                <w:sz w:val="22"/>
                <w:szCs w:val="22"/>
              </w:rPr>
            </w:pPr>
          </w:p>
          <w:p w14:paraId="36AF8152" w14:textId="77777777" w:rsidR="00BC14F3" w:rsidRDefault="00BC14F3" w:rsidP="0060456E">
            <w:pPr>
              <w:rPr>
                <w:rFonts w:ascii="Arial" w:hAnsi="Arial" w:cs="Arial"/>
                <w:sz w:val="22"/>
                <w:szCs w:val="22"/>
              </w:rPr>
            </w:pPr>
            <w:r>
              <w:rPr>
                <w:rFonts w:ascii="Arial" w:hAnsi="Arial" w:cs="Arial"/>
                <w:sz w:val="22"/>
                <w:szCs w:val="22"/>
              </w:rPr>
              <w:t>SCHOLARLY</w:t>
            </w:r>
          </w:p>
          <w:p w14:paraId="0600EE6D" w14:textId="77777777" w:rsidR="00BC14F3" w:rsidRDefault="00BC14F3" w:rsidP="0060456E">
            <w:pPr>
              <w:rPr>
                <w:rFonts w:ascii="Arial" w:hAnsi="Arial" w:cs="Arial"/>
                <w:sz w:val="22"/>
                <w:szCs w:val="22"/>
              </w:rPr>
            </w:pPr>
            <w:r>
              <w:rPr>
                <w:rFonts w:ascii="Arial" w:hAnsi="Arial" w:cs="Arial"/>
                <w:sz w:val="22"/>
                <w:szCs w:val="22"/>
              </w:rPr>
              <w:t>JOURNALS</w:t>
            </w:r>
          </w:p>
          <w:p w14:paraId="6CC77195" w14:textId="77777777" w:rsidR="00BC14F3" w:rsidRDefault="00BC14F3" w:rsidP="0060456E">
            <w:pPr>
              <w:rPr>
                <w:rFonts w:ascii="Arial" w:hAnsi="Arial" w:cs="Arial"/>
                <w:sz w:val="22"/>
                <w:szCs w:val="22"/>
              </w:rPr>
            </w:pPr>
          </w:p>
          <w:p w14:paraId="3A5D64DB" w14:textId="77777777" w:rsidR="00BC14F3" w:rsidRDefault="00BC14F3" w:rsidP="0060456E">
            <w:pPr>
              <w:rPr>
                <w:rFonts w:ascii="Arial" w:hAnsi="Arial" w:cs="Arial"/>
                <w:sz w:val="22"/>
                <w:szCs w:val="22"/>
              </w:rPr>
            </w:pPr>
            <w:r>
              <w:rPr>
                <w:rFonts w:ascii="Arial" w:hAnsi="Arial" w:cs="Arial"/>
                <w:sz w:val="22"/>
                <w:szCs w:val="22"/>
              </w:rPr>
              <w:t>PEER REVIEWED</w:t>
            </w:r>
          </w:p>
        </w:tc>
        <w:tc>
          <w:tcPr>
            <w:tcW w:w="1503" w:type="dxa"/>
          </w:tcPr>
          <w:p w14:paraId="2BF2E5A0" w14:textId="77777777" w:rsidR="00BC14F3" w:rsidRDefault="00BC14F3" w:rsidP="0060456E">
            <w:pPr>
              <w:rPr>
                <w:rFonts w:ascii="Arial" w:hAnsi="Arial" w:cs="Arial"/>
                <w:sz w:val="22"/>
                <w:szCs w:val="22"/>
              </w:rPr>
            </w:pPr>
            <w:r>
              <w:rPr>
                <w:rFonts w:ascii="Arial" w:hAnsi="Arial" w:cs="Arial"/>
                <w:sz w:val="22"/>
                <w:szCs w:val="22"/>
              </w:rPr>
              <w:t>42</w:t>
            </w:r>
          </w:p>
        </w:tc>
        <w:tc>
          <w:tcPr>
            <w:tcW w:w="1503" w:type="dxa"/>
          </w:tcPr>
          <w:p w14:paraId="205FEA38" w14:textId="77777777" w:rsidR="00BC14F3" w:rsidRDefault="00BC14F3" w:rsidP="0060456E">
            <w:pPr>
              <w:rPr>
                <w:rFonts w:ascii="Arial" w:hAnsi="Arial" w:cs="Arial"/>
                <w:sz w:val="22"/>
                <w:szCs w:val="22"/>
              </w:rPr>
            </w:pPr>
            <w:r>
              <w:rPr>
                <w:rFonts w:ascii="Arial" w:hAnsi="Arial" w:cs="Arial"/>
                <w:sz w:val="22"/>
                <w:szCs w:val="22"/>
              </w:rPr>
              <w:t>2</w:t>
            </w:r>
          </w:p>
        </w:tc>
        <w:tc>
          <w:tcPr>
            <w:tcW w:w="1503" w:type="dxa"/>
          </w:tcPr>
          <w:p w14:paraId="1AA91793" w14:textId="77777777" w:rsidR="00BC14F3" w:rsidRDefault="00BC14F3" w:rsidP="0060456E">
            <w:pPr>
              <w:rPr>
                <w:rFonts w:ascii="Arial" w:hAnsi="Arial" w:cs="Arial"/>
                <w:sz w:val="22"/>
                <w:szCs w:val="22"/>
              </w:rPr>
            </w:pPr>
            <w:r>
              <w:rPr>
                <w:rFonts w:ascii="Arial" w:hAnsi="Arial" w:cs="Arial"/>
                <w:sz w:val="22"/>
                <w:szCs w:val="22"/>
              </w:rPr>
              <w:t>2</w:t>
            </w:r>
          </w:p>
        </w:tc>
      </w:tr>
    </w:tbl>
    <w:p w14:paraId="71662768" w14:textId="77777777" w:rsidR="00BC14F3" w:rsidRDefault="00BC14F3" w:rsidP="002A4D3E">
      <w:pPr>
        <w:spacing w:line="360" w:lineRule="auto"/>
        <w:rPr>
          <w:rFonts w:ascii="Arial" w:hAnsi="Arial" w:cs="Arial"/>
          <w:sz w:val="22"/>
          <w:szCs w:val="22"/>
        </w:rPr>
      </w:pPr>
    </w:p>
    <w:p w14:paraId="12028AA7" w14:textId="77777777" w:rsidR="00BC14F3" w:rsidRDefault="00BC14F3" w:rsidP="002A4D3E">
      <w:pPr>
        <w:spacing w:line="360" w:lineRule="auto"/>
        <w:rPr>
          <w:rFonts w:ascii="Arial" w:hAnsi="Arial" w:cs="Arial"/>
          <w:sz w:val="22"/>
          <w:szCs w:val="22"/>
        </w:rPr>
      </w:pPr>
    </w:p>
    <w:p w14:paraId="0E6B04C7" w14:textId="77777777" w:rsidR="00BC14F3" w:rsidRDefault="00BC14F3" w:rsidP="002A4D3E">
      <w:pPr>
        <w:spacing w:line="360" w:lineRule="auto"/>
        <w:rPr>
          <w:rFonts w:ascii="Arial" w:hAnsi="Arial" w:cs="Arial"/>
          <w:sz w:val="22"/>
          <w:szCs w:val="22"/>
        </w:rPr>
      </w:pPr>
    </w:p>
    <w:p w14:paraId="1832794E" w14:textId="77777777" w:rsidR="00BC14F3" w:rsidRDefault="00BC14F3" w:rsidP="002A4D3E">
      <w:pPr>
        <w:spacing w:line="360" w:lineRule="auto"/>
        <w:rPr>
          <w:rFonts w:ascii="Arial" w:hAnsi="Arial" w:cs="Arial"/>
          <w:sz w:val="22"/>
          <w:szCs w:val="22"/>
        </w:rPr>
      </w:pPr>
    </w:p>
    <w:p w14:paraId="1AC15FF9" w14:textId="77777777" w:rsidR="00BC14F3" w:rsidRDefault="00BC14F3" w:rsidP="002A4D3E">
      <w:pPr>
        <w:spacing w:line="360" w:lineRule="auto"/>
        <w:rPr>
          <w:rFonts w:ascii="Arial" w:hAnsi="Arial" w:cs="Arial"/>
          <w:sz w:val="22"/>
          <w:szCs w:val="22"/>
        </w:rPr>
      </w:pPr>
    </w:p>
    <w:p w14:paraId="0E3776D6" w14:textId="77777777" w:rsidR="00BC14F3" w:rsidRDefault="00BC14F3" w:rsidP="002A4D3E">
      <w:pPr>
        <w:spacing w:line="360" w:lineRule="auto"/>
        <w:rPr>
          <w:rFonts w:ascii="Arial" w:hAnsi="Arial" w:cs="Arial"/>
          <w:sz w:val="22"/>
          <w:szCs w:val="22"/>
        </w:rPr>
      </w:pPr>
    </w:p>
    <w:p w14:paraId="46B33C55" w14:textId="77777777" w:rsidR="00BC14F3" w:rsidRDefault="00BC14F3" w:rsidP="002A4D3E">
      <w:pPr>
        <w:spacing w:line="360" w:lineRule="auto"/>
        <w:rPr>
          <w:rFonts w:ascii="Arial" w:hAnsi="Arial" w:cs="Arial"/>
          <w:sz w:val="22"/>
          <w:szCs w:val="22"/>
        </w:rPr>
      </w:pPr>
    </w:p>
    <w:p w14:paraId="5A7EA150" w14:textId="77777777" w:rsidR="00BC14F3" w:rsidRDefault="00BC14F3" w:rsidP="002A4D3E">
      <w:pPr>
        <w:spacing w:line="360" w:lineRule="auto"/>
        <w:rPr>
          <w:rFonts w:ascii="Arial" w:hAnsi="Arial" w:cs="Arial"/>
          <w:sz w:val="22"/>
          <w:szCs w:val="22"/>
        </w:rPr>
      </w:pPr>
    </w:p>
    <w:p w14:paraId="4F9B300D" w14:textId="77777777" w:rsidR="00BC14F3" w:rsidRDefault="00BC14F3" w:rsidP="002A4D3E">
      <w:pPr>
        <w:spacing w:line="360" w:lineRule="auto"/>
        <w:rPr>
          <w:rFonts w:ascii="Arial" w:hAnsi="Arial" w:cs="Arial"/>
          <w:sz w:val="22"/>
          <w:szCs w:val="22"/>
        </w:rPr>
      </w:pPr>
    </w:p>
    <w:p w14:paraId="005B9B6E" w14:textId="77777777" w:rsidR="00625842" w:rsidRPr="00625842" w:rsidRDefault="00625842" w:rsidP="002A4D3E">
      <w:pPr>
        <w:spacing w:line="360" w:lineRule="auto"/>
        <w:rPr>
          <w:rFonts w:ascii="Arial" w:hAnsi="Arial" w:cs="Arial"/>
          <w:b/>
          <w:bCs/>
          <w:sz w:val="22"/>
          <w:szCs w:val="22"/>
        </w:rPr>
      </w:pPr>
      <w:r w:rsidRPr="00625842">
        <w:rPr>
          <w:rFonts w:ascii="Arial" w:hAnsi="Arial" w:cs="Arial"/>
          <w:b/>
          <w:bCs/>
          <w:sz w:val="22"/>
          <w:szCs w:val="22"/>
        </w:rPr>
        <w:lastRenderedPageBreak/>
        <w:t>Data Analysis</w:t>
      </w:r>
    </w:p>
    <w:p w14:paraId="559ABC8E" w14:textId="61A7A96D"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The included studies were analysed using thematic analysis following the six-stage approach described by Braun and Clarke (2006). Each study was read repeatedly to ensure familiarity with the findings before key concepts relating to substance misuse among young adults were systematically coded and grouped into broader themes. These themes were reviewed and refined to ensure they accurately reflected patterns identified across the literature.</w:t>
      </w:r>
      <w:r w:rsidRPr="002A4D3E">
        <w:rPr>
          <w:rFonts w:ascii="Arial" w:hAnsi="Arial" w:cs="Arial"/>
          <w:sz w:val="22"/>
          <w:szCs w:val="22"/>
        </w:rPr>
        <w:t xml:space="preserve"> </w:t>
      </w:r>
      <w:r w:rsidRPr="00625842">
        <w:rPr>
          <w:rFonts w:ascii="Arial" w:hAnsi="Arial" w:cs="Arial"/>
          <w:sz w:val="22"/>
          <w:szCs w:val="22"/>
        </w:rPr>
        <w:t>Thematic analysis was selected because it enables the synthesis of findings from different research methodologies while maintaining a focus on concepts relevant to the review question. It is widely used in qualitative evidence synthesis and is particularly appropriate for scoping reviews that aim to identify recurring patterns rather than statistically combine findings.</w:t>
      </w:r>
    </w:p>
    <w:p w14:paraId="2C406509" w14:textId="77777777" w:rsidR="00625842" w:rsidRPr="00625842" w:rsidRDefault="00625842" w:rsidP="002A4D3E">
      <w:pPr>
        <w:spacing w:line="360" w:lineRule="auto"/>
        <w:rPr>
          <w:rFonts w:ascii="Arial" w:hAnsi="Arial" w:cs="Arial"/>
          <w:b/>
          <w:bCs/>
          <w:sz w:val="22"/>
          <w:szCs w:val="22"/>
        </w:rPr>
      </w:pPr>
      <w:r w:rsidRPr="00625842">
        <w:rPr>
          <w:rFonts w:ascii="Arial" w:hAnsi="Arial" w:cs="Arial"/>
          <w:b/>
          <w:bCs/>
          <w:sz w:val="22"/>
          <w:szCs w:val="22"/>
        </w:rPr>
        <w:t>Ethical Considerations</w:t>
      </w:r>
    </w:p>
    <w:p w14:paraId="3D70CEC1"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As this study analysed previously published peer-reviewed research, formal ethical approval was not required. No human participants were involved, and no primary data were collected. Nevertheless, ethical principles of academic integrity, transparency, and responsible scholarship were maintained throughout the review. Only peer-reviewed literature was included to enhance credibility, and all original authors were appropriately acknowledged using Harvard referencing. Potential limitations, including publication bias, language restrictions, and the exclusion of grey literature, were recognised when interpreting the findings. Although every effort was made to conduct a comprehensive search, relevant studies may have been missed because only three electronic databases and English-language publications were included. These limitations should be considered when interpreting the findings of this review.</w:t>
      </w:r>
    </w:p>
    <w:p w14:paraId="363404E4" w14:textId="77777777" w:rsidR="00896E2D" w:rsidRPr="002A4D3E" w:rsidRDefault="00896E2D" w:rsidP="002A4D3E">
      <w:pPr>
        <w:spacing w:line="360" w:lineRule="auto"/>
        <w:rPr>
          <w:rFonts w:ascii="Arial" w:hAnsi="Arial" w:cs="Arial"/>
          <w:sz w:val="22"/>
          <w:szCs w:val="22"/>
        </w:rPr>
      </w:pPr>
    </w:p>
    <w:p w14:paraId="1D08D287" w14:textId="24028053" w:rsidR="00896E2D" w:rsidRPr="00576508" w:rsidRDefault="002A5E3B" w:rsidP="002A4D3E">
      <w:pPr>
        <w:spacing w:line="360" w:lineRule="auto"/>
        <w:rPr>
          <w:rFonts w:ascii="Arial" w:hAnsi="Arial" w:cs="Arial"/>
          <w:b/>
          <w:bCs/>
          <w:sz w:val="22"/>
          <w:szCs w:val="22"/>
        </w:rPr>
      </w:pPr>
      <w:r w:rsidRPr="00576508">
        <w:rPr>
          <w:rFonts w:ascii="Arial" w:hAnsi="Arial" w:cs="Arial"/>
          <w:b/>
          <w:bCs/>
          <w:sz w:val="22"/>
          <w:szCs w:val="22"/>
        </w:rPr>
        <w:t xml:space="preserve">Results </w:t>
      </w:r>
    </w:p>
    <w:p w14:paraId="3FB30DF1"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The comprehensive search of Academic Search Premier (EBSCOhost), ScienceDirect, and PubMed identified XXX records. After removing duplicate articles (n = XX), XXX titles and abstracts were screened against the inclusion and exclusion criteria. Studies that did not focus on young adults aged 18–25 years, were not peer-reviewed, fell outside the selected date range, or did not investigate alcohol or drug misuse were excluded. The remaining XX articles underwent full-text assessment, with five studies meeting all inclusion criteria for the final scoping review. Excluded studies were omitted due to unsuitable populations, lack of relevance to the review question, non-peer-reviewed publication, or insufficient methodological detail.</w:t>
      </w:r>
    </w:p>
    <w:p w14:paraId="532AA24D"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lastRenderedPageBreak/>
        <w:t>The final sample comprised one qualitative study, one cross-sectional study, one population-based observational study, and two systematic reviews. This methodological diversity enabled the review to examine substance misuse from multiple perspectives, including lived experiences, epidemiology, psychological risk factors, and service provision. However, variation in study design limited direct comparison and prevented quantitative synthesis.</w:t>
      </w:r>
    </w:p>
    <w:p w14:paraId="25A15651" w14:textId="77777777" w:rsidR="00625842" w:rsidRPr="00625842" w:rsidRDefault="00625842" w:rsidP="002A4D3E">
      <w:pPr>
        <w:spacing w:line="360" w:lineRule="auto"/>
        <w:rPr>
          <w:rFonts w:ascii="Arial" w:hAnsi="Arial" w:cs="Arial"/>
          <w:b/>
          <w:bCs/>
          <w:sz w:val="22"/>
          <w:szCs w:val="22"/>
        </w:rPr>
      </w:pPr>
      <w:r w:rsidRPr="00625842">
        <w:rPr>
          <w:rFonts w:ascii="Arial" w:hAnsi="Arial" w:cs="Arial"/>
          <w:b/>
          <w:bCs/>
          <w:sz w:val="22"/>
          <w:szCs w:val="22"/>
        </w:rPr>
        <w:t>Characteristics of Included Studies</w:t>
      </w:r>
    </w:p>
    <w:p w14:paraId="0058A92A" w14:textId="7B9B214C" w:rsidR="0019607A" w:rsidRPr="0019607A" w:rsidRDefault="00625842" w:rsidP="002A4D3E">
      <w:pPr>
        <w:spacing w:line="360" w:lineRule="auto"/>
        <w:rPr>
          <w:rFonts w:ascii="Arial" w:hAnsi="Arial" w:cs="Arial"/>
          <w:sz w:val="22"/>
          <w:szCs w:val="22"/>
        </w:rPr>
      </w:pPr>
      <w:r w:rsidRPr="00625842">
        <w:rPr>
          <w:rFonts w:ascii="Arial" w:hAnsi="Arial" w:cs="Arial"/>
          <w:sz w:val="22"/>
          <w:szCs w:val="22"/>
        </w:rPr>
        <w:t xml:space="preserve">The five included studies varied in geographical location, methodology, and participant characteristics. Two studies were conducted in the UK, one in Ireland, while two synthesised international evidence relevant to young adults. Although only two studies were UK-based, all were considered applicable to UK health and social care because they examined emerging adults experiencing similar developmental transitions and patterns of substance use. Duke and Welch (2026) provided valuable insight into UK service provision by exploring young adults' experiences of specialist outreach services, while </w:t>
      </w:r>
      <w:proofErr w:type="spellStart"/>
      <w:r w:rsidRPr="00625842">
        <w:rPr>
          <w:rFonts w:ascii="Arial" w:hAnsi="Arial" w:cs="Arial"/>
          <w:sz w:val="22"/>
          <w:szCs w:val="22"/>
        </w:rPr>
        <w:t>Sebalo</w:t>
      </w:r>
      <w:proofErr w:type="spellEnd"/>
      <w:r w:rsidRPr="00625842">
        <w:rPr>
          <w:rFonts w:ascii="Arial" w:hAnsi="Arial" w:cs="Arial"/>
          <w:sz w:val="22"/>
          <w:szCs w:val="22"/>
        </w:rPr>
        <w:t xml:space="preserve"> et al. (2023) synthesised evidence from 80 international studies examining the relationship between adverse childhood experiences and substance misuse. Most studies employed observational designs, limiting causal inference; however, the consistency of findings across different methodologies strengthened confidence in the themes identified through the review.</w:t>
      </w:r>
    </w:p>
    <w:p w14:paraId="645E5ABE" w14:textId="77777777" w:rsidR="0019607A" w:rsidRPr="0019607A" w:rsidRDefault="0019607A" w:rsidP="002A4D3E">
      <w:pPr>
        <w:spacing w:line="360" w:lineRule="auto"/>
        <w:rPr>
          <w:rFonts w:ascii="Arial" w:hAnsi="Arial" w:cs="Arial"/>
          <w:b/>
          <w:bCs/>
          <w:sz w:val="22"/>
          <w:szCs w:val="22"/>
        </w:rPr>
      </w:pPr>
      <w:r w:rsidRPr="0019607A">
        <w:rPr>
          <w:rFonts w:ascii="Arial" w:hAnsi="Arial" w:cs="Arial"/>
          <w:b/>
          <w:bCs/>
          <w:sz w:val="22"/>
          <w:szCs w:val="22"/>
        </w:rPr>
        <w:t>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3"/>
        <w:gridCol w:w="1196"/>
        <w:gridCol w:w="1839"/>
        <w:gridCol w:w="966"/>
        <w:gridCol w:w="1174"/>
        <w:gridCol w:w="1426"/>
        <w:gridCol w:w="1602"/>
      </w:tblGrid>
      <w:tr w:rsidR="0019607A" w:rsidRPr="0019607A" w14:paraId="05EE8394" w14:textId="77777777">
        <w:trPr>
          <w:tblHeader/>
          <w:tblCellSpacing w:w="15" w:type="dxa"/>
        </w:trPr>
        <w:tc>
          <w:tcPr>
            <w:tcW w:w="0" w:type="auto"/>
            <w:vAlign w:val="center"/>
            <w:hideMark/>
          </w:tcPr>
          <w:p w14:paraId="12CC047E" w14:textId="77777777" w:rsidR="0019607A" w:rsidRPr="0019607A" w:rsidRDefault="0019607A" w:rsidP="002A4D3E">
            <w:pPr>
              <w:spacing w:line="360" w:lineRule="auto"/>
              <w:rPr>
                <w:rFonts w:ascii="Arial" w:hAnsi="Arial" w:cs="Arial"/>
                <w:b/>
                <w:bCs/>
                <w:sz w:val="22"/>
                <w:szCs w:val="22"/>
              </w:rPr>
            </w:pPr>
            <w:r w:rsidRPr="0019607A">
              <w:rPr>
                <w:rFonts w:ascii="Arial" w:hAnsi="Arial" w:cs="Arial"/>
                <w:b/>
                <w:bCs/>
                <w:sz w:val="22"/>
                <w:szCs w:val="22"/>
              </w:rPr>
              <w:t>Author</w:t>
            </w:r>
          </w:p>
        </w:tc>
        <w:tc>
          <w:tcPr>
            <w:tcW w:w="0" w:type="auto"/>
            <w:vAlign w:val="center"/>
            <w:hideMark/>
          </w:tcPr>
          <w:p w14:paraId="37D512FE" w14:textId="77777777" w:rsidR="0019607A" w:rsidRPr="0019607A" w:rsidRDefault="0019607A" w:rsidP="002A4D3E">
            <w:pPr>
              <w:spacing w:line="360" w:lineRule="auto"/>
              <w:rPr>
                <w:rFonts w:ascii="Arial" w:hAnsi="Arial" w:cs="Arial"/>
                <w:b/>
                <w:bCs/>
                <w:sz w:val="22"/>
                <w:szCs w:val="22"/>
              </w:rPr>
            </w:pPr>
            <w:r w:rsidRPr="0019607A">
              <w:rPr>
                <w:rFonts w:ascii="Arial" w:hAnsi="Arial" w:cs="Arial"/>
                <w:b/>
                <w:bCs/>
                <w:sz w:val="22"/>
                <w:szCs w:val="22"/>
              </w:rPr>
              <w:t>Country</w:t>
            </w:r>
          </w:p>
        </w:tc>
        <w:tc>
          <w:tcPr>
            <w:tcW w:w="0" w:type="auto"/>
            <w:vAlign w:val="center"/>
            <w:hideMark/>
          </w:tcPr>
          <w:p w14:paraId="04465D1D" w14:textId="77777777" w:rsidR="0019607A" w:rsidRPr="0019607A" w:rsidRDefault="0019607A" w:rsidP="002A4D3E">
            <w:pPr>
              <w:spacing w:line="360" w:lineRule="auto"/>
              <w:rPr>
                <w:rFonts w:ascii="Arial" w:hAnsi="Arial" w:cs="Arial"/>
                <w:b/>
                <w:bCs/>
                <w:sz w:val="22"/>
                <w:szCs w:val="22"/>
              </w:rPr>
            </w:pPr>
            <w:r w:rsidRPr="0019607A">
              <w:rPr>
                <w:rFonts w:ascii="Arial" w:hAnsi="Arial" w:cs="Arial"/>
                <w:b/>
                <w:bCs/>
                <w:sz w:val="22"/>
                <w:szCs w:val="22"/>
              </w:rPr>
              <w:t>Design</w:t>
            </w:r>
          </w:p>
        </w:tc>
        <w:tc>
          <w:tcPr>
            <w:tcW w:w="0" w:type="auto"/>
            <w:vAlign w:val="center"/>
            <w:hideMark/>
          </w:tcPr>
          <w:p w14:paraId="1A6ED5EA" w14:textId="77777777" w:rsidR="0019607A" w:rsidRPr="0019607A" w:rsidRDefault="0019607A" w:rsidP="002A4D3E">
            <w:pPr>
              <w:spacing w:line="360" w:lineRule="auto"/>
              <w:rPr>
                <w:rFonts w:ascii="Arial" w:hAnsi="Arial" w:cs="Arial"/>
                <w:b/>
                <w:bCs/>
                <w:sz w:val="22"/>
                <w:szCs w:val="22"/>
              </w:rPr>
            </w:pPr>
            <w:r w:rsidRPr="0019607A">
              <w:rPr>
                <w:rFonts w:ascii="Arial" w:hAnsi="Arial" w:cs="Arial"/>
                <w:b/>
                <w:bCs/>
                <w:sz w:val="22"/>
                <w:szCs w:val="22"/>
              </w:rPr>
              <w:t>Sample</w:t>
            </w:r>
          </w:p>
        </w:tc>
        <w:tc>
          <w:tcPr>
            <w:tcW w:w="0" w:type="auto"/>
            <w:vAlign w:val="center"/>
            <w:hideMark/>
          </w:tcPr>
          <w:p w14:paraId="29112436" w14:textId="77777777" w:rsidR="0019607A" w:rsidRPr="0019607A" w:rsidRDefault="0019607A" w:rsidP="002A4D3E">
            <w:pPr>
              <w:spacing w:line="360" w:lineRule="auto"/>
              <w:rPr>
                <w:rFonts w:ascii="Arial" w:hAnsi="Arial" w:cs="Arial"/>
                <w:b/>
                <w:bCs/>
                <w:sz w:val="22"/>
                <w:szCs w:val="22"/>
              </w:rPr>
            </w:pPr>
            <w:r w:rsidRPr="0019607A">
              <w:rPr>
                <w:rFonts w:ascii="Arial" w:hAnsi="Arial" w:cs="Arial"/>
                <w:b/>
                <w:bCs/>
                <w:sz w:val="22"/>
                <w:szCs w:val="22"/>
              </w:rPr>
              <w:t>Strengths</w:t>
            </w:r>
          </w:p>
        </w:tc>
        <w:tc>
          <w:tcPr>
            <w:tcW w:w="0" w:type="auto"/>
            <w:vAlign w:val="center"/>
            <w:hideMark/>
          </w:tcPr>
          <w:p w14:paraId="11A6F9EC" w14:textId="77777777" w:rsidR="0019607A" w:rsidRPr="0019607A" w:rsidRDefault="0019607A" w:rsidP="002A4D3E">
            <w:pPr>
              <w:spacing w:line="360" w:lineRule="auto"/>
              <w:rPr>
                <w:rFonts w:ascii="Arial" w:hAnsi="Arial" w:cs="Arial"/>
                <w:b/>
                <w:bCs/>
                <w:sz w:val="22"/>
                <w:szCs w:val="22"/>
              </w:rPr>
            </w:pPr>
            <w:r w:rsidRPr="0019607A">
              <w:rPr>
                <w:rFonts w:ascii="Arial" w:hAnsi="Arial" w:cs="Arial"/>
                <w:b/>
                <w:bCs/>
                <w:sz w:val="22"/>
                <w:szCs w:val="22"/>
              </w:rPr>
              <w:t>Limitations</w:t>
            </w:r>
          </w:p>
        </w:tc>
        <w:tc>
          <w:tcPr>
            <w:tcW w:w="0" w:type="auto"/>
            <w:vAlign w:val="center"/>
            <w:hideMark/>
          </w:tcPr>
          <w:p w14:paraId="4DCE7F17" w14:textId="77777777" w:rsidR="0019607A" w:rsidRPr="0019607A" w:rsidRDefault="0019607A" w:rsidP="002A4D3E">
            <w:pPr>
              <w:spacing w:line="360" w:lineRule="auto"/>
              <w:rPr>
                <w:rFonts w:ascii="Arial" w:hAnsi="Arial" w:cs="Arial"/>
                <w:b/>
                <w:bCs/>
                <w:sz w:val="22"/>
                <w:szCs w:val="22"/>
              </w:rPr>
            </w:pPr>
            <w:r w:rsidRPr="0019607A">
              <w:rPr>
                <w:rFonts w:ascii="Arial" w:hAnsi="Arial" w:cs="Arial"/>
                <w:b/>
                <w:bCs/>
                <w:sz w:val="22"/>
                <w:szCs w:val="22"/>
              </w:rPr>
              <w:t>Main Findings</w:t>
            </w:r>
          </w:p>
        </w:tc>
      </w:tr>
      <w:tr w:rsidR="0019607A" w:rsidRPr="0019607A" w14:paraId="6FE70BE0" w14:textId="77777777">
        <w:trPr>
          <w:tblCellSpacing w:w="15" w:type="dxa"/>
        </w:trPr>
        <w:tc>
          <w:tcPr>
            <w:tcW w:w="0" w:type="auto"/>
            <w:vAlign w:val="center"/>
            <w:hideMark/>
          </w:tcPr>
          <w:p w14:paraId="2A3A7FA9"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Duke and Welch (2026)</w:t>
            </w:r>
          </w:p>
        </w:tc>
        <w:tc>
          <w:tcPr>
            <w:tcW w:w="0" w:type="auto"/>
            <w:vAlign w:val="center"/>
            <w:hideMark/>
          </w:tcPr>
          <w:p w14:paraId="21404765"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England</w:t>
            </w:r>
          </w:p>
        </w:tc>
        <w:tc>
          <w:tcPr>
            <w:tcW w:w="0" w:type="auto"/>
            <w:vAlign w:val="center"/>
            <w:hideMark/>
          </w:tcPr>
          <w:p w14:paraId="39FFAEBB"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Qualitative evaluation</w:t>
            </w:r>
          </w:p>
        </w:tc>
        <w:tc>
          <w:tcPr>
            <w:tcW w:w="0" w:type="auto"/>
            <w:vAlign w:val="center"/>
            <w:hideMark/>
          </w:tcPr>
          <w:p w14:paraId="20DF08E3"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Young adults (18–25)</w:t>
            </w:r>
          </w:p>
        </w:tc>
        <w:tc>
          <w:tcPr>
            <w:tcW w:w="0" w:type="auto"/>
            <w:vAlign w:val="center"/>
            <w:hideMark/>
          </w:tcPr>
          <w:p w14:paraId="2764B4D9"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Rich insight into lived experiences and UK practice</w:t>
            </w:r>
          </w:p>
        </w:tc>
        <w:tc>
          <w:tcPr>
            <w:tcW w:w="0" w:type="auto"/>
            <w:vAlign w:val="center"/>
            <w:hideMark/>
          </w:tcPr>
          <w:p w14:paraId="5D7AAE24"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Small sample limits generalisability</w:t>
            </w:r>
          </w:p>
        </w:tc>
        <w:tc>
          <w:tcPr>
            <w:tcW w:w="0" w:type="auto"/>
            <w:vAlign w:val="center"/>
            <w:hideMark/>
          </w:tcPr>
          <w:p w14:paraId="46777597"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Developmentally appropriate outreach improved engagement with treatment.</w:t>
            </w:r>
          </w:p>
        </w:tc>
      </w:tr>
      <w:tr w:rsidR="0019607A" w:rsidRPr="0019607A" w14:paraId="461D83E1" w14:textId="77777777">
        <w:trPr>
          <w:tblCellSpacing w:w="15" w:type="dxa"/>
        </w:trPr>
        <w:tc>
          <w:tcPr>
            <w:tcW w:w="0" w:type="auto"/>
            <w:vAlign w:val="center"/>
            <w:hideMark/>
          </w:tcPr>
          <w:p w14:paraId="0DBF9168" w14:textId="77777777" w:rsidR="0019607A" w:rsidRPr="0019607A" w:rsidRDefault="0019607A" w:rsidP="002A4D3E">
            <w:pPr>
              <w:spacing w:line="360" w:lineRule="auto"/>
              <w:rPr>
                <w:rFonts w:ascii="Arial" w:hAnsi="Arial" w:cs="Arial"/>
                <w:sz w:val="22"/>
                <w:szCs w:val="22"/>
              </w:rPr>
            </w:pPr>
            <w:proofErr w:type="spellStart"/>
            <w:r w:rsidRPr="0019607A">
              <w:rPr>
                <w:rFonts w:ascii="Arial" w:hAnsi="Arial" w:cs="Arial"/>
                <w:sz w:val="22"/>
                <w:szCs w:val="22"/>
              </w:rPr>
              <w:t>Sebalo</w:t>
            </w:r>
            <w:proofErr w:type="spellEnd"/>
            <w:r w:rsidRPr="0019607A">
              <w:rPr>
                <w:rFonts w:ascii="Arial" w:hAnsi="Arial" w:cs="Arial"/>
                <w:sz w:val="22"/>
                <w:szCs w:val="22"/>
              </w:rPr>
              <w:t xml:space="preserve"> et al. (2023)</w:t>
            </w:r>
          </w:p>
        </w:tc>
        <w:tc>
          <w:tcPr>
            <w:tcW w:w="0" w:type="auto"/>
            <w:vAlign w:val="center"/>
            <w:hideMark/>
          </w:tcPr>
          <w:p w14:paraId="0939EE2B"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International</w:t>
            </w:r>
          </w:p>
        </w:tc>
        <w:tc>
          <w:tcPr>
            <w:tcW w:w="0" w:type="auto"/>
            <w:vAlign w:val="center"/>
            <w:hideMark/>
          </w:tcPr>
          <w:p w14:paraId="0E72A19E"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Systematic review (80 studies)</w:t>
            </w:r>
          </w:p>
        </w:tc>
        <w:tc>
          <w:tcPr>
            <w:tcW w:w="0" w:type="auto"/>
            <w:vAlign w:val="center"/>
            <w:hideMark/>
          </w:tcPr>
          <w:p w14:paraId="5EAEF480"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Young adults</w:t>
            </w:r>
          </w:p>
        </w:tc>
        <w:tc>
          <w:tcPr>
            <w:tcW w:w="0" w:type="auto"/>
            <w:vAlign w:val="center"/>
            <w:hideMark/>
          </w:tcPr>
          <w:p w14:paraId="78E6C4FD"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Large evidence base following PRISMA guidance</w:t>
            </w:r>
          </w:p>
        </w:tc>
        <w:tc>
          <w:tcPr>
            <w:tcW w:w="0" w:type="auto"/>
            <w:vAlign w:val="center"/>
            <w:hideMark/>
          </w:tcPr>
          <w:p w14:paraId="48200CBB"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Majority of included studies were cross-sectional</w:t>
            </w:r>
          </w:p>
        </w:tc>
        <w:tc>
          <w:tcPr>
            <w:tcW w:w="0" w:type="auto"/>
            <w:vAlign w:val="center"/>
            <w:hideMark/>
          </w:tcPr>
          <w:p w14:paraId="10952E4A"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Multiple ACEs strongly associated with alcohol and drug misuse.</w:t>
            </w:r>
          </w:p>
        </w:tc>
      </w:tr>
      <w:tr w:rsidR="0019607A" w:rsidRPr="0019607A" w14:paraId="31DD765B" w14:textId="77777777">
        <w:trPr>
          <w:tblCellSpacing w:w="15" w:type="dxa"/>
        </w:trPr>
        <w:tc>
          <w:tcPr>
            <w:tcW w:w="0" w:type="auto"/>
            <w:vAlign w:val="center"/>
            <w:hideMark/>
          </w:tcPr>
          <w:p w14:paraId="75593503"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lastRenderedPageBreak/>
              <w:t>Burke et al. (2025)</w:t>
            </w:r>
          </w:p>
        </w:tc>
        <w:tc>
          <w:tcPr>
            <w:tcW w:w="0" w:type="auto"/>
            <w:vAlign w:val="center"/>
            <w:hideMark/>
          </w:tcPr>
          <w:p w14:paraId="7A53B1F7"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Ireland</w:t>
            </w:r>
          </w:p>
        </w:tc>
        <w:tc>
          <w:tcPr>
            <w:tcW w:w="0" w:type="auto"/>
            <w:vAlign w:val="center"/>
            <w:hideMark/>
          </w:tcPr>
          <w:p w14:paraId="77DF56ED"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Cross-sectional</w:t>
            </w:r>
          </w:p>
        </w:tc>
        <w:tc>
          <w:tcPr>
            <w:tcW w:w="0" w:type="auto"/>
            <w:vAlign w:val="center"/>
            <w:hideMark/>
          </w:tcPr>
          <w:p w14:paraId="4E16A839"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University students</w:t>
            </w:r>
          </w:p>
        </w:tc>
        <w:tc>
          <w:tcPr>
            <w:tcW w:w="0" w:type="auto"/>
            <w:vAlign w:val="center"/>
            <w:hideMark/>
          </w:tcPr>
          <w:p w14:paraId="564082B9"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Large sample size</w:t>
            </w:r>
          </w:p>
        </w:tc>
        <w:tc>
          <w:tcPr>
            <w:tcW w:w="0" w:type="auto"/>
            <w:vAlign w:val="center"/>
            <w:hideMark/>
          </w:tcPr>
          <w:p w14:paraId="03E3E241"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Cannot establish causal relationships</w:t>
            </w:r>
          </w:p>
        </w:tc>
        <w:tc>
          <w:tcPr>
            <w:tcW w:w="0" w:type="auto"/>
            <w:vAlign w:val="center"/>
            <w:hideMark/>
          </w:tcPr>
          <w:p w14:paraId="586B926E"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Alcohol and recreational drug use associated with increased vulnerability within social environments.</w:t>
            </w:r>
          </w:p>
        </w:tc>
      </w:tr>
      <w:tr w:rsidR="0019607A" w:rsidRPr="0019607A" w14:paraId="59982D7F" w14:textId="77777777">
        <w:trPr>
          <w:tblCellSpacing w:w="15" w:type="dxa"/>
        </w:trPr>
        <w:tc>
          <w:tcPr>
            <w:tcW w:w="0" w:type="auto"/>
            <w:vAlign w:val="center"/>
            <w:hideMark/>
          </w:tcPr>
          <w:p w14:paraId="18124638"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Porras-Segovia et al. (2024)</w:t>
            </w:r>
          </w:p>
        </w:tc>
        <w:tc>
          <w:tcPr>
            <w:tcW w:w="0" w:type="auto"/>
            <w:vAlign w:val="center"/>
            <w:hideMark/>
          </w:tcPr>
          <w:p w14:paraId="101C9EEC"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UK</w:t>
            </w:r>
          </w:p>
        </w:tc>
        <w:tc>
          <w:tcPr>
            <w:tcW w:w="0" w:type="auto"/>
            <w:vAlign w:val="center"/>
            <w:hideMark/>
          </w:tcPr>
          <w:p w14:paraId="35098FA3"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Population observational study</w:t>
            </w:r>
          </w:p>
        </w:tc>
        <w:tc>
          <w:tcPr>
            <w:tcW w:w="0" w:type="auto"/>
            <w:vAlign w:val="center"/>
            <w:hideMark/>
          </w:tcPr>
          <w:p w14:paraId="4AD83A21"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Young adults</w:t>
            </w:r>
          </w:p>
        </w:tc>
        <w:tc>
          <w:tcPr>
            <w:tcW w:w="0" w:type="auto"/>
            <w:vAlign w:val="center"/>
            <w:hideMark/>
          </w:tcPr>
          <w:p w14:paraId="643ADCA0"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Large population dataset</w:t>
            </w:r>
          </w:p>
        </w:tc>
        <w:tc>
          <w:tcPr>
            <w:tcW w:w="0" w:type="auto"/>
            <w:vAlign w:val="center"/>
            <w:hideMark/>
          </w:tcPr>
          <w:p w14:paraId="412EE1C2"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Observational design</w:t>
            </w:r>
          </w:p>
        </w:tc>
        <w:tc>
          <w:tcPr>
            <w:tcW w:w="0" w:type="auto"/>
            <w:vAlign w:val="center"/>
            <w:hideMark/>
          </w:tcPr>
          <w:p w14:paraId="3E979E14"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Childhood adversity associated with poorer later mental health.</w:t>
            </w:r>
          </w:p>
        </w:tc>
      </w:tr>
      <w:tr w:rsidR="0019607A" w:rsidRPr="0019607A" w14:paraId="1AC62149" w14:textId="77777777">
        <w:trPr>
          <w:tblCellSpacing w:w="15" w:type="dxa"/>
        </w:trPr>
        <w:tc>
          <w:tcPr>
            <w:tcW w:w="0" w:type="auto"/>
            <w:vAlign w:val="center"/>
            <w:hideMark/>
          </w:tcPr>
          <w:p w14:paraId="3E163EDF"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Fifth UK study</w:t>
            </w:r>
          </w:p>
        </w:tc>
        <w:tc>
          <w:tcPr>
            <w:tcW w:w="0" w:type="auto"/>
            <w:vAlign w:val="center"/>
            <w:hideMark/>
          </w:tcPr>
          <w:p w14:paraId="7676D3C4"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UK</w:t>
            </w:r>
          </w:p>
        </w:tc>
        <w:tc>
          <w:tcPr>
            <w:tcW w:w="0" w:type="auto"/>
            <w:vAlign w:val="center"/>
            <w:hideMark/>
          </w:tcPr>
          <w:p w14:paraId="47A6EF7A"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Cohort/Quantitative</w:t>
            </w:r>
          </w:p>
        </w:tc>
        <w:tc>
          <w:tcPr>
            <w:tcW w:w="0" w:type="auto"/>
            <w:vAlign w:val="center"/>
            <w:hideMark/>
          </w:tcPr>
          <w:p w14:paraId="6A3DFD19"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Young adults</w:t>
            </w:r>
          </w:p>
        </w:tc>
        <w:tc>
          <w:tcPr>
            <w:tcW w:w="0" w:type="auto"/>
            <w:vAlign w:val="center"/>
            <w:hideMark/>
          </w:tcPr>
          <w:p w14:paraId="6723A9DB"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Longitudinal follow-up</w:t>
            </w:r>
          </w:p>
        </w:tc>
        <w:tc>
          <w:tcPr>
            <w:tcW w:w="0" w:type="auto"/>
            <w:vAlign w:val="center"/>
            <w:hideMark/>
          </w:tcPr>
          <w:p w14:paraId="5E382779"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Limited demographic diversity</w:t>
            </w:r>
          </w:p>
        </w:tc>
        <w:tc>
          <w:tcPr>
            <w:tcW w:w="0" w:type="auto"/>
            <w:vAlign w:val="center"/>
            <w:hideMark/>
          </w:tcPr>
          <w:p w14:paraId="2B4F42E5" w14:textId="77777777" w:rsidR="0019607A" w:rsidRPr="0019607A" w:rsidRDefault="0019607A" w:rsidP="002A4D3E">
            <w:pPr>
              <w:spacing w:line="360" w:lineRule="auto"/>
              <w:rPr>
                <w:rFonts w:ascii="Arial" w:hAnsi="Arial" w:cs="Arial"/>
                <w:sz w:val="22"/>
                <w:szCs w:val="22"/>
              </w:rPr>
            </w:pPr>
            <w:r w:rsidRPr="0019607A">
              <w:rPr>
                <w:rFonts w:ascii="Arial" w:hAnsi="Arial" w:cs="Arial"/>
                <w:sz w:val="22"/>
                <w:szCs w:val="22"/>
              </w:rPr>
              <w:t>Mental health and deprivation influenced substance misuse trajectories.</w:t>
            </w:r>
          </w:p>
        </w:tc>
      </w:tr>
    </w:tbl>
    <w:p w14:paraId="62C93440" w14:textId="2CB209B9" w:rsidR="0019607A" w:rsidRPr="002A4D3E" w:rsidRDefault="0019607A" w:rsidP="002A4D3E">
      <w:pPr>
        <w:spacing w:line="360" w:lineRule="auto"/>
        <w:rPr>
          <w:rFonts w:ascii="Arial" w:hAnsi="Arial" w:cs="Arial"/>
          <w:sz w:val="22"/>
          <w:szCs w:val="22"/>
        </w:rPr>
      </w:pPr>
    </w:p>
    <w:p w14:paraId="7BCC1137" w14:textId="3B996BB7" w:rsidR="0019607A" w:rsidRPr="002A4D3E" w:rsidRDefault="0019607A" w:rsidP="002A4D3E">
      <w:pPr>
        <w:spacing w:line="360" w:lineRule="auto"/>
        <w:rPr>
          <w:rFonts w:ascii="Arial" w:hAnsi="Arial" w:cs="Arial"/>
          <w:b/>
          <w:bCs/>
          <w:sz w:val="22"/>
          <w:szCs w:val="22"/>
          <w:u w:val="single"/>
        </w:rPr>
      </w:pPr>
      <w:r w:rsidRPr="002A4D3E">
        <w:rPr>
          <w:rFonts w:ascii="Arial" w:hAnsi="Arial" w:cs="Arial"/>
          <w:b/>
          <w:bCs/>
          <w:sz w:val="22"/>
          <w:szCs w:val="22"/>
          <w:u w:val="single"/>
        </w:rPr>
        <w:t>Thematic Analysis</w:t>
      </w:r>
    </w:p>
    <w:p w14:paraId="4064C4FA" w14:textId="77777777" w:rsidR="00625842" w:rsidRPr="00625842" w:rsidRDefault="00625842" w:rsidP="002A4D3E">
      <w:pPr>
        <w:spacing w:line="360" w:lineRule="auto"/>
        <w:rPr>
          <w:rFonts w:ascii="Arial" w:hAnsi="Arial" w:cs="Arial"/>
          <w:sz w:val="22"/>
          <w:szCs w:val="22"/>
        </w:rPr>
      </w:pPr>
      <w:r w:rsidRPr="00625842">
        <w:rPr>
          <w:rFonts w:ascii="Arial" w:hAnsi="Arial" w:cs="Arial"/>
          <w:sz w:val="22"/>
          <w:szCs w:val="22"/>
        </w:rPr>
        <w:t>Thematic analysis identified four interconnected themes explaining substance misuse among young adults aged 18–25 years.</w:t>
      </w:r>
    </w:p>
    <w:p w14:paraId="3FA7F134" w14:textId="77777777" w:rsidR="00A94E23" w:rsidRPr="00A94E23" w:rsidRDefault="00A94E23" w:rsidP="002A4D3E">
      <w:pPr>
        <w:spacing w:line="360" w:lineRule="auto"/>
        <w:rPr>
          <w:rFonts w:ascii="Arial" w:hAnsi="Arial" w:cs="Arial"/>
          <w:b/>
          <w:bCs/>
          <w:sz w:val="22"/>
          <w:szCs w:val="22"/>
        </w:rPr>
      </w:pPr>
      <w:r w:rsidRPr="00A94E23">
        <w:rPr>
          <w:rFonts w:ascii="Arial" w:hAnsi="Arial" w:cs="Arial"/>
          <w:b/>
          <w:bCs/>
          <w:sz w:val="22"/>
          <w:szCs w:val="22"/>
        </w:rPr>
        <w:t>Theme One: Adverse Childhood Experiences as Fundamental Risk Factors</w:t>
      </w:r>
    </w:p>
    <w:p w14:paraId="28DD20B9"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 xml:space="preserve">The most consistent finding across the reviewed literature was the influence of adverse childhood experiences (ACEs). Studies investigating early-life adversity concluded that childhood trauma significantly increased the risk of harmful alcohol and drug use during emerging adulthood. </w:t>
      </w:r>
      <w:proofErr w:type="spellStart"/>
      <w:r w:rsidRPr="00A94E23">
        <w:rPr>
          <w:rFonts w:ascii="Arial" w:hAnsi="Arial" w:cs="Arial"/>
          <w:sz w:val="22"/>
          <w:szCs w:val="22"/>
        </w:rPr>
        <w:t>Sebalo</w:t>
      </w:r>
      <w:proofErr w:type="spellEnd"/>
      <w:r w:rsidRPr="00A94E23">
        <w:rPr>
          <w:rFonts w:ascii="Arial" w:hAnsi="Arial" w:cs="Arial"/>
          <w:sz w:val="22"/>
          <w:szCs w:val="22"/>
        </w:rPr>
        <w:t xml:space="preserve"> et al. (2023) provided the strongest evidence through a systematic review of 80 studies, demonstrating that exposure to multiple ACEs, including abuse, neglect, and household dysfunction, was consistently associated with substance misuse before the age of 25. The review also identified a cumulative relationship, with greater exposure to ACEs corresponding to increased risk. Emotional dysregulation and </w:t>
      </w:r>
      <w:r w:rsidRPr="00A94E23">
        <w:rPr>
          <w:rFonts w:ascii="Arial" w:hAnsi="Arial" w:cs="Arial"/>
          <w:sz w:val="22"/>
          <w:szCs w:val="22"/>
        </w:rPr>
        <w:lastRenderedPageBreak/>
        <w:t>maladaptive coping were identified as key mediating factors, supporting trauma-informed models that view substance misuse as a response to unresolved psychological adversity rather than simply a behavioural choice. Porras-Segovia et al. (2024) further linked childhood adversity to poorer mental health outcomes, reinforcing evidence that early trauma contributes to substance misuse. Although findings were consistent across studies, most relied on retrospective self-report data, introducing potential recall bias.</w:t>
      </w:r>
    </w:p>
    <w:p w14:paraId="463D21F6" w14:textId="77777777" w:rsidR="00A94E23" w:rsidRPr="00A94E23" w:rsidRDefault="00A94E23" w:rsidP="002A4D3E">
      <w:pPr>
        <w:spacing w:line="360" w:lineRule="auto"/>
        <w:rPr>
          <w:rFonts w:ascii="Arial" w:hAnsi="Arial" w:cs="Arial"/>
          <w:b/>
          <w:bCs/>
          <w:sz w:val="22"/>
          <w:szCs w:val="22"/>
        </w:rPr>
      </w:pPr>
      <w:r w:rsidRPr="00A94E23">
        <w:rPr>
          <w:rFonts w:ascii="Arial" w:hAnsi="Arial" w:cs="Arial"/>
          <w:b/>
          <w:bCs/>
          <w:sz w:val="22"/>
          <w:szCs w:val="22"/>
        </w:rPr>
        <w:t>Theme Two: Mental Health, Emotional Regulation and Substance Misuse</w:t>
      </w:r>
    </w:p>
    <w:p w14:paraId="324CC285"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 xml:space="preserve">Mental health emerged as a second major theme, with psychological distress and substance misuse shown to be closely interconnected. </w:t>
      </w:r>
      <w:proofErr w:type="spellStart"/>
      <w:r w:rsidRPr="00A94E23">
        <w:rPr>
          <w:rFonts w:ascii="Arial" w:hAnsi="Arial" w:cs="Arial"/>
          <w:sz w:val="22"/>
          <w:szCs w:val="22"/>
        </w:rPr>
        <w:t>Sebalo</w:t>
      </w:r>
      <w:proofErr w:type="spellEnd"/>
      <w:r w:rsidRPr="00A94E23">
        <w:rPr>
          <w:rFonts w:ascii="Arial" w:hAnsi="Arial" w:cs="Arial"/>
          <w:sz w:val="22"/>
          <w:szCs w:val="22"/>
        </w:rPr>
        <w:t xml:space="preserve"> et al. (2023) identified poor emotional regulation as a key mechanism linking ACEs to later alcohol and drug use. Across the literature, young adults commonly used substances to cope with anxiety, depression, and emotional distress, suggesting substance misuse often functions as self-medication before contributing to dependency and worsening mental health. Although causality cannot be established, consistent findings across different methodologies support the need for integrated mental health and substance misuse services.</w:t>
      </w:r>
    </w:p>
    <w:p w14:paraId="45CF2E39" w14:textId="77777777" w:rsidR="00A94E23" w:rsidRPr="00A94E23" w:rsidRDefault="00A94E23" w:rsidP="002A4D3E">
      <w:pPr>
        <w:spacing w:line="360" w:lineRule="auto"/>
        <w:rPr>
          <w:rFonts w:ascii="Arial" w:hAnsi="Arial" w:cs="Arial"/>
          <w:b/>
          <w:bCs/>
          <w:sz w:val="22"/>
          <w:szCs w:val="22"/>
        </w:rPr>
      </w:pPr>
      <w:r w:rsidRPr="00A94E23">
        <w:rPr>
          <w:rFonts w:ascii="Arial" w:hAnsi="Arial" w:cs="Arial"/>
          <w:b/>
          <w:bCs/>
          <w:sz w:val="22"/>
          <w:szCs w:val="22"/>
        </w:rPr>
        <w:t>Theme Three: Emerging Adulthood, Social Environment and Risk Behaviour</w:t>
      </w:r>
    </w:p>
    <w:p w14:paraId="382D2C9B"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The developmental characteristics of emerging adulthood also influenced substance misuse behaviours. Burke et al. (2025) found that alcohol and recreational drug use commonly occurred within university social environments characterised by peer influence, nightlife, and increased independence, reflecting broader social and cultural norms. Although conducted in Ireland, similarities with UK higher education increase the relevance of these findings. Emerging adulthood was consistently described as a period of experimentation, identity development, and changing social relationships, increasing exposure to alcohol and drugs while reducing parental supervision. These findings suggest prevention strategies should address wider social and environmental influences alongside individual behaviour.</w:t>
      </w:r>
    </w:p>
    <w:p w14:paraId="3814FF5D" w14:textId="77777777" w:rsidR="00A94E23" w:rsidRPr="00A94E23" w:rsidRDefault="00A94E23" w:rsidP="002A4D3E">
      <w:pPr>
        <w:spacing w:line="360" w:lineRule="auto"/>
        <w:rPr>
          <w:rFonts w:ascii="Arial" w:hAnsi="Arial" w:cs="Arial"/>
          <w:b/>
          <w:bCs/>
          <w:sz w:val="22"/>
          <w:szCs w:val="22"/>
        </w:rPr>
      </w:pPr>
      <w:r w:rsidRPr="00A94E23">
        <w:rPr>
          <w:rFonts w:ascii="Arial" w:hAnsi="Arial" w:cs="Arial"/>
          <w:b/>
          <w:bCs/>
          <w:sz w:val="22"/>
          <w:szCs w:val="22"/>
        </w:rPr>
        <w:t>Theme Four: Limitations of Current UK Service Provision</w:t>
      </w:r>
    </w:p>
    <w:p w14:paraId="18957073"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 xml:space="preserve">The final theme concerned the organisation and accessibility of UK substance misuse services. Duke and Welch (2026) highlighted significant challenges during the transition from </w:t>
      </w:r>
      <w:proofErr w:type="gramStart"/>
      <w:r w:rsidRPr="00A94E23">
        <w:rPr>
          <w:rFonts w:ascii="Arial" w:hAnsi="Arial" w:cs="Arial"/>
          <w:sz w:val="22"/>
          <w:szCs w:val="22"/>
        </w:rPr>
        <w:t>children's</w:t>
      </w:r>
      <w:proofErr w:type="gramEnd"/>
      <w:r w:rsidRPr="00A94E23">
        <w:rPr>
          <w:rFonts w:ascii="Arial" w:hAnsi="Arial" w:cs="Arial"/>
          <w:sz w:val="22"/>
          <w:szCs w:val="22"/>
        </w:rPr>
        <w:t xml:space="preserve"> to adult services, with participants describing adult provision as inflexible and poorly adapted to their developmental needs. The qualitative design identified barriers including stigma, fragmented care, and weak therapeutic relationships, while participants valued flexible appointments, outreach services, and trusting relationships with practitioners. Although these findings cannot be generalised to all UK services, they reflect wider concerns </w:t>
      </w:r>
      <w:r w:rsidRPr="00A94E23">
        <w:rPr>
          <w:rFonts w:ascii="Arial" w:hAnsi="Arial" w:cs="Arial"/>
          <w:sz w:val="22"/>
          <w:szCs w:val="22"/>
        </w:rPr>
        <w:lastRenderedPageBreak/>
        <w:t>regarding transitional care and suggest existing services do not adequately meet the needs of individuals aged 18–25 years.</w:t>
      </w:r>
    </w:p>
    <w:p w14:paraId="3807A134" w14:textId="77777777" w:rsidR="00A94E23" w:rsidRPr="00A94E23" w:rsidRDefault="00A94E23" w:rsidP="002A4D3E">
      <w:pPr>
        <w:spacing w:line="360" w:lineRule="auto"/>
        <w:rPr>
          <w:rFonts w:ascii="Arial" w:hAnsi="Arial" w:cs="Arial"/>
          <w:b/>
          <w:bCs/>
          <w:sz w:val="22"/>
          <w:szCs w:val="22"/>
        </w:rPr>
      </w:pPr>
      <w:r w:rsidRPr="00A94E23">
        <w:rPr>
          <w:rFonts w:ascii="Arial" w:hAnsi="Arial" w:cs="Arial"/>
          <w:b/>
          <w:bCs/>
          <w:sz w:val="22"/>
          <w:szCs w:val="22"/>
        </w:rPr>
        <w:t>Overall Synthesis of Findings</w:t>
      </w:r>
    </w:p>
    <w:p w14:paraId="17C00EED"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Despite methodological diversity, the included studies demonstrated remarkable consistency. Substance misuse among young adults resulted from interactions between childhood adversity, mental health, developmental transitions, peer influences, and service accessibility. The strongest evidence highlighted adverse childhood experiences and emotional dysregulation as key determinants, while qualitative findings identified shortcomings within UK service provision. Collectively, the evidence supports integrated, trauma-informed, and developmentally appropriate approaches that extend beyond traditional models of addiction care and provide the foundation for the following discussion of implications for UK policy, practice, and future research.</w:t>
      </w:r>
    </w:p>
    <w:p w14:paraId="367D4508" w14:textId="77777777" w:rsidR="003B758E" w:rsidRPr="002A4D3E" w:rsidRDefault="003B758E" w:rsidP="002A4D3E">
      <w:pPr>
        <w:spacing w:line="360" w:lineRule="auto"/>
        <w:rPr>
          <w:rFonts w:ascii="Arial" w:hAnsi="Arial" w:cs="Arial"/>
          <w:sz w:val="22"/>
          <w:szCs w:val="22"/>
        </w:rPr>
      </w:pPr>
    </w:p>
    <w:p w14:paraId="40D162AB" w14:textId="2D50AD37" w:rsidR="003B758E" w:rsidRPr="00576508" w:rsidRDefault="003B758E" w:rsidP="002A4D3E">
      <w:pPr>
        <w:spacing w:line="360" w:lineRule="auto"/>
        <w:rPr>
          <w:rFonts w:ascii="Arial" w:hAnsi="Arial" w:cs="Arial"/>
          <w:b/>
          <w:bCs/>
          <w:sz w:val="22"/>
          <w:szCs w:val="22"/>
        </w:rPr>
      </w:pPr>
      <w:r w:rsidRPr="00576508">
        <w:rPr>
          <w:rFonts w:ascii="Arial" w:hAnsi="Arial" w:cs="Arial"/>
          <w:b/>
          <w:bCs/>
          <w:sz w:val="22"/>
          <w:szCs w:val="22"/>
        </w:rPr>
        <w:t xml:space="preserve">Discussion </w:t>
      </w:r>
    </w:p>
    <w:p w14:paraId="2A11E633" w14:textId="4CBE831C"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The aim of this scoping review was to identify and synthesise evidence regarding the factors influencing substance misuse among young adults aged 18–25 years and to consider the implications for UK health, social care, and digital health practice. Thematic analysis identified four interconnected themes: adverse childhood experiences (ACEs), mental health and emotional regulation, developmental and social influences associated with emerging adulthood, and limitations within current service provision. Together, these findings demonstrate that substance misuse is a complex public health issue shaped by biological, psychological, social, and structural determinants, requiring coordinated, person-centred responses.</w:t>
      </w:r>
      <w:r w:rsidRPr="002A4D3E">
        <w:rPr>
          <w:rFonts w:ascii="Arial" w:hAnsi="Arial" w:cs="Arial"/>
          <w:sz w:val="22"/>
          <w:szCs w:val="22"/>
        </w:rPr>
        <w:t xml:space="preserve"> </w:t>
      </w:r>
      <w:r w:rsidRPr="00A94E23">
        <w:rPr>
          <w:rFonts w:ascii="Arial" w:hAnsi="Arial" w:cs="Arial"/>
          <w:sz w:val="22"/>
          <w:szCs w:val="22"/>
        </w:rPr>
        <w:t xml:space="preserve">The strongest finding was the consistent association between adverse childhood experiences and later substance misuse. </w:t>
      </w:r>
      <w:proofErr w:type="spellStart"/>
      <w:r w:rsidRPr="00A94E23">
        <w:rPr>
          <w:rFonts w:ascii="Arial" w:hAnsi="Arial" w:cs="Arial"/>
          <w:sz w:val="22"/>
          <w:szCs w:val="22"/>
        </w:rPr>
        <w:t>Sebalo</w:t>
      </w:r>
      <w:proofErr w:type="spellEnd"/>
      <w:r w:rsidRPr="00A94E23">
        <w:rPr>
          <w:rFonts w:ascii="Arial" w:hAnsi="Arial" w:cs="Arial"/>
          <w:sz w:val="22"/>
          <w:szCs w:val="22"/>
        </w:rPr>
        <w:t xml:space="preserve"> et al. (2023) found that exposure to multiple ACEs significantly increased the likelihood of alcohol and drug misuse during emerging adulthood, with greater exposure to trauma associated with progressively higher risk. These findings support trauma-informed theories of addiction, suggesting substance misuse often develops as a response to unresolved psychological distress. Consequently, interventions focused solely on abstinence or behavioural change are unlikely to achieve sustained outcomes without addressing underlying trauma.</w:t>
      </w:r>
      <w:r w:rsidRPr="002A4D3E">
        <w:rPr>
          <w:rFonts w:ascii="Arial" w:hAnsi="Arial" w:cs="Arial"/>
          <w:sz w:val="22"/>
          <w:szCs w:val="22"/>
        </w:rPr>
        <w:t xml:space="preserve"> </w:t>
      </w:r>
      <w:r w:rsidRPr="00A94E23">
        <w:rPr>
          <w:rFonts w:ascii="Arial" w:hAnsi="Arial" w:cs="Arial"/>
          <w:sz w:val="22"/>
          <w:szCs w:val="22"/>
        </w:rPr>
        <w:t xml:space="preserve">Current UK policy broadly supports integrated approaches to substance misuse. </w:t>
      </w:r>
      <w:r w:rsidRPr="00A94E23">
        <w:rPr>
          <w:rFonts w:ascii="Arial" w:hAnsi="Arial" w:cs="Arial"/>
          <w:i/>
          <w:iCs/>
          <w:sz w:val="22"/>
          <w:szCs w:val="22"/>
        </w:rPr>
        <w:t>From Harm to Hope: A 10-Year Drugs Plan</w:t>
      </w:r>
      <w:r w:rsidRPr="00A94E23">
        <w:rPr>
          <w:rFonts w:ascii="Arial" w:hAnsi="Arial" w:cs="Arial"/>
          <w:sz w:val="22"/>
          <w:szCs w:val="22"/>
        </w:rPr>
        <w:t xml:space="preserve"> (HM Government, 2021) emphasises prevention, recovery, and partnership working, while NICE guidance advocates early intervention and person-centred care. However, implementation remains inconsistent for emerging adults, who are often treated as part of the wider adult population despite having distinct developmental needs.</w:t>
      </w:r>
      <w:r w:rsidRPr="002A4D3E">
        <w:rPr>
          <w:rFonts w:ascii="Arial" w:hAnsi="Arial" w:cs="Arial"/>
          <w:sz w:val="22"/>
          <w:szCs w:val="22"/>
        </w:rPr>
        <w:t xml:space="preserve"> </w:t>
      </w:r>
      <w:r w:rsidRPr="00A94E23">
        <w:rPr>
          <w:rFonts w:ascii="Arial" w:hAnsi="Arial" w:cs="Arial"/>
          <w:sz w:val="22"/>
          <w:szCs w:val="22"/>
        </w:rPr>
        <w:t xml:space="preserve">Duke and Welch </w:t>
      </w:r>
      <w:r w:rsidRPr="00A94E23">
        <w:rPr>
          <w:rFonts w:ascii="Arial" w:hAnsi="Arial" w:cs="Arial"/>
          <w:sz w:val="22"/>
          <w:szCs w:val="22"/>
        </w:rPr>
        <w:lastRenderedPageBreak/>
        <w:t xml:space="preserve">(2026) highlighted significant challenges experienced by young adults transitioning from </w:t>
      </w:r>
      <w:proofErr w:type="gramStart"/>
      <w:r w:rsidRPr="00A94E23">
        <w:rPr>
          <w:rFonts w:ascii="Arial" w:hAnsi="Arial" w:cs="Arial"/>
          <w:sz w:val="22"/>
          <w:szCs w:val="22"/>
        </w:rPr>
        <w:t>children's</w:t>
      </w:r>
      <w:proofErr w:type="gramEnd"/>
      <w:r w:rsidRPr="00A94E23">
        <w:rPr>
          <w:rFonts w:ascii="Arial" w:hAnsi="Arial" w:cs="Arial"/>
          <w:sz w:val="22"/>
          <w:szCs w:val="22"/>
        </w:rPr>
        <w:t xml:space="preserve"> to adult substance misuse services. Participants reported inflexible services and poor continuity of care, reducing treatment engagement. These findings suggest greater emphasis should be placed on transitional services specifically designed for individuals aged 18–25 years.</w:t>
      </w:r>
      <w:r w:rsidRPr="002A4D3E">
        <w:rPr>
          <w:rFonts w:ascii="Arial" w:hAnsi="Arial" w:cs="Arial"/>
          <w:sz w:val="22"/>
          <w:szCs w:val="22"/>
        </w:rPr>
        <w:t xml:space="preserve"> </w:t>
      </w:r>
      <w:r w:rsidRPr="00A94E23">
        <w:rPr>
          <w:rFonts w:ascii="Arial" w:hAnsi="Arial" w:cs="Arial"/>
          <w:sz w:val="22"/>
          <w:szCs w:val="22"/>
        </w:rPr>
        <w:t>The review also highlighted the influence of wider social determinants. Burke et al. (2025) found that alcohol and recreational drug use frequently occurred within peer-driven social environments, indicating that substance misuse is shaped by environmental and cultural influences as well as individual behaviour. Public health interventions should therefore address education, employment, housing, inequality, and community wellbeing alongside individual support.</w:t>
      </w:r>
      <w:r w:rsidRPr="002A4D3E">
        <w:rPr>
          <w:rFonts w:ascii="Arial" w:hAnsi="Arial" w:cs="Arial"/>
          <w:sz w:val="22"/>
          <w:szCs w:val="22"/>
        </w:rPr>
        <w:t xml:space="preserve"> </w:t>
      </w:r>
      <w:r w:rsidRPr="00A94E23">
        <w:rPr>
          <w:rFonts w:ascii="Arial" w:hAnsi="Arial" w:cs="Arial"/>
          <w:sz w:val="22"/>
          <w:szCs w:val="22"/>
        </w:rPr>
        <w:t>The findings also have implications for digital health. Online interventions, mobile health applications, virtual consultations, and digital peer-support programmes may improve access for young adults reluctant to engage with traditional services, although further evaluation of their effectiveness is required.</w:t>
      </w:r>
      <w:r w:rsidRPr="002A4D3E">
        <w:rPr>
          <w:rFonts w:ascii="Arial" w:hAnsi="Arial" w:cs="Arial"/>
          <w:sz w:val="22"/>
          <w:szCs w:val="22"/>
        </w:rPr>
        <w:t xml:space="preserve"> </w:t>
      </w:r>
      <w:r w:rsidRPr="00A94E23">
        <w:rPr>
          <w:rFonts w:ascii="Arial" w:hAnsi="Arial" w:cs="Arial"/>
          <w:sz w:val="22"/>
          <w:szCs w:val="22"/>
        </w:rPr>
        <w:t>Several methodological limitations should be acknowledged. Most studies were observational or cross-sectional, limiting causal inference, and many relied on retrospective self-report measures. Relatively few focused exclusively on UK populations, reducing direct applicability to UK practice. This review was also limited to three electronic databases, English-language publications, and excluded grey literature. Nevertheless, the consistency of findings across different methodologies strengthens confidence in the conclusions.</w:t>
      </w:r>
      <w:r w:rsidRPr="002A4D3E">
        <w:rPr>
          <w:rFonts w:ascii="Arial" w:hAnsi="Arial" w:cs="Arial"/>
          <w:sz w:val="22"/>
          <w:szCs w:val="22"/>
        </w:rPr>
        <w:t xml:space="preserve"> </w:t>
      </w:r>
      <w:r w:rsidRPr="00A94E23">
        <w:rPr>
          <w:rFonts w:ascii="Arial" w:hAnsi="Arial" w:cs="Arial"/>
          <w:sz w:val="22"/>
          <w:szCs w:val="22"/>
        </w:rPr>
        <w:t>Overall, the evidence indicates that effective responses to substance misuse among young adults require integrated, trauma-informed, and developmentally appropriate systems of care. Addressing the psychological, social, and structural determinants of substance misuse is likely to improve engagement, reduce long-term harm, and support healthier transitions into adulthood.</w:t>
      </w:r>
    </w:p>
    <w:p w14:paraId="44FA48DF" w14:textId="362C53BF" w:rsidR="00CD13E1" w:rsidRPr="00576508" w:rsidRDefault="00CD13E1" w:rsidP="002A4D3E">
      <w:pPr>
        <w:spacing w:line="360" w:lineRule="auto"/>
        <w:rPr>
          <w:rFonts w:ascii="Arial" w:hAnsi="Arial" w:cs="Arial"/>
          <w:b/>
          <w:bCs/>
          <w:sz w:val="22"/>
          <w:szCs w:val="22"/>
        </w:rPr>
      </w:pPr>
      <w:r w:rsidRPr="00576508">
        <w:rPr>
          <w:rFonts w:ascii="Arial" w:hAnsi="Arial" w:cs="Arial"/>
          <w:b/>
          <w:bCs/>
          <w:sz w:val="22"/>
          <w:szCs w:val="22"/>
        </w:rPr>
        <w:t>Conclusion</w:t>
      </w:r>
    </w:p>
    <w:p w14:paraId="4A40882D" w14:textId="7F3D48FE" w:rsidR="006429C5" w:rsidRPr="002A4D3E" w:rsidRDefault="006429C5" w:rsidP="002A4D3E">
      <w:pPr>
        <w:spacing w:line="360" w:lineRule="auto"/>
        <w:rPr>
          <w:rFonts w:ascii="Arial" w:hAnsi="Arial" w:cs="Arial"/>
          <w:sz w:val="22"/>
          <w:szCs w:val="22"/>
        </w:rPr>
      </w:pPr>
      <w:r w:rsidRPr="002A4D3E">
        <w:rPr>
          <w:rFonts w:ascii="Arial" w:hAnsi="Arial" w:cs="Arial"/>
          <w:sz w:val="22"/>
          <w:szCs w:val="22"/>
        </w:rPr>
        <w:t xml:space="preserve">This scoping review investigated the factors that affect substance misuse among young adults aged 18 to 25 years and examined the implications for health, social care, and digital health practices in the UK. By synthesizing five peer-reviewed studies, four interrelated themes emerged: adverse childhood experiences (ACEs), mental health and emotional regulation, the social and developmental characteristics of emerging adulthood, and the limitations of current service provision. Together, these findings illustrate that substance misuse is a complex public health concern influenced by psychological, social, developmental, and structural factors, rather than solely by individual behaviour. The review provided consistent evidence that exposure to childhood adversity significantly heightens the risk of harmful alcohol and drug use during emerging adulthood. This relationship is mediated by factors such as poor emotional regulation, mental health issues, and </w:t>
      </w:r>
      <w:r w:rsidRPr="002A4D3E">
        <w:rPr>
          <w:rFonts w:ascii="Arial" w:hAnsi="Arial" w:cs="Arial"/>
          <w:sz w:val="22"/>
          <w:szCs w:val="22"/>
        </w:rPr>
        <w:lastRenderedPageBreak/>
        <w:t xml:space="preserve">maladaptive coping strategies, underscoring the necessity of trauma-informed approaches in prevention and treatment services. Additionally, the findings highlight that emerging adulthood is a unique developmental phase marked by increased independence, identity formation, and evolving social environments, all of which contribute to a heightened vulnerability to substance misuse. The review also pinpointed significant deficiencies in the current UK service provision. Existing adult substance misuse services often do not adequately address the developmental needs of young adults, especially during the transition from </w:t>
      </w:r>
      <w:proofErr w:type="gramStart"/>
      <w:r w:rsidRPr="002A4D3E">
        <w:rPr>
          <w:rFonts w:ascii="Arial" w:hAnsi="Arial" w:cs="Arial"/>
          <w:sz w:val="22"/>
          <w:szCs w:val="22"/>
        </w:rPr>
        <w:t>children's</w:t>
      </w:r>
      <w:proofErr w:type="gramEnd"/>
      <w:r w:rsidRPr="002A4D3E">
        <w:rPr>
          <w:rFonts w:ascii="Arial" w:hAnsi="Arial" w:cs="Arial"/>
          <w:sz w:val="22"/>
          <w:szCs w:val="22"/>
        </w:rPr>
        <w:t xml:space="preserve"> to adult services. As a result, many individuals disengage from treatment at a critical time when timely intervention could have the most substantial long-term benefits. Therefore, the evidence advocates for increased investment in age-appropriate, flexible, and integrated care models that acknowledge the complex needs of emerging adults. While this review offers a thorough summary of the existing literature, it is important to recognise several limitations. The review encompassed only five peer-reviewed studies sourced from three electronic databases and was limited to publications in the English language. As a scoping review, its aim was to outline the current evidence rather than assess the effectiveness of interventions or conduct a formal quality evaluation. Nonetheless, the consistency of results across various research methodologies enhances confidence in the conclusions drawn and highlights clear priorities for future research and service enhancement. In summary, the review asserts that effective strategies for addressing substance misuse among young adults necessitate coordinated, person-centred, and trauma-informed approaches implemented through integrated health, social care, and digital health systems. Tackling the broader determinants of substance misuse, such as childhood adversity, mental health issues, and social inequality, is likely to foster better engagement with services and mitigate long-term harm.</w:t>
      </w:r>
    </w:p>
    <w:p w14:paraId="6AD92ACC" w14:textId="77777777" w:rsidR="00A05B90" w:rsidRDefault="00A05B90" w:rsidP="002A4D3E">
      <w:pPr>
        <w:spacing w:line="360" w:lineRule="auto"/>
        <w:rPr>
          <w:rFonts w:ascii="Arial" w:hAnsi="Arial" w:cs="Arial"/>
          <w:b/>
          <w:bCs/>
          <w:sz w:val="22"/>
          <w:szCs w:val="22"/>
        </w:rPr>
      </w:pPr>
    </w:p>
    <w:p w14:paraId="449CCC0A" w14:textId="49A5707C" w:rsidR="00A94E23" w:rsidRPr="00A94E23" w:rsidRDefault="00A94E23" w:rsidP="002A4D3E">
      <w:pPr>
        <w:spacing w:line="360" w:lineRule="auto"/>
        <w:rPr>
          <w:rFonts w:ascii="Arial" w:hAnsi="Arial" w:cs="Arial"/>
          <w:b/>
          <w:bCs/>
          <w:sz w:val="22"/>
          <w:szCs w:val="22"/>
        </w:rPr>
      </w:pPr>
      <w:r w:rsidRPr="00A94E23">
        <w:rPr>
          <w:rFonts w:ascii="Arial" w:hAnsi="Arial" w:cs="Arial"/>
          <w:b/>
          <w:bCs/>
          <w:sz w:val="22"/>
          <w:szCs w:val="22"/>
        </w:rPr>
        <w:t>Recommendations for UK Practice</w:t>
      </w:r>
    </w:p>
    <w:p w14:paraId="5B308CDF" w14:textId="705B7250" w:rsidR="00576508" w:rsidRPr="00A05B90" w:rsidRDefault="00A94E23" w:rsidP="002A4D3E">
      <w:pPr>
        <w:spacing w:line="360" w:lineRule="auto"/>
        <w:rPr>
          <w:rFonts w:ascii="Arial" w:hAnsi="Arial" w:cs="Arial"/>
          <w:sz w:val="22"/>
          <w:szCs w:val="22"/>
        </w:rPr>
      </w:pPr>
      <w:r w:rsidRPr="00A94E23">
        <w:rPr>
          <w:rFonts w:ascii="Arial" w:hAnsi="Arial" w:cs="Arial"/>
          <w:sz w:val="22"/>
          <w:szCs w:val="22"/>
        </w:rPr>
        <w:t xml:space="preserve">Substance misuse services should adopt developmentally appropriate models of care for individuals aged 18–25 years. Transition pathways between children's and adult services should be strengthened to minimise disengagement and improve continuity of care. Health and social care professionals should receive ongoing training in trauma-informed practice, recognising the long-term impact of adverse childhood experiences on substance misuse and recovery. Routine screening for mental health difficulties, trauma, and substance misuse should be embedded across primary care, emergency departments, mental health services, and community settings to support earlier identification and intervention. Multidisciplinary collaboration between healthcare, social care, education, housing, and voluntary </w:t>
      </w:r>
      <w:r w:rsidRPr="00A94E23">
        <w:rPr>
          <w:rFonts w:ascii="Arial" w:hAnsi="Arial" w:cs="Arial"/>
          <w:sz w:val="22"/>
          <w:szCs w:val="22"/>
        </w:rPr>
        <w:lastRenderedPageBreak/>
        <w:t>organisations should also be strengthened to address the wider social determinants of substance misuse.</w:t>
      </w:r>
    </w:p>
    <w:p w14:paraId="65A55BBD" w14:textId="61C4EFCE" w:rsidR="00A94E23" w:rsidRPr="00A94E23" w:rsidRDefault="00A94E23" w:rsidP="002A4D3E">
      <w:pPr>
        <w:spacing w:line="360" w:lineRule="auto"/>
        <w:rPr>
          <w:rFonts w:ascii="Arial" w:hAnsi="Arial" w:cs="Arial"/>
          <w:b/>
          <w:bCs/>
          <w:sz w:val="22"/>
          <w:szCs w:val="22"/>
        </w:rPr>
      </w:pPr>
      <w:r w:rsidRPr="00A94E23">
        <w:rPr>
          <w:rFonts w:ascii="Arial" w:hAnsi="Arial" w:cs="Arial"/>
          <w:b/>
          <w:bCs/>
          <w:sz w:val="22"/>
          <w:szCs w:val="22"/>
        </w:rPr>
        <w:t>Recommendations for Policy</w:t>
      </w:r>
    </w:p>
    <w:p w14:paraId="13BD5DE5"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National policy should recognise emerging adults as a distinct population with developmental needs that differ from adolescents and older adults. Future UK drug and alcohol strategies should promote integrated care pathways combining mental health support, substance misuse treatment, and wider social interventions. Greater investment is needed in community outreach and digital health services to improve engagement among young adults, alongside continued support for evidence-based prevention addressing childhood adversity, social inequality, and mental wellbeing.</w:t>
      </w:r>
    </w:p>
    <w:p w14:paraId="0801D718" w14:textId="77777777" w:rsidR="00A05B90" w:rsidRDefault="00A05B90" w:rsidP="002A4D3E">
      <w:pPr>
        <w:spacing w:line="360" w:lineRule="auto"/>
        <w:rPr>
          <w:rFonts w:ascii="Arial" w:hAnsi="Arial" w:cs="Arial"/>
          <w:b/>
          <w:bCs/>
          <w:sz w:val="22"/>
          <w:szCs w:val="22"/>
        </w:rPr>
      </w:pPr>
    </w:p>
    <w:p w14:paraId="62C7D3CF" w14:textId="1B82E7C3" w:rsidR="00A94E23" w:rsidRPr="00A94E23" w:rsidRDefault="00A94E23" w:rsidP="002A4D3E">
      <w:pPr>
        <w:spacing w:line="360" w:lineRule="auto"/>
        <w:rPr>
          <w:rFonts w:ascii="Arial" w:hAnsi="Arial" w:cs="Arial"/>
          <w:b/>
          <w:bCs/>
          <w:sz w:val="22"/>
          <w:szCs w:val="22"/>
        </w:rPr>
      </w:pPr>
      <w:r w:rsidRPr="00A94E23">
        <w:rPr>
          <w:rFonts w:ascii="Arial" w:hAnsi="Arial" w:cs="Arial"/>
          <w:b/>
          <w:bCs/>
          <w:sz w:val="22"/>
          <w:szCs w:val="22"/>
        </w:rPr>
        <w:t>Recommendations for Future Research</w:t>
      </w:r>
    </w:p>
    <w:p w14:paraId="2715A031"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This review identified important gaps in the evidence base. Future research should prioritise UK longitudinal studies exploring how biological, psychological, and social factors interact over time to influence substance misuse during emerging adulthood. Additional qualitative research involving diverse socioeconomic and ethnic groups would improve understanding of barriers to support. Further evaluation of trauma-informed interventions, digital health technologies, and integrated care models is required to determine their effectiveness in improving engagement, treatment outcomes, and long-term recovery.</w:t>
      </w:r>
    </w:p>
    <w:p w14:paraId="03AF322D" w14:textId="77777777" w:rsidR="00A94E23" w:rsidRPr="00A94E23" w:rsidRDefault="00A94E23" w:rsidP="002A4D3E">
      <w:pPr>
        <w:spacing w:line="360" w:lineRule="auto"/>
        <w:rPr>
          <w:rFonts w:ascii="Arial" w:hAnsi="Arial" w:cs="Arial"/>
          <w:sz w:val="22"/>
          <w:szCs w:val="22"/>
        </w:rPr>
      </w:pPr>
      <w:r w:rsidRPr="00A94E23">
        <w:rPr>
          <w:rFonts w:ascii="Arial" w:hAnsi="Arial" w:cs="Arial"/>
          <w:sz w:val="22"/>
          <w:szCs w:val="22"/>
        </w:rPr>
        <w:t>In summary, substance misuse among young adults requires responses that extend beyond traditional treatment models. Integrated, trauma-informed, and developmentally appropriate approaches across UK health, social care, and digital health services have the potential to improve engagement, enhance health outcomes, and reduce the wider societal impact of substance misuse.</w:t>
      </w:r>
    </w:p>
    <w:p w14:paraId="288B09EB" w14:textId="77777777" w:rsidR="006429C5" w:rsidRPr="002A4D3E" w:rsidRDefault="006429C5" w:rsidP="002A4D3E">
      <w:pPr>
        <w:spacing w:line="360" w:lineRule="auto"/>
        <w:rPr>
          <w:rFonts w:ascii="Arial" w:hAnsi="Arial" w:cs="Arial"/>
          <w:sz w:val="22"/>
          <w:szCs w:val="22"/>
        </w:rPr>
      </w:pPr>
    </w:p>
    <w:p w14:paraId="16F02578" w14:textId="77777777" w:rsidR="00625842" w:rsidRPr="002A4D3E" w:rsidRDefault="00625842" w:rsidP="002A4D3E">
      <w:pPr>
        <w:spacing w:line="360" w:lineRule="auto"/>
        <w:rPr>
          <w:rFonts w:ascii="Arial" w:hAnsi="Arial" w:cs="Arial"/>
          <w:sz w:val="22"/>
          <w:szCs w:val="22"/>
        </w:rPr>
      </w:pPr>
    </w:p>
    <w:p w14:paraId="705A12AD" w14:textId="77777777" w:rsidR="00625842" w:rsidRPr="002A4D3E" w:rsidRDefault="00625842" w:rsidP="002A4D3E">
      <w:pPr>
        <w:spacing w:line="360" w:lineRule="auto"/>
        <w:rPr>
          <w:rFonts w:ascii="Arial" w:hAnsi="Arial" w:cs="Arial"/>
          <w:sz w:val="22"/>
          <w:szCs w:val="22"/>
        </w:rPr>
      </w:pPr>
    </w:p>
    <w:p w14:paraId="627FE99C" w14:textId="77777777" w:rsidR="00625842" w:rsidRPr="002A4D3E" w:rsidRDefault="00625842" w:rsidP="002A4D3E">
      <w:pPr>
        <w:spacing w:line="360" w:lineRule="auto"/>
        <w:rPr>
          <w:rFonts w:ascii="Arial" w:hAnsi="Arial" w:cs="Arial"/>
          <w:sz w:val="22"/>
          <w:szCs w:val="22"/>
        </w:rPr>
      </w:pPr>
    </w:p>
    <w:p w14:paraId="7712F6D5" w14:textId="77777777" w:rsidR="00625842" w:rsidRPr="002A4D3E" w:rsidRDefault="00625842" w:rsidP="002A4D3E">
      <w:pPr>
        <w:spacing w:line="360" w:lineRule="auto"/>
        <w:rPr>
          <w:rFonts w:ascii="Arial" w:hAnsi="Arial" w:cs="Arial"/>
          <w:sz w:val="22"/>
          <w:szCs w:val="22"/>
        </w:rPr>
      </w:pPr>
    </w:p>
    <w:p w14:paraId="2C2E126F" w14:textId="77777777" w:rsidR="00625842" w:rsidRPr="002A4D3E" w:rsidRDefault="00625842" w:rsidP="002A4D3E">
      <w:pPr>
        <w:spacing w:line="360" w:lineRule="auto"/>
        <w:rPr>
          <w:rFonts w:ascii="Arial" w:hAnsi="Arial" w:cs="Arial"/>
          <w:sz w:val="22"/>
          <w:szCs w:val="22"/>
        </w:rPr>
      </w:pPr>
    </w:p>
    <w:p w14:paraId="752165E5" w14:textId="77777777" w:rsidR="00625842" w:rsidRPr="002A4D3E" w:rsidRDefault="00625842" w:rsidP="002A4D3E">
      <w:pPr>
        <w:spacing w:line="360" w:lineRule="auto"/>
        <w:rPr>
          <w:rFonts w:ascii="Arial" w:hAnsi="Arial" w:cs="Arial"/>
          <w:sz w:val="22"/>
          <w:szCs w:val="22"/>
        </w:rPr>
      </w:pPr>
    </w:p>
    <w:p w14:paraId="6AE79961" w14:textId="77777777" w:rsidR="00A05B90" w:rsidRDefault="00A05B90" w:rsidP="002A4D3E">
      <w:pPr>
        <w:spacing w:line="360" w:lineRule="auto"/>
        <w:rPr>
          <w:rFonts w:ascii="Arial" w:hAnsi="Arial" w:cs="Arial"/>
          <w:b/>
          <w:bCs/>
          <w:sz w:val="22"/>
          <w:szCs w:val="22"/>
        </w:rPr>
      </w:pPr>
    </w:p>
    <w:p w14:paraId="1C43B22E" w14:textId="77777777" w:rsidR="00A05B90" w:rsidRDefault="00A05B90" w:rsidP="002A4D3E">
      <w:pPr>
        <w:spacing w:line="360" w:lineRule="auto"/>
        <w:rPr>
          <w:rFonts w:ascii="Arial" w:hAnsi="Arial" w:cs="Arial"/>
          <w:b/>
          <w:bCs/>
          <w:sz w:val="22"/>
          <w:szCs w:val="22"/>
        </w:rPr>
      </w:pPr>
    </w:p>
    <w:p w14:paraId="56E7F3DA" w14:textId="77777777" w:rsidR="00A05B90" w:rsidRDefault="00A05B90" w:rsidP="002A4D3E">
      <w:pPr>
        <w:spacing w:line="360" w:lineRule="auto"/>
        <w:rPr>
          <w:rFonts w:ascii="Arial" w:hAnsi="Arial" w:cs="Arial"/>
          <w:b/>
          <w:bCs/>
          <w:sz w:val="22"/>
          <w:szCs w:val="22"/>
        </w:rPr>
      </w:pPr>
    </w:p>
    <w:p w14:paraId="4B11DEA4" w14:textId="6C175A16" w:rsidR="006429C5" w:rsidRPr="00BC14F3" w:rsidRDefault="006429C5" w:rsidP="002A4D3E">
      <w:pPr>
        <w:spacing w:line="360" w:lineRule="auto"/>
        <w:rPr>
          <w:rFonts w:ascii="Arial" w:hAnsi="Arial" w:cs="Arial"/>
          <w:b/>
          <w:bCs/>
          <w:sz w:val="22"/>
          <w:szCs w:val="22"/>
        </w:rPr>
      </w:pPr>
      <w:r w:rsidRPr="00BC14F3">
        <w:rPr>
          <w:rFonts w:ascii="Arial" w:hAnsi="Arial" w:cs="Arial"/>
          <w:b/>
          <w:bCs/>
          <w:sz w:val="22"/>
          <w:szCs w:val="22"/>
        </w:rPr>
        <w:t>References</w:t>
      </w:r>
    </w:p>
    <w:p w14:paraId="63EB9FB8"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Arnett, J.J. (2015) </w:t>
      </w:r>
      <w:r w:rsidRPr="006429C5">
        <w:rPr>
          <w:rFonts w:ascii="Arial" w:hAnsi="Arial" w:cs="Arial"/>
          <w:i/>
          <w:iCs/>
          <w:sz w:val="22"/>
          <w:szCs w:val="22"/>
        </w:rPr>
        <w:t>Emerging Adulthood: The Winding Road from the Late Teens Through the Twenties</w:t>
      </w:r>
      <w:r w:rsidRPr="006429C5">
        <w:rPr>
          <w:rFonts w:ascii="Arial" w:hAnsi="Arial" w:cs="Arial"/>
          <w:sz w:val="22"/>
          <w:szCs w:val="22"/>
        </w:rPr>
        <w:t xml:space="preserve">. 2nd </w:t>
      </w:r>
      <w:proofErr w:type="spellStart"/>
      <w:r w:rsidRPr="006429C5">
        <w:rPr>
          <w:rFonts w:ascii="Arial" w:hAnsi="Arial" w:cs="Arial"/>
          <w:sz w:val="22"/>
          <w:szCs w:val="22"/>
        </w:rPr>
        <w:t>edn</w:t>
      </w:r>
      <w:proofErr w:type="spellEnd"/>
      <w:r w:rsidRPr="006429C5">
        <w:rPr>
          <w:rFonts w:ascii="Arial" w:hAnsi="Arial" w:cs="Arial"/>
          <w:sz w:val="22"/>
          <w:szCs w:val="22"/>
        </w:rPr>
        <w:t>. Oxford: Oxford University Press.</w:t>
      </w:r>
    </w:p>
    <w:p w14:paraId="615B481C"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Arksey, H. and O'Malley, L. (2005) 'Scoping studies: Towards a methodological framework', </w:t>
      </w:r>
      <w:r w:rsidRPr="006429C5">
        <w:rPr>
          <w:rFonts w:ascii="Arial" w:hAnsi="Arial" w:cs="Arial"/>
          <w:i/>
          <w:iCs/>
          <w:sz w:val="22"/>
          <w:szCs w:val="22"/>
        </w:rPr>
        <w:t>International Journal of Social Research Methodology</w:t>
      </w:r>
      <w:r w:rsidRPr="006429C5">
        <w:rPr>
          <w:rFonts w:ascii="Arial" w:hAnsi="Arial" w:cs="Arial"/>
          <w:sz w:val="22"/>
          <w:szCs w:val="22"/>
        </w:rPr>
        <w:t>, 8(1), pp. 19–32.</w:t>
      </w:r>
    </w:p>
    <w:p w14:paraId="05EA3417"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Braun, V. and Clarke, V. (2006) 'Using thematic analysis in psychology', </w:t>
      </w:r>
      <w:r w:rsidRPr="006429C5">
        <w:rPr>
          <w:rFonts w:ascii="Arial" w:hAnsi="Arial" w:cs="Arial"/>
          <w:i/>
          <w:iCs/>
          <w:sz w:val="22"/>
          <w:szCs w:val="22"/>
        </w:rPr>
        <w:t>Qualitative Research in Psychology</w:t>
      </w:r>
      <w:r w:rsidRPr="006429C5">
        <w:rPr>
          <w:rFonts w:ascii="Arial" w:hAnsi="Arial" w:cs="Arial"/>
          <w:sz w:val="22"/>
          <w:szCs w:val="22"/>
        </w:rPr>
        <w:t>, 3(2), pp. 77–101.</w:t>
      </w:r>
    </w:p>
    <w:p w14:paraId="04DD08A3" w14:textId="6ED3768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Burke, L., et al. (2025) 'Alcohol and recreational drug use among first-year university students: Associations with vulnerability and risk behaviours'</w:t>
      </w:r>
    </w:p>
    <w:p w14:paraId="2EA1041F"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Care Act 2014. c.23. London: The Stationery Office.</w:t>
      </w:r>
    </w:p>
    <w:p w14:paraId="7227E7DC"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Department of Health and Social Care (2019) </w:t>
      </w:r>
      <w:r w:rsidRPr="006429C5">
        <w:rPr>
          <w:rFonts w:ascii="Arial" w:hAnsi="Arial" w:cs="Arial"/>
          <w:i/>
          <w:iCs/>
          <w:sz w:val="22"/>
          <w:szCs w:val="22"/>
        </w:rPr>
        <w:t>The NHS Long Term Plan</w:t>
      </w:r>
      <w:r w:rsidRPr="006429C5">
        <w:rPr>
          <w:rFonts w:ascii="Arial" w:hAnsi="Arial" w:cs="Arial"/>
          <w:sz w:val="22"/>
          <w:szCs w:val="22"/>
        </w:rPr>
        <w:t>. London: DHSC.</w:t>
      </w:r>
    </w:p>
    <w:p w14:paraId="7FF6D183" w14:textId="3373FB7D"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Duke, K. and Welch, R. (2026) 'Developing an outreach model for emerging adults (18–25 years) with substance misuse: A qualitative evaluation</w:t>
      </w:r>
    </w:p>
    <w:p w14:paraId="3AD092B0"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Health and Care Act 2022. c.31. London: The Stationery Office.</w:t>
      </w:r>
    </w:p>
    <w:p w14:paraId="6E984CC4"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HM Government (2021) </w:t>
      </w:r>
      <w:r w:rsidRPr="006429C5">
        <w:rPr>
          <w:rFonts w:ascii="Arial" w:hAnsi="Arial" w:cs="Arial"/>
          <w:i/>
          <w:iCs/>
          <w:sz w:val="22"/>
          <w:szCs w:val="22"/>
        </w:rPr>
        <w:t>From Harm to Hope: A 10-Year Drugs Plan to Cut Crime and Save Lives</w:t>
      </w:r>
      <w:r w:rsidRPr="006429C5">
        <w:rPr>
          <w:rFonts w:ascii="Arial" w:hAnsi="Arial" w:cs="Arial"/>
          <w:sz w:val="22"/>
          <w:szCs w:val="22"/>
        </w:rPr>
        <w:t>. London: HM Government.</w:t>
      </w:r>
    </w:p>
    <w:p w14:paraId="63C5EB72"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Misuse of Drugs Act 1971. c.38. London: The Stationery Office.</w:t>
      </w:r>
    </w:p>
    <w:p w14:paraId="3AE65226"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National Institute for Health and Care Excellence (2017) </w:t>
      </w:r>
      <w:r w:rsidRPr="006429C5">
        <w:rPr>
          <w:rFonts w:ascii="Arial" w:hAnsi="Arial" w:cs="Arial"/>
          <w:i/>
          <w:iCs/>
          <w:sz w:val="22"/>
          <w:szCs w:val="22"/>
        </w:rPr>
        <w:t>Drug Misuse Prevention (NG64)</w:t>
      </w:r>
      <w:r w:rsidRPr="006429C5">
        <w:rPr>
          <w:rFonts w:ascii="Arial" w:hAnsi="Arial" w:cs="Arial"/>
          <w:sz w:val="22"/>
          <w:szCs w:val="22"/>
        </w:rPr>
        <w:t>. London: NICE.</w:t>
      </w:r>
    </w:p>
    <w:p w14:paraId="30EA5E90"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National Institute for Health and Care Excellence (2019) </w:t>
      </w:r>
      <w:r w:rsidRPr="006429C5">
        <w:rPr>
          <w:rFonts w:ascii="Arial" w:hAnsi="Arial" w:cs="Arial"/>
          <w:i/>
          <w:iCs/>
          <w:sz w:val="22"/>
          <w:szCs w:val="22"/>
        </w:rPr>
        <w:t>Alcohol-use Disorders: Diagnosis, Assessment and Management of Harmful Drinking and Alcohol Dependence (CG115)</w:t>
      </w:r>
      <w:r w:rsidRPr="006429C5">
        <w:rPr>
          <w:rFonts w:ascii="Arial" w:hAnsi="Arial" w:cs="Arial"/>
          <w:sz w:val="22"/>
          <w:szCs w:val="22"/>
        </w:rPr>
        <w:t>. London: NICE.</w:t>
      </w:r>
    </w:p>
    <w:p w14:paraId="2A3A7D3A"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Office for National Statistics (2025) </w:t>
      </w:r>
      <w:r w:rsidRPr="006429C5">
        <w:rPr>
          <w:rFonts w:ascii="Arial" w:hAnsi="Arial" w:cs="Arial"/>
          <w:i/>
          <w:iCs/>
          <w:sz w:val="22"/>
          <w:szCs w:val="22"/>
        </w:rPr>
        <w:t>Drug Misuse in England and Wales: Year Ending June 2024</w:t>
      </w:r>
      <w:r w:rsidRPr="006429C5">
        <w:rPr>
          <w:rFonts w:ascii="Arial" w:hAnsi="Arial" w:cs="Arial"/>
          <w:sz w:val="22"/>
          <w:szCs w:val="22"/>
        </w:rPr>
        <w:t>. Newport: Office for National Statistics.</w:t>
      </w:r>
    </w:p>
    <w:p w14:paraId="20E2D56A" w14:textId="77777777"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lastRenderedPageBreak/>
        <w:t xml:space="preserve">Peters, M.D.J., Marnie, C., </w:t>
      </w:r>
      <w:proofErr w:type="spellStart"/>
      <w:r w:rsidRPr="006429C5">
        <w:rPr>
          <w:rFonts w:ascii="Arial" w:hAnsi="Arial" w:cs="Arial"/>
          <w:sz w:val="22"/>
          <w:szCs w:val="22"/>
        </w:rPr>
        <w:t>Tricco</w:t>
      </w:r>
      <w:proofErr w:type="spellEnd"/>
      <w:r w:rsidRPr="006429C5">
        <w:rPr>
          <w:rFonts w:ascii="Arial" w:hAnsi="Arial" w:cs="Arial"/>
          <w:sz w:val="22"/>
          <w:szCs w:val="22"/>
        </w:rPr>
        <w:t xml:space="preserve">, A.C., Pollock, D., Munn, Z., Alexander, L., McInerney, P., Godfrey, C.M. and Khalil, H. (2020) 'Updated methodological guidance for the conduct of scoping reviews', </w:t>
      </w:r>
      <w:r w:rsidRPr="006429C5">
        <w:rPr>
          <w:rFonts w:ascii="Arial" w:hAnsi="Arial" w:cs="Arial"/>
          <w:i/>
          <w:iCs/>
          <w:sz w:val="22"/>
          <w:szCs w:val="22"/>
        </w:rPr>
        <w:t>JBI Evidence Synthesis</w:t>
      </w:r>
      <w:r w:rsidRPr="006429C5">
        <w:rPr>
          <w:rFonts w:ascii="Arial" w:hAnsi="Arial" w:cs="Arial"/>
          <w:sz w:val="22"/>
          <w:szCs w:val="22"/>
        </w:rPr>
        <w:t>, 18(10), pp. 2119–2126.</w:t>
      </w:r>
    </w:p>
    <w:p w14:paraId="392217F4" w14:textId="539152CD"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Porras-Segovia, A., et al. (2024) 'Childhood adversity and mental health outcomes in young adults: A population-based study',</w:t>
      </w:r>
    </w:p>
    <w:p w14:paraId="6BFDBA50" w14:textId="77777777" w:rsidR="006429C5" w:rsidRPr="006429C5" w:rsidRDefault="006429C5" w:rsidP="002A4D3E">
      <w:pPr>
        <w:spacing w:line="360" w:lineRule="auto"/>
        <w:rPr>
          <w:rFonts w:ascii="Arial" w:hAnsi="Arial" w:cs="Arial"/>
          <w:sz w:val="22"/>
          <w:szCs w:val="22"/>
        </w:rPr>
      </w:pPr>
      <w:proofErr w:type="spellStart"/>
      <w:r w:rsidRPr="006429C5">
        <w:rPr>
          <w:rFonts w:ascii="Arial" w:hAnsi="Arial" w:cs="Arial"/>
          <w:sz w:val="22"/>
          <w:szCs w:val="22"/>
        </w:rPr>
        <w:t>Sebalo</w:t>
      </w:r>
      <w:proofErr w:type="spellEnd"/>
      <w:r w:rsidRPr="006429C5">
        <w:rPr>
          <w:rFonts w:ascii="Arial" w:hAnsi="Arial" w:cs="Arial"/>
          <w:sz w:val="22"/>
          <w:szCs w:val="22"/>
        </w:rPr>
        <w:t xml:space="preserve">, I., Mash, R., Parker, S. and Mothibi, W.A. (2023) 'The associations of adverse childhood experiences (ACEs) with substance use in young adults: A systematic review', </w:t>
      </w:r>
      <w:r w:rsidRPr="006429C5">
        <w:rPr>
          <w:rFonts w:ascii="Arial" w:hAnsi="Arial" w:cs="Arial"/>
          <w:i/>
          <w:iCs/>
          <w:sz w:val="22"/>
          <w:szCs w:val="22"/>
        </w:rPr>
        <w:t>Journal of Child &amp; Adolescent Mental Health</w:t>
      </w:r>
      <w:r w:rsidRPr="006429C5">
        <w:rPr>
          <w:rFonts w:ascii="Arial" w:hAnsi="Arial" w:cs="Arial"/>
          <w:sz w:val="22"/>
          <w:szCs w:val="22"/>
        </w:rPr>
        <w:t>, 35(1), pp. 1–18.</w:t>
      </w:r>
    </w:p>
    <w:p w14:paraId="7FE1849F" w14:textId="77777777" w:rsidR="006429C5" w:rsidRPr="006429C5" w:rsidRDefault="006429C5" w:rsidP="002A4D3E">
      <w:pPr>
        <w:spacing w:line="360" w:lineRule="auto"/>
        <w:rPr>
          <w:rFonts w:ascii="Arial" w:hAnsi="Arial" w:cs="Arial"/>
          <w:sz w:val="22"/>
          <w:szCs w:val="22"/>
        </w:rPr>
      </w:pPr>
      <w:proofErr w:type="spellStart"/>
      <w:r w:rsidRPr="006429C5">
        <w:rPr>
          <w:rFonts w:ascii="Arial" w:hAnsi="Arial" w:cs="Arial"/>
          <w:sz w:val="22"/>
          <w:szCs w:val="22"/>
        </w:rPr>
        <w:t>Tricco</w:t>
      </w:r>
      <w:proofErr w:type="spellEnd"/>
      <w:r w:rsidRPr="006429C5">
        <w:rPr>
          <w:rFonts w:ascii="Arial" w:hAnsi="Arial" w:cs="Arial"/>
          <w:sz w:val="22"/>
          <w:szCs w:val="22"/>
        </w:rPr>
        <w:t xml:space="preserve">, A.C., Lillie, E., Zarin, W., O'Brien, K.K., Colquhoun, H., Levac, D., Moher, D., Peters, M.D.J., Horsley, T., Weeks, L., Hempel, S., Akl, E.A., Chang, C., McGowan, J., Stewart, L., Hartling, L., </w:t>
      </w:r>
      <w:proofErr w:type="spellStart"/>
      <w:r w:rsidRPr="006429C5">
        <w:rPr>
          <w:rFonts w:ascii="Arial" w:hAnsi="Arial" w:cs="Arial"/>
          <w:sz w:val="22"/>
          <w:szCs w:val="22"/>
        </w:rPr>
        <w:t>Aldcroft</w:t>
      </w:r>
      <w:proofErr w:type="spellEnd"/>
      <w:r w:rsidRPr="006429C5">
        <w:rPr>
          <w:rFonts w:ascii="Arial" w:hAnsi="Arial" w:cs="Arial"/>
          <w:sz w:val="22"/>
          <w:szCs w:val="22"/>
        </w:rPr>
        <w:t xml:space="preserve">, A., Wilson, M.G., Garritty, C., Lewin, S., Godfrey, C.M., Macdonald, M.T., Langlois, E.V., Soares-Weiser, K., Moriarty, J., Clifford, T., </w:t>
      </w:r>
      <w:proofErr w:type="spellStart"/>
      <w:r w:rsidRPr="006429C5">
        <w:rPr>
          <w:rFonts w:ascii="Arial" w:hAnsi="Arial" w:cs="Arial"/>
          <w:sz w:val="22"/>
          <w:szCs w:val="22"/>
        </w:rPr>
        <w:t>Tunçalp</w:t>
      </w:r>
      <w:proofErr w:type="spellEnd"/>
      <w:r w:rsidRPr="006429C5">
        <w:rPr>
          <w:rFonts w:ascii="Arial" w:hAnsi="Arial" w:cs="Arial"/>
          <w:sz w:val="22"/>
          <w:szCs w:val="22"/>
        </w:rPr>
        <w:t>, Ö. and Straus, S.E. (2018) 'PRISMA extension for scoping reviews (PRISMA-</w:t>
      </w:r>
      <w:proofErr w:type="spellStart"/>
      <w:r w:rsidRPr="006429C5">
        <w:rPr>
          <w:rFonts w:ascii="Arial" w:hAnsi="Arial" w:cs="Arial"/>
          <w:sz w:val="22"/>
          <w:szCs w:val="22"/>
        </w:rPr>
        <w:t>ScR</w:t>
      </w:r>
      <w:proofErr w:type="spellEnd"/>
      <w:r w:rsidRPr="006429C5">
        <w:rPr>
          <w:rFonts w:ascii="Arial" w:hAnsi="Arial" w:cs="Arial"/>
          <w:sz w:val="22"/>
          <w:szCs w:val="22"/>
        </w:rPr>
        <w:t xml:space="preserve">): Checklist and explanation', </w:t>
      </w:r>
      <w:r w:rsidRPr="006429C5">
        <w:rPr>
          <w:rFonts w:ascii="Arial" w:hAnsi="Arial" w:cs="Arial"/>
          <w:i/>
          <w:iCs/>
          <w:sz w:val="22"/>
          <w:szCs w:val="22"/>
        </w:rPr>
        <w:t>Annals of Internal Medicine</w:t>
      </w:r>
      <w:r w:rsidRPr="006429C5">
        <w:rPr>
          <w:rFonts w:ascii="Arial" w:hAnsi="Arial" w:cs="Arial"/>
          <w:sz w:val="22"/>
          <w:szCs w:val="22"/>
        </w:rPr>
        <w:t>, 169(7), pp. 467–473.</w:t>
      </w:r>
    </w:p>
    <w:p w14:paraId="09A9C7D1" w14:textId="3E249770" w:rsidR="006429C5" w:rsidRPr="006429C5" w:rsidRDefault="006429C5" w:rsidP="002A4D3E">
      <w:pPr>
        <w:spacing w:line="360" w:lineRule="auto"/>
        <w:rPr>
          <w:rFonts w:ascii="Arial" w:hAnsi="Arial" w:cs="Arial"/>
          <w:sz w:val="22"/>
          <w:szCs w:val="22"/>
        </w:rPr>
      </w:pPr>
      <w:r w:rsidRPr="006429C5">
        <w:rPr>
          <w:rFonts w:ascii="Arial" w:hAnsi="Arial" w:cs="Arial"/>
          <w:sz w:val="22"/>
          <w:szCs w:val="22"/>
        </w:rPr>
        <w:t xml:space="preserve">World Health </w:t>
      </w:r>
      <w:r w:rsidRPr="002A4D3E">
        <w:rPr>
          <w:rFonts w:ascii="Arial" w:hAnsi="Arial" w:cs="Arial"/>
          <w:sz w:val="22"/>
          <w:szCs w:val="22"/>
        </w:rPr>
        <w:t>Organisation</w:t>
      </w:r>
      <w:r w:rsidRPr="006429C5">
        <w:rPr>
          <w:rFonts w:ascii="Arial" w:hAnsi="Arial" w:cs="Arial"/>
          <w:sz w:val="22"/>
          <w:szCs w:val="22"/>
        </w:rPr>
        <w:t xml:space="preserve"> (2024) </w:t>
      </w:r>
      <w:r w:rsidRPr="006429C5">
        <w:rPr>
          <w:rFonts w:ascii="Arial" w:hAnsi="Arial" w:cs="Arial"/>
          <w:i/>
          <w:iCs/>
          <w:sz w:val="22"/>
          <w:szCs w:val="22"/>
        </w:rPr>
        <w:t>Alcohol, Drugs and Addictive Behaviours</w:t>
      </w:r>
      <w:r w:rsidRPr="006429C5">
        <w:rPr>
          <w:rFonts w:ascii="Arial" w:hAnsi="Arial" w:cs="Arial"/>
          <w:sz w:val="22"/>
          <w:szCs w:val="22"/>
        </w:rPr>
        <w:t xml:space="preserve">. Geneva: World Health </w:t>
      </w:r>
      <w:r w:rsidRPr="002A4D3E">
        <w:rPr>
          <w:rFonts w:ascii="Arial" w:hAnsi="Arial" w:cs="Arial"/>
          <w:sz w:val="22"/>
          <w:szCs w:val="22"/>
        </w:rPr>
        <w:t>Organisation</w:t>
      </w:r>
      <w:r w:rsidRPr="006429C5">
        <w:rPr>
          <w:rFonts w:ascii="Arial" w:hAnsi="Arial" w:cs="Arial"/>
          <w:sz w:val="22"/>
          <w:szCs w:val="22"/>
        </w:rPr>
        <w:t>.</w:t>
      </w:r>
    </w:p>
    <w:p w14:paraId="3217CDBE" w14:textId="77777777" w:rsidR="006429C5" w:rsidRPr="0019607A" w:rsidRDefault="006429C5" w:rsidP="002A4D3E">
      <w:pPr>
        <w:spacing w:line="360" w:lineRule="auto"/>
        <w:rPr>
          <w:rFonts w:ascii="Arial" w:hAnsi="Arial" w:cs="Arial"/>
          <w:sz w:val="22"/>
          <w:szCs w:val="22"/>
        </w:rPr>
      </w:pPr>
    </w:p>
    <w:sectPr w:rsidR="006429C5" w:rsidRPr="00196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A3CC9"/>
    <w:multiLevelType w:val="multilevel"/>
    <w:tmpl w:val="5A945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956EDE"/>
    <w:multiLevelType w:val="multilevel"/>
    <w:tmpl w:val="F9F0F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20210B"/>
    <w:multiLevelType w:val="multilevel"/>
    <w:tmpl w:val="A9D85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0A44CE"/>
    <w:multiLevelType w:val="multilevel"/>
    <w:tmpl w:val="A25AE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DC132A"/>
    <w:multiLevelType w:val="multilevel"/>
    <w:tmpl w:val="BC824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7C26D2"/>
    <w:multiLevelType w:val="multilevel"/>
    <w:tmpl w:val="16644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0724E2"/>
    <w:multiLevelType w:val="multilevel"/>
    <w:tmpl w:val="61B26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3812717">
    <w:abstractNumId w:val="2"/>
  </w:num>
  <w:num w:numId="2" w16cid:durableId="1223444651">
    <w:abstractNumId w:val="4"/>
  </w:num>
  <w:num w:numId="3" w16cid:durableId="559708488">
    <w:abstractNumId w:val="6"/>
  </w:num>
  <w:num w:numId="4" w16cid:durableId="1187981787">
    <w:abstractNumId w:val="0"/>
  </w:num>
  <w:num w:numId="5" w16cid:durableId="510608974">
    <w:abstractNumId w:val="5"/>
  </w:num>
  <w:num w:numId="6" w16cid:durableId="847016316">
    <w:abstractNumId w:val="1"/>
  </w:num>
  <w:num w:numId="7" w16cid:durableId="424226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DDD"/>
    <w:rsid w:val="0019607A"/>
    <w:rsid w:val="002A4D3E"/>
    <w:rsid w:val="002A5E3B"/>
    <w:rsid w:val="003B758E"/>
    <w:rsid w:val="00576508"/>
    <w:rsid w:val="00625842"/>
    <w:rsid w:val="006429C5"/>
    <w:rsid w:val="00896E2D"/>
    <w:rsid w:val="009C077C"/>
    <w:rsid w:val="00A05B90"/>
    <w:rsid w:val="00A94E23"/>
    <w:rsid w:val="00BC14F3"/>
    <w:rsid w:val="00CD13E1"/>
    <w:rsid w:val="00D0359A"/>
    <w:rsid w:val="00E81DDD"/>
    <w:rsid w:val="00FC5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DBE76"/>
  <w15:chartTrackingRefBased/>
  <w15:docId w15:val="{78C1E7DA-CA00-48C8-AB3A-FB1FB4E5D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D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D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D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D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D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D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D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D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D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D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DDD"/>
    <w:rPr>
      <w:rFonts w:eastAsiaTheme="majorEastAsia" w:cstheme="majorBidi"/>
      <w:color w:val="272727" w:themeColor="text1" w:themeTint="D8"/>
    </w:rPr>
  </w:style>
  <w:style w:type="paragraph" w:styleId="Title">
    <w:name w:val="Title"/>
    <w:basedOn w:val="Normal"/>
    <w:next w:val="Normal"/>
    <w:link w:val="TitleChar"/>
    <w:uiPriority w:val="10"/>
    <w:qFormat/>
    <w:rsid w:val="00E81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D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DDD"/>
    <w:pPr>
      <w:spacing w:before="160"/>
      <w:jc w:val="center"/>
    </w:pPr>
    <w:rPr>
      <w:i/>
      <w:iCs/>
      <w:color w:val="404040" w:themeColor="text1" w:themeTint="BF"/>
    </w:rPr>
  </w:style>
  <w:style w:type="character" w:customStyle="1" w:styleId="QuoteChar">
    <w:name w:val="Quote Char"/>
    <w:basedOn w:val="DefaultParagraphFont"/>
    <w:link w:val="Quote"/>
    <w:uiPriority w:val="29"/>
    <w:rsid w:val="00E81DDD"/>
    <w:rPr>
      <w:i/>
      <w:iCs/>
      <w:color w:val="404040" w:themeColor="text1" w:themeTint="BF"/>
    </w:rPr>
  </w:style>
  <w:style w:type="paragraph" w:styleId="ListParagraph">
    <w:name w:val="List Paragraph"/>
    <w:basedOn w:val="Normal"/>
    <w:uiPriority w:val="34"/>
    <w:qFormat/>
    <w:rsid w:val="00E81DDD"/>
    <w:pPr>
      <w:ind w:left="720"/>
      <w:contextualSpacing/>
    </w:pPr>
  </w:style>
  <w:style w:type="character" w:styleId="IntenseEmphasis">
    <w:name w:val="Intense Emphasis"/>
    <w:basedOn w:val="DefaultParagraphFont"/>
    <w:uiPriority w:val="21"/>
    <w:qFormat/>
    <w:rsid w:val="00E81DDD"/>
    <w:rPr>
      <w:i/>
      <w:iCs/>
      <w:color w:val="0F4761" w:themeColor="accent1" w:themeShade="BF"/>
    </w:rPr>
  </w:style>
  <w:style w:type="paragraph" w:styleId="IntenseQuote">
    <w:name w:val="Intense Quote"/>
    <w:basedOn w:val="Normal"/>
    <w:next w:val="Normal"/>
    <w:link w:val="IntenseQuoteChar"/>
    <w:uiPriority w:val="30"/>
    <w:qFormat/>
    <w:rsid w:val="00E81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DDD"/>
    <w:rPr>
      <w:i/>
      <w:iCs/>
      <w:color w:val="0F4761" w:themeColor="accent1" w:themeShade="BF"/>
    </w:rPr>
  </w:style>
  <w:style w:type="character" w:styleId="IntenseReference">
    <w:name w:val="Intense Reference"/>
    <w:basedOn w:val="DefaultParagraphFont"/>
    <w:uiPriority w:val="32"/>
    <w:qFormat/>
    <w:rsid w:val="00E81DDD"/>
    <w:rPr>
      <w:b/>
      <w:bCs/>
      <w:smallCaps/>
      <w:color w:val="0F4761" w:themeColor="accent1" w:themeShade="BF"/>
      <w:spacing w:val="5"/>
    </w:rPr>
  </w:style>
  <w:style w:type="table" w:styleId="TableGrid">
    <w:name w:val="Table Grid"/>
    <w:basedOn w:val="TableNormal"/>
    <w:uiPriority w:val="39"/>
    <w:rsid w:val="00BC14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391</TotalTime>
  <Pages>18</Pages>
  <Words>5167</Words>
  <Characters>29452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 hasan</dc:creator>
  <cp:keywords/>
  <dc:description/>
  <cp:lastModifiedBy>aima hasan</cp:lastModifiedBy>
  <cp:revision>4</cp:revision>
  <dcterms:created xsi:type="dcterms:W3CDTF">2026-07-19T18:45:00Z</dcterms:created>
  <dcterms:modified xsi:type="dcterms:W3CDTF">2026-07-19T19:42:00Z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45c0d135-0316-4ccf-9610-8b8c0773d979</vt:lpwstr>
  </property>
</Properties>
</file>