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5">
      <w:pPr>
        <w:rPr>
          <w:sz w:val="28"/>
          <w:szCs w:val="28"/>
        </w:rPr>
      </w:pPr>
    </w:p>
    <w:p w14:paraId="00000006">
      <w:pPr>
        <w:rPr>
          <w:sz w:val="28"/>
          <w:szCs w:val="28"/>
        </w:rPr>
      </w:pPr>
    </w:p>
    <w:p w14:paraId="31C325B6">
      <w:pPr>
        <w:jc w:val="center"/>
      </w:pPr>
      <w: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separate"/>
      </w:r>
      <w:r>
        <w:fldChar w:fldCharType="end"/>
      </w:r>
    </w:p>
    <w:p w14:paraId="1EC34BAD">
      <w:pPr>
        <w:jc w:val="both"/>
      </w:pPr>
    </w:p>
    <w:p w14:paraId="020B9CFF">
      <w:pPr>
        <w:jc w:val="center"/>
        <w:rPr>
          <w:rFonts w:hint="default" w:ascii="Arial" w:hAnsi="Arial" w:cs="Arial"/>
          <w:b/>
          <w:bCs/>
          <w:lang w:val="en-US"/>
        </w:rPr>
      </w:pPr>
      <w:r>
        <w:rPr>
          <w:rFonts w:ascii="Arial" w:hAnsi="Arial" w:cs="Arial"/>
          <w:b/>
          <w:bCs/>
        </w:rPr>
        <w:t>Student Name:</w:t>
      </w:r>
      <w:r>
        <w:rPr>
          <w:rFonts w:hint="default" w:ascii="Arial" w:hAnsi="Arial" w:cs="Arial"/>
          <w:b/>
          <w:bCs/>
          <w:lang w:val="en-US"/>
        </w:rPr>
        <w:t xml:space="preserve"> ABHI PATEL</w:t>
      </w:r>
    </w:p>
    <w:p w14:paraId="2AAC98E7">
      <w:pPr>
        <w:jc w:val="center"/>
        <w:rPr>
          <w:rFonts w:ascii="Arial" w:hAnsi="Arial" w:cs="Arial"/>
          <w:b/>
          <w:bCs/>
        </w:rPr>
      </w:pPr>
    </w:p>
    <w:p w14:paraId="3D7751B6">
      <w:pPr>
        <w:jc w:val="center"/>
        <w:rPr>
          <w:rFonts w:hint="default" w:ascii="Arial" w:hAnsi="Arial" w:cs="Arial"/>
          <w:b/>
          <w:bCs/>
          <w:lang w:val="en-US"/>
        </w:rPr>
      </w:pPr>
      <w:r>
        <w:rPr>
          <w:rFonts w:ascii="Arial" w:hAnsi="Arial" w:cs="Arial"/>
          <w:b/>
          <w:bCs/>
        </w:rPr>
        <w:t>Student ID:</w:t>
      </w:r>
      <w:r>
        <w:rPr>
          <w:rFonts w:hint="default" w:ascii="Arial" w:hAnsi="Arial" w:cs="Arial"/>
          <w:b/>
          <w:bCs/>
          <w:lang w:val="en-US"/>
        </w:rPr>
        <w:t xml:space="preserve"> 2503794</w:t>
      </w:r>
    </w:p>
    <w:p w14:paraId="2D815C84">
      <w:pPr>
        <w:jc w:val="center"/>
        <w:rPr>
          <w:rFonts w:ascii="Arial" w:hAnsi="Arial" w:cs="Arial"/>
          <w:b/>
          <w:bCs/>
        </w:rPr>
      </w:pPr>
    </w:p>
    <w:p w14:paraId="1F614A44">
      <w:pPr>
        <w:jc w:val="center"/>
        <w:rPr>
          <w:rFonts w:hint="default" w:ascii="Arial" w:hAnsi="Arial" w:cs="Arial"/>
          <w:b/>
          <w:bCs/>
          <w:lang w:val="en-US"/>
        </w:rPr>
      </w:pPr>
      <w:r>
        <w:rPr>
          <w:rFonts w:ascii="Arial" w:hAnsi="Arial" w:cs="Arial"/>
          <w:b/>
          <w:bCs/>
        </w:rPr>
        <w:t xml:space="preserve">Module Name: </w:t>
      </w:r>
      <w:r>
        <w:rPr>
          <w:rFonts w:hint="default" w:ascii="Arial" w:hAnsi="Arial" w:cs="Arial"/>
          <w:b/>
          <w:bCs/>
          <w:lang w:val="en-US"/>
        </w:rPr>
        <w:t xml:space="preserve">FINACIAL MANAGEMENT </w:t>
      </w:r>
    </w:p>
    <w:p w14:paraId="756252AC">
      <w:pPr>
        <w:jc w:val="center"/>
        <w:rPr>
          <w:rFonts w:ascii="Arial" w:hAnsi="Arial" w:cs="Arial"/>
          <w:b/>
          <w:bCs/>
        </w:rPr>
      </w:pPr>
    </w:p>
    <w:p w14:paraId="7E74A1F6">
      <w:pPr>
        <w:jc w:val="center"/>
        <w:rPr>
          <w:rFonts w:hint="default" w:ascii="Arial" w:hAnsi="Arial" w:cs="Arial"/>
          <w:b/>
          <w:bCs/>
          <w:lang w:val="en-US"/>
        </w:rPr>
      </w:pPr>
      <w:r>
        <w:rPr>
          <w:rFonts w:ascii="Arial" w:hAnsi="Arial" w:cs="Arial"/>
          <w:b/>
          <w:bCs/>
        </w:rPr>
        <w:t>Module Code: LCMB70</w:t>
      </w:r>
      <w:r>
        <w:rPr>
          <w:rFonts w:hint="default" w:ascii="Arial" w:hAnsi="Arial" w:cs="Arial"/>
          <w:b/>
          <w:bCs/>
          <w:lang w:val="en-US"/>
        </w:rPr>
        <w:t>02</w:t>
      </w:r>
    </w:p>
    <w:p w14:paraId="38652CAC">
      <w:pPr>
        <w:jc w:val="center"/>
        <w:rPr>
          <w:rFonts w:ascii="Arial" w:hAnsi="Arial" w:cs="Arial"/>
          <w:b/>
          <w:bCs/>
        </w:rPr>
      </w:pPr>
    </w:p>
    <w:p w14:paraId="55B10977">
      <w:pPr>
        <w:jc w:val="center"/>
        <w:rPr>
          <w:rFonts w:hint="default" w:ascii="Arial" w:hAnsi="Arial" w:cs="Arial"/>
          <w:b/>
          <w:bCs/>
          <w:lang w:val="en-US"/>
        </w:rPr>
      </w:pPr>
      <w:r>
        <w:rPr>
          <w:rFonts w:ascii="Arial" w:hAnsi="Arial" w:cs="Arial"/>
          <w:b/>
          <w:bCs/>
        </w:rPr>
        <w:t>Lecturer’s Name:</w:t>
      </w:r>
      <w:r>
        <w:rPr>
          <w:rFonts w:hint="default" w:ascii="Arial" w:hAnsi="Arial" w:cs="Arial"/>
          <w:b/>
          <w:bCs/>
          <w:lang w:val="en-US"/>
        </w:rPr>
        <w:t xml:space="preserve"> DR. SHENFENG MEI </w:t>
      </w:r>
    </w:p>
    <w:p w14:paraId="39FE983B">
      <w:pPr>
        <w:jc w:val="center"/>
        <w:rPr>
          <w:rFonts w:hint="default" w:ascii="Arial" w:hAnsi="Arial" w:cs="Arial"/>
          <w:b/>
          <w:bCs/>
          <w:lang w:val="en-US"/>
        </w:rPr>
      </w:pPr>
      <w:r>
        <w:rPr>
          <w:rFonts w:ascii="Arial" w:hAnsi="Arial" w:cs="Arial"/>
          <w:b/>
          <w:bCs/>
        </w:rPr>
        <w:t>Work Count:</w:t>
      </w:r>
      <w:r>
        <w:rPr>
          <w:rFonts w:hint="default" w:ascii="Arial" w:hAnsi="Arial" w:cs="Arial"/>
          <w:b/>
          <w:bCs/>
          <w:lang w:val="en-US"/>
        </w:rPr>
        <w:t xml:space="preserve"> 6025</w:t>
      </w:r>
      <w:bookmarkStart w:id="41" w:name="_GoBack"/>
      <w:bookmarkEnd w:id="41"/>
    </w:p>
    <w:p w14:paraId="6A8F56C7">
      <w:pPr>
        <w:jc w:val="both"/>
        <w:rPr>
          <w:rFonts w:ascii="Arial" w:hAnsi="Arial" w:cs="Arial"/>
          <w:b/>
          <w:bCs/>
        </w:rPr>
      </w:pPr>
    </w:p>
    <w:p w14:paraId="74532E5F">
      <w:pPr>
        <w:jc w:val="center"/>
        <w:rPr>
          <w:rFonts w:ascii="Arial" w:hAnsi="Arial" w:cs="Arial"/>
          <w:b/>
          <w:bCs/>
        </w:rPr>
      </w:pPr>
    </w:p>
    <w:p w14:paraId="102B9D5E">
      <w:pPr>
        <w:jc w:val="center"/>
        <w:rPr>
          <w:rFonts w:ascii="Arial" w:hAnsi="Arial" w:cs="Arial"/>
          <w:b/>
          <w:bCs/>
        </w:rPr>
      </w:pPr>
    </w:p>
    <w:p w14:paraId="76B4AC18">
      <w:pPr>
        <w:jc w:val="center"/>
        <w:rPr>
          <w:rFonts w:ascii="Arial" w:hAnsi="Arial" w:cs="Arial"/>
          <w:b/>
          <w:bCs/>
        </w:rPr>
      </w:pPr>
    </w:p>
    <w:p w14:paraId="3D7042D2">
      <w:pPr>
        <w:jc w:val="center"/>
        <w:rPr>
          <w:rFonts w:ascii="Arial" w:hAnsi="Arial" w:cs="Arial"/>
          <w:b/>
          <w:bCs/>
        </w:rPr>
      </w:pPr>
      <w:r>
        <w:rPr>
          <w:rFonts w:ascii="Arial" w:hAnsi="Arial" w:cs="Arial"/>
          <w:b/>
          <w:bCs/>
        </w:rPr>
        <w:t>Term 1</w:t>
      </w:r>
    </w:p>
    <w:p w14:paraId="795BE6E7">
      <w:pPr>
        <w:rPr>
          <w:b/>
          <w:bCs/>
        </w:rPr>
      </w:pPr>
      <w:r>
        <w:rPr>
          <w:b/>
          <w:bCs/>
        </w:rPr>
        <w:br w:type="page"/>
      </w:r>
    </w:p>
    <w:p w14:paraId="0000000C">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360" w:lineRule="auto"/>
        <w:ind w:left="0" w:right="0" w:firstLine="0"/>
        <w:jc w:val="center"/>
        <w:rPr>
          <w:b/>
          <w:bCs/>
          <w:i w:val="0"/>
          <w:iCs w:val="0"/>
          <w:smallCaps w:val="0"/>
          <w:strike w:val="0"/>
          <w:sz w:val="24"/>
          <w:szCs w:val="24"/>
          <w:u w:val="none"/>
          <w:shd w:val="clear" w:fill="auto"/>
          <w:vertAlign w:val="baseline"/>
        </w:rPr>
      </w:pPr>
      <w:r>
        <w:rPr>
          <w:b/>
          <w:bCs/>
          <w:i w:val="0"/>
          <w:iCs w:val="0"/>
          <w:smallCaps w:val="0"/>
          <w:strike w:val="0"/>
          <w:sz w:val="24"/>
          <w:szCs w:val="24"/>
          <w:u w:val="none"/>
          <w:shd w:val="clear" w:fill="auto"/>
          <w:vertAlign w:val="baseline"/>
          <w:rtl w:val="0"/>
        </w:rPr>
        <w:t>Table of Contents</w:t>
      </w:r>
    </w:p>
    <w:sdt>
      <w:sdtPr>
        <w:id w:val="-1007368443"/>
        <w:docPartObj>
          <w:docPartGallery w:val="Table of Contents"/>
          <w:docPartUnique/>
        </w:docPartObj>
      </w:sdtPr>
      <w:sdtContent>
        <w:p w14:paraId="0000000D">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TOC \h \u \z \t "Heading 1,1,Heading 2,2,Heading 3,3,"</w:instrText>
          </w:r>
          <w:r>
            <w:fldChar w:fldCharType="separate"/>
          </w:r>
          <w:r>
            <w:fldChar w:fldCharType="begin"/>
          </w:r>
          <w:r>
            <w:instrText xml:space="preserve"> HYPERLINK \l "_8pmc3s9ndonc" \h </w:instrText>
          </w:r>
          <w:r>
            <w:fldChar w:fldCharType="separate"/>
          </w:r>
          <w:r>
            <w:rPr>
              <w:i w:val="0"/>
              <w:iCs w:val="0"/>
              <w:smallCaps w:val="0"/>
              <w:strike w:val="0"/>
              <w:color w:val="000000"/>
              <w:sz w:val="24"/>
              <w:szCs w:val="24"/>
              <w:u w:val="none"/>
              <w:shd w:val="clear" w:fill="auto"/>
              <w:vertAlign w:val="baseline"/>
              <w:rtl w:val="0"/>
            </w:rPr>
            <w:t>Introduction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4</w:t>
          </w:r>
          <w:r>
            <w:rPr>
              <w:i w:val="0"/>
              <w:iCs w:val="0"/>
              <w:smallCaps w:val="0"/>
              <w:strike w:val="0"/>
              <w:color w:val="000000"/>
              <w:sz w:val="24"/>
              <w:szCs w:val="24"/>
              <w:u w:val="none"/>
              <w:shd w:val="clear" w:fill="auto"/>
              <w:vertAlign w:val="baseline"/>
              <w:rtl w:val="0"/>
            </w:rPr>
            <w:fldChar w:fldCharType="end"/>
          </w:r>
        </w:p>
        <w:p w14:paraId="0000000E">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"_9jc43l5wqo6t" \h </w:instrText>
          </w:r>
          <w:r>
            <w:fldChar w:fldCharType="separate"/>
          </w:r>
          <w:r>
            <w:rPr>
              <w:i w:val="0"/>
              <w:iCs w:val="0"/>
              <w:smallCaps w:val="0"/>
              <w:strike w:val="0"/>
              <w:color w:val="000000"/>
              <w:sz w:val="24"/>
              <w:szCs w:val="24"/>
              <w:u w:val="none"/>
              <w:shd w:val="clear" w:fill="auto"/>
              <w:vertAlign w:val="baseline"/>
              <w:rtl w:val="0"/>
            </w:rPr>
            <w:t>1: Financial Health Check</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4</w:t>
          </w:r>
          <w:r>
            <w:rPr>
              <w:i w:val="0"/>
              <w:iCs w:val="0"/>
              <w:smallCaps w:val="0"/>
              <w:strike w:val="0"/>
              <w:color w:val="000000"/>
              <w:sz w:val="24"/>
              <w:szCs w:val="24"/>
              <w:u w:val="none"/>
              <w:shd w:val="clear" w:fill="auto"/>
              <w:vertAlign w:val="baseline"/>
              <w:rtl w:val="0"/>
            </w:rPr>
            <w:fldChar w:fldCharType="end"/>
          </w:r>
        </w:p>
        <w:p w14:paraId="0000000F">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"_2subv2z1bfvy" \h </w:instrText>
          </w:r>
          <w:r>
            <w:fldChar w:fldCharType="separate"/>
          </w:r>
          <w:r>
            <w:rPr>
              <w:i w:val="0"/>
              <w:iCs w:val="0"/>
              <w:smallCaps w:val="0"/>
              <w:strike w:val="0"/>
              <w:color w:val="000000"/>
              <w:sz w:val="24"/>
              <w:szCs w:val="24"/>
              <w:u w:val="none"/>
              <w:shd w:val="clear" w:fill="auto"/>
              <w:vertAlign w:val="baseline"/>
              <w:rtl w:val="0"/>
            </w:rPr>
            <w:t>Analysis of the firm’s financial statements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4</w:t>
          </w:r>
          <w:r>
            <w:rPr>
              <w:i w:val="0"/>
              <w:iCs w:val="0"/>
              <w:smallCaps w:val="0"/>
              <w:strike w:val="0"/>
              <w:color w:val="000000"/>
              <w:sz w:val="24"/>
              <w:szCs w:val="24"/>
              <w:u w:val="none"/>
              <w:shd w:val="clear" w:fill="auto"/>
              <w:vertAlign w:val="baseline"/>
              <w:rtl w:val="0"/>
            </w:rPr>
            <w:fldChar w:fldCharType="end"/>
          </w:r>
        </w:p>
        <w:p w14:paraId="00000010">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"_8fzmtoouh0c3" \h </w:instrText>
          </w:r>
          <w:r>
            <w:fldChar w:fldCharType="separate"/>
          </w:r>
          <w:r>
            <w:rPr>
              <w:i w:val="0"/>
              <w:iCs w:val="0"/>
              <w:smallCaps w:val="0"/>
              <w:strike w:val="0"/>
              <w:color w:val="000000"/>
              <w:sz w:val="24"/>
              <w:szCs w:val="24"/>
              <w:u w:val="none"/>
              <w:shd w:val="clear" w:fill="auto"/>
              <w:vertAlign w:val="baseline"/>
              <w:rtl w:val="0"/>
            </w:rPr>
            <w:t>Performing a full ratio analysis (profitability, liquidity, efficiency, gearing, investment, cash flow). (Identifying trends, strengths and threats)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5</w:t>
          </w:r>
          <w:r>
            <w:rPr>
              <w:i w:val="0"/>
              <w:iCs w:val="0"/>
              <w:smallCaps w:val="0"/>
              <w:strike w:val="0"/>
              <w:color w:val="000000"/>
              <w:sz w:val="24"/>
              <w:szCs w:val="24"/>
              <w:u w:val="none"/>
              <w:shd w:val="clear" w:fill="auto"/>
              <w:vertAlign w:val="baseline"/>
              <w:rtl w:val="0"/>
            </w:rPr>
            <w:fldChar w:fldCharType="end"/>
          </w:r>
        </w:p>
        <w:p w14:paraId="00000011">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"_25vn0fj6t5fq" \h </w:instrText>
          </w:r>
          <w:r>
            <w:fldChar w:fldCharType="separate"/>
          </w:r>
          <w:r>
            <w:rPr>
              <w:i w:val="0"/>
              <w:iCs w:val="0"/>
              <w:smallCaps w:val="0"/>
              <w:strike w:val="0"/>
              <w:color w:val="000000"/>
              <w:sz w:val="24"/>
              <w:szCs w:val="24"/>
              <w:u w:val="none"/>
              <w:shd w:val="clear" w:fill="auto"/>
              <w:vertAlign w:val="baseline"/>
              <w:rtl w:val="0"/>
            </w:rPr>
            <w:t>Interpreting liquidity of the company (see Appendix A)</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5</w:t>
          </w:r>
          <w:r>
            <w:rPr>
              <w:i w:val="0"/>
              <w:iCs w:val="0"/>
              <w:smallCaps w:val="0"/>
              <w:strike w:val="0"/>
              <w:color w:val="000000"/>
              <w:sz w:val="24"/>
              <w:szCs w:val="24"/>
              <w:u w:val="none"/>
              <w:shd w:val="clear" w:fill="auto"/>
              <w:vertAlign w:val="baseline"/>
              <w:rtl w:val="0"/>
            </w:rPr>
            <w:fldChar w:fldCharType="end"/>
          </w:r>
        </w:p>
        <w:p w14:paraId="00000012">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"_ujzcapayw4e9" \h </w:instrText>
          </w:r>
          <w:r>
            <w:fldChar w:fldCharType="separate"/>
          </w:r>
          <w:r>
            <w:rPr>
              <w:i w:val="0"/>
              <w:iCs w:val="0"/>
              <w:smallCaps w:val="0"/>
              <w:strike w:val="0"/>
              <w:color w:val="000000"/>
              <w:sz w:val="24"/>
              <w:szCs w:val="24"/>
              <w:u w:val="none"/>
              <w:shd w:val="clear" w:fill="auto"/>
              <w:vertAlign w:val="baseline"/>
              <w:rtl w:val="0"/>
            </w:rPr>
            <w:t>Interpreting the profitability of the company (See Appendix B)</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6</w:t>
          </w:r>
          <w:r>
            <w:rPr>
              <w:i w:val="0"/>
              <w:iCs w:val="0"/>
              <w:smallCaps w:val="0"/>
              <w:strike w:val="0"/>
              <w:color w:val="000000"/>
              <w:sz w:val="24"/>
              <w:szCs w:val="24"/>
              <w:u w:val="none"/>
              <w:shd w:val="clear" w:fill="auto"/>
              <w:vertAlign w:val="baseline"/>
              <w:rtl w:val="0"/>
            </w:rPr>
            <w:fldChar w:fldCharType="end"/>
          </w:r>
        </w:p>
        <w:p w14:paraId="00000013">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"_ebwf6uqxwmyk" \h </w:instrText>
          </w:r>
          <w:r>
            <w:fldChar w:fldCharType="separate"/>
          </w:r>
          <w:r>
            <w:rPr>
              <w:i w:val="0"/>
              <w:iCs w:val="0"/>
              <w:smallCaps w:val="0"/>
              <w:strike w:val="0"/>
              <w:color w:val="000000"/>
              <w:sz w:val="24"/>
              <w:szCs w:val="24"/>
              <w:u w:val="none"/>
              <w:shd w:val="clear" w:fill="auto"/>
              <w:vertAlign w:val="baseline"/>
              <w:rtl w:val="0"/>
            </w:rPr>
            <w:t>Interpreting efficiency ratios (see Appendix C)</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6</w:t>
          </w:r>
          <w:r>
            <w:rPr>
              <w:i w:val="0"/>
              <w:iCs w:val="0"/>
              <w:smallCaps w:val="0"/>
              <w:strike w:val="0"/>
              <w:color w:val="000000"/>
              <w:sz w:val="24"/>
              <w:szCs w:val="24"/>
              <w:u w:val="none"/>
              <w:shd w:val="clear" w:fill="auto"/>
              <w:vertAlign w:val="baseline"/>
              <w:rtl w:val="0"/>
            </w:rPr>
            <w:fldChar w:fldCharType="end"/>
          </w:r>
        </w:p>
        <w:p w14:paraId="00000014">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"_qxxxwq1p8e2h" \h </w:instrText>
          </w:r>
          <w:r>
            <w:fldChar w:fldCharType="separate"/>
          </w:r>
          <w:r>
            <w:rPr>
              <w:i w:val="0"/>
              <w:iCs w:val="0"/>
              <w:smallCaps w:val="0"/>
              <w:strike w:val="0"/>
              <w:color w:val="000000"/>
              <w:sz w:val="24"/>
              <w:szCs w:val="24"/>
              <w:u w:val="none"/>
              <w:shd w:val="clear" w:fill="auto"/>
              <w:vertAlign w:val="baseline"/>
              <w:rtl w:val="0"/>
            </w:rPr>
            <w:t>Interpreting Gearing Ratios (See Appendix D)</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7</w:t>
          </w:r>
          <w:r>
            <w:rPr>
              <w:i w:val="0"/>
              <w:iCs w:val="0"/>
              <w:smallCaps w:val="0"/>
              <w:strike w:val="0"/>
              <w:color w:val="000000"/>
              <w:sz w:val="24"/>
              <w:szCs w:val="24"/>
              <w:u w:val="none"/>
              <w:shd w:val="clear" w:fill="auto"/>
              <w:vertAlign w:val="baseline"/>
              <w:rtl w:val="0"/>
            </w:rPr>
            <w:fldChar w:fldCharType="end"/>
          </w:r>
        </w:p>
        <w:p w14:paraId="00000015">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"_mj2jqoqdc9zs" \h </w:instrText>
          </w:r>
          <w:r>
            <w:fldChar w:fldCharType="separate"/>
          </w:r>
          <w:r>
            <w:rPr>
              <w:i w:val="0"/>
              <w:iCs w:val="0"/>
              <w:smallCaps w:val="0"/>
              <w:strike w:val="0"/>
              <w:color w:val="000000"/>
              <w:sz w:val="24"/>
              <w:szCs w:val="24"/>
              <w:u w:val="none"/>
              <w:shd w:val="clear" w:fill="auto"/>
              <w:vertAlign w:val="baseline"/>
              <w:rtl w:val="0"/>
            </w:rPr>
            <w:t>Interpreting Investment Ratios (See Appendix D))</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7</w:t>
          </w:r>
          <w:r>
            <w:rPr>
              <w:i w:val="0"/>
              <w:iCs w:val="0"/>
              <w:smallCaps w:val="0"/>
              <w:strike w:val="0"/>
              <w:color w:val="000000"/>
              <w:sz w:val="24"/>
              <w:szCs w:val="24"/>
              <w:u w:val="none"/>
              <w:shd w:val="clear" w:fill="auto"/>
              <w:vertAlign w:val="baseline"/>
              <w:rtl w:val="0"/>
            </w:rPr>
            <w:fldChar w:fldCharType="end"/>
          </w:r>
        </w:p>
        <w:p w14:paraId="00000016">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"_ufpoohz5llg" \h </w:instrText>
          </w:r>
          <w:r>
            <w:fldChar w:fldCharType="separate"/>
          </w:r>
          <w:r>
            <w:rPr>
              <w:i w:val="0"/>
              <w:iCs w:val="0"/>
              <w:smallCaps w:val="0"/>
              <w:strike w:val="0"/>
              <w:color w:val="000000"/>
              <w:sz w:val="24"/>
              <w:szCs w:val="24"/>
              <w:u w:val="none"/>
              <w:shd w:val="clear" w:fill="auto"/>
              <w:vertAlign w:val="baseline"/>
              <w:rtl w:val="0"/>
            </w:rPr>
            <w:t>Interpreting cash flow ratios (See Appendix D)</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8</w:t>
          </w:r>
          <w:r>
            <w:rPr>
              <w:i w:val="0"/>
              <w:iCs w:val="0"/>
              <w:smallCaps w:val="0"/>
              <w:strike w:val="0"/>
              <w:color w:val="000000"/>
              <w:sz w:val="24"/>
              <w:szCs w:val="24"/>
              <w:u w:val="none"/>
              <w:shd w:val="clear" w:fill="auto"/>
              <w:vertAlign w:val="baseline"/>
              <w:rtl w:val="0"/>
            </w:rPr>
            <w:fldChar w:fldCharType="end"/>
          </w:r>
        </w:p>
        <w:p w14:paraId="00000017">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"_i1ak17owozpe" \h </w:instrText>
          </w:r>
          <w:r>
            <w:fldChar w:fldCharType="separate"/>
          </w:r>
          <w:r>
            <w:rPr>
              <w:i w:val="0"/>
              <w:iCs w:val="0"/>
              <w:smallCaps w:val="0"/>
              <w:strike w:val="0"/>
              <w:color w:val="000000"/>
              <w:sz w:val="24"/>
              <w:szCs w:val="24"/>
              <w:u w:val="none"/>
              <w:shd w:val="clear" w:fill="auto"/>
              <w:vertAlign w:val="baseline"/>
              <w:rtl w:val="0"/>
            </w:rPr>
            <w:t>Use corporate failure prediction models (e.g., Altman Z-Score) to assess default risks (See Appendix 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8</w:t>
          </w:r>
          <w:r>
            <w:rPr>
              <w:i w:val="0"/>
              <w:iCs w:val="0"/>
              <w:smallCaps w:val="0"/>
              <w:strike w:val="0"/>
              <w:color w:val="000000"/>
              <w:sz w:val="24"/>
              <w:szCs w:val="24"/>
              <w:u w:val="none"/>
              <w:shd w:val="clear" w:fill="auto"/>
              <w:vertAlign w:val="baseline"/>
              <w:rtl w:val="0"/>
            </w:rPr>
            <w:fldChar w:fldCharType="end"/>
          </w:r>
        </w:p>
        <w:p w14:paraId="00000018">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"_z1cbiot4rht2" \h </w:instrText>
          </w:r>
          <w:r>
            <w:fldChar w:fldCharType="separate"/>
          </w:r>
          <w:r>
            <w:rPr>
              <w:i w:val="0"/>
              <w:iCs w:val="0"/>
              <w:smallCaps w:val="0"/>
              <w:strike w:val="0"/>
              <w:color w:val="000000"/>
              <w:sz w:val="24"/>
              <w:szCs w:val="24"/>
              <w:u w:val="none"/>
              <w:shd w:val="clear" w:fill="auto"/>
              <w:vertAlign w:val="baseline"/>
              <w:rtl w:val="0"/>
            </w:rPr>
            <w:t>2: Working Capital Management Analysis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9</w:t>
          </w:r>
          <w:r>
            <w:rPr>
              <w:i w:val="0"/>
              <w:iCs w:val="0"/>
              <w:smallCaps w:val="0"/>
              <w:strike w:val="0"/>
              <w:color w:val="000000"/>
              <w:sz w:val="24"/>
              <w:szCs w:val="24"/>
              <w:u w:val="none"/>
              <w:shd w:val="clear" w:fill="auto"/>
              <w:vertAlign w:val="baseline"/>
              <w:rtl w:val="0"/>
            </w:rPr>
            <w:fldChar w:fldCharType="end"/>
          </w:r>
        </w:p>
        <w:p w14:paraId="00000019">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"_eavy6svh85eh" \h </w:instrText>
          </w:r>
          <w:r>
            <w:fldChar w:fldCharType="separate"/>
          </w:r>
          <w:r>
            <w:rPr>
              <w:i w:val="0"/>
              <w:iCs w:val="0"/>
              <w:smallCaps w:val="0"/>
              <w:strike w:val="0"/>
              <w:color w:val="000000"/>
              <w:sz w:val="24"/>
              <w:szCs w:val="24"/>
              <w:u w:val="none"/>
              <w:shd w:val="clear" w:fill="auto"/>
              <w:vertAlign w:val="baseline"/>
              <w:rtl w:val="0"/>
            </w:rPr>
            <w:t>Assessing cash conversion cycle (see Appendix F)</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9</w:t>
          </w:r>
          <w:r>
            <w:rPr>
              <w:i w:val="0"/>
              <w:iCs w:val="0"/>
              <w:smallCaps w:val="0"/>
              <w:strike w:val="0"/>
              <w:color w:val="000000"/>
              <w:sz w:val="24"/>
              <w:szCs w:val="24"/>
              <w:u w:val="none"/>
              <w:shd w:val="clear" w:fill="auto"/>
              <w:vertAlign w:val="baseline"/>
              <w:rtl w:val="0"/>
            </w:rPr>
            <w:fldChar w:fldCharType="end"/>
          </w:r>
        </w:p>
        <w:p w14:paraId="0000001A">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"_zt0hgu71m4a" \h </w:instrText>
          </w:r>
          <w:r>
            <w:fldChar w:fldCharType="separate"/>
          </w:r>
          <w:r>
            <w:rPr>
              <w:i w:val="0"/>
              <w:iCs w:val="0"/>
              <w:smallCaps w:val="0"/>
              <w:strike w:val="0"/>
              <w:color w:val="000000"/>
              <w:sz w:val="24"/>
              <w:szCs w:val="24"/>
              <w:u w:val="none"/>
              <w:shd w:val="clear" w:fill="auto"/>
              <w:vertAlign w:val="baseline"/>
              <w:rtl w:val="0"/>
            </w:rPr>
            <w:t>Recommending strategies for improving liquidity</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10</w:t>
          </w:r>
          <w:r>
            <w:rPr>
              <w:i w:val="0"/>
              <w:iCs w:val="0"/>
              <w:smallCaps w:val="0"/>
              <w:strike w:val="0"/>
              <w:color w:val="000000"/>
              <w:sz w:val="24"/>
              <w:szCs w:val="24"/>
              <w:u w:val="none"/>
              <w:shd w:val="clear" w:fill="auto"/>
              <w:vertAlign w:val="baseline"/>
              <w:rtl w:val="0"/>
            </w:rPr>
            <w:fldChar w:fldCharType="end"/>
          </w:r>
        </w:p>
        <w:p w14:paraId="0000001B">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"_dczmq7g6g7c6" \h </w:instrText>
          </w:r>
          <w:r>
            <w:fldChar w:fldCharType="separate"/>
          </w:r>
          <w:r>
            <w:rPr>
              <w:i w:val="0"/>
              <w:iCs w:val="0"/>
              <w:smallCaps w:val="0"/>
              <w:strike w:val="0"/>
              <w:color w:val="000000"/>
              <w:sz w:val="24"/>
              <w:szCs w:val="24"/>
              <w:u w:val="none"/>
              <w:shd w:val="clear" w:fill="auto"/>
              <w:vertAlign w:val="baseline"/>
              <w:rtl w:val="0"/>
            </w:rPr>
            <w:t>Comparing long-term and short-term finance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11</w:t>
          </w:r>
          <w:r>
            <w:rPr>
              <w:i w:val="0"/>
              <w:iCs w:val="0"/>
              <w:smallCaps w:val="0"/>
              <w:strike w:val="0"/>
              <w:color w:val="000000"/>
              <w:sz w:val="24"/>
              <w:szCs w:val="24"/>
              <w:u w:val="none"/>
              <w:shd w:val="clear" w:fill="auto"/>
              <w:vertAlign w:val="baseline"/>
              <w:rtl w:val="0"/>
            </w:rPr>
            <w:fldChar w:fldCharType="end"/>
          </w:r>
        </w:p>
        <w:p w14:paraId="0000001C">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"_vxsi15wroden" \h </w:instrText>
          </w:r>
          <w:r>
            <w:fldChar w:fldCharType="separate"/>
          </w:r>
          <w:r>
            <w:rPr>
              <w:i w:val="0"/>
              <w:iCs w:val="0"/>
              <w:smallCaps w:val="0"/>
              <w:strike w:val="0"/>
              <w:color w:val="000000"/>
              <w:sz w:val="24"/>
              <w:szCs w:val="24"/>
              <w:u w:val="none"/>
              <w:shd w:val="clear" w:fill="auto"/>
              <w:vertAlign w:val="baseline"/>
              <w:rtl w:val="0"/>
            </w:rPr>
            <w:t>3: Strategic Financial Restructuring Plan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12</w:t>
          </w:r>
          <w:r>
            <w:rPr>
              <w:i w:val="0"/>
              <w:iCs w:val="0"/>
              <w:smallCaps w:val="0"/>
              <w:strike w:val="0"/>
              <w:color w:val="000000"/>
              <w:sz w:val="24"/>
              <w:szCs w:val="24"/>
              <w:u w:val="none"/>
              <w:shd w:val="clear" w:fill="auto"/>
              <w:vertAlign w:val="baseline"/>
              <w:rtl w:val="0"/>
            </w:rPr>
            <w:fldChar w:fldCharType="end"/>
          </w:r>
        </w:p>
        <w:p w14:paraId="0000001D">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"_drwic3c4w5on" \h </w:instrText>
          </w:r>
          <w:r>
            <w:fldChar w:fldCharType="separate"/>
          </w:r>
          <w:r>
            <w:rPr>
              <w:i w:val="0"/>
              <w:iCs w:val="0"/>
              <w:smallCaps w:val="0"/>
              <w:strike w:val="0"/>
              <w:color w:val="000000"/>
              <w:sz w:val="24"/>
              <w:szCs w:val="24"/>
              <w:u w:val="none"/>
              <w:shd w:val="clear" w:fill="auto"/>
              <w:vertAlign w:val="baseline"/>
              <w:rtl w:val="0"/>
            </w:rPr>
            <w:t>Recommendations for financial restructuring options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12</w:t>
          </w:r>
          <w:r>
            <w:rPr>
              <w:i w:val="0"/>
              <w:iCs w:val="0"/>
              <w:smallCaps w:val="0"/>
              <w:strike w:val="0"/>
              <w:color w:val="000000"/>
              <w:sz w:val="24"/>
              <w:szCs w:val="24"/>
              <w:u w:val="none"/>
              <w:shd w:val="clear" w:fill="auto"/>
              <w:vertAlign w:val="baseline"/>
              <w:rtl w:val="0"/>
            </w:rPr>
            <w:fldChar w:fldCharType="end"/>
          </w:r>
        </w:p>
        <w:p w14:paraId="0000001E">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"_at0eb98fovr8" \h </w:instrText>
          </w:r>
          <w:r>
            <w:fldChar w:fldCharType="separate"/>
          </w:r>
          <w:r>
            <w:rPr>
              <w:i w:val="0"/>
              <w:iCs w:val="0"/>
              <w:smallCaps w:val="0"/>
              <w:strike w:val="0"/>
              <w:color w:val="000000"/>
              <w:sz w:val="24"/>
              <w:szCs w:val="24"/>
              <w:u w:val="none"/>
              <w:shd w:val="clear" w:fill="auto"/>
              <w:vertAlign w:val="baseline"/>
              <w:rtl w:val="0"/>
            </w:rPr>
            <w:t>Evaluating impact on shareholder value, debt structure, and operational flexibility</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13</w:t>
          </w:r>
          <w:r>
            <w:rPr>
              <w:i w:val="0"/>
              <w:iCs w:val="0"/>
              <w:smallCaps w:val="0"/>
              <w:strike w:val="0"/>
              <w:color w:val="000000"/>
              <w:sz w:val="24"/>
              <w:szCs w:val="24"/>
              <w:u w:val="none"/>
              <w:shd w:val="clear" w:fill="auto"/>
              <w:vertAlign w:val="baseline"/>
              <w:rtl w:val="0"/>
            </w:rPr>
            <w:fldChar w:fldCharType="end"/>
          </w:r>
        </w:p>
        <w:p w14:paraId="0000001F">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"_buglbvywrvuk" \h </w:instrText>
          </w:r>
          <w:r>
            <w:fldChar w:fldCharType="separate"/>
          </w:r>
          <w:r>
            <w:rPr>
              <w:i w:val="0"/>
              <w:iCs w:val="0"/>
              <w:smallCaps w:val="0"/>
              <w:strike w:val="0"/>
              <w:color w:val="000000"/>
              <w:sz w:val="24"/>
              <w:szCs w:val="24"/>
              <w:u w:val="none"/>
              <w:shd w:val="clear" w:fill="auto"/>
              <w:vertAlign w:val="baseline"/>
              <w:rtl w:val="0"/>
            </w:rPr>
            <w:t>International and ethical considerations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14</w:t>
          </w:r>
          <w:r>
            <w:rPr>
              <w:i w:val="0"/>
              <w:iCs w:val="0"/>
              <w:smallCaps w:val="0"/>
              <w:strike w:val="0"/>
              <w:color w:val="000000"/>
              <w:sz w:val="24"/>
              <w:szCs w:val="24"/>
              <w:u w:val="none"/>
              <w:shd w:val="clear" w:fill="auto"/>
              <w:vertAlign w:val="baseline"/>
              <w:rtl w:val="0"/>
            </w:rPr>
            <w:fldChar w:fldCharType="end"/>
          </w:r>
        </w:p>
        <w:p w14:paraId="00000020">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"_1tmsmceell7q" \h </w:instrText>
          </w:r>
          <w:r>
            <w:fldChar w:fldCharType="separate"/>
          </w:r>
          <w:r>
            <w:rPr>
              <w:i w:val="0"/>
              <w:iCs w:val="0"/>
              <w:smallCaps w:val="0"/>
              <w:strike w:val="0"/>
              <w:color w:val="000000"/>
              <w:sz w:val="24"/>
              <w:szCs w:val="24"/>
              <w:u w:val="none"/>
              <w:shd w:val="clear" w:fill="auto"/>
              <w:vertAlign w:val="baseline"/>
              <w:rtl w:val="0"/>
            </w:rPr>
            <w:t>4: Investment Appraisal and Capital Budgeting</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15</w:t>
          </w:r>
          <w:r>
            <w:rPr>
              <w:i w:val="0"/>
              <w:iCs w:val="0"/>
              <w:smallCaps w:val="0"/>
              <w:strike w:val="0"/>
              <w:color w:val="000000"/>
              <w:sz w:val="24"/>
              <w:szCs w:val="24"/>
              <w:u w:val="none"/>
              <w:shd w:val="clear" w:fill="auto"/>
              <w:vertAlign w:val="baseline"/>
              <w:rtl w:val="0"/>
            </w:rPr>
            <w:fldChar w:fldCharType="end"/>
          </w:r>
        </w:p>
        <w:p w14:paraId="00000021">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"_fhyt3hfo8jrc" \h </w:instrText>
          </w:r>
          <w:r>
            <w:fldChar w:fldCharType="separate"/>
          </w:r>
          <w:r>
            <w:rPr>
              <w:i w:val="0"/>
              <w:iCs w:val="0"/>
              <w:smallCaps w:val="0"/>
              <w:strike w:val="0"/>
              <w:color w:val="000000"/>
              <w:sz w:val="24"/>
              <w:szCs w:val="24"/>
              <w:u w:val="none"/>
              <w:shd w:val="clear" w:fill="auto"/>
              <w:vertAlign w:val="baseline"/>
              <w:rtl w:val="0"/>
            </w:rPr>
            <w:t>Interpreting payback period (See Appendix G)</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15</w:t>
          </w:r>
          <w:r>
            <w:rPr>
              <w:i w:val="0"/>
              <w:iCs w:val="0"/>
              <w:smallCaps w:val="0"/>
              <w:strike w:val="0"/>
              <w:color w:val="000000"/>
              <w:sz w:val="24"/>
              <w:szCs w:val="24"/>
              <w:u w:val="none"/>
              <w:shd w:val="clear" w:fill="auto"/>
              <w:vertAlign w:val="baseline"/>
              <w:rtl w:val="0"/>
            </w:rPr>
            <w:fldChar w:fldCharType="end"/>
          </w:r>
        </w:p>
        <w:p w14:paraId="00000022">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"_ws5819q3axfm" \h </w:instrText>
          </w:r>
          <w:r>
            <w:fldChar w:fldCharType="separate"/>
          </w:r>
          <w:r>
            <w:rPr>
              <w:i w:val="0"/>
              <w:iCs w:val="0"/>
              <w:smallCaps w:val="0"/>
              <w:strike w:val="0"/>
              <w:color w:val="000000"/>
              <w:sz w:val="24"/>
              <w:szCs w:val="24"/>
              <w:u w:val="none"/>
              <w:shd w:val="clear" w:fill="auto"/>
              <w:vertAlign w:val="baseline"/>
              <w:rtl w:val="0"/>
            </w:rPr>
            <w:t>Interpreting NPV and PI (see Appendix H)</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15</w:t>
          </w:r>
          <w:r>
            <w:rPr>
              <w:i w:val="0"/>
              <w:iCs w:val="0"/>
              <w:smallCaps w:val="0"/>
              <w:strike w:val="0"/>
              <w:color w:val="000000"/>
              <w:sz w:val="24"/>
              <w:szCs w:val="24"/>
              <w:u w:val="none"/>
              <w:shd w:val="clear" w:fill="auto"/>
              <w:vertAlign w:val="baseline"/>
              <w:rtl w:val="0"/>
            </w:rPr>
            <w:fldChar w:fldCharType="end"/>
          </w:r>
        </w:p>
        <w:p w14:paraId="00000023">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"_86uw9bnb2r46" \h </w:instrText>
          </w:r>
          <w:r>
            <w:fldChar w:fldCharType="separate"/>
          </w:r>
          <w:r>
            <w:rPr>
              <w:i w:val="0"/>
              <w:iCs w:val="0"/>
              <w:smallCaps w:val="0"/>
              <w:strike w:val="0"/>
              <w:color w:val="000000"/>
              <w:sz w:val="24"/>
              <w:szCs w:val="24"/>
              <w:u w:val="none"/>
              <w:shd w:val="clear" w:fill="auto"/>
              <w:vertAlign w:val="baseline"/>
              <w:rtl w:val="0"/>
            </w:rPr>
            <w:t>Interpret ARR ( see Appendix I)</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16</w:t>
          </w:r>
          <w:r>
            <w:rPr>
              <w:i w:val="0"/>
              <w:iCs w:val="0"/>
              <w:smallCaps w:val="0"/>
              <w:strike w:val="0"/>
              <w:color w:val="000000"/>
              <w:sz w:val="24"/>
              <w:szCs w:val="24"/>
              <w:u w:val="none"/>
              <w:shd w:val="clear" w:fill="auto"/>
              <w:vertAlign w:val="baseline"/>
              <w:rtl w:val="0"/>
            </w:rPr>
            <w:fldChar w:fldCharType="end"/>
          </w:r>
        </w:p>
        <w:p w14:paraId="00000024">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"_ivx1usaa0p0a" \h </w:instrText>
          </w:r>
          <w:r>
            <w:fldChar w:fldCharType="separate"/>
          </w:r>
          <w:r>
            <w:rPr>
              <w:i w:val="0"/>
              <w:iCs w:val="0"/>
              <w:smallCaps w:val="0"/>
              <w:strike w:val="0"/>
              <w:color w:val="000000"/>
              <w:sz w:val="24"/>
              <w:szCs w:val="24"/>
              <w:u w:val="none"/>
              <w:shd w:val="clear" w:fill="auto"/>
              <w:vertAlign w:val="baseline"/>
              <w:rtl w:val="0"/>
            </w:rPr>
            <w:t>Final investment recommendation assuming capital rationing (a maximum of £60 million can be invested).</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16</w:t>
          </w:r>
          <w:r>
            <w:rPr>
              <w:i w:val="0"/>
              <w:iCs w:val="0"/>
              <w:smallCaps w:val="0"/>
              <w:strike w:val="0"/>
              <w:color w:val="000000"/>
              <w:sz w:val="24"/>
              <w:szCs w:val="24"/>
              <w:u w:val="none"/>
              <w:shd w:val="clear" w:fill="auto"/>
              <w:vertAlign w:val="baseline"/>
              <w:rtl w:val="0"/>
            </w:rPr>
            <w:fldChar w:fldCharType="end"/>
          </w:r>
        </w:p>
        <w:p w14:paraId="00000025">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"_ty5h8fs44l2i" \h </w:instrText>
          </w:r>
          <w:r>
            <w:fldChar w:fldCharType="separate"/>
          </w:r>
          <w:r>
            <w:rPr>
              <w:i w:val="0"/>
              <w:iCs w:val="0"/>
              <w:smallCaps w:val="0"/>
              <w:strike w:val="0"/>
              <w:color w:val="000000"/>
              <w:sz w:val="24"/>
              <w:szCs w:val="24"/>
              <w:u w:val="none"/>
              <w:shd w:val="clear" w:fill="auto"/>
              <w:vertAlign w:val="baseline"/>
              <w:rtl w:val="0"/>
            </w:rPr>
            <w:t>Capital Appraisal Comparison (Capital Limit: £60m)</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17</w:t>
          </w:r>
          <w:r>
            <w:rPr>
              <w:i w:val="0"/>
              <w:iCs w:val="0"/>
              <w:smallCaps w:val="0"/>
              <w:strike w:val="0"/>
              <w:color w:val="000000"/>
              <w:sz w:val="24"/>
              <w:szCs w:val="24"/>
              <w:u w:val="none"/>
              <w:shd w:val="clear" w:fill="auto"/>
              <w:vertAlign w:val="baseline"/>
              <w:rtl w:val="0"/>
            </w:rPr>
            <w:fldChar w:fldCharType="end"/>
          </w:r>
        </w:p>
        <w:p w14:paraId="00000026">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"_bthsmpfc77us" \h </w:instrText>
          </w:r>
          <w:r>
            <w:fldChar w:fldCharType="separate"/>
          </w:r>
          <w:r>
            <w:rPr>
              <w:i w:val="0"/>
              <w:iCs w:val="0"/>
              <w:smallCaps w:val="0"/>
              <w:strike w:val="0"/>
              <w:color w:val="000000"/>
              <w:sz w:val="24"/>
              <w:szCs w:val="24"/>
              <w:u w:val="none"/>
              <w:shd w:val="clear" w:fill="auto"/>
              <w:vertAlign w:val="baseline"/>
              <w:rtl w:val="0"/>
            </w:rPr>
            <w:t>Feasible Investment Combinations (≤ £60m)</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17</w:t>
          </w:r>
          <w:r>
            <w:rPr>
              <w:i w:val="0"/>
              <w:iCs w:val="0"/>
              <w:smallCaps w:val="0"/>
              <w:strike w:val="0"/>
              <w:color w:val="000000"/>
              <w:sz w:val="24"/>
              <w:szCs w:val="24"/>
              <w:u w:val="none"/>
              <w:shd w:val="clear" w:fill="auto"/>
              <w:vertAlign w:val="baseline"/>
              <w:rtl w:val="0"/>
            </w:rPr>
            <w:fldChar w:fldCharType="end"/>
          </w:r>
        </w:p>
        <w:p w14:paraId="00000027">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"_iu9ys2467kto" \h </w:instrText>
          </w:r>
          <w:r>
            <w:fldChar w:fldCharType="separate"/>
          </w:r>
          <w:r>
            <w:rPr>
              <w:i w:val="0"/>
              <w:iCs w:val="0"/>
              <w:smallCaps w:val="0"/>
              <w:strike w:val="0"/>
              <w:color w:val="000000"/>
              <w:sz w:val="24"/>
              <w:szCs w:val="24"/>
              <w:u w:val="none"/>
              <w:shd w:val="clear" w:fill="auto"/>
              <w:vertAlign w:val="baseline"/>
              <w:rtl w:val="0"/>
            </w:rPr>
            <w:t>Decision Using Capital Appraisal Methods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18</w:t>
          </w:r>
          <w:r>
            <w:rPr>
              <w:i w:val="0"/>
              <w:iCs w:val="0"/>
              <w:smallCaps w:val="0"/>
              <w:strike w:val="0"/>
              <w:color w:val="000000"/>
              <w:sz w:val="24"/>
              <w:szCs w:val="24"/>
              <w:u w:val="none"/>
              <w:shd w:val="clear" w:fill="auto"/>
              <w:vertAlign w:val="baseline"/>
              <w:rtl w:val="0"/>
            </w:rPr>
            <w:fldChar w:fldCharType="end"/>
          </w:r>
        </w:p>
        <w:p w14:paraId="00000028">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"_yud4o3cmo4nu" \h </w:instrText>
          </w:r>
          <w:r>
            <w:fldChar w:fldCharType="separate"/>
          </w:r>
          <w:r>
            <w:rPr>
              <w:i w:val="0"/>
              <w:iCs w:val="0"/>
              <w:smallCaps w:val="0"/>
              <w:strike w:val="0"/>
              <w:color w:val="000000"/>
              <w:sz w:val="24"/>
              <w:szCs w:val="24"/>
              <w:u w:val="none"/>
              <w:shd w:val="clear" w:fill="auto"/>
              <w:vertAlign w:val="baseline"/>
              <w:rtl w:val="0"/>
            </w:rPr>
            <w:t>Conclusion</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19</w:t>
          </w:r>
          <w:r>
            <w:rPr>
              <w:i w:val="0"/>
              <w:iCs w:val="0"/>
              <w:smallCaps w:val="0"/>
              <w:strike w:val="0"/>
              <w:color w:val="000000"/>
              <w:sz w:val="24"/>
              <w:szCs w:val="24"/>
              <w:u w:val="none"/>
              <w:shd w:val="clear" w:fill="auto"/>
              <w:vertAlign w:val="baseline"/>
              <w:rtl w:val="0"/>
            </w:rPr>
            <w:fldChar w:fldCharType="end"/>
          </w:r>
        </w:p>
        <w:p w14:paraId="00000029">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"_g840hmgl2dqd" \h </w:instrText>
          </w:r>
          <w:r>
            <w:fldChar w:fldCharType="separate"/>
          </w:r>
          <w:r>
            <w:rPr>
              <w:i w:val="0"/>
              <w:iCs w:val="0"/>
              <w:smallCaps w:val="0"/>
              <w:strike w:val="0"/>
              <w:color w:val="000000"/>
              <w:sz w:val="24"/>
              <w:szCs w:val="24"/>
              <w:u w:val="none"/>
              <w:shd w:val="clear" w:fill="auto"/>
              <w:vertAlign w:val="baseline"/>
              <w:rtl w:val="0"/>
            </w:rPr>
            <w:t>References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20</w:t>
          </w:r>
          <w:r>
            <w:rPr>
              <w:i w:val="0"/>
              <w:iCs w:val="0"/>
              <w:smallCaps w:val="0"/>
              <w:strike w:val="0"/>
              <w:color w:val="000000"/>
              <w:sz w:val="24"/>
              <w:szCs w:val="24"/>
              <w:u w:val="none"/>
              <w:shd w:val="clear" w:fill="auto"/>
              <w:vertAlign w:val="baseline"/>
              <w:rtl w:val="0"/>
            </w:rPr>
            <w:fldChar w:fldCharType="end"/>
          </w:r>
        </w:p>
        <w:p w14:paraId="0000002A">
          <w:pPr>
            <w:widowControl w:val="0"/>
            <w:tabs>
              <w:tab w:val="right" w:leader="dot" w:pos="12000"/>
            </w:tabs>
            <w:spacing w:before="60" w:after="0" w:line="360" w:lineRule="auto"/>
            <w:jc w:val="left"/>
            <w:rPr>
              <w:b/>
              <w:bCs/>
              <w:i w:val="0"/>
              <w:iCs w:val="0"/>
              <w:smallCaps w:val="0"/>
              <w:strike w:val="0"/>
              <w:color w:val="000000"/>
              <w:sz w:val="22"/>
              <w:szCs w:val="22"/>
              <w:u w:val="none"/>
              <w:shd w:val="clear" w:fill="auto"/>
              <w:vertAlign w:val="baseline"/>
            </w:rPr>
          </w:pPr>
          <w:r>
            <w:fldChar w:fldCharType="begin"/>
          </w:r>
          <w:r>
            <w:instrText xml:space="preserve"> HYPERLINK \l "_ieaz3mcgu6bc" \h </w:instrText>
          </w:r>
          <w:r>
            <w:fldChar w:fldCharType="separate"/>
          </w:r>
          <w:r>
            <w:rPr>
              <w:i w:val="0"/>
              <w:iCs w:val="0"/>
              <w:smallCaps w:val="0"/>
              <w:strike w:val="0"/>
              <w:color w:val="000000"/>
              <w:sz w:val="24"/>
              <w:szCs w:val="24"/>
              <w:u w:val="none"/>
              <w:shd w:val="clear" w:fill="auto"/>
              <w:vertAlign w:val="baseline"/>
              <w:rtl w:val="0"/>
            </w:rPr>
            <w:t>Appendices</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22</w:t>
          </w:r>
          <w:r>
            <w:rPr>
              <w:i w:val="0"/>
              <w:iCs w:val="0"/>
              <w:smallCaps w:val="0"/>
              <w:strike w:val="0"/>
              <w:color w:val="000000"/>
              <w:sz w:val="24"/>
              <w:szCs w:val="24"/>
              <w:u w:val="none"/>
              <w:shd w:val="clear" w:fill="auto"/>
              <w:vertAlign w:val="baseline"/>
              <w:rtl w:val="0"/>
            </w:rPr>
            <w:fldChar w:fldCharType="end"/>
          </w:r>
        </w:p>
        <w:p w14:paraId="0000002B">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"_ifzx7z9jo30p" \h </w:instrText>
          </w:r>
          <w:r>
            <w:fldChar w:fldCharType="separate"/>
          </w:r>
          <w:r>
            <w:rPr>
              <w:i w:val="0"/>
              <w:iCs w:val="0"/>
              <w:smallCaps w:val="0"/>
              <w:strike w:val="0"/>
              <w:color w:val="000000"/>
              <w:sz w:val="24"/>
              <w:szCs w:val="24"/>
              <w:u w:val="none"/>
              <w:shd w:val="clear" w:fill="auto"/>
              <w:vertAlign w:val="baseline"/>
              <w:rtl w:val="0"/>
            </w:rPr>
            <w:t>Appendix A</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22</w:t>
          </w:r>
          <w:r>
            <w:rPr>
              <w:i w:val="0"/>
              <w:iCs w:val="0"/>
              <w:smallCaps w:val="0"/>
              <w:strike w:val="0"/>
              <w:color w:val="000000"/>
              <w:sz w:val="24"/>
              <w:szCs w:val="24"/>
              <w:u w:val="none"/>
              <w:shd w:val="clear" w:fill="auto"/>
              <w:vertAlign w:val="baseline"/>
              <w:rtl w:val="0"/>
            </w:rPr>
            <w:fldChar w:fldCharType="end"/>
          </w:r>
        </w:p>
        <w:p w14:paraId="0000002C">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"_g16kvll68ghm" \h </w:instrText>
          </w:r>
          <w:r>
            <w:fldChar w:fldCharType="separate"/>
          </w:r>
          <w:r>
            <w:rPr>
              <w:i w:val="0"/>
              <w:iCs w:val="0"/>
              <w:smallCaps w:val="0"/>
              <w:strike w:val="0"/>
              <w:color w:val="000000"/>
              <w:sz w:val="24"/>
              <w:szCs w:val="24"/>
              <w:u w:val="none"/>
              <w:shd w:val="clear" w:fill="auto"/>
              <w:vertAlign w:val="baseline"/>
              <w:rtl w:val="0"/>
            </w:rPr>
            <w:t>Appendix B</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24</w:t>
          </w:r>
          <w:r>
            <w:rPr>
              <w:i w:val="0"/>
              <w:iCs w:val="0"/>
              <w:smallCaps w:val="0"/>
              <w:strike w:val="0"/>
              <w:color w:val="000000"/>
              <w:sz w:val="24"/>
              <w:szCs w:val="24"/>
              <w:u w:val="none"/>
              <w:shd w:val="clear" w:fill="auto"/>
              <w:vertAlign w:val="baseline"/>
              <w:rtl w:val="0"/>
            </w:rPr>
            <w:fldChar w:fldCharType="end"/>
          </w:r>
        </w:p>
        <w:p w14:paraId="0000002D">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"_lscfqlrmqkib" \h </w:instrText>
          </w:r>
          <w:r>
            <w:fldChar w:fldCharType="separate"/>
          </w:r>
          <w:r>
            <w:rPr>
              <w:i w:val="0"/>
              <w:iCs w:val="0"/>
              <w:smallCaps w:val="0"/>
              <w:strike w:val="0"/>
              <w:color w:val="000000"/>
              <w:sz w:val="24"/>
              <w:szCs w:val="24"/>
              <w:u w:val="none"/>
              <w:shd w:val="clear" w:fill="auto"/>
              <w:vertAlign w:val="baseline"/>
              <w:rtl w:val="0"/>
            </w:rPr>
            <w:t>Appendix C</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25</w:t>
          </w:r>
          <w:r>
            <w:rPr>
              <w:i w:val="0"/>
              <w:iCs w:val="0"/>
              <w:smallCaps w:val="0"/>
              <w:strike w:val="0"/>
              <w:color w:val="000000"/>
              <w:sz w:val="24"/>
              <w:szCs w:val="24"/>
              <w:u w:val="none"/>
              <w:shd w:val="clear" w:fill="auto"/>
              <w:vertAlign w:val="baseline"/>
              <w:rtl w:val="0"/>
            </w:rPr>
            <w:fldChar w:fldCharType="end"/>
          </w:r>
        </w:p>
        <w:p w14:paraId="0000002E">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"_n896ay55tspc" \h </w:instrText>
          </w:r>
          <w:r>
            <w:fldChar w:fldCharType="separate"/>
          </w:r>
          <w:r>
            <w:rPr>
              <w:i w:val="0"/>
              <w:iCs w:val="0"/>
              <w:smallCaps w:val="0"/>
              <w:strike w:val="0"/>
              <w:color w:val="000000"/>
              <w:sz w:val="24"/>
              <w:szCs w:val="24"/>
              <w:u w:val="none"/>
              <w:shd w:val="clear" w:fill="auto"/>
              <w:vertAlign w:val="baseline"/>
              <w:rtl w:val="0"/>
            </w:rPr>
            <w:t>Appendix D</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27</w:t>
          </w:r>
          <w:r>
            <w:rPr>
              <w:i w:val="0"/>
              <w:iCs w:val="0"/>
              <w:smallCaps w:val="0"/>
              <w:strike w:val="0"/>
              <w:color w:val="000000"/>
              <w:sz w:val="24"/>
              <w:szCs w:val="24"/>
              <w:u w:val="none"/>
              <w:shd w:val="clear" w:fill="auto"/>
              <w:vertAlign w:val="baseline"/>
              <w:rtl w:val="0"/>
            </w:rPr>
            <w:fldChar w:fldCharType="end"/>
          </w:r>
        </w:p>
        <w:p w14:paraId="0000002F">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"_41d7fm2fd4q3" \h </w:instrText>
          </w:r>
          <w:r>
            <w:fldChar w:fldCharType="separate"/>
          </w:r>
          <w:r>
            <w:rPr>
              <w:i w:val="0"/>
              <w:iCs w:val="0"/>
              <w:smallCaps w:val="0"/>
              <w:strike w:val="0"/>
              <w:color w:val="000000"/>
              <w:sz w:val="24"/>
              <w:szCs w:val="24"/>
              <w:u w:val="none"/>
              <w:shd w:val="clear" w:fill="auto"/>
              <w:vertAlign w:val="baseline"/>
              <w:rtl w:val="0"/>
            </w:rPr>
            <w:t>Appendix E</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31</w:t>
          </w:r>
          <w:r>
            <w:rPr>
              <w:i w:val="0"/>
              <w:iCs w:val="0"/>
              <w:smallCaps w:val="0"/>
              <w:strike w:val="0"/>
              <w:color w:val="000000"/>
              <w:sz w:val="24"/>
              <w:szCs w:val="24"/>
              <w:u w:val="none"/>
              <w:shd w:val="clear" w:fill="auto"/>
              <w:vertAlign w:val="baseline"/>
              <w:rtl w:val="0"/>
            </w:rPr>
            <w:fldChar w:fldCharType="end"/>
          </w:r>
        </w:p>
        <w:p w14:paraId="00000030">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"_571dbsbnnnnz" \h </w:instrText>
          </w:r>
          <w:r>
            <w:fldChar w:fldCharType="separate"/>
          </w:r>
          <w:r>
            <w:rPr>
              <w:i w:val="0"/>
              <w:iCs w:val="0"/>
              <w:smallCaps w:val="0"/>
              <w:strike w:val="0"/>
              <w:color w:val="000000"/>
              <w:sz w:val="24"/>
              <w:szCs w:val="24"/>
              <w:u w:val="none"/>
              <w:shd w:val="clear" w:fill="auto"/>
              <w:vertAlign w:val="baseline"/>
              <w:rtl w:val="0"/>
            </w:rPr>
            <w:t>Appendix F</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33</w:t>
          </w:r>
          <w:r>
            <w:rPr>
              <w:i w:val="0"/>
              <w:iCs w:val="0"/>
              <w:smallCaps w:val="0"/>
              <w:strike w:val="0"/>
              <w:color w:val="000000"/>
              <w:sz w:val="24"/>
              <w:szCs w:val="24"/>
              <w:u w:val="none"/>
              <w:shd w:val="clear" w:fill="auto"/>
              <w:vertAlign w:val="baseline"/>
              <w:rtl w:val="0"/>
            </w:rPr>
            <w:fldChar w:fldCharType="end"/>
          </w:r>
        </w:p>
        <w:p w14:paraId="00000031">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"_hp6cse2vwh2v" \h </w:instrText>
          </w:r>
          <w:r>
            <w:fldChar w:fldCharType="separate"/>
          </w:r>
          <w:r>
            <w:rPr>
              <w:i w:val="0"/>
              <w:iCs w:val="0"/>
              <w:smallCaps w:val="0"/>
              <w:strike w:val="0"/>
              <w:color w:val="000000"/>
              <w:sz w:val="24"/>
              <w:szCs w:val="24"/>
              <w:u w:val="none"/>
              <w:shd w:val="clear" w:fill="auto"/>
              <w:vertAlign w:val="baseline"/>
              <w:rtl w:val="0"/>
            </w:rPr>
            <w:t>Appendix G</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34</w:t>
          </w:r>
          <w:r>
            <w:rPr>
              <w:i w:val="0"/>
              <w:iCs w:val="0"/>
              <w:smallCaps w:val="0"/>
              <w:strike w:val="0"/>
              <w:color w:val="000000"/>
              <w:sz w:val="24"/>
              <w:szCs w:val="24"/>
              <w:u w:val="none"/>
              <w:shd w:val="clear" w:fill="auto"/>
              <w:vertAlign w:val="baseline"/>
              <w:rtl w:val="0"/>
            </w:rPr>
            <w:fldChar w:fldCharType="end"/>
          </w:r>
        </w:p>
        <w:p w14:paraId="00000032">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"_8ysxfw7277qs" \h </w:instrText>
          </w:r>
          <w:r>
            <w:fldChar w:fldCharType="separate"/>
          </w:r>
          <w:r>
            <w:rPr>
              <w:i w:val="0"/>
              <w:iCs w:val="0"/>
              <w:smallCaps w:val="0"/>
              <w:strike w:val="0"/>
              <w:color w:val="000000"/>
              <w:sz w:val="24"/>
              <w:szCs w:val="24"/>
              <w:u w:val="none"/>
              <w:shd w:val="clear" w:fill="auto"/>
              <w:vertAlign w:val="baseline"/>
              <w:rtl w:val="0"/>
            </w:rPr>
            <w:t>Appendix H</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36</w:t>
          </w:r>
          <w:r>
            <w:rPr>
              <w:i w:val="0"/>
              <w:iCs w:val="0"/>
              <w:smallCaps w:val="0"/>
              <w:strike w:val="0"/>
              <w:color w:val="000000"/>
              <w:sz w:val="24"/>
              <w:szCs w:val="24"/>
              <w:u w:val="none"/>
              <w:shd w:val="clear" w:fill="auto"/>
              <w:vertAlign w:val="baseline"/>
              <w:rtl w:val="0"/>
            </w:rPr>
            <w:fldChar w:fldCharType="end"/>
          </w:r>
        </w:p>
        <w:p w14:paraId="00000033">
          <w:pPr>
            <w:widowControl w:val="0"/>
            <w:tabs>
              <w:tab w:val="right" w:leader="dot" w:pos="12000"/>
            </w:tabs>
            <w:spacing w:before="60" w:after="0" w:line="360" w:lineRule="auto"/>
            <w:ind w:left="360" w:firstLine="0"/>
            <w:jc w:val="left"/>
            <w:rPr>
              <w:i w:val="0"/>
              <w:iCs w:val="0"/>
              <w:smallCaps w:val="0"/>
              <w:strike w:val="0"/>
              <w:color w:val="000000"/>
              <w:sz w:val="22"/>
              <w:szCs w:val="22"/>
              <w:u w:val="none"/>
              <w:shd w:val="clear" w:fill="auto"/>
              <w:vertAlign w:val="baseline"/>
            </w:rPr>
          </w:pPr>
          <w:r>
            <w:fldChar w:fldCharType="begin"/>
          </w:r>
          <w:r>
            <w:instrText xml:space="preserve"> HYPERLINK \l "_z2hdea3hs3if" \h </w:instrText>
          </w:r>
          <w:r>
            <w:fldChar w:fldCharType="separate"/>
          </w:r>
          <w:r>
            <w:rPr>
              <w:i w:val="0"/>
              <w:iCs w:val="0"/>
              <w:smallCaps w:val="0"/>
              <w:strike w:val="0"/>
              <w:color w:val="000000"/>
              <w:sz w:val="24"/>
              <w:szCs w:val="24"/>
              <w:u w:val="none"/>
              <w:shd w:val="clear" w:fill="auto"/>
              <w:vertAlign w:val="baseline"/>
              <w:rtl w:val="0"/>
            </w:rPr>
            <w:t>Appendix I</w:t>
          </w:r>
          <w:r>
            <w:rPr>
              <w:i w:val="0"/>
              <w:iCs w:val="0"/>
              <w:smallCaps w:val="0"/>
              <w:strike w:val="0"/>
              <w:color w:val="000000"/>
              <w:sz w:val="24"/>
              <w:szCs w:val="24"/>
              <w:u w:val="none"/>
              <w:shd w:val="clear" w:fill="auto"/>
              <w:vertAlign w:val="baseline"/>
              <w:rtl w:val="0"/>
            </w:rPr>
            <w:tab/>
          </w:r>
          <w:r>
            <w:rPr>
              <w:i w:val="0"/>
              <w:iCs w:val="0"/>
              <w:smallCaps w:val="0"/>
              <w:strike w:val="0"/>
              <w:color w:val="000000"/>
              <w:sz w:val="24"/>
              <w:szCs w:val="24"/>
              <w:u w:val="none"/>
              <w:shd w:val="clear" w:fill="auto"/>
              <w:vertAlign w:val="baseline"/>
              <w:rtl w:val="0"/>
            </w:rPr>
            <w:t>39</w:t>
          </w:r>
          <w:r>
            <w:rPr>
              <w:i w:val="0"/>
              <w:iCs w:val="0"/>
              <w:smallCaps w:val="0"/>
              <w:strike w:val="0"/>
              <w:color w:val="000000"/>
              <w:sz w:val="24"/>
              <w:szCs w:val="24"/>
              <w:u w:val="none"/>
              <w:shd w:val="clear" w:fill="auto"/>
              <w:vertAlign w:val="baseline"/>
              <w:rtl w:val="0"/>
            </w:rPr>
            <w:fldChar w:fldCharType="end"/>
          </w:r>
          <w:r>
            <w:fldChar w:fldCharType="end"/>
          </w:r>
        </w:p>
      </w:sdtContent>
    </w:sdt>
    <w:p w14:paraId="00000034">
      <w:pPr>
        <w:rPr>
          <w:b/>
          <w:bCs/>
        </w:rPr>
      </w:pPr>
      <w:r>
        <w:br w:type="page"/>
      </w:r>
    </w:p>
    <w:p w14:paraId="00000035">
      <w:pPr>
        <w:pStyle w:val="2"/>
      </w:pPr>
      <w:bookmarkStart w:id="0" w:name="_8pmc3s9ndonc" w:colFirst="0" w:colLast="0"/>
      <w:bookmarkEnd w:id="0"/>
      <w:r>
        <w:rPr>
          <w:rtl w:val="0"/>
        </w:rPr>
        <w:t>Introduction</w:t>
      </w:r>
    </w:p>
    <w:p w14:paraId="00000036">
      <w:r>
        <w:rPr>
          <w:rtl w:val="0"/>
        </w:rPr>
        <w:t>This report provides a critical analysis of a firm's financial status and strategic position. This has been analyzed in detail through the financial statements, ratio analysis, and a cash flow assessment. Cyclical problems have not been identified, but structural weaknesses have been found. Trends of liquidity, profitability, efficiency, and gearing have been studied over time. Predictive models of corporate failure and working capital analysis have been used to evaluate financial risk, sustainability and strategic financial restructuring requirements.</w:t>
      </w:r>
    </w:p>
    <w:p w14:paraId="00000037">
      <w:pPr>
        <w:pStyle w:val="2"/>
      </w:pPr>
      <w:bookmarkStart w:id="1" w:name="_9jc43l5wqo6t" w:colFirst="0" w:colLast="0"/>
      <w:bookmarkEnd w:id="1"/>
      <w:r>
        <w:rPr>
          <w:rtl w:val="0"/>
        </w:rPr>
        <w:t>1: Financial Health Check</w:t>
      </w:r>
    </w:p>
    <w:p w14:paraId="00000038">
      <w:pPr>
        <w:pStyle w:val="3"/>
      </w:pPr>
      <w:bookmarkStart w:id="2" w:name="_2subv2z1bfvy" w:colFirst="0" w:colLast="0"/>
      <w:bookmarkEnd w:id="2"/>
      <w:r>
        <w:rPr>
          <w:rtl w:val="0"/>
        </w:rPr>
        <w:t>Analysis of the firm’s financial statements</w:t>
      </w:r>
    </w:p>
    <w:p w14:paraId="00000039">
      <w:r>
        <w:rPr>
          <w:rtl w:val="0"/>
        </w:rPr>
        <w:t>A combined analysis of financial statements shows that the company is experiencing high levels of structural wear and tear, not a temporary cyclical loss. Although the volumes of operations are large, the scale of operations is exhibiting a constant erosion of profitability, which will result in significant net losses in 2023 and 2024. The gross profit margins remain relatively stable at an aggregate of 28-29% over most years, although this is not reflective of. It shows that the company still has a certain amount of product-level pricing power, but it is unsuccessful in controlling the operating costs, covering restructuring costs and expenses, and dealing with impairments. The negative net loss in 2023 and the subsequent net losses in 2024 indicate that lobbying operations, instead of pressure on revenues, are the main contributors to underperformance.</w:t>
      </w:r>
    </w:p>
    <w:p w14:paraId="0000003A">
      <w:r>
        <w:rPr>
          <w:rtl w:val="0"/>
        </w:rPr>
        <w:t>This is strengthened in the balance sheet. This is because total assets have sharply declined since 2022 and are reflective of the disposal and impairment of long-lived and intangible assets. Although this shrinkage has been experienced, liquidity has been weakened. The current ratios are more than 1.5, and it is becoming evident due to increasing inventories and receivables, instead of cash. It is in the year 2022 when the acid test ratio is below unity itself, and only after that, it returns slightly and reaches 0.17 in 2024, whereas the cash ratio keeps decreasing to 0.17. It means that the short-term liquidity is limited and increases reliance on working capital realisation, and short-term credit is increasing.</w:t>
      </w:r>
    </w:p>
    <w:p w14:paraId="0000003B">
      <w:r>
        <w:rPr>
          <w:rtl w:val="0"/>
        </w:rPr>
        <w:t>Trends in capital structure are also worrying. The equity of shareholders has decreased significantly because of losses and acquisitions of treasury shares, and liability has taken over (</w:t>
      </w:r>
      <w:r>
        <w:rPr>
          <w:highlight w:val="white"/>
          <w:rtl w:val="0"/>
        </w:rPr>
        <w:t>Zahariev, 2024</w:t>
      </w:r>
      <w:r>
        <w:rPr>
          <w:rtl w:val="0"/>
        </w:rPr>
        <w:t>). Gearing has not contributed to growth and better returns, but rather it has increased the financial risk in a time of falling earnings.</w:t>
      </w:r>
    </w:p>
    <w:p w14:paraId="0000003C">
      <w:pPr>
        <w:rPr>
          <w:b/>
          <w:bCs/>
        </w:rPr>
      </w:pPr>
      <w:r>
        <w:rPr>
          <w:rtl w:val="0"/>
        </w:rPr>
        <w:t>The cash flow analysis proves the weaknesses within the firm. The operating cash flows have become weak, and their coverage of current liabilities has become sharp. The free cash flow is positive in certain years, although that indicates less investment as opposed to a healthy cash flow. All in all, the statements portray a company with deteriorating earnings quality, a weakening liquidity, an increasing leverage and a decreasing asset productivity, which means that without an aggressive structural change, financial strength will only decrease.</w:t>
      </w:r>
    </w:p>
    <w:p w14:paraId="0000003D">
      <w:pPr>
        <w:pStyle w:val="3"/>
      </w:pPr>
      <w:bookmarkStart w:id="3" w:name="_8fzmtoouh0c3" w:colFirst="0" w:colLast="0"/>
      <w:bookmarkEnd w:id="3"/>
      <w:r>
        <w:rPr>
          <w:rtl w:val="0"/>
        </w:rPr>
        <w:t>Performing a full ratio analysis (profitability, liquidity, efficiency, gearing, investment, cash flow). (Identifying trends, strengths and threats)</w:t>
      </w:r>
    </w:p>
    <w:p w14:paraId="0000003E">
      <w:pPr>
        <w:pStyle w:val="3"/>
      </w:pPr>
      <w:bookmarkStart w:id="4" w:name="_25vn0fj6t5fq" w:colFirst="0" w:colLast="0"/>
      <w:bookmarkEnd w:id="4"/>
      <w:r>
        <w:rPr>
          <w:rtl w:val="0"/>
        </w:rPr>
        <w:t>Interpreting liquidity of the company (see Appendix A)</w:t>
      </w:r>
    </w:p>
    <w:p w14:paraId="0000003F">
      <w:r>
        <w:rPr>
          <w:rtl w:val="0"/>
        </w:rPr>
        <w:t>The liquidity stance indicates slow deterioration in the short-term financial health of the company through the timeframe 2020-2024, though the headline ratios recorded in the company are above the minimum level of solvency. The current ratio has been showing a downward trend in quality of current assets as the current ratio albeit always remains above 1.5. After rising to 1.82 in 2020, the ratio is decreasing, indicating that there has been a contraction in the working capital because of declining sales and compressed balance sheets. (</w:t>
      </w:r>
      <w:r>
        <w:rPr>
          <w:color w:val="222222"/>
          <w:highlight w:val="white"/>
          <w:rtl w:val="0"/>
        </w:rPr>
        <w:t>Rahman, 2023</w:t>
      </w:r>
      <w:r>
        <w:rPr>
          <w:rtl w:val="0"/>
        </w:rPr>
        <w:t xml:space="preserve">). This is also reflected in the income statement. </w:t>
      </w:r>
    </w:p>
    <w:p w14:paraId="00000040">
      <w:r>
        <w:rPr>
          <w:rtl w:val="0"/>
        </w:rPr>
        <w:t>Worst of all is the acid test ratio that gets materially worse after 2021, with the ratio decreasing to levels below 1.0 in 2022, which means that short-term obligations are not met without depending on the liquidation of the inventory (</w:t>
      </w:r>
      <w:r>
        <w:rPr>
          <w:color w:val="222222"/>
          <w:highlight w:val="white"/>
          <w:rtl w:val="0"/>
        </w:rPr>
        <w:t>Wijayanti, 2022</w:t>
      </w:r>
      <w:r>
        <w:rPr>
          <w:rtl w:val="0"/>
        </w:rPr>
        <w:t>). This weakness is consistent with the high accumulation of inventories of 2021 and 2022 and implies inefficient inventory management with the declining demand, tying up the liquidity in less flexible assets. The recovery in 2023 and 2024 is not complete, yet despite this, the ratio is still marginally above unity, which does not leave much room to counter operational shocks.</w:t>
      </w:r>
    </w:p>
    <w:p w14:paraId="00000041">
      <w:r>
        <w:rPr>
          <w:rtl w:val="0"/>
        </w:rPr>
        <w:t>The core weakness of the company is presented by the cash ratio. Current liabilities coverage reduces to 0.32 in 2020 and only to 0.17 in 2024, which indicates continued cash burn, operating loss and overreliance on revolving credit facilities (</w:t>
      </w:r>
      <w:r>
        <w:rPr>
          <w:color w:val="222222"/>
          <w:highlight w:val="white"/>
          <w:rtl w:val="0"/>
        </w:rPr>
        <w:t>Litvinenko, 2024</w:t>
      </w:r>
      <w:r>
        <w:rPr>
          <w:rtl w:val="0"/>
        </w:rPr>
        <w:t>). Although the cost control and the decrease in spending on capital investment were carried out, the operating cash flows have been getting weak, undermining their immediate liquidity. Overall, there is no imminent degree of insolvency risk, but the liquidity of the company is getting weaker based on the poor cash flow, reliance on inventory, and weak short-term liquidity.</w:t>
      </w:r>
    </w:p>
    <w:p w14:paraId="00000042">
      <w:pPr>
        <w:pStyle w:val="3"/>
      </w:pPr>
      <w:bookmarkStart w:id="5" w:name="_sklh25agth7v" w:colFirst="0" w:colLast="0"/>
      <w:bookmarkEnd w:id="5"/>
      <w:r>
        <w:br w:type="page"/>
      </w:r>
    </w:p>
    <w:p w14:paraId="00000043">
      <w:pPr>
        <w:pStyle w:val="3"/>
      </w:pPr>
      <w:bookmarkStart w:id="6" w:name="_ujzcapayw4e9" w:colFirst="0" w:colLast="0"/>
      <w:bookmarkEnd w:id="6"/>
      <w:r>
        <w:rPr>
          <w:rtl w:val="0"/>
        </w:rPr>
        <w:t>Interpreting the profitability of the company (See Appendix B)</w:t>
      </w:r>
    </w:p>
    <w:p w14:paraId="00000044">
      <w:r>
        <w:rPr>
          <w:rtl w:val="0"/>
        </w:rPr>
        <w:t xml:space="preserve">The profitability profile indicates there was an erosion of earnings quality in the structural form, although the gross margins were relatively stable throughout most of the time. The gross profit margin, with 2023 as the only exception, is near 28-29, which speaks in favour of the fact that the central pricing strength and efficiency of production have not significantly weakened in the company. Storm (2023) indicates that the competitive forces, as well as the input costs, though volatile, have been controlled largely at the gross level. The so-called stability is, however, deceptive since it is very weak in terms of its operations at a lower level than the gross line. </w:t>
      </w:r>
    </w:p>
    <w:p w14:paraId="00000045">
      <w:r>
        <w:rPr>
          <w:rtl w:val="0"/>
        </w:rPr>
        <w:t>The deterioration of the net profit margin, which was 6.3 in 2020 and plunged into major losses in 2023 and 2024, is an indication of the failure to convert gross profit into sustainable earnings. The economic value generated by the sales has been consumed by the elevated operating costs, the impairment charges, as well as the restructuring expenses, which are associated with a lack of cost discipline and economies of scale, and ended up being underutilised as the revenues contracted.</w:t>
      </w:r>
    </w:p>
    <w:p w14:paraId="00000046">
      <w:r>
        <w:rPr>
          <w:rtl w:val="0"/>
        </w:rPr>
        <w:t>The significant drop in 2023 is especially indicative, with both decreased volumes and the extraordinary charges, whereas the persistence of the negative margin in 2024 implies that the remedial actions have not succeeded so far in restoring any profitability levels. All in all, the issue with the firm is not its products or gross economics, but the bulk of the cost structures and poor operating leverage, making the profitability highly susceptible to times of revenue shrinkage.</w:t>
      </w:r>
    </w:p>
    <w:p w14:paraId="00000047">
      <w:pPr>
        <w:pStyle w:val="3"/>
      </w:pPr>
      <w:bookmarkStart w:id="7" w:name="_ebwf6uqxwmyk" w:colFirst="0" w:colLast="0"/>
      <w:bookmarkEnd w:id="7"/>
      <w:r>
        <w:rPr>
          <w:rtl w:val="0"/>
        </w:rPr>
        <w:t>Interpreting efficiency ratios (see Appendix C)</w:t>
      </w:r>
    </w:p>
    <w:p w14:paraId="00000048">
      <w:r>
        <w:rPr>
          <w:rtl w:val="0"/>
        </w:rPr>
        <w:t>The efficiency and return measures contribute to the image of a business which cannot accomplish transferring scale to economic value. The inventory turnover is worse than it was at all other times in 2020 because after 2020, it goes down to -2.9 times, which shows excess stock rather than reflecting the slow sales. This is in support of the liquidity analysis, where inventories are progressively supporting short-term solvency, and are indicative of working capital strain and poor demand forecasting. The small improvement in 2024 is rather a signal of inventory write-downs and volume reduction, than an actual improvement in operations.</w:t>
      </w:r>
    </w:p>
    <w:p w14:paraId="00000049">
      <w:r>
        <w:rPr>
          <w:rtl w:val="0"/>
        </w:rPr>
        <w:t>This is because the asset turnover ratio becomes weak in 2023, that is, it is less than 1.0, meaning that the asset base was not bringing in enough revenues (</w:t>
      </w:r>
      <w:r>
        <w:rPr>
          <w:color w:val="222222"/>
          <w:highlight w:val="white"/>
          <w:rtl w:val="0"/>
        </w:rPr>
        <w:t xml:space="preserve">Chairunisa </w:t>
      </w:r>
      <w:r>
        <w:rPr>
          <w:i/>
          <w:iCs/>
          <w:color w:val="222222"/>
          <w:highlight w:val="white"/>
          <w:rtl w:val="0"/>
        </w:rPr>
        <w:t>et al.</w:t>
      </w:r>
      <w:r>
        <w:rPr>
          <w:color w:val="222222"/>
          <w:highlight w:val="white"/>
          <w:rtl w:val="0"/>
        </w:rPr>
        <w:t xml:space="preserve"> 2023</w:t>
      </w:r>
      <w:r>
        <w:rPr>
          <w:rtl w:val="0"/>
        </w:rPr>
        <w:t>). However, 2024 is partially recovering, but this recovery is mostly mechanical, due to asset disposals and impairment as opposed to improved commercial performance. It seems to be over-invested according to its revenue potential, especially in the past years, when the demand slowed down.</w:t>
      </w:r>
    </w:p>
    <w:p w14:paraId="0000004A">
      <w:r>
        <w:rPr>
          <w:rtl w:val="0"/>
        </w:rPr>
        <w:t>This unproductiveness ends up creating negative ROA in 2023 and 2024, with asset returns becoming excessively negative regardless of a declining balance sheet. It is significant that it contrasts with 2020, at 7.6% ROA, which is a fundamental degradation in the productivity of the assets. The fundamental weakness is not the intensity of assets as such, but the lack of good operating leverage and capital misposition, which results in returns that are very vulnerable to declining revenues.</w:t>
      </w:r>
    </w:p>
    <w:p w14:paraId="0000004B">
      <w:pPr>
        <w:pStyle w:val="3"/>
      </w:pPr>
      <w:bookmarkStart w:id="8" w:name="_qxxxwq1p8e2h" w:colFirst="0" w:colLast="0"/>
      <w:bookmarkEnd w:id="8"/>
      <w:r>
        <w:rPr>
          <w:rtl w:val="0"/>
        </w:rPr>
        <w:t>Interpreting Gearing Ratios (See Appendix D)</w:t>
      </w:r>
    </w:p>
    <w:p w14:paraId="0000004C">
      <w:r>
        <w:rPr>
          <w:rtl w:val="0"/>
        </w:rPr>
        <w:t xml:space="preserve">The </w:t>
      </w:r>
      <w:r>
        <w:rPr>
          <w:b/>
          <w:bCs/>
          <w:rtl w:val="0"/>
        </w:rPr>
        <w:t>gearing ratios</w:t>
      </w:r>
      <w:r>
        <w:rPr>
          <w:rtl w:val="0"/>
        </w:rPr>
        <w:t xml:space="preserve"> indicate a marked and persistent deterioration in the company’s capital structure. The increase in debt to equity (0.63) in 2020 to 1.11 in 2024 indicates the shift to the creditor-dependent pattern of operation rather than the equity-funded one (</w:t>
      </w:r>
      <w:r>
        <w:rPr>
          <w:color w:val="222222"/>
          <w:highlight w:val="white"/>
          <w:rtl w:val="0"/>
        </w:rPr>
        <w:t xml:space="preserve">Mareta </w:t>
      </w:r>
      <w:r>
        <w:rPr>
          <w:i/>
          <w:iCs/>
          <w:color w:val="222222"/>
          <w:highlight w:val="white"/>
          <w:rtl w:val="0"/>
        </w:rPr>
        <w:t xml:space="preserve">et al. </w:t>
      </w:r>
      <w:r>
        <w:rPr>
          <w:color w:val="222222"/>
          <w:highlight w:val="white"/>
          <w:rtl w:val="0"/>
        </w:rPr>
        <w:t>2022</w:t>
      </w:r>
      <w:r>
        <w:rPr>
          <w:rtl w:val="0"/>
        </w:rPr>
        <w:t>). This is due to the mechanistic result of the erosion of equity due to sustained losses and share buybacks, coupled with ongoing dependence on short-term borrowing. This trend is supported by the debt-to-assets ratio, which will increase to above 50% in 2024. The balance sheet is now structurally more leveraged at the point that earnings capacity is lessening, significantly elevating financial risk as well as restricting strategic liberty.</w:t>
      </w:r>
    </w:p>
    <w:p w14:paraId="0000004D">
      <w:pPr>
        <w:pStyle w:val="3"/>
      </w:pPr>
      <w:bookmarkStart w:id="9" w:name="_mj2jqoqdc9zs" w:colFirst="0" w:colLast="0"/>
      <w:bookmarkEnd w:id="9"/>
      <w:r>
        <w:rPr>
          <w:rtl w:val="0"/>
        </w:rPr>
        <w:t>Interpreting Investment Ratios (See Appendix D))</w:t>
      </w:r>
    </w:p>
    <w:p w14:paraId="0000004E">
      <w:r>
        <w:rPr>
          <w:rtl w:val="0"/>
        </w:rPr>
        <w:t xml:space="preserve">The </w:t>
      </w:r>
      <w:r>
        <w:rPr>
          <w:b/>
          <w:bCs/>
          <w:rtl w:val="0"/>
        </w:rPr>
        <w:t>investment ratios point to an even bleaker picture</w:t>
      </w:r>
      <w:r>
        <w:rPr>
          <w:rtl w:val="0"/>
        </w:rPr>
        <w:t>. The return on equity falls sharply to 12.3% in 2020 level with 2023 and 2024 registering deep negative values. These losses are not seasonal variations but manifestations of the destruction of value; that is, shareholder capital is no longer generating an economic yield. The negative ROE in 2023 can also be attributed to operating underperformance as well as the large impairment charges, and the inability to recover positive returns in 2024 implies that restructuring has not been effective in dealing with underlying inefficiencies. This decrease is reflected in earnings per share, and two years of large losses evoke no confidence in the shareholders and undermine management projections.</w:t>
      </w:r>
    </w:p>
    <w:p w14:paraId="0000004F">
      <w:pPr>
        <w:pStyle w:val="3"/>
      </w:pPr>
      <w:bookmarkStart w:id="10" w:name="_qpputfug3w8" w:colFirst="0" w:colLast="0"/>
      <w:bookmarkEnd w:id="10"/>
      <w:r>
        <w:br w:type="page"/>
      </w:r>
    </w:p>
    <w:p w14:paraId="00000050">
      <w:pPr>
        <w:pStyle w:val="3"/>
      </w:pPr>
      <w:bookmarkStart w:id="11" w:name="_ufpoohz5llg" w:colFirst="0" w:colLast="0"/>
      <w:bookmarkEnd w:id="11"/>
      <w:r>
        <w:rPr>
          <w:rtl w:val="0"/>
        </w:rPr>
        <w:t>Interpreting cash flow ratios (See Appendix D)</w:t>
      </w:r>
    </w:p>
    <w:p w14:paraId="00000051">
      <w:r>
        <w:rPr>
          <w:rtl w:val="0"/>
        </w:rPr>
        <w:t>The most basic weakness of the company is revealed in the cash flow ratios. The current liabilities cash flow coverage has become significantly lower than it was in 2020, as the latest figure of 0.09 (2024) compared to 0.41 in 2020 shows that daily obligations have been swiftly fulfilled by outward financing rather than from own cash. Even though the free cash flow remains favourable during most years, its drastic decline indicates slowed operating inflows and not budgetary capital management (</w:t>
      </w:r>
      <w:r>
        <w:rPr>
          <w:highlight w:val="white"/>
          <w:rtl w:val="0"/>
        </w:rPr>
        <w:t>Nasimiyu, 2023)</w:t>
      </w:r>
      <w:r>
        <w:rPr>
          <w:rtl w:val="0"/>
        </w:rPr>
        <w:t>. These ratios, when combined, indicate a financially strained business under cash strain with a structurally distorted business that is becoming less resilient and has limited ability to withstand further operational shocks.</w:t>
      </w:r>
    </w:p>
    <w:p w14:paraId="00000052">
      <w:pPr>
        <w:pStyle w:val="3"/>
      </w:pPr>
      <w:bookmarkStart w:id="12" w:name="_i1ak17owozpe" w:colFirst="0" w:colLast="0"/>
      <w:bookmarkEnd w:id="12"/>
      <w:r>
        <w:rPr>
          <w:rtl w:val="0"/>
        </w:rPr>
        <w:t>Use corporate failure prediction models (e.g., Altman Z-Score) to assess default risks (See Appendix E)</w:t>
      </w:r>
    </w:p>
    <w:p w14:paraId="00000053">
      <w:r>
        <w:rPr>
          <w:rtl w:val="0"/>
        </w:rPr>
        <w:t>Interpretation of the Z-Score (Critical)</w:t>
      </w:r>
    </w:p>
    <w:p w14:paraId="00000054">
      <w:r>
        <w:rPr>
          <w:rtl w:val="0"/>
        </w:rPr>
        <w:t>Under Altman’s original thresholds:</w:t>
      </w:r>
    </w:p>
    <w:p w14:paraId="00000055">
      <w:pPr>
        <w:numPr>
          <w:ilvl w:val="0"/>
          <w:numId w:val="1"/>
        </w:numPr>
        <w:ind w:left="720" w:hanging="360"/>
        <w:rPr>
          <w:rFonts w:ascii="Times New Roman" w:hAnsi="Times New Roman" w:eastAsia="Times New Roman" w:cs="Times New Roman"/>
        </w:rPr>
      </w:pPr>
      <w:r>
        <w:rPr>
          <w:rFonts w:ascii="Cardo" w:hAnsi="Cardo" w:eastAsia="Cardo" w:cs="Cardo"/>
          <w:rtl w:val="0"/>
        </w:rPr>
        <w:t>Z &gt; 2.99 → Safe zone</w:t>
      </w:r>
    </w:p>
    <w:p w14:paraId="00000056">
      <w:pPr>
        <w:numPr>
          <w:ilvl w:val="0"/>
          <w:numId w:val="1"/>
        </w:numPr>
        <w:ind w:left="720" w:hanging="360"/>
        <w:rPr>
          <w:rFonts w:ascii="Times New Roman" w:hAnsi="Times New Roman" w:eastAsia="Times New Roman" w:cs="Times New Roman"/>
        </w:rPr>
      </w:pPr>
      <w:r>
        <w:rPr>
          <w:rFonts w:ascii="Cardo" w:hAnsi="Cardo" w:eastAsia="Cardo" w:cs="Cardo"/>
          <w:rtl w:val="0"/>
        </w:rPr>
        <w:t>1.81 &lt; Z &lt; 2.99 → Grey zone</w:t>
      </w:r>
    </w:p>
    <w:p w14:paraId="00000057">
      <w:pPr>
        <w:numPr>
          <w:ilvl w:val="0"/>
          <w:numId w:val="1"/>
        </w:numPr>
        <w:ind w:left="720" w:hanging="360"/>
        <w:rPr>
          <w:rFonts w:ascii="Times New Roman" w:hAnsi="Times New Roman" w:eastAsia="Times New Roman" w:cs="Times New Roman"/>
        </w:rPr>
      </w:pPr>
      <w:r>
        <w:rPr>
          <w:rFonts w:ascii="Cardo" w:hAnsi="Cardo" w:eastAsia="Cardo" w:cs="Cardo"/>
          <w:rtl w:val="0"/>
        </w:rPr>
        <w:t>Z &lt; 1.81 → Distress zone</w:t>
      </w:r>
    </w:p>
    <w:p w14:paraId="00000058">
      <w:pPr>
        <w:ind w:left="0" w:firstLine="0"/>
      </w:pPr>
      <w:r>
        <w:rPr>
          <w:rtl w:val="0"/>
        </w:rPr>
        <w:t xml:space="preserve">(Source: </w:t>
      </w:r>
      <w:r>
        <w:rPr>
          <w:color w:val="222222"/>
          <w:highlight w:val="white"/>
          <w:rtl w:val="0"/>
        </w:rPr>
        <w:t>Dolinšek and Kovač, 2024)</w:t>
      </w:r>
    </w:p>
    <w:p w14:paraId="00000059">
      <w:r>
        <w:rPr>
          <w:rtl w:val="0"/>
        </w:rPr>
        <w:t>The company is at the 2.82 position, which is in the top grey area, but slightly below the safe level.</w:t>
      </w:r>
    </w:p>
    <w:p w14:paraId="0000005A">
      <w:r>
        <w:rPr>
          <w:rtl w:val="0"/>
        </w:rPr>
        <w:t>This stand is weak as opposed to reassuring. Balance-sheet strength provides the artificial support of the score rather than earnings performance:</w:t>
      </w:r>
    </w:p>
    <w:p w14:paraId="0000005B">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Times New Roman" w:hAnsi="Times New Roman" w:eastAsia="Times New Roman" w:cs="Times New Roman"/>
          <w:i w:val="0"/>
          <w:iCs w:val="0"/>
          <w:smallCaps w:val="0"/>
          <w:strike w:val="0"/>
          <w:sz w:val="24"/>
          <w:szCs w:val="24"/>
          <w:shd w:val="clear" w:fill="auto"/>
          <w:vertAlign w:val="baseline"/>
        </w:rPr>
      </w:pPr>
      <w:r>
        <w:rPr>
          <w:i w:val="0"/>
          <w:iCs w:val="0"/>
          <w:smallCaps w:val="0"/>
          <w:strike w:val="0"/>
          <w:sz w:val="24"/>
          <w:szCs w:val="24"/>
          <w:u w:val="none"/>
          <w:shd w:val="clear" w:fill="auto"/>
          <w:vertAlign w:val="baseline"/>
          <w:rtl w:val="0"/>
        </w:rPr>
        <w:t>B (retained earnings/assets) is high, which indicates the past performance of the company in terms of profitability and not as of now.</w:t>
      </w:r>
    </w:p>
    <w:p w14:paraId="0000005C">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Times New Roman" w:hAnsi="Times New Roman" w:eastAsia="Times New Roman" w:cs="Times New Roman"/>
          <w:i w:val="0"/>
          <w:iCs w:val="0"/>
          <w:smallCaps w:val="0"/>
          <w:strike w:val="0"/>
          <w:sz w:val="24"/>
          <w:szCs w:val="24"/>
          <w:shd w:val="clear" w:fill="auto"/>
          <w:vertAlign w:val="baseline"/>
        </w:rPr>
      </w:pPr>
      <w:r>
        <w:rPr>
          <w:i w:val="0"/>
          <w:iCs w:val="0"/>
          <w:smallCaps w:val="0"/>
          <w:strike w:val="0"/>
          <w:sz w:val="24"/>
          <w:szCs w:val="24"/>
          <w:u w:val="none"/>
          <w:shd w:val="clear" w:fill="auto"/>
          <w:vertAlign w:val="baseline"/>
          <w:rtl w:val="0"/>
        </w:rPr>
        <w:t>E (sales/assets) is a healthy trend, and it means that the firm continues to rake in a lot of revenues through its asset base.</w:t>
      </w:r>
    </w:p>
    <w:p w14:paraId="0000005D">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720" w:right="0" w:hanging="360"/>
        <w:jc w:val="both"/>
        <w:rPr>
          <w:rFonts w:ascii="Times New Roman" w:hAnsi="Times New Roman" w:eastAsia="Times New Roman" w:cs="Times New Roman"/>
          <w:i w:val="0"/>
          <w:iCs w:val="0"/>
          <w:smallCaps w:val="0"/>
          <w:strike w:val="0"/>
          <w:sz w:val="24"/>
          <w:szCs w:val="24"/>
          <w:shd w:val="clear" w:fill="auto"/>
          <w:vertAlign w:val="baseline"/>
        </w:rPr>
      </w:pPr>
      <w:r>
        <w:rPr>
          <w:i w:val="0"/>
          <w:iCs w:val="0"/>
          <w:smallCaps w:val="0"/>
          <w:strike w:val="0"/>
          <w:sz w:val="24"/>
          <w:szCs w:val="24"/>
          <w:u w:val="none"/>
          <w:shd w:val="clear" w:fill="auto"/>
          <w:vertAlign w:val="baseline"/>
          <w:rtl w:val="0"/>
        </w:rPr>
        <w:t>Nevertheless, C (EBIT / assets) is a negative value, which is a major warning sign. This is the strongest predictor of distress in the model by Altman. Negative operating earnings have a significant impact on undermining the forward solvency prognosis of the firm.</w:t>
      </w:r>
    </w:p>
    <w:p w14:paraId="0000005E">
      <w:pPr>
        <w:keepNext w:val="0"/>
        <w:keepLines w:val="0"/>
        <w:pageBreakBefore w:val="0"/>
        <w:widowControl/>
        <w:numPr>
          <w:ilvl w:val="0"/>
          <w:numId w:val="2"/>
        </w:numPr>
        <w:pBdr>
          <w:top w:val="none" w:color="auto" w:sz="0" w:space="0"/>
          <w:left w:val="none" w:color="auto" w:sz="0" w:space="0"/>
          <w:bottom w:val="none" w:color="auto" w:sz="0" w:space="0"/>
          <w:right w:val="none" w:color="auto" w:sz="0" w:space="0"/>
          <w:between w:val="none" w:color="auto" w:sz="0" w:space="0"/>
        </w:pBdr>
        <w:shd w:val="clear" w:fill="auto"/>
        <w:spacing w:before="0" w:after="160" w:line="360" w:lineRule="auto"/>
        <w:ind w:left="720" w:right="0" w:hanging="360"/>
        <w:jc w:val="both"/>
        <w:rPr>
          <w:rFonts w:ascii="Times New Roman" w:hAnsi="Times New Roman" w:eastAsia="Times New Roman" w:cs="Times New Roman"/>
          <w:i w:val="0"/>
          <w:iCs w:val="0"/>
          <w:smallCaps w:val="0"/>
          <w:strike w:val="0"/>
          <w:sz w:val="24"/>
          <w:szCs w:val="24"/>
          <w:shd w:val="clear" w:fill="auto"/>
          <w:vertAlign w:val="baseline"/>
        </w:rPr>
      </w:pPr>
      <w:r>
        <w:rPr>
          <w:i w:val="0"/>
          <w:iCs w:val="0"/>
          <w:smallCaps w:val="0"/>
          <w:strike w:val="0"/>
          <w:sz w:val="24"/>
          <w:szCs w:val="24"/>
          <w:u w:val="none"/>
          <w:shd w:val="clear" w:fill="auto"/>
          <w:vertAlign w:val="baseline"/>
          <w:rtl w:val="0"/>
        </w:rPr>
        <w:t>D (market value of equity/liabilities) has a value lower than 1, which implies that the market is already taking financial risk into account.</w:t>
      </w:r>
    </w:p>
    <w:p w14:paraId="0000005F">
      <w:r>
        <w:rPr>
          <w:rtl w:val="0"/>
        </w:rPr>
        <w:t>In a word, the Z-score is supported by old-fashioned strength, as opposed to new operating health.</w:t>
      </w:r>
    </w:p>
    <w:p w14:paraId="00000060">
      <w:r>
        <w:rPr>
          <w:rtl w:val="0"/>
        </w:rPr>
        <w:t>Without the continued improvement of positive EBIT, the Z-score will tend to enter the distress zone within 12-24 months. The persistence of operating losses, decreasing cash ratios, and increasing leverage will reduce retained earnings and market equity value-will squeeze B, C and D.</w:t>
      </w:r>
    </w:p>
    <w:p w14:paraId="00000061">
      <w:r>
        <w:rPr>
          <w:rtl w:val="0"/>
        </w:rPr>
        <w:t>In case EBIT decreases further, Z &lt; 1.8 would be a plausible value, which would imply that the risk of bankruptcy is materially higher.</w:t>
      </w:r>
    </w:p>
    <w:p w14:paraId="00000062">
      <w:r>
        <w:rPr>
          <w:rtl w:val="0"/>
        </w:rPr>
        <w:t>On the other hand, even a small recovery in operating income would have a disproportionate positive impact on the score. The future of the firm is thus binary, in that it will be either operational restructuring that will regain profitability or balance-sheet strength that will run out.</w:t>
      </w:r>
    </w:p>
    <w:p w14:paraId="00000063">
      <w:pPr>
        <w:pStyle w:val="2"/>
      </w:pPr>
      <w:bookmarkStart w:id="13" w:name="_z1cbiot4rht2" w:colFirst="0" w:colLast="0"/>
      <w:bookmarkEnd w:id="13"/>
      <w:r>
        <w:rPr>
          <w:rtl w:val="0"/>
        </w:rPr>
        <w:t>2: Working Capital Management Analysis</w:t>
      </w:r>
    </w:p>
    <w:p w14:paraId="00000064">
      <w:pPr>
        <w:pStyle w:val="3"/>
      </w:pPr>
      <w:bookmarkStart w:id="14" w:name="_eavy6svh85eh" w:colFirst="0" w:colLast="0"/>
      <w:bookmarkEnd w:id="14"/>
      <w:r>
        <w:rPr>
          <w:rtl w:val="0"/>
        </w:rPr>
        <w:t>Assessing cash conversion cycle (see Appendix F)</w:t>
      </w:r>
    </w:p>
    <w:p w14:paraId="00000065">
      <w:r>
        <w:rPr>
          <w:rtl w:val="0"/>
        </w:rPr>
        <w:t>The operating cycle has increased significantly over the period, growing between 177 days in 2020 and a high of 227 days in 2023 before turning slightly. The cash conversion cycle is vital for assessing how a company efficiently generates investments in inventory and receivables into cash, directly affecting liquidity and working capital management (</w:t>
      </w:r>
      <w:r>
        <w:rPr>
          <w:color w:val="222222"/>
          <w:highlight w:val="white"/>
          <w:rtl w:val="0"/>
        </w:rPr>
        <w:t>Ruguru, 2023</w:t>
      </w:r>
      <w:r>
        <w:rPr>
          <w:rtl w:val="0"/>
        </w:rPr>
        <w:t>).</w:t>
      </w:r>
    </w:p>
    <w:p w14:paraId="00000066">
      <w:r>
        <w:rPr>
          <w:rtl w:val="0"/>
        </w:rPr>
        <w:t>The causes of this decline are very much related to the increasing collection period of receipts and extended inventory holding, but not the increase in sales. Days' sales outstanding is rapidly growing after 2022, indicating poorer customer quality, less stringent credit conditions or slow collection in a time of plummeting revenues. At the same time, the inventory days exploded in the 2022-2023 period, which is in line with the excess stock accumulated on the balance sheet and indicates that the production and demand forecasting is out of line.</w:t>
      </w:r>
    </w:p>
    <w:p w14:paraId="00000067">
      <w:r>
        <w:rPr>
          <w:rtl w:val="0"/>
        </w:rPr>
        <w:t>This weakness is increased by the cash conversion cycle. In 2020, it stands at 108 days, and in 2023, this figure has risen to 154 days, implying five months of operations before it can be recouped. Albeit there is some improvement in 2024, the cycle is still quite materially longer than before the decline. The 2024 relief sequence can be linked to a large proportion of long pay terms to suppliers rather than efficiency in operations. This dependency on back-off balance sheets is a protective liquidity strategy which will not last long.</w:t>
      </w:r>
    </w:p>
    <w:p w14:paraId="00000068">
      <w:r>
        <w:rPr>
          <w:rtl w:val="0"/>
        </w:rPr>
        <w:t>Generally, the working capital structure of the firm has become worse. The slow-moving inventories and delayed receivables absorb cash at a time when the operating cash flows and the profitability are already being strained, further supporting the increasing liquidity weakness of the firm.</w:t>
      </w:r>
    </w:p>
    <w:p w14:paraId="00000069">
      <w:pPr>
        <w:pStyle w:val="3"/>
      </w:pPr>
      <w:bookmarkStart w:id="15" w:name="_zt0hgu71m4a" w:colFirst="0" w:colLast="0"/>
      <w:bookmarkEnd w:id="15"/>
      <w:r>
        <w:rPr>
          <w:rtl w:val="0"/>
        </w:rPr>
        <w:t>Recommending strategies for improving liquidity</w:t>
      </w:r>
    </w:p>
    <w:p w14:paraId="0000006A">
      <w:r>
        <w:rPr>
          <w:rtl w:val="0"/>
        </w:rPr>
        <w:t>To improve the liquidity of this firm, there needs to be operationally based reform of the working capital rather than cosmetic balance-sheet restructuring. The financial statements reveal that slow conversion of cash into cash, excess stock and poor operating cash flows are the main factors that cause financial tension on liquidity, instead of the lack of current assets. As a strategy, it should thus aim at increasing the velocity of monetary inflows and decreasing the sum of the capital that is outstanding in activities.</w:t>
      </w:r>
    </w:p>
    <w:p w14:paraId="0000006B">
      <w:r>
        <w:rPr>
          <w:rtl w:val="0"/>
        </w:rPr>
        <w:t>Receivables management is the most urgent requirement. The number of days outstanding sales increased significantly since 2022, accompanied by decreasing revenues and operating losses. This implies the lapsing of credit conditions to maintain volumes, which have compromised liquidity. The company must reduce the evaluation of customer credit, provide payment differentiation depending on the risk of customer counterparties, and increase early-payment incentives. Since the size of the receivables on the balance sheet is large, any slight increase in the collection cycles would unlock large amounts of cash.</w:t>
      </w:r>
    </w:p>
    <w:p w14:paraId="0000006C">
      <w:r>
        <w:rPr>
          <w:rtl w:val="0"/>
        </w:rPr>
        <w:t>Inventory reform is also essential. The growth of inventories in 2021-2022 and the decrease in sales show unfavourable changes in demand forecasting and excess production. It is possible that its partial improvement in 2024 is motivated by contraction instead of efficiency. The company needs to rationalise the product lines, scale-down assumptions of safety stocks and purchase closer to the confirmed orders. More extensive use of just-in-time supply and inventory controlled by suppliers would also have a direct reduction in the operating cycle.</w:t>
      </w:r>
    </w:p>
    <w:p w14:paraId="0000006D">
      <w:r>
        <w:rPr>
          <w:rtl w:val="0"/>
        </w:rPr>
        <w:t>The firm has already increased payment duration on the payable side, as indicated by increasing days payables outstanding. Although this gives some short-term relief, additional stretching would cause strains in the supplier as well as incur fines. The firm would be better advised to negotiate terms back strategically, where the suppliers are the main holding positions, and not to pay the suppliers equally.</w:t>
      </w:r>
    </w:p>
    <w:p w14:paraId="0000006E">
      <w:r>
        <w:rPr>
          <w:rtl w:val="0"/>
        </w:rPr>
        <w:t>Very importantly, a working capital reformation should be backed by a restored operating discipline. Continuous operating losses dilute all the liquidity indicators and destroy the confidence of suppliers and lenders. Liquidity pressure will not be solved, but merely deferred, without sustainability in positive operating cash flow on balance sheets. Operational stabilisation should thus become a priority of the firm, with working capital reform being an instrument that enables the firm and not a replacement for underlying performance recovery.</w:t>
      </w:r>
    </w:p>
    <w:p w14:paraId="0000006F">
      <w:pPr>
        <w:pStyle w:val="3"/>
      </w:pPr>
      <w:bookmarkStart w:id="16" w:name="_dczmq7g6g7c6" w:colFirst="0" w:colLast="0"/>
      <w:bookmarkEnd w:id="16"/>
      <w:r>
        <w:rPr>
          <w:rtl w:val="0"/>
        </w:rPr>
        <w:t>Comparing long-term and short-term finance</w:t>
      </w:r>
    </w:p>
    <w:p w14:paraId="00000070">
      <w:r>
        <w:rPr>
          <w:rtl w:val="0"/>
        </w:rPr>
        <w:t>The purposes of short-term and long-term financing are especially different in the capital structure of a firm, and the financial statement implies that this company has been overusing short-term financing to accept structural deficiencies instead of enhancing growth.</w:t>
      </w:r>
    </w:p>
    <w:p w14:paraId="00000071">
      <w:r>
        <w:rPr>
          <w:rtl w:val="0"/>
        </w:rPr>
        <w:t>Short-term sources, such as financing, including lines of credit and trade payables, are flexible and less expensive. It is perfectly applicable in financing fluctuation in working and seasonal cash requirements. The weak operating cash flows and long cash conversion cycles in the firm have been compensated for by using short-term borrowings. Although that gives the company short-term access to liquidity, it leaves the company subject to refinancing risk and interest rate risks, especially in instances where the company has poor profitability. The cash concentration is very high in terms of current liabilities as compared to cash, as the balance sheet depicts that short-term finance has now become a long-term and not a short-term aspect, which increases the liquidity risk.</w:t>
      </w:r>
    </w:p>
    <w:p w14:paraId="00000072">
      <w:r>
        <w:rPr>
          <w:rtl w:val="0"/>
        </w:rPr>
        <w:t>Long-term funding covers both the term debt and the term equity, in which long-term assets are better matched by the long-term funding. It has the effect of reducing rollover risk and enabling the management to deal with operational recovery as opposed to short-term cash strains. But, in this case, decreasing profits and increasing leverage make access to long-term debt at a palatable cost, and any issues of equity would be dilutive, since the lower market value is lower.</w:t>
      </w:r>
    </w:p>
    <w:p w14:paraId="00000073">
      <w:r>
        <w:rPr>
          <w:rtl w:val="0"/>
        </w:rPr>
        <w:t>Here, it is shown that persistent use of short-term financing could maintain liquidity in the short term but increase financial vulnerability. Structured long-term financing, which might relate to the asset sales or reorganisation, would be more adequately reflective of the reality of the operation of the firm.</w:t>
      </w:r>
    </w:p>
    <w:p w14:paraId="00000074">
      <w:pPr>
        <w:pStyle w:val="2"/>
      </w:pPr>
      <w:bookmarkStart w:id="17" w:name="_vxsi15wroden" w:colFirst="0" w:colLast="0"/>
      <w:bookmarkEnd w:id="17"/>
      <w:r>
        <w:rPr>
          <w:rtl w:val="0"/>
        </w:rPr>
        <w:t>3: Strategic Financial Restructuring Plan</w:t>
      </w:r>
    </w:p>
    <w:p w14:paraId="00000075">
      <w:pPr>
        <w:pStyle w:val="3"/>
      </w:pPr>
      <w:bookmarkStart w:id="18" w:name="_drwic3c4w5on" w:colFirst="0" w:colLast="0"/>
      <w:bookmarkEnd w:id="18"/>
      <w:r>
        <w:rPr>
          <w:rtl w:val="0"/>
        </w:rPr>
        <w:t>Recommendations for financial restructuring options</w:t>
      </w:r>
    </w:p>
    <w:p w14:paraId="00000076">
      <w:r>
        <w:rPr>
          <w:rtl w:val="0"/>
        </w:rPr>
        <w:t>An analysis of the financial statements and ratio analysis of the firm reflects that the firm is not under cyclical stress but structural stress, where a firm needs to make crucial financial restructurings as opposed to making gradual changes. The erosion of liquidity, increasing leverage, and recurring operating losses, as well as reduced productivity of assets, are evidence that the current capital and asset base no longer suits the earning power of this firm. A number of restructuring alternatives should thus be seen as a combination and not as an isolated option.</w:t>
      </w:r>
    </w:p>
    <w:p w14:paraId="00000077">
      <w:r>
        <w:rPr>
          <w:rtl w:val="0"/>
        </w:rPr>
        <w:t>To begin with, guided divestiture should have priority. The overall assets contraction since 2022, combined with the impairment charges imply that the elements of the asset base are not performing well or are non-core. Sale of low-paying business lines, non-strategic unwanted real estate, or non-strategic intangible assets would create cash inflows now, less depreciation and maintenance costs, and increase returns. More importantly, surplus cash should be used to settle the debt instead of to invest it back and thereby relieve gearing pressures and enhance the liquidity ratios (</w:t>
      </w:r>
      <w:r>
        <w:rPr>
          <w:color w:val="222222"/>
          <w:highlight w:val="white"/>
          <w:rtl w:val="0"/>
        </w:rPr>
        <w:t xml:space="preserve">Aguilar </w:t>
      </w:r>
      <w:r>
        <w:rPr>
          <w:i/>
          <w:iCs/>
          <w:color w:val="222222"/>
          <w:highlight w:val="white"/>
          <w:rtl w:val="0"/>
        </w:rPr>
        <w:t>et al.</w:t>
      </w:r>
      <w:r>
        <w:rPr>
          <w:color w:val="222222"/>
          <w:highlight w:val="white"/>
          <w:rtl w:val="0"/>
        </w:rPr>
        <w:t xml:space="preserve"> 2023</w:t>
      </w:r>
      <w:r>
        <w:rPr>
          <w:rtl w:val="0"/>
        </w:rPr>
        <w:t>). The rationalisation of assets would also increase managerial focus on core operations that would make a profit.</w:t>
      </w:r>
    </w:p>
    <w:p w14:paraId="00000078">
      <w:r>
        <w:rPr>
          <w:rtl w:val="0"/>
        </w:rPr>
        <w:t>Second, the company needs to consider the strategic merger or partnering, especially in areas where there is the potential of realising operational synergies. As the gross margins are stable and operating leverage is low, a possible merger with a complementary player will allow achieving cost-efficiency due to common procurement, transportation, and decreasing overheads. This would only make sense when it materially enhanced EBIT because operating returns are currently negative, which detracts from the balance-sheet resilience. The merger would avert a big-scale combination, but a cost-cutting regime would only enhance the current vices.</w:t>
      </w:r>
    </w:p>
    <w:p w14:paraId="00000079">
      <w:r>
        <w:rPr>
          <w:rtl w:val="0"/>
        </w:rPr>
        <w:t>Third, there might be a need to end financial credibility with an infusion of equity, which could be dilutive. The increased debt-to-equity and decrease in the market value of the equity are indicators of a lack of confidence by the lenders and investors. Fresh capital, be it a rights issue or a strategic investor, would have a positive impact on the balance sheet, less dependence on short-term debt and help in working capital reform. Notably, equity financing ought to be clearly associated with a plausible turnover program to prevent the notion of creating value destroyers.</w:t>
      </w:r>
    </w:p>
    <w:p w14:paraId="0000007A">
      <w:r>
        <w:rPr>
          <w:rtl w:val="0"/>
        </w:rPr>
        <w:t>Finally, restructuring can only be successful through sequencing and discipline. Any equity injection should be preceded or accompanied by divestitures and cost rationalisation to ensure that the new capital offsets any inefficiencies that are still going on. The firm will only go downhill with no such structural reform, even as its liquidity is supported in the short term.</w:t>
      </w:r>
    </w:p>
    <w:p w14:paraId="0000007B">
      <w:pPr>
        <w:pStyle w:val="3"/>
      </w:pPr>
      <w:bookmarkStart w:id="19" w:name="_at0eb98fovr8" w:colFirst="0" w:colLast="0"/>
      <w:bookmarkEnd w:id="19"/>
      <w:r>
        <w:rPr>
          <w:rtl w:val="0"/>
        </w:rPr>
        <w:t>Evaluating impact on shareholder value, debt structure, and operational flexibility</w:t>
      </w:r>
    </w:p>
    <w:p w14:paraId="0000007C">
      <w:r>
        <w:rPr>
          <w:rtl w:val="0"/>
        </w:rPr>
        <w:t>Assessing the proposed financial restructuring based on shareholder value, debt structure, and operational flexibility, it is possible to point out the possible advantages and the circumstances that share the ability to truly recover the value.</w:t>
      </w:r>
    </w:p>
    <w:p w14:paraId="0000007D">
      <w:r>
        <w:rPr>
          <w:rtl w:val="0"/>
        </w:rPr>
        <w:t>From a shareholder's view, the company is at present value destroying. Losses per share and negative ROE of 2023 (-43.9%) and 2024 (-14.5%) reflect that existing equity is not justifying its cost of capital. In this regard, an equity injection might not necessarily value destructive despite the fear of dilution. In case short-term debt is retired using new equity and stabilisation of operations, it will successfully halt the further loss of retained earnings and will increase the quality of future earnings. To introduce equity amounting to 15-20% of existing equity (£25–30bn) and redeem some of the balance sheet to eliminate liabilities would bring the debt-to-equity ratio back to 1.11 to 0.85-0.90, and regain balance-sheet credibility. The higher leverage would also be useful in valuation multiples since the lower the perceived insolvency risk, which is captured in the Altman Z-score.</w:t>
      </w:r>
    </w:p>
    <w:p w14:paraId="0000007E">
      <w:r>
        <w:rPr>
          <w:rtl w:val="0"/>
        </w:rPr>
        <w:t>Such restructuring would help improve the debt structure of the company. Currently, high liquidity risks exist due to the liquidity status of the company, where current liabilities are high compared to cash, and the operating cash flow shows only 0.09 in 2024. By minimizing short term borrowings, refinancing would be simpler and eliminate interest cost, enhancing EBIT and interest coverage with time. It would directly improve the profitability rates and improve the sustainability of cash flows. Levering towards a structure that has a more substantial equity base and less dependence on revolving credit would enhance the ability of the firm to negotiate longer-term financing on more favourable terms as well (</w:t>
      </w:r>
      <w:r>
        <w:rPr>
          <w:color w:val="222222"/>
          <w:highlight w:val="white"/>
          <w:rtl w:val="0"/>
        </w:rPr>
        <w:t>VAN BEEK, 2022</w:t>
      </w:r>
      <w:r>
        <w:rPr>
          <w:rtl w:val="0"/>
        </w:rPr>
        <w:t>).</w:t>
      </w:r>
    </w:p>
    <w:p w14:paraId="0000007F">
      <w:r>
        <w:rPr>
          <w:rtl w:val="0"/>
        </w:rPr>
        <w:t>The advantages are high as far as operational flexibility is concerned. Today, long payables and working capital are restricting managerial freedom and putting pressure on supplier relationships. Better liquidity and lower leverage would enable the management to concentrate on operational transformation -rationalisation of inventory and discipline of receivables, as well as cost restructuring- instead of keeping cash in the short term (</w:t>
      </w:r>
      <w:r>
        <w:rPr>
          <w:color w:val="222222"/>
          <w:highlight w:val="white"/>
          <w:rtl w:val="0"/>
        </w:rPr>
        <w:t xml:space="preserve">Bessonova </w:t>
      </w:r>
      <w:r>
        <w:rPr>
          <w:i/>
          <w:iCs/>
          <w:color w:val="222222"/>
          <w:highlight w:val="white"/>
          <w:rtl w:val="0"/>
        </w:rPr>
        <w:t>et al.</w:t>
      </w:r>
      <w:r>
        <w:rPr>
          <w:color w:val="222222"/>
          <w:highlight w:val="white"/>
          <w:rtl w:val="0"/>
        </w:rPr>
        <w:t xml:space="preserve"> 2024</w:t>
      </w:r>
      <w:r>
        <w:rPr>
          <w:rtl w:val="0"/>
        </w:rPr>
        <w:t>). Cash ratio (0.17 in 2024) and acid test ratio (1.03) would also improve in an instantaneous reaction to an infusion of cash provided by equity to make it more robust against shocks.</w:t>
      </w:r>
    </w:p>
    <w:p w14:paraId="00000080">
      <w:r>
        <w:rPr>
          <w:rtl w:val="0"/>
        </w:rPr>
        <w:t>More importantly, the injection of equity should be conditional and adequate (</w:t>
      </w:r>
      <w:r>
        <w:rPr>
          <w:color w:val="222222"/>
          <w:highlight w:val="white"/>
          <w:rtl w:val="0"/>
        </w:rPr>
        <w:t xml:space="preserve">Diez </w:t>
      </w:r>
      <w:r>
        <w:rPr>
          <w:i/>
          <w:iCs/>
          <w:color w:val="222222"/>
          <w:highlight w:val="white"/>
          <w:rtl w:val="0"/>
        </w:rPr>
        <w:t xml:space="preserve">et al. </w:t>
      </w:r>
      <w:r>
        <w:rPr>
          <w:color w:val="222222"/>
          <w:highlight w:val="white"/>
          <w:rtl w:val="0"/>
        </w:rPr>
        <w:t>2021</w:t>
      </w:r>
      <w:r>
        <w:rPr>
          <w:rtl w:val="0"/>
        </w:rPr>
        <w:t>). Spending insufficient capital would not stabilise ratios, and overdoing without restructuring would dilute shareholders with no increase in returns. With divestitures and cost restraint, however, equity injection can be an agent of profitability regaining, leverage stabilisation, and in the end, shareholder value rehabilitation.</w:t>
      </w:r>
    </w:p>
    <w:p w14:paraId="00000081">
      <w:pPr>
        <w:pStyle w:val="3"/>
      </w:pPr>
      <w:bookmarkStart w:id="20" w:name="_buglbvywrvuk" w:colFirst="0" w:colLast="0"/>
      <w:bookmarkEnd w:id="20"/>
      <w:r>
        <w:rPr>
          <w:rtl w:val="0"/>
        </w:rPr>
        <w:t>International and ethical considerations</w:t>
      </w:r>
    </w:p>
    <w:p w14:paraId="00000082">
      <w:r>
        <w:rPr>
          <w:rtl w:val="0"/>
        </w:rPr>
        <w:t>Any financial transformation of this firm would have to be evaluated based on its internal financial ratios and the financial ratios in the international sphere of its operations, and on the ethically accountable nature of the firm. It significantly contributes towards risk and cost of capital as well as long-term value creation.</w:t>
      </w:r>
    </w:p>
    <w:p w14:paraId="00000083">
      <w:r>
        <w:rPr>
          <w:rtl w:val="0"/>
        </w:rPr>
        <w:t>In the context of international taxation, the decreasing profitability of a firm increases the sensitivity of the firm to the effective tax rates and the deferred tax positions (</w:t>
      </w:r>
      <w:r>
        <w:rPr>
          <w:highlight w:val="white"/>
          <w:rtl w:val="0"/>
        </w:rPr>
        <w:t>Görlitz and Dobler, 2023</w:t>
      </w:r>
      <w:r>
        <w:rPr>
          <w:rtl w:val="0"/>
        </w:rPr>
        <w:t>). Losses in the short term cut cash tax, which is paid in the near term, but cut down the worth of tax shields in the event of future uncertainty of profitability. In states that are increasing the restrictiveness of base erosion and profit shifting (BEPS) regulations, the restraint of aggressive tax optimisation becomes more restricted. Transparency in taxation is thus of utmost importance: the use of opaque tax systems can provide only a temporary solution, and can be subjected to regulatory fines and reputational harm, and increased administrative expenses, especially in OECD-oriented markets.</w:t>
      </w:r>
    </w:p>
    <w:p w14:paraId="00000084">
      <w:r>
        <w:rPr>
          <w:rtl w:val="0"/>
        </w:rPr>
        <w:t>Another material consideration is that of currency risk. Given that most of the revenues, assets and costs will likely be denominated in a variety of currencies, the recent movement in major exchange rates has raised earnings uncertainty. Having a strong local currency will reduce reported revenues, whereas weaker currencies will increase the cost of imported inputs (</w:t>
      </w:r>
      <w:r>
        <w:rPr>
          <w:highlight w:val="white"/>
          <w:rtl w:val="0"/>
        </w:rPr>
        <w:t>Umeaduma and Dugbartey, 2023</w:t>
      </w:r>
      <w:r>
        <w:rPr>
          <w:rtl w:val="0"/>
        </w:rPr>
        <w:t>). This is magnified by the already low operating margins and negative EBIT that the firm already has. The hedging policies and natural hedges by aligning costs geographically are important; the inability to balance the currency risk will further destabilise the cash flows and deteriorate liquidity ratios.</w:t>
      </w:r>
    </w:p>
    <w:p w14:paraId="00000085">
      <w:r>
        <w:rPr>
          <w:rtl w:val="0"/>
        </w:rPr>
        <w:t>Inflationary forces, which have calmed down all over the world, as compared to previous levels, are still facing the wages, logistics and energy prices. According to the income statement, operating expenses have been high despite the fall in revenues, and this suggests that there is no flexibility in pricing and a poor cost pass-through. In the absence of operational restructuring, inflation undermines real returns and puts more pressure on ROA and ROE. Ethical labour procedures are also of concern in this regard: underpayment to sustain the margins can provide immediate savings, but potential losses to productivity, strikes, and bad publicity.</w:t>
      </w:r>
    </w:p>
    <w:p w14:paraId="00000086">
      <w:r>
        <w:rPr>
          <w:rtl w:val="0"/>
        </w:rPr>
        <w:t>Lastly, corporate social responsibility (CSR) does not lie on the financial recovery periphery. The social and environmental impact of inventory write-downs, asset impairments and workforce restructuring exists. To keep the stakeholders, transparent communication, equitable redundancy, and responsible management of the suppliers are necessary. ESG risk becomes valued in a more and more aggressive manner by investors; CSR performance can increase the cost of equity as well as reduce market value, which directly influences gearing and solvency ratios.</w:t>
      </w:r>
    </w:p>
    <w:p w14:paraId="00000087">
      <w:r>
        <w:rPr>
          <w:rtl w:val="0"/>
        </w:rPr>
        <w:t>Summing up, financial restructuring cannot be discussed in terms of international and ethical considerations. The sound tax governance, rigorous currency risk control, cost building and maintenance that is inflation sensitive and believable CSR promises are required to stabilise the cash flows, safeguard the shareholder value, and regain long term operating legitimacy.</w:t>
      </w:r>
    </w:p>
    <w:p w14:paraId="00000088">
      <w:pPr>
        <w:pStyle w:val="2"/>
      </w:pPr>
      <w:bookmarkStart w:id="21" w:name="_1tmsmceell7q" w:colFirst="0" w:colLast="0"/>
      <w:bookmarkEnd w:id="21"/>
      <w:r>
        <w:rPr>
          <w:rtl w:val="0"/>
        </w:rPr>
        <w:t>4: Investment Appraisal and Capital Budgeting</w:t>
      </w:r>
    </w:p>
    <w:p w14:paraId="00000089">
      <w:pPr>
        <w:pStyle w:val="3"/>
      </w:pPr>
      <w:bookmarkStart w:id="22" w:name="_fhyt3hfo8jrc" w:colFirst="0" w:colLast="0"/>
      <w:bookmarkEnd w:id="22"/>
      <w:r>
        <w:rPr>
          <w:rtl w:val="0"/>
        </w:rPr>
        <w:t>Interpreting payback period (See Appendix G)</w:t>
      </w:r>
    </w:p>
    <w:p w14:paraId="0000008A">
      <w:r>
        <w:rPr>
          <w:rtl w:val="0"/>
        </w:rPr>
        <w:t>The initial investment is recovered during the third year in project A. The project is not breaking even in three full years, but the comparably small balance remaining at the end of the 3rd year shows that there is a moderate degree of capital recovery risk. The payback approach, however, does not consider cash flows after the recovery period and fails to recognise the time value of money; thus, must be used with NPV or IRR to obtain a complete appraisal of an investment choice.</w:t>
      </w:r>
    </w:p>
    <w:p w14:paraId="0000008B">
      <w:pPr>
        <w:pStyle w:val="3"/>
      </w:pPr>
      <w:bookmarkStart w:id="23" w:name="_ws5819q3axfm" w:colFirst="0" w:colLast="0"/>
      <w:bookmarkEnd w:id="23"/>
      <w:r>
        <w:rPr>
          <w:rtl w:val="0"/>
        </w:rPr>
        <w:t>Interpreting NPV and PI (see Appendix H)</w:t>
      </w:r>
    </w:p>
    <w:p w14:paraId="0000008C">
      <w:r>
        <w:rPr>
          <w:rtl w:val="0"/>
        </w:rPr>
        <w:t>The output of the Net Present Value gives a clear rationale for ranking the three investment projects and determining the capacity of each of the projects in creating shareholder value. The best alternative is project C, which will yield a positive NPV of £4.20 million and a profitability index of 1.08. It means that the project can not only recoup the initial investment but also provide a better rate of return than the necessary one. The cash flow is also advantageous in terms of the timing of flows, and the greater flows are found in the later years, which enhances value creation over time, even with discounting.</w:t>
      </w:r>
    </w:p>
    <w:p w14:paraId="0000008D">
      <w:r>
        <w:rPr>
          <w:rtl w:val="0"/>
        </w:rPr>
        <w:t>Project A generates a relatively small positive value of NPV of £1.31 million and a profitability index (1.03) slightly higher than unity. The project has a value-addition which is not very high, although it is technically acceptable. This small profit margin is an indication that project A would be sensitive to variations in assumptions like an increase in discount rate or cost overruns (</w:t>
      </w:r>
      <w:r>
        <w:rPr>
          <w:highlight w:val="white"/>
          <w:rtl w:val="0"/>
        </w:rPr>
        <w:t xml:space="preserve">Tveter </w:t>
      </w:r>
      <w:r>
        <w:rPr>
          <w:i/>
          <w:iCs/>
          <w:highlight w:val="white"/>
          <w:rtl w:val="0"/>
        </w:rPr>
        <w:t>et al.</w:t>
      </w:r>
      <w:r>
        <w:rPr>
          <w:highlight w:val="white"/>
          <w:rtl w:val="0"/>
        </w:rPr>
        <w:t xml:space="preserve"> 2025</w:t>
      </w:r>
      <w:r>
        <w:rPr>
          <w:rtl w:val="0"/>
        </w:rPr>
        <w:t>). Consequently, it can only be appropriate if capital is not limited or there are strategic considerations to warrant acceptance.</w:t>
      </w:r>
    </w:p>
    <w:p w14:paraId="0000008E">
      <w:r>
        <w:rPr>
          <w:rtl w:val="0"/>
        </w:rPr>
        <w:t>Conversely, Project B is not economically viable as it registers a negative NPV of -£7.27m and a profitability index lower than one (0.76). It means that the discounted cash inflows do not allow restoring the initial outlay, and the values are destroyed. Although Project B has predictable annual inflows, they are neither too large to offset the cost of investment nor are they timely. Overall, capital must go towards Project C; Project A should not be considered so much, and Project B should be discarded.</w:t>
      </w:r>
    </w:p>
    <w:p w14:paraId="0000008F">
      <w:pPr>
        <w:pStyle w:val="3"/>
      </w:pPr>
      <w:bookmarkStart w:id="24" w:name="_86uw9bnb2r46" w:colFirst="0" w:colLast="0"/>
      <w:bookmarkEnd w:id="24"/>
      <w:r>
        <w:rPr>
          <w:rtl w:val="0"/>
        </w:rPr>
        <w:t>Interpret IRR and ARR ( see Appendix I)</w:t>
      </w:r>
    </w:p>
    <w:tbl>
      <w:tblPr>
        <w:tblStyle w:val="13"/>
        <w:tblW w:w="7369"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896"/>
        <w:gridCol w:w="2145"/>
        <w:gridCol w:w="1809"/>
        <w:gridCol w:w="1809"/>
        <w:gridCol w:w="710"/>
      </w:tblGrid>
      <w:tr w14:paraId="22FB19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90">
            <w:pPr>
              <w:spacing w:after="0" w:line="240" w:lineRule="auto"/>
            </w:pPr>
            <w:r>
              <w:rPr>
                <w:rtl w:val="0"/>
              </w:rPr>
              <w:t>Project</w:t>
            </w:r>
          </w:p>
        </w:tc>
        <w:tc>
          <w:p w14:paraId="00000091">
            <w:pPr>
              <w:spacing w:after="0" w:line="240" w:lineRule="auto"/>
            </w:pPr>
            <w:r>
              <w:rPr>
                <w:rtl w:val="0"/>
              </w:rPr>
              <w:t>Average Profit (£m)</w:t>
            </w:r>
          </w:p>
        </w:tc>
        <w:tc>
          <w:p w14:paraId="00000092">
            <w:pPr>
              <w:spacing w:after="0" w:line="240" w:lineRule="auto"/>
            </w:pPr>
            <w:r>
              <w:rPr>
                <w:rtl w:val="0"/>
              </w:rPr>
              <w:t>IRR</w:t>
            </w:r>
          </w:p>
        </w:tc>
        <w:tc>
          <w:p w14:paraId="00000093">
            <w:pPr>
              <w:spacing w:after="0" w:line="240" w:lineRule="auto"/>
            </w:pPr>
            <w:r>
              <w:rPr>
                <w:rtl w:val="0"/>
              </w:rPr>
              <w:t>Investment (£m)</w:t>
            </w:r>
          </w:p>
        </w:tc>
        <w:tc>
          <w:p w14:paraId="00000094">
            <w:pPr>
              <w:spacing w:after="0" w:line="240" w:lineRule="auto"/>
            </w:pPr>
            <w:r>
              <w:rPr>
                <w:rtl w:val="0"/>
              </w:rPr>
              <w:t>ARR</w:t>
            </w:r>
          </w:p>
        </w:tc>
      </w:tr>
      <w:tr w14:paraId="540A724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95">
            <w:pPr>
              <w:spacing w:after="0" w:line="240" w:lineRule="auto"/>
            </w:pPr>
            <w:r>
              <w:rPr>
                <w:rtl w:val="0"/>
              </w:rPr>
              <w:t>A</w:t>
            </w:r>
          </w:p>
        </w:tc>
        <w:tc>
          <w:p w14:paraId="00000096">
            <w:pPr>
              <w:spacing w:after="0" w:line="240" w:lineRule="auto"/>
            </w:pPr>
            <w:r>
              <w:rPr>
                <w:rtl w:val="0"/>
              </w:rPr>
              <w:t>11</w:t>
            </w:r>
          </w:p>
        </w:tc>
        <w:tc>
          <w:p w14:paraId="00000097">
            <w:pPr>
              <w:spacing w:after="0" w:line="240" w:lineRule="auto"/>
            </w:pPr>
            <w:r>
              <w:rPr>
                <w:rtl w:val="0"/>
              </w:rPr>
              <w:t>11.33%</w:t>
            </w:r>
          </w:p>
        </w:tc>
        <w:tc>
          <w:p w14:paraId="00000098">
            <w:pPr>
              <w:spacing w:after="0" w:line="240" w:lineRule="auto"/>
            </w:pPr>
            <w:r>
              <w:rPr>
                <w:rtl w:val="0"/>
              </w:rPr>
              <w:t>40</w:t>
            </w:r>
          </w:p>
        </w:tc>
        <w:tc>
          <w:p w14:paraId="00000099">
            <w:pPr>
              <w:spacing w:after="0" w:line="240" w:lineRule="auto"/>
            </w:pPr>
            <w:r>
              <w:rPr>
                <w:rtl w:val="0"/>
              </w:rPr>
              <w:t>27%</w:t>
            </w:r>
          </w:p>
        </w:tc>
      </w:tr>
      <w:tr w14:paraId="0938334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9A">
            <w:pPr>
              <w:spacing w:after="0" w:line="240" w:lineRule="auto"/>
            </w:pPr>
            <w:r>
              <w:rPr>
                <w:rtl w:val="0"/>
              </w:rPr>
              <w:t>C</w:t>
            </w:r>
          </w:p>
        </w:tc>
        <w:tc>
          <w:p w14:paraId="0000009B">
            <w:pPr>
              <w:spacing w:after="0" w:line="240" w:lineRule="auto"/>
            </w:pPr>
            <w:r>
              <w:rPr>
                <w:rtl w:val="0"/>
              </w:rPr>
              <w:t>15</w:t>
            </w:r>
          </w:p>
        </w:tc>
        <w:tc>
          <w:p w14:paraId="0000009C">
            <w:pPr>
              <w:spacing w:after="0" w:line="240" w:lineRule="auto"/>
            </w:pPr>
            <w:r>
              <w:rPr>
                <w:rtl w:val="0"/>
              </w:rPr>
              <w:t>0</w:t>
            </w:r>
          </w:p>
        </w:tc>
        <w:tc>
          <w:p w14:paraId="0000009D">
            <w:pPr>
              <w:spacing w:after="0" w:line="240" w:lineRule="auto"/>
            </w:pPr>
            <w:r>
              <w:rPr>
                <w:rtl w:val="0"/>
              </w:rPr>
              <w:t>50</w:t>
            </w:r>
          </w:p>
        </w:tc>
        <w:tc>
          <w:p w14:paraId="0000009E">
            <w:pPr>
              <w:spacing w:after="0" w:line="240" w:lineRule="auto"/>
            </w:pPr>
            <w:r>
              <w:rPr>
                <w:rtl w:val="0"/>
              </w:rPr>
              <w:t>30%</w:t>
            </w:r>
          </w:p>
        </w:tc>
      </w:tr>
      <w:tr w14:paraId="5EBE82F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9F">
            <w:pPr>
              <w:spacing w:after="0" w:line="240" w:lineRule="auto"/>
            </w:pPr>
            <w:r>
              <w:rPr>
                <w:rtl w:val="0"/>
              </w:rPr>
              <w:t>B</w:t>
            </w:r>
          </w:p>
        </w:tc>
        <w:tc>
          <w:p w14:paraId="000000A0">
            <w:pPr>
              <w:spacing w:after="0" w:line="240" w:lineRule="auto"/>
            </w:pPr>
            <w:r>
              <w:rPr>
                <w:rtl w:val="0"/>
              </w:rPr>
              <w:t>6</w:t>
            </w:r>
          </w:p>
        </w:tc>
        <w:tc>
          <w:p w14:paraId="000000A1">
            <w:pPr>
              <w:spacing w:after="0" w:line="240" w:lineRule="auto"/>
            </w:pPr>
            <w:r>
              <w:rPr>
                <w:rtl w:val="0"/>
              </w:rPr>
              <w:t>13%</w:t>
            </w:r>
          </w:p>
        </w:tc>
        <w:tc>
          <w:p w14:paraId="000000A2">
            <w:pPr>
              <w:spacing w:after="0" w:line="240" w:lineRule="auto"/>
            </w:pPr>
            <w:r>
              <w:rPr>
                <w:rtl w:val="0"/>
              </w:rPr>
              <w:t>30</w:t>
            </w:r>
          </w:p>
        </w:tc>
        <w:tc>
          <w:p w14:paraId="000000A3">
            <w:pPr>
              <w:spacing w:after="0" w:line="240" w:lineRule="auto"/>
            </w:pPr>
            <w:r>
              <w:rPr>
                <w:rtl w:val="0"/>
              </w:rPr>
              <w:t>20%</w:t>
            </w:r>
          </w:p>
        </w:tc>
      </w:tr>
    </w:tbl>
    <w:p w14:paraId="000000A4">
      <w:r>
        <w:rPr>
          <w:rtl w:val="0"/>
        </w:rPr>
        <w:t>As per IRR analysis, there are some disparities noticed between the financial attractiveness of Project A, B and C. As per the calculation Project A can offer an IRR of 11.33 and Project C will generate a better return of 13 meaning that the project has a high likelihood of value creation to General Electronics. Project B will generate zero IRR, which means that the project does not generate returns that are larger than the capital invested in it. This signals about ineffective profitability and financial justification. Then, only Projects A and C can be good investment options with Project C most preferable and Project B should not be go with as the Project B is unable to generate shareholder value.</w:t>
      </w:r>
    </w:p>
    <w:p w14:paraId="000000A5">
      <w:r>
        <w:rPr>
          <w:rtl w:val="0"/>
        </w:rPr>
        <w:t>Project C offers an accounting-related better payoff in accounting-related terms as compared to capital invested, exceeding Project A by three percentage points. Whereas ARR does not focus on timing or the time value of money in cash flow, it reveals that Project C utilises the invested capital more profitably. Project A, however, is also good, but it is obviously worse in terms of its accounting profitability.</w:t>
      </w:r>
    </w:p>
    <w:p w14:paraId="000000A6">
      <w:pPr>
        <w:pStyle w:val="3"/>
      </w:pPr>
      <w:bookmarkStart w:id="25" w:name="_ivx1usaa0p0a" w:colFirst="0" w:colLast="0"/>
      <w:bookmarkEnd w:id="25"/>
      <w:r>
        <w:rPr>
          <w:rtl w:val="0"/>
        </w:rPr>
        <w:t>Final investment recommendation assuming capital rationing (a maximum of £60 million can be invested).</w:t>
      </w:r>
    </w:p>
    <w:p w14:paraId="000000A7">
      <w:r>
        <w:rPr>
          <w:rtl w:val="0"/>
        </w:rPr>
        <w:t>Using the capital rationing framework in which the firm is only allowed to invest up to £60 million, the investment decision-making should focus on the projects that will maximise the total net present value, and not just the percentage returns.</w:t>
      </w:r>
    </w:p>
    <w:p w14:paraId="000000A8">
      <w:r>
        <w:rPr>
          <w:rtl w:val="0"/>
        </w:rPr>
        <w:t>Regarding the results of the appraisal, Project C should be initially funded by £50 million and brings in the best NPV (£4.20 million), and the greatest profitability index (1.08). This shows that Project C provides the highest value per pound invested, and therefore, it utilises the limited capital most effectively. It also has a strong cash flow structure, and the inflows are higher in the later years, which helps in the long-term value creation. Based on capital rationing, the core investment should be Project C.</w:t>
      </w:r>
    </w:p>
    <w:p w14:paraId="000000A9">
      <w:r>
        <w:rPr>
          <w:rtl w:val="0"/>
        </w:rPr>
        <w:t>Project C only has £10 million left after investing more than £50 million in the project. This leftover figure is not enough to finance Project A, which needs £40 million despite the positive NPV of £1.31 million. Project A can be taken on its own, but it cannot be taken without violating the capital constraint. Project B should be outright rejected because it would ruin shareholder value with its initial cost of £30 million, and a negative NPV of £7.27 million to absorb funds which are limited.</w:t>
      </w:r>
    </w:p>
    <w:p w14:paraId="000000AA">
      <w:r>
        <w:rPr>
          <w:rtl w:val="0"/>
        </w:rPr>
        <w:t>Effectively, it is not presumed that splitting or partly financing projects is feasible (</w:t>
      </w:r>
      <w:r>
        <w:rPr>
          <w:highlight w:val="white"/>
          <w:rtl w:val="0"/>
        </w:rPr>
        <w:t>Al-Shihabi and Elazouni, 2025</w:t>
      </w:r>
      <w:r>
        <w:rPr>
          <w:rtl w:val="0"/>
        </w:rPr>
        <w:t>). According to this, the best choice in capital rationing is to choose Project C to be used with a £50 million investment and £10 million left to choose. This leaves untapped capital, although investing in a value-destroying or a marginal project would make the total shareholder wealth lower.</w:t>
      </w:r>
    </w:p>
    <w:p w14:paraId="000000AB">
      <w:r>
        <w:rPr>
          <w:rtl w:val="0"/>
        </w:rPr>
        <w:t>Finally, within the scope of a serious £60 million capital limit, Project C would be the best investment decision, as it would maximise the value creation, provide the greatest NPV, and make the most efficient use of capital.</w:t>
      </w:r>
    </w:p>
    <w:p w14:paraId="000000AC">
      <w:pPr>
        <w:pStyle w:val="3"/>
      </w:pPr>
      <w:bookmarkStart w:id="26" w:name="_ty5h8fs44l2i" w:colFirst="0" w:colLast="0"/>
      <w:bookmarkEnd w:id="26"/>
      <w:r>
        <w:rPr>
          <w:rtl w:val="0"/>
        </w:rPr>
        <w:t>Capital Appraisal Comparison (Capital Limit: £60m)</w:t>
      </w:r>
    </w:p>
    <w:tbl>
      <w:tblPr>
        <w:tblStyle w:val="14"/>
        <w:tblW w:w="901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896"/>
        <w:gridCol w:w="1355"/>
        <w:gridCol w:w="1317"/>
        <w:gridCol w:w="886"/>
        <w:gridCol w:w="959"/>
        <w:gridCol w:w="1630"/>
        <w:gridCol w:w="1973"/>
      </w:tblGrid>
      <w:tr w14:paraId="2904D4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AD">
            <w:pPr>
              <w:spacing w:after="0" w:line="240" w:lineRule="auto"/>
            </w:pPr>
            <w:r>
              <w:rPr>
                <w:rtl w:val="0"/>
              </w:rPr>
              <w:t>Project</w:t>
            </w:r>
          </w:p>
        </w:tc>
        <w:tc>
          <w:p w14:paraId="000000AE">
            <w:pPr>
              <w:spacing w:after="0" w:line="240" w:lineRule="auto"/>
            </w:pPr>
            <w:r>
              <w:rPr>
                <w:rtl w:val="0"/>
              </w:rPr>
              <w:t>Initial Outlay (£m)</w:t>
            </w:r>
          </w:p>
        </w:tc>
        <w:tc>
          <w:p w14:paraId="000000AF">
            <w:pPr>
              <w:spacing w:after="0" w:line="240" w:lineRule="auto"/>
            </w:pPr>
            <w:r>
              <w:rPr>
                <w:rtl w:val="0"/>
              </w:rPr>
              <w:t>Payback Period</w:t>
            </w:r>
          </w:p>
        </w:tc>
        <w:tc>
          <w:p w14:paraId="000000B0">
            <w:pPr>
              <w:spacing w:after="0" w:line="240" w:lineRule="auto"/>
            </w:pPr>
            <w:r>
              <w:rPr>
                <w:rtl w:val="0"/>
              </w:rPr>
              <w:t>ARR (%)</w:t>
            </w:r>
          </w:p>
        </w:tc>
        <w:tc>
          <w:p w14:paraId="000000B1">
            <w:pPr>
              <w:spacing w:after="0" w:line="240" w:lineRule="auto"/>
            </w:pPr>
            <w:r>
              <w:rPr>
                <w:rtl w:val="0"/>
              </w:rPr>
              <w:t>NPV (£m)</w:t>
            </w:r>
          </w:p>
        </w:tc>
        <w:tc>
          <w:p w14:paraId="000000B2">
            <w:pPr>
              <w:spacing w:after="0" w:line="240" w:lineRule="auto"/>
            </w:pPr>
            <w:r>
              <w:rPr>
                <w:rtl w:val="0"/>
              </w:rPr>
              <w:t>Profitability Index</w:t>
            </w:r>
          </w:p>
        </w:tc>
        <w:tc>
          <w:p w14:paraId="000000B3">
            <w:pPr>
              <w:spacing w:after="0" w:line="240" w:lineRule="auto"/>
            </w:pPr>
            <w:r>
              <w:rPr>
                <w:rtl w:val="0"/>
              </w:rPr>
              <w:t>Acceptable Individually?</w:t>
            </w:r>
          </w:p>
        </w:tc>
      </w:tr>
      <w:tr w14:paraId="66D9369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B4">
            <w:pPr>
              <w:spacing w:after="0" w:line="240" w:lineRule="auto"/>
            </w:pPr>
            <w:r>
              <w:rPr>
                <w:rtl w:val="0"/>
              </w:rPr>
              <w:t>A</w:t>
            </w:r>
          </w:p>
        </w:tc>
        <w:tc>
          <w:p w14:paraId="000000B5">
            <w:pPr>
              <w:spacing w:after="0" w:line="240" w:lineRule="auto"/>
            </w:pPr>
            <w:r>
              <w:rPr>
                <w:rtl w:val="0"/>
              </w:rPr>
              <w:t>40</w:t>
            </w:r>
          </w:p>
        </w:tc>
        <w:tc>
          <w:p w14:paraId="000000B6">
            <w:pPr>
              <w:spacing w:after="0" w:line="240" w:lineRule="auto"/>
            </w:pPr>
            <w:r>
              <w:rPr>
                <w:rtl w:val="0"/>
              </w:rPr>
              <w:t>3.4 years</w:t>
            </w:r>
          </w:p>
        </w:tc>
        <w:tc>
          <w:p w14:paraId="000000B7">
            <w:pPr>
              <w:spacing w:after="0" w:line="240" w:lineRule="auto"/>
            </w:pPr>
            <w:r>
              <w:rPr>
                <w:rtl w:val="0"/>
              </w:rPr>
              <w:t>27%</w:t>
            </w:r>
          </w:p>
        </w:tc>
        <w:tc>
          <w:p w14:paraId="000000B8">
            <w:pPr>
              <w:spacing w:after="0" w:line="240" w:lineRule="auto"/>
            </w:pPr>
            <w:r>
              <w:rPr>
                <w:rtl w:val="0"/>
              </w:rPr>
              <w:t>+1.31</w:t>
            </w:r>
          </w:p>
        </w:tc>
        <w:tc>
          <w:p w14:paraId="000000B9">
            <w:pPr>
              <w:spacing w:after="0" w:line="240" w:lineRule="auto"/>
            </w:pPr>
            <w:r>
              <w:rPr>
                <w:rtl w:val="0"/>
              </w:rPr>
              <w:t>1.03</w:t>
            </w:r>
          </w:p>
        </w:tc>
        <w:tc>
          <w:p w14:paraId="000000BA">
            <w:pPr>
              <w:spacing w:after="0" w:line="240" w:lineRule="auto"/>
            </w:pPr>
            <w:r>
              <w:rPr>
                <w:rtl w:val="0"/>
              </w:rPr>
              <w:t>Yes</w:t>
            </w:r>
          </w:p>
        </w:tc>
      </w:tr>
      <w:tr w14:paraId="665F49C1">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BB">
            <w:pPr>
              <w:spacing w:after="0" w:line="240" w:lineRule="auto"/>
            </w:pPr>
            <w:r>
              <w:rPr>
                <w:rtl w:val="0"/>
              </w:rPr>
              <w:t>B</w:t>
            </w:r>
          </w:p>
        </w:tc>
        <w:tc>
          <w:p w14:paraId="000000BC">
            <w:pPr>
              <w:spacing w:after="0" w:line="240" w:lineRule="auto"/>
            </w:pPr>
            <w:r>
              <w:rPr>
                <w:rtl w:val="0"/>
              </w:rPr>
              <w:t>30</w:t>
            </w:r>
          </w:p>
        </w:tc>
        <w:tc>
          <w:p w14:paraId="000000BD">
            <w:pPr>
              <w:spacing w:after="0" w:line="240" w:lineRule="auto"/>
            </w:pPr>
            <w:r>
              <w:rPr>
                <w:rtl w:val="0"/>
              </w:rPr>
              <w:t>—</w:t>
            </w:r>
          </w:p>
        </w:tc>
        <w:tc>
          <w:p w14:paraId="000000BE">
            <w:pPr>
              <w:spacing w:after="0" w:line="240" w:lineRule="auto"/>
            </w:pPr>
            <w:r>
              <w:rPr>
                <w:rtl w:val="0"/>
              </w:rPr>
              <w:t>—</w:t>
            </w:r>
          </w:p>
        </w:tc>
        <w:tc>
          <w:p w14:paraId="000000BF">
            <w:pPr>
              <w:spacing w:after="0" w:line="240" w:lineRule="auto"/>
            </w:pPr>
            <w:r>
              <w:rPr>
                <w:rtl w:val="0"/>
              </w:rPr>
              <w:t>–7.27</w:t>
            </w:r>
          </w:p>
        </w:tc>
        <w:tc>
          <w:p w14:paraId="000000C0">
            <w:pPr>
              <w:spacing w:after="0" w:line="240" w:lineRule="auto"/>
            </w:pPr>
            <w:r>
              <w:rPr>
                <w:rtl w:val="0"/>
              </w:rPr>
              <w:t>0.76</w:t>
            </w:r>
          </w:p>
        </w:tc>
        <w:tc>
          <w:p w14:paraId="000000C1">
            <w:pPr>
              <w:spacing w:after="0" w:line="240" w:lineRule="auto"/>
            </w:pPr>
            <w:r>
              <w:rPr>
                <w:rtl w:val="0"/>
              </w:rPr>
              <w:t>No</w:t>
            </w:r>
          </w:p>
        </w:tc>
      </w:tr>
      <w:tr w14:paraId="4C8EF71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C2">
            <w:pPr>
              <w:spacing w:after="0" w:line="240" w:lineRule="auto"/>
            </w:pPr>
            <w:r>
              <w:rPr>
                <w:rtl w:val="0"/>
              </w:rPr>
              <w:t>C</w:t>
            </w:r>
          </w:p>
        </w:tc>
        <w:tc>
          <w:p w14:paraId="000000C3">
            <w:pPr>
              <w:spacing w:after="0" w:line="240" w:lineRule="auto"/>
            </w:pPr>
            <w:r>
              <w:rPr>
                <w:rtl w:val="0"/>
              </w:rPr>
              <w:t>50</w:t>
            </w:r>
          </w:p>
        </w:tc>
        <w:tc>
          <w:p w14:paraId="000000C4">
            <w:pPr>
              <w:spacing w:after="0" w:line="240" w:lineRule="auto"/>
            </w:pPr>
            <w:r>
              <w:rPr>
                <w:rtl w:val="0"/>
              </w:rPr>
              <w:t>&lt; A</w:t>
            </w:r>
          </w:p>
        </w:tc>
        <w:tc>
          <w:p w14:paraId="000000C5">
            <w:pPr>
              <w:spacing w:after="0" w:line="240" w:lineRule="auto"/>
            </w:pPr>
            <w:r>
              <w:rPr>
                <w:rtl w:val="0"/>
              </w:rPr>
              <w:t>30%</w:t>
            </w:r>
          </w:p>
        </w:tc>
        <w:tc>
          <w:p w14:paraId="000000C6">
            <w:pPr>
              <w:spacing w:after="0" w:line="240" w:lineRule="auto"/>
            </w:pPr>
            <w:r>
              <w:rPr>
                <w:rtl w:val="0"/>
              </w:rPr>
              <w:t>+4.20</w:t>
            </w:r>
          </w:p>
        </w:tc>
        <w:tc>
          <w:p w14:paraId="000000C7">
            <w:pPr>
              <w:spacing w:after="0" w:line="240" w:lineRule="auto"/>
            </w:pPr>
            <w:r>
              <w:rPr>
                <w:rtl w:val="0"/>
              </w:rPr>
              <w:t>1.08</w:t>
            </w:r>
          </w:p>
        </w:tc>
        <w:tc>
          <w:p w14:paraId="000000C8">
            <w:pPr>
              <w:spacing w:after="0" w:line="240" w:lineRule="auto"/>
            </w:pPr>
            <w:r>
              <w:rPr>
                <w:rtl w:val="0"/>
              </w:rPr>
              <w:t>Yes</w:t>
            </w:r>
          </w:p>
        </w:tc>
      </w:tr>
    </w:tbl>
    <w:p w14:paraId="000000C9">
      <w:pPr>
        <w:rPr>
          <w:b/>
          <w:bCs/>
        </w:rPr>
      </w:pPr>
    </w:p>
    <w:p w14:paraId="000000CA">
      <w:pPr>
        <w:pStyle w:val="3"/>
      </w:pPr>
      <w:bookmarkStart w:id="27" w:name="_bthsmpfc77us" w:colFirst="0" w:colLast="0"/>
      <w:bookmarkEnd w:id="27"/>
      <w:r>
        <w:rPr>
          <w:rFonts w:ascii="Gungsuh" w:hAnsi="Gungsuh" w:eastAsia="Gungsuh" w:cs="Gungsuh"/>
          <w:rtl w:val="0"/>
        </w:rPr>
        <w:t>Feasible Investment Combinations (≤ £60m)</w:t>
      </w:r>
    </w:p>
    <w:tbl>
      <w:tblPr>
        <w:tblStyle w:val="15"/>
        <w:tblW w:w="901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470"/>
        <w:gridCol w:w="1816"/>
        <w:gridCol w:w="2265"/>
        <w:gridCol w:w="1676"/>
        <w:gridCol w:w="1789"/>
      </w:tblGrid>
      <w:tr w14:paraId="5348D73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CB">
            <w:pPr>
              <w:spacing w:after="0" w:line="240" w:lineRule="auto"/>
            </w:pPr>
            <w:r>
              <w:rPr>
                <w:rtl w:val="0"/>
              </w:rPr>
              <w:t>Combination</w:t>
            </w:r>
          </w:p>
        </w:tc>
        <w:tc>
          <w:p w14:paraId="000000CC">
            <w:pPr>
              <w:spacing w:after="0" w:line="240" w:lineRule="auto"/>
            </w:pPr>
            <w:r>
              <w:rPr>
                <w:rtl w:val="0"/>
              </w:rPr>
              <w:t>Projects Included</w:t>
            </w:r>
          </w:p>
        </w:tc>
        <w:tc>
          <w:p w14:paraId="000000CD">
            <w:pPr>
              <w:spacing w:after="0" w:line="240" w:lineRule="auto"/>
            </w:pPr>
            <w:r>
              <w:rPr>
                <w:rtl w:val="0"/>
              </w:rPr>
              <w:t>Total Investment (£m)</w:t>
            </w:r>
          </w:p>
        </w:tc>
        <w:tc>
          <w:p w14:paraId="000000CE">
            <w:pPr>
              <w:spacing w:after="0" w:line="240" w:lineRule="auto"/>
            </w:pPr>
            <w:r>
              <w:rPr>
                <w:rtl w:val="0"/>
              </w:rPr>
              <w:t>Total NPV (£m)</w:t>
            </w:r>
          </w:p>
        </w:tc>
        <w:tc>
          <w:p w14:paraId="000000CF">
            <w:pPr>
              <w:spacing w:after="0" w:line="240" w:lineRule="auto"/>
            </w:pPr>
            <w:r>
              <w:rPr>
                <w:rtl w:val="0"/>
              </w:rPr>
              <w:t>Feasible?</w:t>
            </w:r>
          </w:p>
        </w:tc>
      </w:tr>
      <w:tr w14:paraId="5E6451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D0">
            <w:pPr>
              <w:spacing w:after="0" w:line="240" w:lineRule="auto"/>
            </w:pPr>
            <w:r>
              <w:rPr>
                <w:rtl w:val="0"/>
              </w:rPr>
              <w:t>1</w:t>
            </w:r>
          </w:p>
        </w:tc>
        <w:tc>
          <w:p w14:paraId="000000D1">
            <w:pPr>
              <w:spacing w:after="0" w:line="240" w:lineRule="auto"/>
            </w:pPr>
            <w:r>
              <w:rPr>
                <w:rtl w:val="0"/>
              </w:rPr>
              <w:t>A only</w:t>
            </w:r>
          </w:p>
        </w:tc>
        <w:tc>
          <w:p w14:paraId="000000D2">
            <w:pPr>
              <w:spacing w:after="0" w:line="240" w:lineRule="auto"/>
            </w:pPr>
            <w:r>
              <w:rPr>
                <w:rtl w:val="0"/>
              </w:rPr>
              <w:t>40</w:t>
            </w:r>
          </w:p>
        </w:tc>
        <w:tc>
          <w:p w14:paraId="000000D3">
            <w:pPr>
              <w:spacing w:after="0" w:line="240" w:lineRule="auto"/>
            </w:pPr>
            <w:r>
              <w:rPr>
                <w:rtl w:val="0"/>
              </w:rPr>
              <w:t>1.31</w:t>
            </w:r>
          </w:p>
        </w:tc>
        <w:tc>
          <w:p w14:paraId="000000D4">
            <w:pPr>
              <w:spacing w:after="0" w:line="240" w:lineRule="auto"/>
            </w:pPr>
            <w:r>
              <w:rPr>
                <w:rFonts w:ascii="Arial Unicode MS" w:hAnsi="Arial Unicode MS" w:eastAsia="Arial Unicode MS" w:cs="Arial Unicode MS"/>
                <w:rtl w:val="0"/>
              </w:rPr>
              <w:t>✓</w:t>
            </w:r>
          </w:p>
        </w:tc>
      </w:tr>
      <w:tr w14:paraId="666CA3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D5">
            <w:pPr>
              <w:spacing w:after="0" w:line="240" w:lineRule="auto"/>
            </w:pPr>
            <w:r>
              <w:rPr>
                <w:rtl w:val="0"/>
              </w:rPr>
              <w:t>2</w:t>
            </w:r>
          </w:p>
        </w:tc>
        <w:tc>
          <w:p w14:paraId="000000D6">
            <w:pPr>
              <w:spacing w:after="0" w:line="240" w:lineRule="auto"/>
            </w:pPr>
            <w:r>
              <w:rPr>
                <w:rtl w:val="0"/>
              </w:rPr>
              <w:t>B only</w:t>
            </w:r>
          </w:p>
        </w:tc>
        <w:tc>
          <w:p w14:paraId="000000D7">
            <w:pPr>
              <w:spacing w:after="0" w:line="240" w:lineRule="auto"/>
            </w:pPr>
            <w:r>
              <w:rPr>
                <w:rtl w:val="0"/>
              </w:rPr>
              <w:t>30</w:t>
            </w:r>
          </w:p>
        </w:tc>
        <w:tc>
          <w:p w14:paraId="000000D8">
            <w:pPr>
              <w:spacing w:after="0" w:line="240" w:lineRule="auto"/>
            </w:pPr>
            <w:r>
              <w:rPr>
                <w:rtl w:val="0"/>
              </w:rPr>
              <w:t>–7.27</w:t>
            </w:r>
          </w:p>
        </w:tc>
        <w:tc>
          <w:p w14:paraId="000000D9">
            <w:pPr>
              <w:spacing w:after="0" w:line="240" w:lineRule="auto"/>
            </w:pPr>
            <w:r>
              <w:rPr>
                <w:rFonts w:ascii="Arial Unicode MS" w:hAnsi="Arial Unicode MS" w:eastAsia="Arial Unicode MS" w:cs="Arial Unicode MS"/>
                <w:rtl w:val="0"/>
              </w:rPr>
              <w:t>✓ (not desirable)</w:t>
            </w:r>
          </w:p>
        </w:tc>
      </w:tr>
      <w:tr w14:paraId="069018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DA">
            <w:pPr>
              <w:spacing w:after="0" w:line="240" w:lineRule="auto"/>
            </w:pPr>
            <w:r>
              <w:rPr>
                <w:rtl w:val="0"/>
              </w:rPr>
              <w:t>3</w:t>
            </w:r>
          </w:p>
        </w:tc>
        <w:tc>
          <w:p w14:paraId="000000DB">
            <w:pPr>
              <w:spacing w:after="0" w:line="240" w:lineRule="auto"/>
            </w:pPr>
            <w:r>
              <w:rPr>
                <w:rtl w:val="0"/>
              </w:rPr>
              <w:t>C only</w:t>
            </w:r>
          </w:p>
        </w:tc>
        <w:tc>
          <w:p w14:paraId="000000DC">
            <w:pPr>
              <w:spacing w:after="0" w:line="240" w:lineRule="auto"/>
            </w:pPr>
            <w:r>
              <w:rPr>
                <w:rtl w:val="0"/>
              </w:rPr>
              <w:t>50</w:t>
            </w:r>
          </w:p>
        </w:tc>
        <w:tc>
          <w:p w14:paraId="000000DD">
            <w:pPr>
              <w:spacing w:after="0" w:line="240" w:lineRule="auto"/>
            </w:pPr>
            <w:r>
              <w:rPr>
                <w:rtl w:val="0"/>
              </w:rPr>
              <w:t>4.20</w:t>
            </w:r>
          </w:p>
        </w:tc>
        <w:tc>
          <w:p w14:paraId="000000DE">
            <w:pPr>
              <w:spacing w:after="0" w:line="240" w:lineRule="auto"/>
            </w:pPr>
            <w:r>
              <w:rPr>
                <w:rFonts w:ascii="Arial Unicode MS" w:hAnsi="Arial Unicode MS" w:eastAsia="Arial Unicode MS" w:cs="Arial Unicode MS"/>
                <w:rtl w:val="0"/>
              </w:rPr>
              <w:t>✓</w:t>
            </w:r>
          </w:p>
        </w:tc>
      </w:tr>
      <w:tr w14:paraId="6C69BC8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DF">
            <w:pPr>
              <w:spacing w:after="0" w:line="240" w:lineRule="auto"/>
            </w:pPr>
            <w:r>
              <w:rPr>
                <w:rtl w:val="0"/>
              </w:rPr>
              <w:t>4</w:t>
            </w:r>
          </w:p>
        </w:tc>
        <w:tc>
          <w:p w14:paraId="000000E0">
            <w:pPr>
              <w:spacing w:after="0" w:line="240" w:lineRule="auto"/>
            </w:pPr>
            <w:r>
              <w:rPr>
                <w:rtl w:val="0"/>
              </w:rPr>
              <w:t>A + B</w:t>
            </w:r>
          </w:p>
        </w:tc>
        <w:tc>
          <w:p w14:paraId="000000E1">
            <w:pPr>
              <w:spacing w:after="0" w:line="240" w:lineRule="auto"/>
            </w:pPr>
            <w:r>
              <w:rPr>
                <w:rtl w:val="0"/>
              </w:rPr>
              <w:t>70</w:t>
            </w:r>
          </w:p>
        </w:tc>
        <w:tc>
          <w:p w14:paraId="000000E2">
            <w:pPr>
              <w:spacing w:after="0" w:line="240" w:lineRule="auto"/>
            </w:pPr>
            <w:r>
              <w:rPr>
                <w:rtl w:val="0"/>
              </w:rPr>
              <w:t>–5.96</w:t>
            </w:r>
          </w:p>
        </w:tc>
        <w:tc>
          <w:p w14:paraId="000000E3">
            <w:pPr>
              <w:spacing w:after="0" w:line="240" w:lineRule="auto"/>
            </w:pPr>
            <w:r>
              <w:rPr>
                <w:rFonts w:ascii="Arial Unicode MS" w:hAnsi="Arial Unicode MS" w:eastAsia="Arial Unicode MS" w:cs="Arial Unicode MS"/>
                <w:rtl w:val="0"/>
              </w:rPr>
              <w:t>✗</w:t>
            </w:r>
          </w:p>
        </w:tc>
      </w:tr>
      <w:tr w14:paraId="18C1F0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E4">
            <w:pPr>
              <w:spacing w:after="0" w:line="240" w:lineRule="auto"/>
            </w:pPr>
            <w:r>
              <w:rPr>
                <w:rtl w:val="0"/>
              </w:rPr>
              <w:t>5</w:t>
            </w:r>
          </w:p>
        </w:tc>
        <w:tc>
          <w:p w14:paraId="000000E5">
            <w:pPr>
              <w:spacing w:after="0" w:line="240" w:lineRule="auto"/>
            </w:pPr>
            <w:r>
              <w:rPr>
                <w:rtl w:val="0"/>
              </w:rPr>
              <w:t>A + C</w:t>
            </w:r>
          </w:p>
        </w:tc>
        <w:tc>
          <w:p w14:paraId="000000E6">
            <w:pPr>
              <w:spacing w:after="0" w:line="240" w:lineRule="auto"/>
            </w:pPr>
            <w:r>
              <w:rPr>
                <w:rtl w:val="0"/>
              </w:rPr>
              <w:t>90</w:t>
            </w:r>
          </w:p>
        </w:tc>
        <w:tc>
          <w:p w14:paraId="000000E7">
            <w:pPr>
              <w:spacing w:after="0" w:line="240" w:lineRule="auto"/>
            </w:pPr>
            <w:r>
              <w:rPr>
                <w:rtl w:val="0"/>
              </w:rPr>
              <w:t>5.51</w:t>
            </w:r>
          </w:p>
        </w:tc>
        <w:tc>
          <w:p w14:paraId="000000E8">
            <w:pPr>
              <w:spacing w:after="0" w:line="240" w:lineRule="auto"/>
            </w:pPr>
            <w:r>
              <w:rPr>
                <w:rFonts w:ascii="Arial Unicode MS" w:hAnsi="Arial Unicode MS" w:eastAsia="Arial Unicode MS" w:cs="Arial Unicode MS"/>
                <w:rtl w:val="0"/>
              </w:rPr>
              <w:t>✗</w:t>
            </w:r>
          </w:p>
        </w:tc>
      </w:tr>
      <w:tr w14:paraId="1ACCF81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E9">
            <w:pPr>
              <w:spacing w:after="0" w:line="240" w:lineRule="auto"/>
            </w:pPr>
            <w:r>
              <w:rPr>
                <w:rtl w:val="0"/>
              </w:rPr>
              <w:t>6</w:t>
            </w:r>
          </w:p>
        </w:tc>
        <w:tc>
          <w:p w14:paraId="000000EA">
            <w:pPr>
              <w:spacing w:after="0" w:line="240" w:lineRule="auto"/>
            </w:pPr>
            <w:r>
              <w:rPr>
                <w:rtl w:val="0"/>
              </w:rPr>
              <w:t>B + C</w:t>
            </w:r>
          </w:p>
        </w:tc>
        <w:tc>
          <w:p w14:paraId="000000EB">
            <w:pPr>
              <w:spacing w:after="0" w:line="240" w:lineRule="auto"/>
            </w:pPr>
            <w:r>
              <w:rPr>
                <w:rtl w:val="0"/>
              </w:rPr>
              <w:t>80</w:t>
            </w:r>
          </w:p>
        </w:tc>
        <w:tc>
          <w:p w14:paraId="000000EC">
            <w:pPr>
              <w:spacing w:after="0" w:line="240" w:lineRule="auto"/>
            </w:pPr>
            <w:r>
              <w:rPr>
                <w:rtl w:val="0"/>
              </w:rPr>
              <w:t>–3.07</w:t>
            </w:r>
          </w:p>
        </w:tc>
        <w:tc>
          <w:p w14:paraId="000000ED">
            <w:pPr>
              <w:spacing w:after="0" w:line="240" w:lineRule="auto"/>
            </w:pPr>
            <w:r>
              <w:rPr>
                <w:rFonts w:ascii="Arial Unicode MS" w:hAnsi="Arial Unicode MS" w:eastAsia="Arial Unicode MS" w:cs="Arial Unicode MS"/>
                <w:rtl w:val="0"/>
              </w:rPr>
              <w:t>✗</w:t>
            </w:r>
          </w:p>
        </w:tc>
      </w:tr>
      <w:tr w14:paraId="65317A5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EE">
            <w:pPr>
              <w:spacing w:after="0" w:line="240" w:lineRule="auto"/>
            </w:pPr>
            <w:r>
              <w:rPr>
                <w:rtl w:val="0"/>
              </w:rPr>
              <w:t>7</w:t>
            </w:r>
          </w:p>
        </w:tc>
        <w:tc>
          <w:p w14:paraId="000000EF">
            <w:pPr>
              <w:spacing w:after="0" w:line="240" w:lineRule="auto"/>
            </w:pPr>
            <w:r>
              <w:rPr>
                <w:rtl w:val="0"/>
              </w:rPr>
              <w:t>A + B + C</w:t>
            </w:r>
          </w:p>
        </w:tc>
        <w:tc>
          <w:p w14:paraId="000000F0">
            <w:pPr>
              <w:spacing w:after="0" w:line="240" w:lineRule="auto"/>
            </w:pPr>
            <w:r>
              <w:rPr>
                <w:rtl w:val="0"/>
              </w:rPr>
              <w:t>120</w:t>
            </w:r>
          </w:p>
        </w:tc>
        <w:tc>
          <w:p w14:paraId="000000F1">
            <w:pPr>
              <w:spacing w:after="0" w:line="240" w:lineRule="auto"/>
            </w:pPr>
            <w:r>
              <w:rPr>
                <w:rtl w:val="0"/>
              </w:rPr>
              <w:t>–1.76</w:t>
            </w:r>
          </w:p>
        </w:tc>
        <w:tc>
          <w:p w14:paraId="000000F2">
            <w:pPr>
              <w:spacing w:after="0" w:line="240" w:lineRule="auto"/>
            </w:pPr>
            <w:r>
              <w:rPr>
                <w:rFonts w:ascii="Arial Unicode MS" w:hAnsi="Arial Unicode MS" w:eastAsia="Arial Unicode MS" w:cs="Arial Unicode MS"/>
                <w:rtl w:val="0"/>
              </w:rPr>
              <w:t>✗</w:t>
            </w:r>
          </w:p>
        </w:tc>
      </w:tr>
    </w:tbl>
    <w:p w14:paraId="000000F3">
      <w:pPr>
        <w:rPr>
          <w:b/>
          <w:bCs/>
        </w:rPr>
      </w:pPr>
    </w:p>
    <w:p w14:paraId="000000F4">
      <w:pPr>
        <w:pStyle w:val="3"/>
      </w:pPr>
      <w:bookmarkStart w:id="28" w:name="_iu9ys2467kto" w:colFirst="0" w:colLast="0"/>
      <w:bookmarkEnd w:id="28"/>
      <w:r>
        <w:rPr>
          <w:rtl w:val="0"/>
        </w:rPr>
        <w:t>Decision Using Capital Appraisal Methods</w:t>
      </w:r>
    </w:p>
    <w:tbl>
      <w:tblPr>
        <w:tblStyle w:val="16"/>
        <w:tblW w:w="7476"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1983"/>
        <w:gridCol w:w="1849"/>
        <w:gridCol w:w="3644"/>
      </w:tblGrid>
      <w:tr w14:paraId="779CBC3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F5">
            <w:pPr>
              <w:spacing w:after="0" w:line="240" w:lineRule="auto"/>
            </w:pPr>
            <w:r>
              <w:rPr>
                <w:rtl w:val="0"/>
              </w:rPr>
              <w:t>Method</w:t>
            </w:r>
          </w:p>
        </w:tc>
        <w:tc>
          <w:p w14:paraId="000000F6">
            <w:pPr>
              <w:spacing w:after="0" w:line="240" w:lineRule="auto"/>
            </w:pPr>
            <w:r>
              <w:rPr>
                <w:rtl w:val="0"/>
              </w:rPr>
              <w:t>Preferred Project</w:t>
            </w:r>
          </w:p>
        </w:tc>
        <w:tc>
          <w:p w14:paraId="000000F7">
            <w:pPr>
              <w:spacing w:after="0" w:line="240" w:lineRule="auto"/>
            </w:pPr>
            <w:r>
              <w:rPr>
                <w:rtl w:val="0"/>
              </w:rPr>
              <w:t>Reason</w:t>
            </w:r>
          </w:p>
        </w:tc>
      </w:tr>
      <w:tr w14:paraId="35DEF01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F8">
            <w:pPr>
              <w:spacing w:after="0" w:line="240" w:lineRule="auto"/>
            </w:pPr>
            <w:r>
              <w:rPr>
                <w:rtl w:val="0"/>
              </w:rPr>
              <w:t>Net Present Value</w:t>
            </w:r>
          </w:p>
        </w:tc>
        <w:tc>
          <w:p w14:paraId="000000F9">
            <w:pPr>
              <w:spacing w:after="0" w:line="240" w:lineRule="auto"/>
            </w:pPr>
            <w:r>
              <w:rPr>
                <w:rtl w:val="0"/>
              </w:rPr>
              <w:t>Project C</w:t>
            </w:r>
          </w:p>
        </w:tc>
        <w:tc>
          <w:p w14:paraId="000000FA">
            <w:pPr>
              <w:spacing w:after="0" w:line="240" w:lineRule="auto"/>
            </w:pPr>
            <w:r>
              <w:rPr>
                <w:rtl w:val="0"/>
              </w:rPr>
              <w:t>Highest absolute value creation</w:t>
            </w:r>
          </w:p>
        </w:tc>
      </w:tr>
      <w:tr w14:paraId="18294A1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FB">
            <w:pPr>
              <w:spacing w:after="0" w:line="240" w:lineRule="auto"/>
            </w:pPr>
            <w:r>
              <w:rPr>
                <w:rtl w:val="0"/>
              </w:rPr>
              <w:t>Profitability Index</w:t>
            </w:r>
          </w:p>
        </w:tc>
        <w:tc>
          <w:p w14:paraId="000000FC">
            <w:pPr>
              <w:spacing w:after="0" w:line="240" w:lineRule="auto"/>
            </w:pPr>
            <w:r>
              <w:rPr>
                <w:rtl w:val="0"/>
              </w:rPr>
              <w:t>Project C</w:t>
            </w:r>
          </w:p>
        </w:tc>
        <w:tc>
          <w:p w14:paraId="000000FD">
            <w:pPr>
              <w:spacing w:after="0" w:line="240" w:lineRule="auto"/>
            </w:pPr>
            <w:r>
              <w:rPr>
                <w:rtl w:val="0"/>
              </w:rPr>
              <w:t>Most efficient use of limited capital</w:t>
            </w:r>
          </w:p>
        </w:tc>
      </w:tr>
      <w:tr w14:paraId="32C6D62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0FE">
            <w:pPr>
              <w:spacing w:after="0" w:line="240" w:lineRule="auto"/>
            </w:pPr>
            <w:r>
              <w:rPr>
                <w:rtl w:val="0"/>
              </w:rPr>
              <w:t>ARR</w:t>
            </w:r>
          </w:p>
        </w:tc>
        <w:tc>
          <w:p w14:paraId="000000FF">
            <w:pPr>
              <w:spacing w:after="0" w:line="240" w:lineRule="auto"/>
            </w:pPr>
            <w:r>
              <w:rPr>
                <w:rtl w:val="0"/>
              </w:rPr>
              <w:t>Project C</w:t>
            </w:r>
          </w:p>
        </w:tc>
        <w:tc>
          <w:p w14:paraId="00000100">
            <w:pPr>
              <w:spacing w:after="0" w:line="240" w:lineRule="auto"/>
            </w:pPr>
            <w:r>
              <w:rPr>
                <w:rtl w:val="0"/>
              </w:rPr>
              <w:t>Highest accounting return</w:t>
            </w:r>
          </w:p>
        </w:tc>
      </w:tr>
      <w:tr w14:paraId="78CE8C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14:paraId="00000101">
            <w:pPr>
              <w:spacing w:after="0" w:line="240" w:lineRule="auto"/>
            </w:pPr>
            <w:r>
              <w:rPr>
                <w:rtl w:val="0"/>
              </w:rPr>
              <w:t>Payback</w:t>
            </w:r>
          </w:p>
        </w:tc>
        <w:tc>
          <w:p w14:paraId="00000102">
            <w:pPr>
              <w:spacing w:after="0" w:line="240" w:lineRule="auto"/>
            </w:pPr>
            <w:r>
              <w:rPr>
                <w:rtl w:val="0"/>
              </w:rPr>
              <w:t>Project C</w:t>
            </w:r>
          </w:p>
        </w:tc>
        <w:tc>
          <w:p w14:paraId="00000103">
            <w:pPr>
              <w:spacing w:after="0" w:line="240" w:lineRule="auto"/>
            </w:pPr>
            <w:r>
              <w:rPr>
                <w:rtl w:val="0"/>
              </w:rPr>
              <w:t>Faster recovery than Project A</w:t>
            </w:r>
          </w:p>
        </w:tc>
      </w:tr>
    </w:tbl>
    <w:p w14:paraId="00000104">
      <w:r>
        <w:rPr>
          <w:rtl w:val="0"/>
        </w:rPr>
        <w:t>Projects C or A can only be done separately, given the £60 million ceiling on investments. Project C is better than the other alternative opportunities since, in all value-related parameters, it provides the best NPV (£4.20m) and returns (1.08).</w:t>
      </w:r>
    </w:p>
    <w:p w14:paraId="00000105">
      <w:r>
        <w:rPr>
          <w:rtl w:val="0"/>
        </w:rPr>
        <w:t>Project A can be taken independently, but in choosing it, one would get much less value creation. Project B needs to be dismissed immediately because it has a negative NPV.</w:t>
      </w:r>
    </w:p>
    <w:p w14:paraId="00000106">
      <w:r>
        <w:rPr>
          <w:rtl w:val="0"/>
        </w:rPr>
        <w:t>Hence, the best choice in capital rationing will be to invest £50 million in Project C exclusively and optimise the shareholder value within the funding limit.</w:t>
      </w:r>
    </w:p>
    <w:p w14:paraId="00000107">
      <w:pPr>
        <w:rPr>
          <w:b/>
          <w:bCs/>
          <w:i/>
          <w:iCs/>
        </w:rPr>
      </w:pPr>
      <w:r>
        <w:rPr>
          <w:rtl w:val="0"/>
        </w:rPr>
        <w:t>Advisory as regards corporate financial performance (e.g. profitability), and riskiness of the project (e.g. cash flow volatility).</w:t>
      </w:r>
    </w:p>
    <w:p w14:paraId="00000108">
      <w:r>
        <w:rPr>
          <w:rtl w:val="0"/>
        </w:rPr>
        <w:t>The new investment suggestion is to be in line with the current financial status of the company, which is characterised by low profitability and decreasing liquidity. As indicated in the latest financial statements, the company has been experiencing operating losses, decreasing net margins and is under pressure of operating working capital, which implies that the company will have minimal ability to handle extra financial pressure. Although liquidity ratios look strong, beyond the critical levels, they are weak and reliant on a short-term capital focus, meaning that capital allocation policies should focus on the projects whose value creation is strong and risk levels can be mitigated.</w:t>
      </w:r>
    </w:p>
    <w:p w14:paraId="00000109">
      <w:r>
        <w:rPr>
          <w:rtl w:val="0"/>
        </w:rPr>
        <w:t>It is against this backdrop that Project C is the most suitable investment. Profitability-wise, Project C has the best NPV and ARR, which directly helps in supporting shareholder value, which is needed at a time when the firm's core operations are performing poorly. Such added value generation is essential in counterbalancing poor returns in current assets (</w:t>
      </w:r>
      <w:r>
        <w:rPr>
          <w:highlight w:val="white"/>
          <w:rtl w:val="0"/>
        </w:rPr>
        <w:t>Faiteh and Mohammed, 2023</w:t>
      </w:r>
      <w:r>
        <w:rPr>
          <w:rtl w:val="0"/>
        </w:rPr>
        <w:t>). Project A, on the other hand, yields limited downside protection in the event of cash flows that are lower than the anticipated, thus not being the most appropriate, especially considering that the company does not have the necessary financial freedom.</w:t>
      </w:r>
    </w:p>
    <w:p w14:paraId="0000010A">
      <w:r>
        <w:rPr>
          <w:rtl w:val="0"/>
        </w:rPr>
        <w:t>Risk-wise, the cash flows of Project C are larger and more decisive in their magnitude, and thus the firm has a better chance to regain its liquidity once the project is closed. Whereas the capital is subjected to more exposure to forecast risk because of the later-year inflows, the total surplus to the investment cost is a buffer that is not seen in Project A. The kind of destruction of value and the lack of efficient use of capital are not suitable for Project B.</w:t>
      </w:r>
    </w:p>
    <w:p w14:paraId="0000010B">
      <w:r>
        <w:rPr>
          <w:rtl w:val="0"/>
        </w:rPr>
        <w:t>Finally, there is the opportunity to note that Project C presents the optimal ratio of value creation and sizable cash flow risk due to the poor liquidity position of the firm, its abysmal profitability, and a low tolerance to risk.</w:t>
      </w:r>
    </w:p>
    <w:p w14:paraId="0000010C">
      <w:pPr>
        <w:pStyle w:val="2"/>
      </w:pPr>
      <w:bookmarkStart w:id="29" w:name="_yud4o3cmo4nu" w:colFirst="0" w:colLast="0"/>
      <w:bookmarkEnd w:id="29"/>
      <w:r>
        <w:rPr>
          <w:rtl w:val="0"/>
        </w:rPr>
        <w:t>Conclusion</w:t>
      </w:r>
    </w:p>
    <w:p w14:paraId="0000010D">
      <w:r>
        <w:rPr>
          <w:rtl w:val="0"/>
        </w:rPr>
        <w:t>The analysis shows that the company is experiencing prolonged structural financial weaknesses. The stable gross margins have not been effective in profitability. Cash flows are poor and there is poor management of the working capital hence, liquidity is lower. Debt to Equity has grown and shareholder value has diminished. Even though the insolvency risk is not urgent, financial strength has been diminished. Even without clear operational overhaul, rationalisation of assets and rigorous reorganisation, long-term financial stability and value restoration will continue to be very unpredictable.</w:t>
      </w:r>
      <w:r>
        <w:br w:type="page"/>
      </w:r>
    </w:p>
    <w:p w14:paraId="0000010E">
      <w:pPr>
        <w:pStyle w:val="2"/>
      </w:pPr>
      <w:bookmarkStart w:id="30" w:name="_g840hmgl2dqd" w:colFirst="0" w:colLast="0"/>
      <w:bookmarkEnd w:id="30"/>
      <w:r>
        <w:rPr>
          <w:rtl w:val="0"/>
        </w:rPr>
        <w:t xml:space="preserve">References </w:t>
      </w:r>
    </w:p>
    <w:p w14:paraId="0000010F">
      <w:pPr>
        <w:spacing w:after="0" w:line="360" w:lineRule="auto"/>
        <w:rPr>
          <w:color w:val="222222"/>
          <w:highlight w:val="white"/>
        </w:rPr>
      </w:pPr>
      <w:r>
        <w:rPr>
          <w:color w:val="222222"/>
          <w:highlight w:val="white"/>
          <w:rtl w:val="0"/>
        </w:rPr>
        <w:t xml:space="preserve">Aguilar, B., Pain, M. and Spieler, A.C., 2023. Investing Surplus Cash and Short-Term Borrowing. In </w:t>
      </w:r>
      <w:r>
        <w:rPr>
          <w:i/>
          <w:iCs/>
          <w:color w:val="222222"/>
          <w:highlight w:val="white"/>
          <w:rtl w:val="0"/>
        </w:rPr>
        <w:t>Working Capital Management: Concepts And Strategies</w:t>
      </w:r>
      <w:r>
        <w:rPr>
          <w:color w:val="222222"/>
          <w:highlight w:val="white"/>
          <w:rtl w:val="0"/>
        </w:rPr>
        <w:t xml:space="preserve"> (pp. 165-182).</w:t>
      </w:r>
    </w:p>
    <w:p w14:paraId="00000110">
      <w:pPr>
        <w:spacing w:line="360" w:lineRule="auto"/>
        <w:rPr>
          <w:highlight w:val="white"/>
        </w:rPr>
      </w:pPr>
      <w:r>
        <w:rPr>
          <w:highlight w:val="white"/>
          <w:rtl w:val="0"/>
        </w:rPr>
        <w:t>Al-Shihabi, S. and Elazouni, A. 2025. Modified Finance-Based Scheduling with Activity Splitting. </w:t>
      </w:r>
      <w:r>
        <w:rPr>
          <w:i/>
          <w:iCs/>
          <w:highlight w:val="white"/>
          <w:rtl w:val="0"/>
        </w:rPr>
        <w:t>Mathematics</w:t>
      </w:r>
      <w:r>
        <w:rPr>
          <w:highlight w:val="white"/>
          <w:rtl w:val="0"/>
        </w:rPr>
        <w:t>, </w:t>
      </w:r>
      <w:r>
        <w:rPr>
          <w:i/>
          <w:iCs/>
          <w:highlight w:val="white"/>
          <w:rtl w:val="0"/>
        </w:rPr>
        <w:t>13</w:t>
      </w:r>
      <w:r>
        <w:rPr>
          <w:highlight w:val="white"/>
          <w:rtl w:val="0"/>
        </w:rPr>
        <w:t>(1), p.139.</w:t>
      </w:r>
    </w:p>
    <w:p w14:paraId="00000111">
      <w:pPr>
        <w:spacing w:after="0" w:line="360" w:lineRule="auto"/>
        <w:rPr>
          <w:color w:val="222222"/>
          <w:highlight w:val="white"/>
        </w:rPr>
      </w:pPr>
      <w:r>
        <w:rPr>
          <w:color w:val="222222"/>
          <w:highlight w:val="white"/>
          <w:rtl w:val="0"/>
        </w:rPr>
        <w:t xml:space="preserve">Bessonova, A., Bessonova, S. and Shevchenko, A., 2024. Optimization of Receivables of an Enterprise as a Tool for Strengthening Financial Efficiency. </w:t>
      </w:r>
      <w:r>
        <w:rPr>
          <w:i/>
          <w:iCs/>
          <w:color w:val="222222"/>
          <w:highlight w:val="white"/>
          <w:rtl w:val="0"/>
        </w:rPr>
        <w:t>Економіка розвитку систем</w:t>
      </w:r>
      <w:r>
        <w:rPr>
          <w:color w:val="222222"/>
          <w:highlight w:val="white"/>
          <w:rtl w:val="0"/>
        </w:rPr>
        <w:t xml:space="preserve">, </w:t>
      </w:r>
      <w:r>
        <w:rPr>
          <w:i/>
          <w:iCs/>
          <w:color w:val="222222"/>
          <w:highlight w:val="white"/>
          <w:rtl w:val="0"/>
        </w:rPr>
        <w:t>6</w:t>
      </w:r>
      <w:r>
        <w:rPr>
          <w:color w:val="222222"/>
          <w:highlight w:val="white"/>
          <w:rtl w:val="0"/>
        </w:rPr>
        <w:t>(2), pp.146-150.</w:t>
      </w:r>
    </w:p>
    <w:p w14:paraId="00000112">
      <w:pPr>
        <w:spacing w:after="0" w:line="360" w:lineRule="auto"/>
        <w:rPr>
          <w:color w:val="222222"/>
          <w:highlight w:val="white"/>
        </w:rPr>
      </w:pPr>
      <w:r>
        <w:rPr>
          <w:color w:val="222222"/>
          <w:highlight w:val="white"/>
          <w:rtl w:val="0"/>
        </w:rPr>
        <w:t xml:space="preserve">Chairunisa, S.S., Digdowiseiso, K. and Karyatun, S., 2023. The Effect of Total Assets Turnover, Debt to Assets Ratio, Cash Ratio and Current Ratio on Financial Performance of Companies The Hotel, Restaurant and Tourism Subsector in IDX for The Period 2016-2020. </w:t>
      </w:r>
      <w:r>
        <w:rPr>
          <w:i/>
          <w:iCs/>
          <w:color w:val="222222"/>
          <w:highlight w:val="white"/>
          <w:rtl w:val="0"/>
        </w:rPr>
        <w:t>Jurnal Syntax Admiration</w:t>
      </w:r>
      <w:r>
        <w:rPr>
          <w:color w:val="222222"/>
          <w:highlight w:val="white"/>
          <w:rtl w:val="0"/>
        </w:rPr>
        <w:t xml:space="preserve">, </w:t>
      </w:r>
      <w:r>
        <w:rPr>
          <w:i/>
          <w:iCs/>
          <w:color w:val="222222"/>
          <w:highlight w:val="white"/>
          <w:rtl w:val="0"/>
        </w:rPr>
        <w:t>4</w:t>
      </w:r>
      <w:r>
        <w:rPr>
          <w:color w:val="222222"/>
          <w:highlight w:val="white"/>
          <w:rtl w:val="0"/>
        </w:rPr>
        <w:t>(3), pp.548-558.</w:t>
      </w:r>
    </w:p>
    <w:p w14:paraId="00000113">
      <w:pPr>
        <w:spacing w:after="0" w:line="360" w:lineRule="auto"/>
        <w:rPr>
          <w:color w:val="222222"/>
          <w:highlight w:val="white"/>
        </w:rPr>
      </w:pPr>
      <w:r>
        <w:rPr>
          <w:color w:val="222222"/>
          <w:highlight w:val="white"/>
          <w:rtl w:val="0"/>
        </w:rPr>
        <w:t xml:space="preserve">Diez, M.F.J., Duval, M.R.A., Fan, J., Garrido, J., Kalemli-Ozcan, S., Maggi, C., Peria, M.M.S.M. and Pierri, M.N., 2021. </w:t>
      </w:r>
      <w:r>
        <w:rPr>
          <w:i/>
          <w:iCs/>
          <w:color w:val="222222"/>
          <w:highlight w:val="white"/>
          <w:rtl w:val="0"/>
        </w:rPr>
        <w:t>Insolvency prospects among small-and-medium-sized enterprises in advanced economies: Assessment and policy options</w:t>
      </w:r>
      <w:r>
        <w:rPr>
          <w:color w:val="222222"/>
          <w:highlight w:val="white"/>
          <w:rtl w:val="0"/>
        </w:rPr>
        <w:t>. International Monetary Fund.</w:t>
      </w:r>
    </w:p>
    <w:p w14:paraId="00000114">
      <w:pPr>
        <w:spacing w:after="0" w:line="360" w:lineRule="auto"/>
        <w:rPr>
          <w:color w:val="222222"/>
          <w:highlight w:val="white"/>
        </w:rPr>
      </w:pPr>
      <w:r>
        <w:rPr>
          <w:color w:val="222222"/>
          <w:highlight w:val="white"/>
          <w:rtl w:val="0"/>
        </w:rPr>
        <w:t xml:space="preserve">Dolinšek, T. and Kovač, T., 2024. Application of the Altman model for the prediction of financial distress in the case of Slovenian companies. </w:t>
      </w:r>
      <w:r>
        <w:rPr>
          <w:i/>
          <w:iCs/>
          <w:color w:val="222222"/>
          <w:highlight w:val="white"/>
          <w:rtl w:val="0"/>
        </w:rPr>
        <w:t>Organizacija</w:t>
      </w:r>
      <w:r>
        <w:rPr>
          <w:color w:val="222222"/>
          <w:highlight w:val="white"/>
          <w:rtl w:val="0"/>
        </w:rPr>
        <w:t xml:space="preserve">, </w:t>
      </w:r>
      <w:r>
        <w:rPr>
          <w:i/>
          <w:iCs/>
          <w:color w:val="222222"/>
          <w:highlight w:val="white"/>
          <w:rtl w:val="0"/>
        </w:rPr>
        <w:t>57</w:t>
      </w:r>
      <w:r>
        <w:rPr>
          <w:color w:val="222222"/>
          <w:highlight w:val="white"/>
          <w:rtl w:val="0"/>
        </w:rPr>
        <w:t>(2), pp.115-126.</w:t>
      </w:r>
    </w:p>
    <w:p w14:paraId="00000115">
      <w:pPr>
        <w:spacing w:line="360" w:lineRule="auto"/>
      </w:pPr>
      <w:r>
        <w:rPr>
          <w:highlight w:val="white"/>
          <w:rtl w:val="0"/>
        </w:rPr>
        <w:t>Faiteh, A. and Mohammed, R.A. (2023) Economic value added: The best indicator for measuring value creation or just an illusion?. </w:t>
      </w:r>
      <w:r>
        <w:rPr>
          <w:i/>
          <w:iCs/>
          <w:highlight w:val="white"/>
          <w:rtl w:val="0"/>
        </w:rPr>
        <w:t>Investment Management &amp; Financial Innovations</w:t>
      </w:r>
      <w:r>
        <w:rPr>
          <w:highlight w:val="white"/>
          <w:rtl w:val="0"/>
        </w:rPr>
        <w:t>, </w:t>
      </w:r>
      <w:r>
        <w:rPr>
          <w:i/>
          <w:iCs/>
          <w:highlight w:val="white"/>
          <w:rtl w:val="0"/>
        </w:rPr>
        <w:t>20</w:t>
      </w:r>
      <w:r>
        <w:rPr>
          <w:highlight w:val="white"/>
          <w:rtl w:val="0"/>
        </w:rPr>
        <w:t>(1), p.138.</w:t>
      </w:r>
    </w:p>
    <w:p w14:paraId="00000116">
      <w:pPr>
        <w:spacing w:line="360" w:lineRule="auto"/>
      </w:pPr>
      <w:r>
        <w:rPr>
          <w:highlight w:val="white"/>
          <w:rtl w:val="0"/>
        </w:rPr>
        <w:t>Görlitz, A. and Dobler, M., 2023. Financial accounting for deferred taxes: A systematic review of empirical evidence. </w:t>
      </w:r>
      <w:r>
        <w:rPr>
          <w:i/>
          <w:iCs/>
          <w:highlight w:val="white"/>
          <w:rtl w:val="0"/>
        </w:rPr>
        <w:t>Management review quarterly</w:t>
      </w:r>
      <w:r>
        <w:rPr>
          <w:highlight w:val="white"/>
          <w:rtl w:val="0"/>
        </w:rPr>
        <w:t>, </w:t>
      </w:r>
      <w:r>
        <w:rPr>
          <w:i/>
          <w:iCs/>
          <w:highlight w:val="white"/>
          <w:rtl w:val="0"/>
        </w:rPr>
        <w:t>73</w:t>
      </w:r>
      <w:r>
        <w:rPr>
          <w:highlight w:val="white"/>
          <w:rtl w:val="0"/>
        </w:rPr>
        <w:t>(1), pp.113-165.</w:t>
      </w:r>
    </w:p>
    <w:p w14:paraId="00000117">
      <w:pPr>
        <w:spacing w:after="0" w:line="360" w:lineRule="auto"/>
        <w:rPr>
          <w:color w:val="222222"/>
          <w:highlight w:val="white"/>
        </w:rPr>
      </w:pPr>
      <w:r>
        <w:rPr>
          <w:color w:val="222222"/>
          <w:highlight w:val="white"/>
          <w:rtl w:val="0"/>
        </w:rPr>
        <w:t xml:space="preserve">Litvinenko, A., 2024. Using combined accrual and cash ratio analysis to determine pre-bankruptcy status. </w:t>
      </w:r>
      <w:r>
        <w:rPr>
          <w:i/>
          <w:iCs/>
          <w:color w:val="222222"/>
          <w:highlight w:val="white"/>
          <w:rtl w:val="0"/>
        </w:rPr>
        <w:t>Journal of Accounting and Management Information Systems</w:t>
      </w:r>
      <w:r>
        <w:rPr>
          <w:color w:val="222222"/>
          <w:highlight w:val="white"/>
          <w:rtl w:val="0"/>
        </w:rPr>
        <w:t xml:space="preserve">, </w:t>
      </w:r>
      <w:r>
        <w:rPr>
          <w:i/>
          <w:iCs/>
          <w:color w:val="222222"/>
          <w:highlight w:val="white"/>
          <w:rtl w:val="0"/>
        </w:rPr>
        <w:t>23</w:t>
      </w:r>
      <w:r>
        <w:rPr>
          <w:color w:val="222222"/>
          <w:highlight w:val="white"/>
          <w:rtl w:val="0"/>
        </w:rPr>
        <w:t>(4), pp.826-869.</w:t>
      </w:r>
    </w:p>
    <w:p w14:paraId="00000118">
      <w:pPr>
        <w:spacing w:after="0" w:line="360" w:lineRule="auto"/>
        <w:rPr>
          <w:color w:val="222222"/>
          <w:highlight w:val="white"/>
        </w:rPr>
      </w:pPr>
      <w:r>
        <w:rPr>
          <w:color w:val="222222"/>
          <w:highlight w:val="white"/>
          <w:rtl w:val="0"/>
        </w:rPr>
        <w:t xml:space="preserve">Mareta, F., Ulhaq, A., Resfitasari, E., Febriani, I. and Elisah, S., 2022, February. Effect of debt to equity ratio, current ratio, total assets turnover, earning per share, price earning-ratio, sales growth, and net profit margin on return on equity. In </w:t>
      </w:r>
      <w:r>
        <w:rPr>
          <w:i/>
          <w:iCs/>
          <w:color w:val="222222"/>
          <w:highlight w:val="white"/>
          <w:rtl w:val="0"/>
        </w:rPr>
        <w:t>International conference on economics, management and accounting (ICEMAC 2021)</w:t>
      </w:r>
      <w:r>
        <w:rPr>
          <w:color w:val="222222"/>
          <w:highlight w:val="white"/>
          <w:rtl w:val="0"/>
        </w:rPr>
        <w:t xml:space="preserve"> (pp. 417-426). Atlantis Press.</w:t>
      </w:r>
    </w:p>
    <w:p w14:paraId="00000119">
      <w:pPr>
        <w:spacing w:line="360" w:lineRule="auto"/>
        <w:rPr>
          <w:highlight w:val="white"/>
        </w:rPr>
      </w:pPr>
      <w:r>
        <w:rPr>
          <w:highlight w:val="white"/>
          <w:rtl w:val="0"/>
        </w:rPr>
        <w:t>Nasimiyu, A.E., 2023. Cashflow management practices and financial performance of small and medium business enterprises in Kenya. </w:t>
      </w:r>
      <w:r>
        <w:rPr>
          <w:i/>
          <w:iCs/>
          <w:highlight w:val="white"/>
          <w:rtl w:val="0"/>
        </w:rPr>
        <w:t>African Journal of Commercial Studies</w:t>
      </w:r>
      <w:r>
        <w:rPr>
          <w:highlight w:val="white"/>
          <w:rtl w:val="0"/>
        </w:rPr>
        <w:t>, </w:t>
      </w:r>
      <w:r>
        <w:rPr>
          <w:i/>
          <w:iCs/>
          <w:highlight w:val="white"/>
          <w:rtl w:val="0"/>
        </w:rPr>
        <w:t>4</w:t>
      </w:r>
      <w:r>
        <w:rPr>
          <w:highlight w:val="white"/>
          <w:rtl w:val="0"/>
        </w:rPr>
        <w:t>(3), pp.252-263.</w:t>
      </w:r>
    </w:p>
    <w:p w14:paraId="0000011A">
      <w:pPr>
        <w:spacing w:after="0" w:line="360" w:lineRule="auto"/>
        <w:rPr>
          <w:color w:val="222222"/>
          <w:highlight w:val="white"/>
        </w:rPr>
      </w:pPr>
      <w:r>
        <w:rPr>
          <w:color w:val="222222"/>
          <w:highlight w:val="white"/>
          <w:rtl w:val="0"/>
        </w:rPr>
        <w:t xml:space="preserve">Rahman, A., 2023. Impact of working capital ratios on profitability in selected four-wheeler automobile companies. </w:t>
      </w:r>
      <w:r>
        <w:rPr>
          <w:i/>
          <w:iCs/>
          <w:color w:val="222222"/>
          <w:highlight w:val="white"/>
          <w:rtl w:val="0"/>
        </w:rPr>
        <w:t>The Lumbini Journal of Business and Economics</w:t>
      </w:r>
      <w:r>
        <w:rPr>
          <w:color w:val="222222"/>
          <w:highlight w:val="white"/>
          <w:rtl w:val="0"/>
        </w:rPr>
        <w:t xml:space="preserve">, </w:t>
      </w:r>
      <w:r>
        <w:rPr>
          <w:i/>
          <w:iCs/>
          <w:color w:val="222222"/>
          <w:highlight w:val="white"/>
          <w:rtl w:val="0"/>
        </w:rPr>
        <w:t>11</w:t>
      </w:r>
      <w:r>
        <w:rPr>
          <w:color w:val="222222"/>
          <w:highlight w:val="white"/>
          <w:rtl w:val="0"/>
        </w:rPr>
        <w:t>(1), pp.100-115.</w:t>
      </w:r>
    </w:p>
    <w:p w14:paraId="0000011B">
      <w:pPr>
        <w:spacing w:after="0" w:line="360" w:lineRule="auto"/>
        <w:rPr>
          <w:color w:val="222222"/>
          <w:highlight w:val="white"/>
        </w:rPr>
      </w:pPr>
      <w:r>
        <w:rPr>
          <w:color w:val="222222"/>
          <w:highlight w:val="white"/>
          <w:rtl w:val="0"/>
        </w:rPr>
        <w:t xml:space="preserve">Ruguru, A.N., 2023. Effect of cash conversion cycle on profitability: A case study of binathman household supermarkets in Kenya. </w:t>
      </w:r>
      <w:r>
        <w:rPr>
          <w:i/>
          <w:iCs/>
          <w:color w:val="222222"/>
          <w:highlight w:val="white"/>
          <w:rtl w:val="0"/>
        </w:rPr>
        <w:t>South Sahara Multidisciplinary Journal</w:t>
      </w:r>
      <w:r>
        <w:rPr>
          <w:color w:val="222222"/>
          <w:highlight w:val="white"/>
          <w:rtl w:val="0"/>
        </w:rPr>
        <w:t xml:space="preserve">, </w:t>
      </w:r>
      <w:r>
        <w:rPr>
          <w:i/>
          <w:iCs/>
          <w:color w:val="222222"/>
          <w:highlight w:val="white"/>
          <w:rtl w:val="0"/>
        </w:rPr>
        <w:t>1</w:t>
      </w:r>
      <w:r>
        <w:rPr>
          <w:color w:val="222222"/>
          <w:highlight w:val="white"/>
          <w:rtl w:val="0"/>
        </w:rPr>
        <w:t>(1), pp.8-16.</w:t>
      </w:r>
    </w:p>
    <w:p w14:paraId="0000011C">
      <w:pPr>
        <w:spacing w:line="360" w:lineRule="auto"/>
        <w:rPr>
          <w:highlight w:val="white"/>
        </w:rPr>
      </w:pPr>
      <w:r>
        <w:rPr>
          <w:highlight w:val="white"/>
          <w:rtl w:val="0"/>
        </w:rPr>
        <w:t>Storm, S., 2023. Profit inflation is real. PSL Quarterly Review, 76(306), pp.243-259.</w:t>
      </w:r>
    </w:p>
    <w:p w14:paraId="0000011D">
      <w:pPr>
        <w:spacing w:line="360" w:lineRule="auto"/>
        <w:rPr>
          <w:highlight w:val="white"/>
        </w:rPr>
      </w:pPr>
      <w:r>
        <w:rPr>
          <w:highlight w:val="white"/>
          <w:rtl w:val="0"/>
        </w:rPr>
        <w:t>Tveter, E., Welde, M. and Odeck, J. (2025) Accounting for uncertainties in cost-benefit analyses (CBAs) of road projects: A procedure illustrated by real-world projects. </w:t>
      </w:r>
      <w:r>
        <w:rPr>
          <w:i/>
          <w:iCs/>
          <w:highlight w:val="white"/>
          <w:rtl w:val="0"/>
        </w:rPr>
        <w:t>Transport Policy</w:t>
      </w:r>
      <w:r>
        <w:rPr>
          <w:highlight w:val="white"/>
          <w:rtl w:val="0"/>
        </w:rPr>
        <w:t>.</w:t>
      </w:r>
    </w:p>
    <w:p w14:paraId="0000011E">
      <w:pPr>
        <w:spacing w:line="360" w:lineRule="auto"/>
        <w:rPr>
          <w:highlight w:val="white"/>
        </w:rPr>
      </w:pPr>
      <w:r>
        <w:rPr>
          <w:highlight w:val="white"/>
          <w:rtl w:val="0"/>
        </w:rPr>
        <w:t>Umeaduma, C.M.G. and Dugbartey, A.N., 2023. Effect of exchange rate volatility on export competitiveness and national trade balances in emerging markets. </w:t>
      </w:r>
      <w:r>
        <w:rPr>
          <w:i/>
          <w:iCs/>
          <w:highlight w:val="white"/>
          <w:rtl w:val="0"/>
        </w:rPr>
        <w:t>International Journal Computation Applied Technology Research</w:t>
      </w:r>
      <w:r>
        <w:rPr>
          <w:highlight w:val="white"/>
          <w:rtl w:val="0"/>
        </w:rPr>
        <w:t>, </w:t>
      </w:r>
      <w:r>
        <w:rPr>
          <w:i/>
          <w:iCs/>
          <w:highlight w:val="white"/>
          <w:rtl w:val="0"/>
        </w:rPr>
        <w:t>12</w:t>
      </w:r>
      <w:r>
        <w:rPr>
          <w:highlight w:val="white"/>
          <w:rtl w:val="0"/>
        </w:rPr>
        <w:t>(11), pp.57-71.</w:t>
      </w:r>
    </w:p>
    <w:p w14:paraId="0000011F">
      <w:pPr>
        <w:spacing w:after="0" w:line="360" w:lineRule="auto"/>
        <w:rPr>
          <w:color w:val="222222"/>
          <w:highlight w:val="white"/>
        </w:rPr>
      </w:pPr>
      <w:r>
        <w:rPr>
          <w:color w:val="222222"/>
          <w:highlight w:val="white"/>
          <w:rtl w:val="0"/>
        </w:rPr>
        <w:t xml:space="preserve">VAN BEEK, M.R.C.J.S., 2022. </w:t>
      </w:r>
      <w:r>
        <w:rPr>
          <w:i/>
          <w:iCs/>
          <w:color w:val="222222"/>
          <w:highlight w:val="white"/>
          <w:rtl w:val="0"/>
        </w:rPr>
        <w:t>Exploring a capital structure decision-making framework for financially distressed companies</w:t>
      </w:r>
      <w:r>
        <w:rPr>
          <w:color w:val="222222"/>
          <w:highlight w:val="white"/>
          <w:rtl w:val="0"/>
        </w:rPr>
        <w:t xml:space="preserve"> (Doctoral dissertation, University of Pretoria).</w:t>
      </w:r>
    </w:p>
    <w:p w14:paraId="00000120">
      <w:pPr>
        <w:spacing w:after="0" w:line="360" w:lineRule="auto"/>
        <w:rPr>
          <w:color w:val="222222"/>
          <w:highlight w:val="white"/>
        </w:rPr>
      </w:pPr>
      <w:r>
        <w:rPr>
          <w:color w:val="222222"/>
          <w:highlight w:val="white"/>
          <w:rtl w:val="0"/>
        </w:rPr>
        <w:t xml:space="preserve">Wijayanti, R.A.A., 2022. Debt Paying Ability with Liquidity of Short-Term Assets in a Business. </w:t>
      </w:r>
      <w:r>
        <w:rPr>
          <w:i/>
          <w:iCs/>
          <w:color w:val="222222"/>
          <w:highlight w:val="white"/>
          <w:rtl w:val="0"/>
        </w:rPr>
        <w:t>Liaison Journal of Best</w:t>
      </w:r>
      <w:r>
        <w:rPr>
          <w:color w:val="222222"/>
          <w:highlight w:val="white"/>
          <w:rtl w:val="0"/>
        </w:rPr>
        <w:t xml:space="preserve">, </w:t>
      </w:r>
      <w:r>
        <w:rPr>
          <w:i/>
          <w:iCs/>
          <w:color w:val="222222"/>
          <w:highlight w:val="white"/>
          <w:rtl w:val="0"/>
        </w:rPr>
        <w:t>1</w:t>
      </w:r>
      <w:r>
        <w:rPr>
          <w:color w:val="222222"/>
          <w:highlight w:val="white"/>
          <w:rtl w:val="0"/>
        </w:rPr>
        <w:t>(1), pp.82-89.</w:t>
      </w:r>
    </w:p>
    <w:p w14:paraId="00000121">
      <w:pPr>
        <w:spacing w:line="360" w:lineRule="auto"/>
        <w:rPr>
          <w:highlight w:val="white"/>
        </w:rPr>
      </w:pPr>
      <w:r>
        <w:rPr>
          <w:highlight w:val="white"/>
          <w:rtl w:val="0"/>
        </w:rPr>
        <w:t>Zahariev, P., 2024. Repurchased own shares-asset or reduction in equity?. </w:t>
      </w:r>
      <w:r>
        <w:rPr>
          <w:i/>
          <w:iCs/>
          <w:highlight w:val="white"/>
          <w:rtl w:val="0"/>
        </w:rPr>
        <w:t>Economics and computer science</w:t>
      </w:r>
      <w:r>
        <w:rPr>
          <w:highlight w:val="white"/>
          <w:rtl w:val="0"/>
        </w:rPr>
        <w:t>, (1), pp.11-17.</w:t>
      </w:r>
    </w:p>
    <w:p w14:paraId="00000122">
      <w:pPr>
        <w:rPr>
          <w:highlight w:val="white"/>
        </w:rPr>
      </w:pPr>
    </w:p>
    <w:p w14:paraId="00000123">
      <w:pPr>
        <w:jc w:val="left"/>
      </w:pPr>
      <w:r>
        <w:br w:type="page"/>
      </w:r>
    </w:p>
    <w:p w14:paraId="00000124">
      <w:pPr>
        <w:pStyle w:val="2"/>
      </w:pPr>
      <w:bookmarkStart w:id="31" w:name="_ieaz3mcgu6bc" w:colFirst="0" w:colLast="0"/>
      <w:bookmarkEnd w:id="31"/>
      <w:r>
        <w:rPr>
          <w:rtl w:val="0"/>
        </w:rPr>
        <w:t>Appendices</w:t>
      </w:r>
    </w:p>
    <w:p w14:paraId="00000125">
      <w:pPr>
        <w:pStyle w:val="3"/>
      </w:pPr>
      <w:bookmarkStart w:id="32" w:name="_ifzx7z9jo30p" w:colFirst="0" w:colLast="0"/>
      <w:bookmarkEnd w:id="32"/>
      <w:r>
        <w:rPr>
          <w:rtl w:val="0"/>
        </w:rPr>
        <w:t>Appendix A</w:t>
      </w:r>
    </w:p>
    <w:tbl>
      <w:tblPr>
        <w:tblStyle w:val="17"/>
        <w:tblW w:w="8722" w:type="dxa"/>
        <w:tblInd w:w="0" w:type="dxa"/>
        <w:tblLayout w:type="fixed"/>
        <w:tblCellMar>
          <w:top w:w="0" w:type="dxa"/>
          <w:left w:w="115" w:type="dxa"/>
          <w:bottom w:w="0" w:type="dxa"/>
          <w:right w:w="115" w:type="dxa"/>
        </w:tblCellMar>
      </w:tblPr>
      <w:tblGrid>
        <w:gridCol w:w="1190"/>
        <w:gridCol w:w="1430"/>
        <w:gridCol w:w="1376"/>
        <w:gridCol w:w="1403"/>
        <w:gridCol w:w="1403"/>
        <w:gridCol w:w="960"/>
        <w:gridCol w:w="960"/>
      </w:tblGrid>
      <w:tr w14:paraId="0CB11787">
        <w:tblPrEx>
          <w:tblCellMar>
            <w:top w:w="0" w:type="dxa"/>
            <w:left w:w="115" w:type="dxa"/>
            <w:bottom w:w="0" w:type="dxa"/>
            <w:right w:w="115" w:type="dxa"/>
          </w:tblCellMar>
        </w:tblPrEx>
        <w:trPr>
          <w:trHeight w:val="360" w:hRule="atLeast"/>
        </w:trPr>
        <w:tc>
          <w:tcPr>
            <w:gridSpan w:val="2"/>
            <w:tcBorders>
              <w:top w:val="nil"/>
              <w:left w:val="nil"/>
              <w:bottom w:val="nil"/>
              <w:right w:val="nil"/>
            </w:tcBorders>
            <w:vAlign w:val="center"/>
          </w:tcPr>
          <w:p w14:paraId="00000126">
            <w:pPr>
              <w:spacing w:after="0"/>
              <w:rPr>
                <w:b/>
                <w:bCs/>
              </w:rPr>
            </w:pPr>
            <w:r>
              <w:rPr>
                <w:b/>
                <w:bCs/>
                <w:rtl w:val="0"/>
              </w:rPr>
              <w:t>Current Ratio</w:t>
            </w:r>
          </w:p>
        </w:tc>
        <w:tc>
          <w:tcPr>
            <w:tcBorders>
              <w:top w:val="nil"/>
              <w:left w:val="nil"/>
              <w:bottom w:val="nil"/>
              <w:right w:val="nil"/>
            </w:tcBorders>
            <w:vAlign w:val="bottom"/>
          </w:tcPr>
          <w:p w14:paraId="00000128">
            <w:pPr>
              <w:spacing w:after="0"/>
              <w:rPr>
                <w:b/>
                <w:bCs/>
              </w:rPr>
            </w:pPr>
          </w:p>
        </w:tc>
        <w:tc>
          <w:tcPr>
            <w:tcBorders>
              <w:top w:val="nil"/>
              <w:left w:val="nil"/>
              <w:bottom w:val="nil"/>
              <w:right w:val="nil"/>
            </w:tcBorders>
            <w:vAlign w:val="bottom"/>
          </w:tcPr>
          <w:p w14:paraId="00000129">
            <w:pPr>
              <w:spacing w:after="0"/>
            </w:pPr>
          </w:p>
        </w:tc>
        <w:tc>
          <w:tcPr>
            <w:tcBorders>
              <w:top w:val="nil"/>
              <w:left w:val="nil"/>
              <w:bottom w:val="nil"/>
              <w:right w:val="nil"/>
            </w:tcBorders>
            <w:vAlign w:val="bottom"/>
          </w:tcPr>
          <w:p w14:paraId="0000012A">
            <w:pPr>
              <w:spacing w:after="0"/>
            </w:pPr>
          </w:p>
        </w:tc>
        <w:tc>
          <w:tcPr>
            <w:tcBorders>
              <w:top w:val="nil"/>
              <w:left w:val="nil"/>
              <w:bottom w:val="nil"/>
              <w:right w:val="nil"/>
            </w:tcBorders>
            <w:vAlign w:val="bottom"/>
          </w:tcPr>
          <w:p w14:paraId="0000012B">
            <w:pPr>
              <w:spacing w:after="0"/>
            </w:pPr>
          </w:p>
        </w:tc>
        <w:tc>
          <w:tcPr>
            <w:tcBorders>
              <w:top w:val="nil"/>
              <w:left w:val="nil"/>
              <w:bottom w:val="nil"/>
              <w:right w:val="nil"/>
            </w:tcBorders>
            <w:vAlign w:val="bottom"/>
          </w:tcPr>
          <w:p w14:paraId="0000012C">
            <w:pPr>
              <w:spacing w:after="0"/>
            </w:pPr>
          </w:p>
        </w:tc>
      </w:tr>
      <w:tr w14:paraId="35B9A98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2D">
            <w:pPr>
              <w:spacing w:after="0"/>
            </w:pPr>
          </w:p>
        </w:tc>
        <w:tc>
          <w:tcPr>
            <w:tcBorders>
              <w:top w:val="nil"/>
              <w:left w:val="nil"/>
              <w:bottom w:val="nil"/>
              <w:right w:val="nil"/>
            </w:tcBorders>
            <w:vAlign w:val="bottom"/>
          </w:tcPr>
          <w:p w14:paraId="0000012E">
            <w:pPr>
              <w:spacing w:after="0"/>
            </w:pPr>
          </w:p>
        </w:tc>
        <w:tc>
          <w:tcPr>
            <w:tcBorders>
              <w:top w:val="nil"/>
              <w:left w:val="nil"/>
              <w:bottom w:val="nil"/>
              <w:right w:val="nil"/>
            </w:tcBorders>
            <w:vAlign w:val="bottom"/>
          </w:tcPr>
          <w:p w14:paraId="0000012F">
            <w:pPr>
              <w:spacing w:after="0"/>
            </w:pPr>
          </w:p>
        </w:tc>
        <w:tc>
          <w:tcPr>
            <w:tcBorders>
              <w:top w:val="nil"/>
              <w:left w:val="nil"/>
              <w:bottom w:val="nil"/>
              <w:right w:val="nil"/>
            </w:tcBorders>
            <w:vAlign w:val="bottom"/>
          </w:tcPr>
          <w:p w14:paraId="00000130">
            <w:pPr>
              <w:spacing w:after="0"/>
            </w:pPr>
          </w:p>
        </w:tc>
        <w:tc>
          <w:tcPr>
            <w:tcBorders>
              <w:top w:val="nil"/>
              <w:left w:val="nil"/>
              <w:bottom w:val="nil"/>
              <w:right w:val="nil"/>
            </w:tcBorders>
            <w:vAlign w:val="bottom"/>
          </w:tcPr>
          <w:p w14:paraId="00000131">
            <w:pPr>
              <w:spacing w:after="0"/>
            </w:pPr>
          </w:p>
        </w:tc>
        <w:tc>
          <w:tcPr>
            <w:tcBorders>
              <w:top w:val="nil"/>
              <w:left w:val="nil"/>
              <w:bottom w:val="nil"/>
              <w:right w:val="nil"/>
            </w:tcBorders>
            <w:vAlign w:val="bottom"/>
          </w:tcPr>
          <w:p w14:paraId="00000132">
            <w:pPr>
              <w:spacing w:after="0"/>
            </w:pPr>
          </w:p>
        </w:tc>
        <w:tc>
          <w:tcPr>
            <w:tcBorders>
              <w:top w:val="nil"/>
              <w:left w:val="nil"/>
              <w:bottom w:val="nil"/>
              <w:right w:val="nil"/>
            </w:tcBorders>
            <w:vAlign w:val="bottom"/>
          </w:tcPr>
          <w:p w14:paraId="00000133">
            <w:pPr>
              <w:spacing w:after="0"/>
            </w:pPr>
          </w:p>
        </w:tc>
      </w:tr>
      <w:tr w14:paraId="3D74190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34">
            <w:pPr>
              <w:spacing w:after="0"/>
              <w:rPr>
                <w:b/>
                <w:bCs/>
              </w:rPr>
            </w:pPr>
            <w:r>
              <w:rPr>
                <w:b/>
                <w:bCs/>
                <w:rtl w:val="0"/>
              </w:rPr>
              <w:t>Formula:</w:t>
            </w:r>
          </w:p>
        </w:tc>
        <w:tc>
          <w:tcPr>
            <w:tcBorders>
              <w:top w:val="nil"/>
              <w:left w:val="nil"/>
              <w:bottom w:val="nil"/>
              <w:right w:val="nil"/>
            </w:tcBorders>
            <w:vAlign w:val="bottom"/>
          </w:tcPr>
          <w:p w14:paraId="00000135">
            <w:pPr>
              <w:spacing w:after="0"/>
              <w:rPr>
                <w:b/>
                <w:bCs/>
              </w:rPr>
            </w:pPr>
          </w:p>
        </w:tc>
        <w:tc>
          <w:tcPr>
            <w:tcBorders>
              <w:top w:val="nil"/>
              <w:left w:val="nil"/>
              <w:bottom w:val="nil"/>
              <w:right w:val="nil"/>
            </w:tcBorders>
            <w:vAlign w:val="bottom"/>
          </w:tcPr>
          <w:p w14:paraId="00000136">
            <w:pPr>
              <w:spacing w:after="0"/>
            </w:pPr>
          </w:p>
        </w:tc>
        <w:tc>
          <w:tcPr>
            <w:tcBorders>
              <w:top w:val="nil"/>
              <w:left w:val="nil"/>
              <w:bottom w:val="nil"/>
              <w:right w:val="nil"/>
            </w:tcBorders>
            <w:vAlign w:val="bottom"/>
          </w:tcPr>
          <w:p w14:paraId="00000137">
            <w:pPr>
              <w:spacing w:after="0"/>
            </w:pPr>
          </w:p>
        </w:tc>
        <w:tc>
          <w:tcPr>
            <w:tcBorders>
              <w:top w:val="nil"/>
              <w:left w:val="nil"/>
              <w:bottom w:val="nil"/>
              <w:right w:val="nil"/>
            </w:tcBorders>
            <w:vAlign w:val="bottom"/>
          </w:tcPr>
          <w:p w14:paraId="00000138">
            <w:pPr>
              <w:spacing w:after="0"/>
            </w:pPr>
          </w:p>
        </w:tc>
        <w:tc>
          <w:tcPr>
            <w:tcBorders>
              <w:top w:val="nil"/>
              <w:left w:val="nil"/>
              <w:bottom w:val="nil"/>
              <w:right w:val="nil"/>
            </w:tcBorders>
            <w:vAlign w:val="bottom"/>
          </w:tcPr>
          <w:p w14:paraId="00000139">
            <w:pPr>
              <w:spacing w:after="0"/>
            </w:pPr>
          </w:p>
        </w:tc>
        <w:tc>
          <w:tcPr>
            <w:tcBorders>
              <w:top w:val="nil"/>
              <w:left w:val="nil"/>
              <w:bottom w:val="nil"/>
              <w:right w:val="nil"/>
            </w:tcBorders>
            <w:vAlign w:val="bottom"/>
          </w:tcPr>
          <w:p w14:paraId="0000013A">
            <w:pPr>
              <w:spacing w:after="0"/>
            </w:pPr>
          </w:p>
        </w:tc>
      </w:tr>
      <w:tr w14:paraId="1A5A853C">
        <w:tblPrEx>
          <w:tblCellMar>
            <w:top w:w="0" w:type="dxa"/>
            <w:left w:w="115" w:type="dxa"/>
            <w:bottom w:w="0" w:type="dxa"/>
            <w:right w:w="115" w:type="dxa"/>
          </w:tblCellMar>
        </w:tblPrEx>
        <w:trPr>
          <w:trHeight w:val="288" w:hRule="atLeast"/>
        </w:trPr>
        <w:tc>
          <w:tcPr>
            <w:gridSpan w:val="6"/>
            <w:tcBorders>
              <w:top w:val="nil"/>
              <w:left w:val="nil"/>
              <w:bottom w:val="nil"/>
              <w:right w:val="nil"/>
            </w:tcBorders>
            <w:vAlign w:val="bottom"/>
          </w:tcPr>
          <w:p w14:paraId="0000013B">
            <w:pPr>
              <w:spacing w:after="0"/>
            </w:pPr>
            <w:r>
              <w:rPr>
                <w:rtl w:val="0"/>
              </w:rPr>
              <w:t>Current Ratio = Total Current Assets ÷ Total Current Liabilities.</w:t>
            </w:r>
          </w:p>
        </w:tc>
        <w:tc>
          <w:tcPr>
            <w:tcBorders>
              <w:top w:val="nil"/>
              <w:left w:val="nil"/>
              <w:bottom w:val="nil"/>
              <w:right w:val="nil"/>
            </w:tcBorders>
            <w:vAlign w:val="bottom"/>
          </w:tcPr>
          <w:p w14:paraId="00000141">
            <w:pPr>
              <w:spacing w:after="0"/>
            </w:pPr>
          </w:p>
        </w:tc>
      </w:tr>
      <w:tr w14:paraId="281E2412">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42">
            <w:pPr>
              <w:spacing w:after="0"/>
            </w:pPr>
          </w:p>
        </w:tc>
        <w:tc>
          <w:tcPr>
            <w:tcBorders>
              <w:top w:val="nil"/>
              <w:left w:val="nil"/>
              <w:bottom w:val="nil"/>
              <w:right w:val="nil"/>
            </w:tcBorders>
            <w:vAlign w:val="bottom"/>
          </w:tcPr>
          <w:p w14:paraId="00000143">
            <w:pPr>
              <w:spacing w:after="0"/>
            </w:pPr>
          </w:p>
        </w:tc>
        <w:tc>
          <w:tcPr>
            <w:tcBorders>
              <w:top w:val="nil"/>
              <w:left w:val="nil"/>
              <w:bottom w:val="nil"/>
              <w:right w:val="nil"/>
            </w:tcBorders>
            <w:vAlign w:val="bottom"/>
          </w:tcPr>
          <w:p w14:paraId="00000144">
            <w:pPr>
              <w:spacing w:after="0"/>
            </w:pPr>
          </w:p>
        </w:tc>
        <w:tc>
          <w:tcPr>
            <w:tcBorders>
              <w:top w:val="nil"/>
              <w:left w:val="nil"/>
              <w:bottom w:val="nil"/>
              <w:right w:val="nil"/>
            </w:tcBorders>
            <w:vAlign w:val="bottom"/>
          </w:tcPr>
          <w:p w14:paraId="00000145">
            <w:pPr>
              <w:spacing w:after="0"/>
            </w:pPr>
          </w:p>
        </w:tc>
        <w:tc>
          <w:tcPr>
            <w:tcBorders>
              <w:top w:val="nil"/>
              <w:left w:val="nil"/>
              <w:bottom w:val="nil"/>
              <w:right w:val="nil"/>
            </w:tcBorders>
            <w:vAlign w:val="bottom"/>
          </w:tcPr>
          <w:p w14:paraId="00000146">
            <w:pPr>
              <w:spacing w:after="0"/>
            </w:pPr>
          </w:p>
        </w:tc>
        <w:tc>
          <w:tcPr>
            <w:tcBorders>
              <w:top w:val="nil"/>
              <w:left w:val="nil"/>
              <w:bottom w:val="nil"/>
              <w:right w:val="nil"/>
            </w:tcBorders>
            <w:vAlign w:val="bottom"/>
          </w:tcPr>
          <w:p w14:paraId="00000147">
            <w:pPr>
              <w:spacing w:after="0"/>
            </w:pPr>
          </w:p>
        </w:tc>
        <w:tc>
          <w:tcPr>
            <w:tcBorders>
              <w:top w:val="nil"/>
              <w:left w:val="nil"/>
              <w:bottom w:val="nil"/>
              <w:right w:val="nil"/>
            </w:tcBorders>
            <w:vAlign w:val="bottom"/>
          </w:tcPr>
          <w:p w14:paraId="00000148">
            <w:pPr>
              <w:spacing w:after="0"/>
            </w:pPr>
          </w:p>
        </w:tc>
      </w:tr>
      <w:tr w14:paraId="004C2B5D">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149">
            <w:pPr>
              <w:spacing w:after="0"/>
              <w:rPr>
                <w:b/>
                <w:bCs/>
              </w:rPr>
            </w:pPr>
            <w:r>
              <w:rPr>
                <w:b/>
                <w:bCs/>
                <w:rtl w:val="0"/>
              </w:rPr>
              <w:t>Year</w:t>
            </w:r>
          </w:p>
        </w:tc>
        <w:tc>
          <w:tcPr>
            <w:tcBorders>
              <w:top w:val="nil"/>
              <w:left w:val="nil"/>
              <w:bottom w:val="nil"/>
              <w:right w:val="nil"/>
            </w:tcBorders>
            <w:vAlign w:val="center"/>
          </w:tcPr>
          <w:p w14:paraId="0000014A">
            <w:pPr>
              <w:spacing w:after="0"/>
              <w:rPr>
                <w:b/>
                <w:bCs/>
              </w:rPr>
            </w:pPr>
            <w:r>
              <w:rPr>
                <w:b/>
                <w:bCs/>
                <w:rtl w:val="0"/>
              </w:rPr>
              <w:t>Total Current Assets</w:t>
            </w:r>
          </w:p>
        </w:tc>
        <w:tc>
          <w:tcPr>
            <w:tcBorders>
              <w:top w:val="nil"/>
              <w:left w:val="nil"/>
              <w:bottom w:val="nil"/>
              <w:right w:val="nil"/>
            </w:tcBorders>
            <w:vAlign w:val="center"/>
          </w:tcPr>
          <w:p w14:paraId="0000014B">
            <w:pPr>
              <w:spacing w:after="0"/>
              <w:rPr>
                <w:b/>
                <w:bCs/>
              </w:rPr>
            </w:pPr>
            <w:r>
              <w:rPr>
                <w:b/>
                <w:bCs/>
                <w:rtl w:val="0"/>
              </w:rPr>
              <w:t>Total Current Liabilities</w:t>
            </w:r>
          </w:p>
        </w:tc>
        <w:tc>
          <w:tcPr>
            <w:tcBorders>
              <w:top w:val="nil"/>
              <w:left w:val="nil"/>
              <w:bottom w:val="nil"/>
              <w:right w:val="nil"/>
            </w:tcBorders>
            <w:vAlign w:val="center"/>
          </w:tcPr>
          <w:p w14:paraId="0000014C">
            <w:pPr>
              <w:spacing w:after="0"/>
              <w:rPr>
                <w:b/>
                <w:bCs/>
              </w:rPr>
            </w:pPr>
            <w:r>
              <w:rPr>
                <w:b/>
                <w:bCs/>
                <w:rtl w:val="0"/>
              </w:rPr>
              <w:t>Calculation</w:t>
            </w:r>
          </w:p>
        </w:tc>
        <w:tc>
          <w:tcPr>
            <w:tcBorders>
              <w:top w:val="nil"/>
              <w:left w:val="nil"/>
              <w:bottom w:val="nil"/>
              <w:right w:val="nil"/>
            </w:tcBorders>
            <w:vAlign w:val="center"/>
          </w:tcPr>
          <w:p w14:paraId="0000014D">
            <w:pPr>
              <w:spacing w:after="0"/>
              <w:rPr>
                <w:b/>
                <w:bCs/>
              </w:rPr>
            </w:pPr>
            <w:r>
              <w:rPr>
                <w:b/>
                <w:bCs/>
                <w:rtl w:val="0"/>
              </w:rPr>
              <w:t>Current Ratio</w:t>
            </w:r>
          </w:p>
        </w:tc>
        <w:tc>
          <w:tcPr>
            <w:tcBorders>
              <w:top w:val="nil"/>
              <w:left w:val="nil"/>
              <w:bottom w:val="nil"/>
              <w:right w:val="nil"/>
            </w:tcBorders>
            <w:vAlign w:val="bottom"/>
          </w:tcPr>
          <w:p w14:paraId="0000014E">
            <w:pPr>
              <w:spacing w:after="0"/>
              <w:rPr>
                <w:b/>
                <w:bCs/>
              </w:rPr>
            </w:pPr>
          </w:p>
        </w:tc>
        <w:tc>
          <w:tcPr>
            <w:tcBorders>
              <w:top w:val="nil"/>
              <w:left w:val="nil"/>
              <w:bottom w:val="nil"/>
              <w:right w:val="nil"/>
            </w:tcBorders>
            <w:vAlign w:val="bottom"/>
          </w:tcPr>
          <w:p w14:paraId="0000014F">
            <w:pPr>
              <w:spacing w:after="0"/>
            </w:pPr>
          </w:p>
        </w:tc>
      </w:tr>
      <w:tr w14:paraId="53270853">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50">
            <w:pPr>
              <w:spacing w:after="0"/>
            </w:pPr>
            <w:r>
              <w:rPr>
                <w:rtl w:val="0"/>
              </w:rPr>
              <w:t>2024</w:t>
            </w:r>
          </w:p>
        </w:tc>
        <w:tc>
          <w:tcPr>
            <w:tcBorders>
              <w:top w:val="nil"/>
              <w:left w:val="nil"/>
              <w:bottom w:val="nil"/>
              <w:right w:val="nil"/>
            </w:tcBorders>
            <w:vAlign w:val="center"/>
          </w:tcPr>
          <w:p w14:paraId="00000151">
            <w:pPr>
              <w:spacing w:after="0"/>
            </w:pPr>
            <w:r>
              <w:rPr>
                <w:rtl w:val="0"/>
              </w:rPr>
              <w:t>2,42,494</w:t>
            </w:r>
          </w:p>
        </w:tc>
        <w:tc>
          <w:tcPr>
            <w:tcBorders>
              <w:top w:val="nil"/>
              <w:left w:val="nil"/>
              <w:bottom w:val="nil"/>
              <w:right w:val="nil"/>
            </w:tcBorders>
            <w:vAlign w:val="center"/>
          </w:tcPr>
          <w:p w14:paraId="00000152">
            <w:pPr>
              <w:spacing w:after="0"/>
            </w:pPr>
            <w:r>
              <w:rPr>
                <w:rtl w:val="0"/>
              </w:rPr>
              <w:t>1,58,291</w:t>
            </w:r>
          </w:p>
        </w:tc>
        <w:tc>
          <w:tcPr>
            <w:tcBorders>
              <w:top w:val="nil"/>
              <w:left w:val="nil"/>
              <w:bottom w:val="nil"/>
              <w:right w:val="nil"/>
            </w:tcBorders>
            <w:vAlign w:val="center"/>
          </w:tcPr>
          <w:p w14:paraId="00000153">
            <w:pPr>
              <w:spacing w:after="0"/>
            </w:pPr>
            <w:r>
              <w:rPr>
                <w:rtl w:val="0"/>
              </w:rPr>
              <w:t>242,494 ÷ 158,291</w:t>
            </w:r>
          </w:p>
        </w:tc>
        <w:tc>
          <w:tcPr>
            <w:tcBorders>
              <w:top w:val="nil"/>
              <w:left w:val="nil"/>
              <w:bottom w:val="nil"/>
              <w:right w:val="nil"/>
            </w:tcBorders>
            <w:vAlign w:val="center"/>
          </w:tcPr>
          <w:p w14:paraId="00000154">
            <w:pPr>
              <w:spacing w:after="0"/>
              <w:rPr>
                <w:b/>
                <w:bCs/>
              </w:rPr>
            </w:pPr>
            <w:r>
              <w:rPr>
                <w:b/>
                <w:bCs/>
                <w:rtl w:val="0"/>
              </w:rPr>
              <w:t>1.53</w:t>
            </w:r>
          </w:p>
        </w:tc>
        <w:tc>
          <w:tcPr>
            <w:tcBorders>
              <w:top w:val="nil"/>
              <w:left w:val="nil"/>
              <w:bottom w:val="nil"/>
              <w:right w:val="nil"/>
            </w:tcBorders>
            <w:vAlign w:val="bottom"/>
          </w:tcPr>
          <w:p w14:paraId="00000155">
            <w:pPr>
              <w:spacing w:after="0"/>
              <w:rPr>
                <w:b/>
                <w:bCs/>
              </w:rPr>
            </w:pPr>
          </w:p>
        </w:tc>
        <w:tc>
          <w:tcPr>
            <w:tcBorders>
              <w:top w:val="nil"/>
              <w:left w:val="nil"/>
              <w:bottom w:val="nil"/>
              <w:right w:val="nil"/>
            </w:tcBorders>
            <w:vAlign w:val="bottom"/>
          </w:tcPr>
          <w:p w14:paraId="00000156">
            <w:pPr>
              <w:spacing w:after="0"/>
            </w:pPr>
          </w:p>
        </w:tc>
      </w:tr>
      <w:tr w14:paraId="7DA7CC5A">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57">
            <w:pPr>
              <w:spacing w:after="0"/>
            </w:pPr>
            <w:r>
              <w:rPr>
                <w:rtl w:val="0"/>
              </w:rPr>
              <w:t>2023</w:t>
            </w:r>
          </w:p>
        </w:tc>
        <w:tc>
          <w:tcPr>
            <w:tcBorders>
              <w:top w:val="nil"/>
              <w:left w:val="nil"/>
              <w:bottom w:val="nil"/>
              <w:right w:val="nil"/>
            </w:tcBorders>
            <w:vAlign w:val="center"/>
          </w:tcPr>
          <w:p w14:paraId="00000158">
            <w:pPr>
              <w:spacing w:after="0"/>
            </w:pPr>
            <w:r>
              <w:rPr>
                <w:rtl w:val="0"/>
              </w:rPr>
              <w:t>2,58,851</w:t>
            </w:r>
          </w:p>
        </w:tc>
        <w:tc>
          <w:tcPr>
            <w:tcBorders>
              <w:top w:val="nil"/>
              <w:left w:val="nil"/>
              <w:bottom w:val="nil"/>
              <w:right w:val="nil"/>
            </w:tcBorders>
            <w:vAlign w:val="center"/>
          </w:tcPr>
          <w:p w14:paraId="00000159">
            <w:pPr>
              <w:spacing w:after="0"/>
            </w:pPr>
            <w:r>
              <w:rPr>
                <w:rtl w:val="0"/>
              </w:rPr>
              <w:t>1,61,148</w:t>
            </w:r>
          </w:p>
        </w:tc>
        <w:tc>
          <w:tcPr>
            <w:tcBorders>
              <w:top w:val="nil"/>
              <w:left w:val="nil"/>
              <w:bottom w:val="nil"/>
              <w:right w:val="nil"/>
            </w:tcBorders>
            <w:vAlign w:val="center"/>
          </w:tcPr>
          <w:p w14:paraId="0000015A">
            <w:pPr>
              <w:spacing w:after="0"/>
            </w:pPr>
            <w:r>
              <w:rPr>
                <w:rtl w:val="0"/>
              </w:rPr>
              <w:t>258,851 ÷ 161,148</w:t>
            </w:r>
          </w:p>
        </w:tc>
        <w:tc>
          <w:tcPr>
            <w:tcBorders>
              <w:top w:val="nil"/>
              <w:left w:val="nil"/>
              <w:bottom w:val="nil"/>
              <w:right w:val="nil"/>
            </w:tcBorders>
            <w:vAlign w:val="center"/>
          </w:tcPr>
          <w:p w14:paraId="0000015B">
            <w:pPr>
              <w:spacing w:after="0"/>
              <w:rPr>
                <w:b/>
                <w:bCs/>
              </w:rPr>
            </w:pPr>
            <w:r>
              <w:rPr>
                <w:b/>
                <w:bCs/>
                <w:rtl w:val="0"/>
              </w:rPr>
              <w:t>1.61</w:t>
            </w:r>
          </w:p>
        </w:tc>
        <w:tc>
          <w:tcPr>
            <w:tcBorders>
              <w:top w:val="nil"/>
              <w:left w:val="nil"/>
              <w:bottom w:val="nil"/>
              <w:right w:val="nil"/>
            </w:tcBorders>
            <w:vAlign w:val="bottom"/>
          </w:tcPr>
          <w:p w14:paraId="0000015C">
            <w:pPr>
              <w:spacing w:after="0"/>
              <w:rPr>
                <w:b/>
                <w:bCs/>
              </w:rPr>
            </w:pPr>
          </w:p>
        </w:tc>
        <w:tc>
          <w:tcPr>
            <w:tcBorders>
              <w:top w:val="nil"/>
              <w:left w:val="nil"/>
              <w:bottom w:val="nil"/>
              <w:right w:val="nil"/>
            </w:tcBorders>
            <w:vAlign w:val="bottom"/>
          </w:tcPr>
          <w:p w14:paraId="0000015D">
            <w:pPr>
              <w:spacing w:after="0"/>
            </w:pPr>
          </w:p>
        </w:tc>
      </w:tr>
      <w:tr w14:paraId="4EA71CD6">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5E">
            <w:pPr>
              <w:spacing w:after="0"/>
            </w:pPr>
            <w:r>
              <w:rPr>
                <w:rtl w:val="0"/>
              </w:rPr>
              <w:t>2022</w:t>
            </w:r>
          </w:p>
        </w:tc>
        <w:tc>
          <w:tcPr>
            <w:tcBorders>
              <w:top w:val="nil"/>
              <w:left w:val="nil"/>
              <w:bottom w:val="nil"/>
              <w:right w:val="nil"/>
            </w:tcBorders>
            <w:vAlign w:val="center"/>
          </w:tcPr>
          <w:p w14:paraId="0000015F">
            <w:pPr>
              <w:spacing w:after="0"/>
            </w:pPr>
            <w:r>
              <w:rPr>
                <w:rtl w:val="0"/>
              </w:rPr>
              <w:t>3,38,040</w:t>
            </w:r>
          </w:p>
        </w:tc>
        <w:tc>
          <w:tcPr>
            <w:tcBorders>
              <w:top w:val="nil"/>
              <w:left w:val="nil"/>
              <w:bottom w:val="nil"/>
              <w:right w:val="nil"/>
            </w:tcBorders>
            <w:vAlign w:val="center"/>
          </w:tcPr>
          <w:p w14:paraId="00000160">
            <w:pPr>
              <w:spacing w:after="0"/>
            </w:pPr>
            <w:r>
              <w:rPr>
                <w:rtl w:val="0"/>
              </w:rPr>
              <w:t>2,16,473</w:t>
            </w:r>
          </w:p>
        </w:tc>
        <w:tc>
          <w:tcPr>
            <w:tcBorders>
              <w:top w:val="nil"/>
              <w:left w:val="nil"/>
              <w:bottom w:val="nil"/>
              <w:right w:val="nil"/>
            </w:tcBorders>
            <w:vAlign w:val="center"/>
          </w:tcPr>
          <w:p w14:paraId="00000161">
            <w:pPr>
              <w:spacing w:after="0"/>
            </w:pPr>
            <w:r>
              <w:rPr>
                <w:rtl w:val="0"/>
              </w:rPr>
              <w:t>338,040 ÷ 216,473</w:t>
            </w:r>
          </w:p>
        </w:tc>
        <w:tc>
          <w:tcPr>
            <w:tcBorders>
              <w:top w:val="nil"/>
              <w:left w:val="nil"/>
              <w:bottom w:val="nil"/>
              <w:right w:val="nil"/>
            </w:tcBorders>
            <w:vAlign w:val="center"/>
          </w:tcPr>
          <w:p w14:paraId="00000162">
            <w:pPr>
              <w:spacing w:after="0"/>
              <w:rPr>
                <w:b/>
                <w:bCs/>
              </w:rPr>
            </w:pPr>
            <w:r>
              <w:rPr>
                <w:b/>
                <w:bCs/>
                <w:rtl w:val="0"/>
              </w:rPr>
              <w:t>1.56</w:t>
            </w:r>
          </w:p>
        </w:tc>
        <w:tc>
          <w:tcPr>
            <w:tcBorders>
              <w:top w:val="nil"/>
              <w:left w:val="nil"/>
              <w:bottom w:val="nil"/>
              <w:right w:val="nil"/>
            </w:tcBorders>
            <w:vAlign w:val="bottom"/>
          </w:tcPr>
          <w:p w14:paraId="00000163">
            <w:pPr>
              <w:spacing w:after="0"/>
              <w:rPr>
                <w:b/>
                <w:bCs/>
              </w:rPr>
            </w:pPr>
          </w:p>
        </w:tc>
        <w:tc>
          <w:tcPr>
            <w:tcBorders>
              <w:top w:val="nil"/>
              <w:left w:val="nil"/>
              <w:bottom w:val="nil"/>
              <w:right w:val="nil"/>
            </w:tcBorders>
            <w:vAlign w:val="bottom"/>
          </w:tcPr>
          <w:p w14:paraId="00000164">
            <w:pPr>
              <w:spacing w:after="0"/>
            </w:pPr>
          </w:p>
        </w:tc>
      </w:tr>
      <w:tr w14:paraId="0A1239D6">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65">
            <w:pPr>
              <w:spacing w:after="0"/>
            </w:pPr>
            <w:r>
              <w:rPr>
                <w:rtl w:val="0"/>
              </w:rPr>
              <w:t>2021</w:t>
            </w:r>
          </w:p>
        </w:tc>
        <w:tc>
          <w:tcPr>
            <w:tcBorders>
              <w:top w:val="nil"/>
              <w:left w:val="nil"/>
              <w:bottom w:val="nil"/>
              <w:right w:val="nil"/>
            </w:tcBorders>
            <w:vAlign w:val="center"/>
          </w:tcPr>
          <w:p w14:paraId="00000166">
            <w:pPr>
              <w:spacing w:after="0"/>
            </w:pPr>
            <w:r>
              <w:rPr>
                <w:rtl w:val="0"/>
              </w:rPr>
              <w:t>3,37,146</w:t>
            </w:r>
          </w:p>
        </w:tc>
        <w:tc>
          <w:tcPr>
            <w:tcBorders>
              <w:top w:val="nil"/>
              <w:left w:val="nil"/>
              <w:bottom w:val="nil"/>
              <w:right w:val="nil"/>
            </w:tcBorders>
            <w:vAlign w:val="center"/>
          </w:tcPr>
          <w:p w14:paraId="00000167">
            <w:pPr>
              <w:spacing w:after="0"/>
            </w:pPr>
            <w:r>
              <w:rPr>
                <w:rtl w:val="0"/>
              </w:rPr>
              <w:t>2,16,787</w:t>
            </w:r>
          </w:p>
        </w:tc>
        <w:tc>
          <w:tcPr>
            <w:tcBorders>
              <w:top w:val="nil"/>
              <w:left w:val="nil"/>
              <w:bottom w:val="nil"/>
              <w:right w:val="nil"/>
            </w:tcBorders>
            <w:vAlign w:val="center"/>
          </w:tcPr>
          <w:p w14:paraId="00000168">
            <w:pPr>
              <w:spacing w:after="0"/>
            </w:pPr>
            <w:r>
              <w:rPr>
                <w:rtl w:val="0"/>
              </w:rPr>
              <w:t>337,146 ÷ 216,787</w:t>
            </w:r>
          </w:p>
        </w:tc>
        <w:tc>
          <w:tcPr>
            <w:tcBorders>
              <w:top w:val="nil"/>
              <w:left w:val="nil"/>
              <w:bottom w:val="nil"/>
              <w:right w:val="nil"/>
            </w:tcBorders>
            <w:vAlign w:val="center"/>
          </w:tcPr>
          <w:p w14:paraId="00000169">
            <w:pPr>
              <w:spacing w:after="0"/>
              <w:rPr>
                <w:b/>
                <w:bCs/>
              </w:rPr>
            </w:pPr>
            <w:r>
              <w:rPr>
                <w:b/>
                <w:bCs/>
                <w:rtl w:val="0"/>
              </w:rPr>
              <w:t>1.55</w:t>
            </w:r>
          </w:p>
        </w:tc>
        <w:tc>
          <w:tcPr>
            <w:tcBorders>
              <w:top w:val="nil"/>
              <w:left w:val="nil"/>
              <w:bottom w:val="nil"/>
              <w:right w:val="nil"/>
            </w:tcBorders>
            <w:vAlign w:val="bottom"/>
          </w:tcPr>
          <w:p w14:paraId="0000016A">
            <w:pPr>
              <w:spacing w:after="0"/>
              <w:rPr>
                <w:b/>
                <w:bCs/>
              </w:rPr>
            </w:pPr>
          </w:p>
        </w:tc>
        <w:tc>
          <w:tcPr>
            <w:tcBorders>
              <w:top w:val="nil"/>
              <w:left w:val="nil"/>
              <w:bottom w:val="nil"/>
              <w:right w:val="nil"/>
            </w:tcBorders>
            <w:vAlign w:val="bottom"/>
          </w:tcPr>
          <w:p w14:paraId="0000016B">
            <w:pPr>
              <w:spacing w:after="0"/>
            </w:pPr>
          </w:p>
        </w:tc>
      </w:tr>
      <w:tr w14:paraId="47F0B079">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6C">
            <w:pPr>
              <w:spacing w:after="0"/>
            </w:pPr>
            <w:r>
              <w:rPr>
                <w:rtl w:val="0"/>
              </w:rPr>
              <w:t>2020</w:t>
            </w:r>
          </w:p>
        </w:tc>
        <w:tc>
          <w:tcPr>
            <w:tcBorders>
              <w:top w:val="nil"/>
              <w:left w:val="nil"/>
              <w:bottom w:val="nil"/>
              <w:right w:val="nil"/>
            </w:tcBorders>
            <w:vAlign w:val="center"/>
          </w:tcPr>
          <w:p w14:paraId="0000016D">
            <w:pPr>
              <w:spacing w:after="0"/>
            </w:pPr>
            <w:r>
              <w:rPr>
                <w:rtl w:val="0"/>
              </w:rPr>
              <w:t>3,26,843</w:t>
            </w:r>
          </w:p>
        </w:tc>
        <w:tc>
          <w:tcPr>
            <w:tcBorders>
              <w:top w:val="nil"/>
              <w:left w:val="nil"/>
              <w:bottom w:val="nil"/>
              <w:right w:val="nil"/>
            </w:tcBorders>
            <w:vAlign w:val="center"/>
          </w:tcPr>
          <w:p w14:paraId="0000016E">
            <w:pPr>
              <w:spacing w:after="0"/>
            </w:pPr>
            <w:r>
              <w:rPr>
                <w:rtl w:val="0"/>
              </w:rPr>
              <w:t>1,79,510</w:t>
            </w:r>
          </w:p>
        </w:tc>
        <w:tc>
          <w:tcPr>
            <w:tcBorders>
              <w:top w:val="nil"/>
              <w:left w:val="nil"/>
              <w:bottom w:val="nil"/>
              <w:right w:val="nil"/>
            </w:tcBorders>
            <w:vAlign w:val="center"/>
          </w:tcPr>
          <w:p w14:paraId="0000016F">
            <w:pPr>
              <w:spacing w:after="0"/>
            </w:pPr>
            <w:r>
              <w:rPr>
                <w:rtl w:val="0"/>
              </w:rPr>
              <w:t>326,843 ÷ 179,510</w:t>
            </w:r>
          </w:p>
        </w:tc>
        <w:tc>
          <w:tcPr>
            <w:tcBorders>
              <w:top w:val="nil"/>
              <w:left w:val="nil"/>
              <w:bottom w:val="nil"/>
              <w:right w:val="nil"/>
            </w:tcBorders>
            <w:vAlign w:val="center"/>
          </w:tcPr>
          <w:p w14:paraId="00000170">
            <w:pPr>
              <w:spacing w:after="0"/>
              <w:rPr>
                <w:b/>
                <w:bCs/>
              </w:rPr>
            </w:pPr>
            <w:r>
              <w:rPr>
                <w:b/>
                <w:bCs/>
                <w:rtl w:val="0"/>
              </w:rPr>
              <w:t>1.82</w:t>
            </w:r>
          </w:p>
        </w:tc>
        <w:tc>
          <w:tcPr>
            <w:tcBorders>
              <w:top w:val="nil"/>
              <w:left w:val="nil"/>
              <w:bottom w:val="nil"/>
              <w:right w:val="nil"/>
            </w:tcBorders>
            <w:vAlign w:val="bottom"/>
          </w:tcPr>
          <w:p w14:paraId="00000171">
            <w:pPr>
              <w:spacing w:after="0"/>
              <w:rPr>
                <w:b/>
                <w:bCs/>
              </w:rPr>
            </w:pPr>
          </w:p>
        </w:tc>
        <w:tc>
          <w:tcPr>
            <w:tcBorders>
              <w:top w:val="nil"/>
              <w:left w:val="nil"/>
              <w:bottom w:val="nil"/>
              <w:right w:val="nil"/>
            </w:tcBorders>
            <w:vAlign w:val="bottom"/>
          </w:tcPr>
          <w:p w14:paraId="00000172">
            <w:pPr>
              <w:spacing w:after="0"/>
            </w:pPr>
          </w:p>
        </w:tc>
      </w:tr>
      <w:tr w14:paraId="6EDA871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73">
            <w:pPr>
              <w:spacing w:after="0"/>
            </w:pPr>
          </w:p>
        </w:tc>
        <w:tc>
          <w:tcPr>
            <w:tcBorders>
              <w:top w:val="nil"/>
              <w:left w:val="nil"/>
              <w:bottom w:val="nil"/>
              <w:right w:val="nil"/>
            </w:tcBorders>
            <w:vAlign w:val="bottom"/>
          </w:tcPr>
          <w:p w14:paraId="00000174">
            <w:pPr>
              <w:spacing w:after="0"/>
            </w:pPr>
          </w:p>
        </w:tc>
        <w:tc>
          <w:tcPr>
            <w:tcBorders>
              <w:top w:val="nil"/>
              <w:left w:val="nil"/>
              <w:bottom w:val="nil"/>
              <w:right w:val="nil"/>
            </w:tcBorders>
            <w:vAlign w:val="bottom"/>
          </w:tcPr>
          <w:p w14:paraId="00000175">
            <w:pPr>
              <w:spacing w:after="0"/>
            </w:pPr>
          </w:p>
        </w:tc>
        <w:tc>
          <w:tcPr>
            <w:tcBorders>
              <w:top w:val="nil"/>
              <w:left w:val="nil"/>
              <w:bottom w:val="nil"/>
              <w:right w:val="nil"/>
            </w:tcBorders>
            <w:vAlign w:val="bottom"/>
          </w:tcPr>
          <w:p w14:paraId="00000176">
            <w:pPr>
              <w:spacing w:after="0"/>
            </w:pPr>
          </w:p>
        </w:tc>
        <w:tc>
          <w:tcPr>
            <w:tcBorders>
              <w:top w:val="nil"/>
              <w:left w:val="nil"/>
              <w:bottom w:val="nil"/>
              <w:right w:val="nil"/>
            </w:tcBorders>
            <w:vAlign w:val="bottom"/>
          </w:tcPr>
          <w:p w14:paraId="00000177">
            <w:pPr>
              <w:spacing w:after="0"/>
            </w:pPr>
          </w:p>
        </w:tc>
        <w:tc>
          <w:tcPr>
            <w:tcBorders>
              <w:top w:val="nil"/>
              <w:left w:val="nil"/>
              <w:bottom w:val="nil"/>
              <w:right w:val="nil"/>
            </w:tcBorders>
            <w:vAlign w:val="bottom"/>
          </w:tcPr>
          <w:p w14:paraId="00000178">
            <w:pPr>
              <w:spacing w:after="0"/>
            </w:pPr>
          </w:p>
        </w:tc>
        <w:tc>
          <w:tcPr>
            <w:tcBorders>
              <w:top w:val="nil"/>
              <w:left w:val="nil"/>
              <w:bottom w:val="nil"/>
              <w:right w:val="nil"/>
            </w:tcBorders>
            <w:vAlign w:val="bottom"/>
          </w:tcPr>
          <w:p w14:paraId="00000179">
            <w:pPr>
              <w:spacing w:after="0"/>
            </w:pPr>
          </w:p>
        </w:tc>
      </w:tr>
      <w:tr w14:paraId="152138D5">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7A">
            <w:pPr>
              <w:spacing w:after="0"/>
            </w:pPr>
          </w:p>
        </w:tc>
        <w:tc>
          <w:tcPr>
            <w:tcBorders>
              <w:top w:val="nil"/>
              <w:left w:val="nil"/>
              <w:bottom w:val="nil"/>
              <w:right w:val="nil"/>
            </w:tcBorders>
            <w:vAlign w:val="bottom"/>
          </w:tcPr>
          <w:p w14:paraId="0000017B">
            <w:pPr>
              <w:spacing w:after="0"/>
            </w:pPr>
          </w:p>
        </w:tc>
        <w:tc>
          <w:tcPr>
            <w:tcBorders>
              <w:top w:val="nil"/>
              <w:left w:val="nil"/>
              <w:bottom w:val="nil"/>
              <w:right w:val="nil"/>
            </w:tcBorders>
            <w:vAlign w:val="bottom"/>
          </w:tcPr>
          <w:p w14:paraId="0000017C">
            <w:pPr>
              <w:spacing w:after="0"/>
            </w:pPr>
          </w:p>
        </w:tc>
        <w:tc>
          <w:tcPr>
            <w:tcBorders>
              <w:top w:val="nil"/>
              <w:left w:val="nil"/>
              <w:bottom w:val="nil"/>
              <w:right w:val="nil"/>
            </w:tcBorders>
            <w:vAlign w:val="bottom"/>
          </w:tcPr>
          <w:p w14:paraId="0000017D">
            <w:pPr>
              <w:spacing w:after="0"/>
            </w:pPr>
          </w:p>
        </w:tc>
        <w:tc>
          <w:tcPr>
            <w:tcBorders>
              <w:top w:val="nil"/>
              <w:left w:val="nil"/>
              <w:bottom w:val="nil"/>
              <w:right w:val="nil"/>
            </w:tcBorders>
            <w:vAlign w:val="bottom"/>
          </w:tcPr>
          <w:p w14:paraId="0000017E">
            <w:pPr>
              <w:spacing w:after="0"/>
            </w:pPr>
          </w:p>
        </w:tc>
        <w:tc>
          <w:tcPr>
            <w:tcBorders>
              <w:top w:val="nil"/>
              <w:left w:val="nil"/>
              <w:bottom w:val="nil"/>
              <w:right w:val="nil"/>
            </w:tcBorders>
            <w:vAlign w:val="bottom"/>
          </w:tcPr>
          <w:p w14:paraId="0000017F">
            <w:pPr>
              <w:spacing w:after="0"/>
            </w:pPr>
          </w:p>
        </w:tc>
        <w:tc>
          <w:tcPr>
            <w:tcBorders>
              <w:top w:val="nil"/>
              <w:left w:val="nil"/>
              <w:bottom w:val="nil"/>
              <w:right w:val="nil"/>
            </w:tcBorders>
            <w:vAlign w:val="bottom"/>
          </w:tcPr>
          <w:p w14:paraId="00000180">
            <w:pPr>
              <w:spacing w:after="0"/>
            </w:pPr>
          </w:p>
        </w:tc>
      </w:tr>
      <w:tr w14:paraId="66F4584B">
        <w:tblPrEx>
          <w:tblCellMar>
            <w:top w:w="0" w:type="dxa"/>
            <w:left w:w="115" w:type="dxa"/>
            <w:bottom w:w="0" w:type="dxa"/>
            <w:right w:w="115" w:type="dxa"/>
          </w:tblCellMar>
        </w:tblPrEx>
        <w:trPr>
          <w:trHeight w:val="360" w:hRule="atLeast"/>
        </w:trPr>
        <w:tc>
          <w:tcPr>
            <w:gridSpan w:val="3"/>
            <w:tcBorders>
              <w:top w:val="nil"/>
              <w:left w:val="nil"/>
              <w:bottom w:val="nil"/>
              <w:right w:val="nil"/>
            </w:tcBorders>
            <w:vAlign w:val="center"/>
          </w:tcPr>
          <w:p w14:paraId="00000181">
            <w:pPr>
              <w:spacing w:after="0"/>
              <w:rPr>
                <w:b/>
                <w:bCs/>
              </w:rPr>
            </w:pPr>
            <w:r>
              <w:rPr>
                <w:b/>
                <w:bCs/>
                <w:rtl w:val="0"/>
              </w:rPr>
              <w:t>Acid Test (Quick) Ratio</w:t>
            </w:r>
          </w:p>
        </w:tc>
        <w:tc>
          <w:tcPr>
            <w:tcBorders>
              <w:top w:val="nil"/>
              <w:left w:val="nil"/>
              <w:bottom w:val="nil"/>
              <w:right w:val="nil"/>
            </w:tcBorders>
            <w:vAlign w:val="bottom"/>
          </w:tcPr>
          <w:p w14:paraId="00000184">
            <w:pPr>
              <w:spacing w:after="0"/>
              <w:rPr>
                <w:b/>
                <w:bCs/>
              </w:rPr>
            </w:pPr>
          </w:p>
        </w:tc>
        <w:tc>
          <w:tcPr>
            <w:tcBorders>
              <w:top w:val="nil"/>
              <w:left w:val="nil"/>
              <w:bottom w:val="nil"/>
              <w:right w:val="nil"/>
            </w:tcBorders>
            <w:vAlign w:val="bottom"/>
          </w:tcPr>
          <w:p w14:paraId="00000185">
            <w:pPr>
              <w:spacing w:after="0"/>
            </w:pPr>
          </w:p>
        </w:tc>
        <w:tc>
          <w:tcPr>
            <w:tcBorders>
              <w:top w:val="nil"/>
              <w:left w:val="nil"/>
              <w:bottom w:val="nil"/>
              <w:right w:val="nil"/>
            </w:tcBorders>
            <w:vAlign w:val="bottom"/>
          </w:tcPr>
          <w:p w14:paraId="00000186">
            <w:pPr>
              <w:spacing w:after="0"/>
            </w:pPr>
          </w:p>
        </w:tc>
        <w:tc>
          <w:tcPr>
            <w:tcBorders>
              <w:top w:val="nil"/>
              <w:left w:val="nil"/>
              <w:bottom w:val="nil"/>
              <w:right w:val="nil"/>
            </w:tcBorders>
            <w:vAlign w:val="bottom"/>
          </w:tcPr>
          <w:p w14:paraId="00000187">
            <w:pPr>
              <w:spacing w:after="0"/>
            </w:pPr>
          </w:p>
        </w:tc>
      </w:tr>
      <w:tr w14:paraId="0FD494D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88">
            <w:pPr>
              <w:spacing w:after="0"/>
            </w:pPr>
          </w:p>
        </w:tc>
        <w:tc>
          <w:tcPr>
            <w:tcBorders>
              <w:top w:val="nil"/>
              <w:left w:val="nil"/>
              <w:bottom w:val="nil"/>
              <w:right w:val="nil"/>
            </w:tcBorders>
            <w:vAlign w:val="bottom"/>
          </w:tcPr>
          <w:p w14:paraId="00000189">
            <w:pPr>
              <w:spacing w:after="0"/>
            </w:pPr>
          </w:p>
        </w:tc>
        <w:tc>
          <w:tcPr>
            <w:tcBorders>
              <w:top w:val="nil"/>
              <w:left w:val="nil"/>
              <w:bottom w:val="nil"/>
              <w:right w:val="nil"/>
            </w:tcBorders>
            <w:vAlign w:val="bottom"/>
          </w:tcPr>
          <w:p w14:paraId="0000018A">
            <w:pPr>
              <w:spacing w:after="0"/>
            </w:pPr>
          </w:p>
        </w:tc>
        <w:tc>
          <w:tcPr>
            <w:tcBorders>
              <w:top w:val="nil"/>
              <w:left w:val="nil"/>
              <w:bottom w:val="nil"/>
              <w:right w:val="nil"/>
            </w:tcBorders>
            <w:vAlign w:val="bottom"/>
          </w:tcPr>
          <w:p w14:paraId="0000018B">
            <w:pPr>
              <w:spacing w:after="0"/>
            </w:pPr>
          </w:p>
        </w:tc>
        <w:tc>
          <w:tcPr>
            <w:tcBorders>
              <w:top w:val="nil"/>
              <w:left w:val="nil"/>
              <w:bottom w:val="nil"/>
              <w:right w:val="nil"/>
            </w:tcBorders>
            <w:vAlign w:val="bottom"/>
          </w:tcPr>
          <w:p w14:paraId="0000018C">
            <w:pPr>
              <w:spacing w:after="0"/>
            </w:pPr>
          </w:p>
        </w:tc>
        <w:tc>
          <w:tcPr>
            <w:tcBorders>
              <w:top w:val="nil"/>
              <w:left w:val="nil"/>
              <w:bottom w:val="nil"/>
              <w:right w:val="nil"/>
            </w:tcBorders>
            <w:vAlign w:val="bottom"/>
          </w:tcPr>
          <w:p w14:paraId="0000018D">
            <w:pPr>
              <w:spacing w:after="0"/>
            </w:pPr>
          </w:p>
        </w:tc>
        <w:tc>
          <w:tcPr>
            <w:tcBorders>
              <w:top w:val="nil"/>
              <w:left w:val="nil"/>
              <w:bottom w:val="nil"/>
              <w:right w:val="nil"/>
            </w:tcBorders>
            <w:vAlign w:val="bottom"/>
          </w:tcPr>
          <w:p w14:paraId="0000018E">
            <w:pPr>
              <w:spacing w:after="0"/>
            </w:pPr>
          </w:p>
        </w:tc>
      </w:tr>
      <w:tr w14:paraId="17E3E4F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8F">
            <w:pPr>
              <w:spacing w:after="0"/>
              <w:rPr>
                <w:b/>
                <w:bCs/>
              </w:rPr>
            </w:pPr>
            <w:r>
              <w:rPr>
                <w:b/>
                <w:bCs/>
                <w:rtl w:val="0"/>
              </w:rPr>
              <w:t>Formula:</w:t>
            </w:r>
          </w:p>
        </w:tc>
        <w:tc>
          <w:tcPr>
            <w:tcBorders>
              <w:top w:val="nil"/>
              <w:left w:val="nil"/>
              <w:bottom w:val="nil"/>
              <w:right w:val="nil"/>
            </w:tcBorders>
            <w:vAlign w:val="bottom"/>
          </w:tcPr>
          <w:p w14:paraId="00000190">
            <w:pPr>
              <w:spacing w:after="0"/>
              <w:rPr>
                <w:b/>
                <w:bCs/>
              </w:rPr>
            </w:pPr>
          </w:p>
        </w:tc>
        <w:tc>
          <w:tcPr>
            <w:tcBorders>
              <w:top w:val="nil"/>
              <w:left w:val="nil"/>
              <w:bottom w:val="nil"/>
              <w:right w:val="nil"/>
            </w:tcBorders>
            <w:vAlign w:val="bottom"/>
          </w:tcPr>
          <w:p w14:paraId="00000191">
            <w:pPr>
              <w:spacing w:after="0"/>
            </w:pPr>
          </w:p>
        </w:tc>
        <w:tc>
          <w:tcPr>
            <w:tcBorders>
              <w:top w:val="nil"/>
              <w:left w:val="nil"/>
              <w:bottom w:val="nil"/>
              <w:right w:val="nil"/>
            </w:tcBorders>
            <w:vAlign w:val="bottom"/>
          </w:tcPr>
          <w:p w14:paraId="00000192">
            <w:pPr>
              <w:spacing w:after="0"/>
            </w:pPr>
          </w:p>
        </w:tc>
        <w:tc>
          <w:tcPr>
            <w:tcBorders>
              <w:top w:val="nil"/>
              <w:left w:val="nil"/>
              <w:bottom w:val="nil"/>
              <w:right w:val="nil"/>
            </w:tcBorders>
            <w:vAlign w:val="bottom"/>
          </w:tcPr>
          <w:p w14:paraId="00000193">
            <w:pPr>
              <w:spacing w:after="0"/>
            </w:pPr>
          </w:p>
        </w:tc>
        <w:tc>
          <w:tcPr>
            <w:tcBorders>
              <w:top w:val="nil"/>
              <w:left w:val="nil"/>
              <w:bottom w:val="nil"/>
              <w:right w:val="nil"/>
            </w:tcBorders>
            <w:vAlign w:val="bottom"/>
          </w:tcPr>
          <w:p w14:paraId="00000194">
            <w:pPr>
              <w:spacing w:after="0"/>
            </w:pPr>
          </w:p>
        </w:tc>
        <w:tc>
          <w:tcPr>
            <w:tcBorders>
              <w:top w:val="nil"/>
              <w:left w:val="nil"/>
              <w:bottom w:val="nil"/>
              <w:right w:val="nil"/>
            </w:tcBorders>
            <w:vAlign w:val="bottom"/>
          </w:tcPr>
          <w:p w14:paraId="00000195">
            <w:pPr>
              <w:spacing w:after="0"/>
            </w:pPr>
          </w:p>
        </w:tc>
      </w:tr>
      <w:tr w14:paraId="7C0ACFBA">
        <w:tblPrEx>
          <w:tblCellMar>
            <w:top w:w="0" w:type="dxa"/>
            <w:left w:w="115" w:type="dxa"/>
            <w:bottom w:w="0" w:type="dxa"/>
            <w:right w:w="115" w:type="dxa"/>
          </w:tblCellMar>
        </w:tblPrEx>
        <w:trPr>
          <w:trHeight w:val="288" w:hRule="atLeast"/>
        </w:trPr>
        <w:tc>
          <w:tcPr>
            <w:gridSpan w:val="7"/>
            <w:tcBorders>
              <w:top w:val="nil"/>
              <w:left w:val="nil"/>
              <w:bottom w:val="nil"/>
              <w:right w:val="nil"/>
            </w:tcBorders>
            <w:vAlign w:val="bottom"/>
          </w:tcPr>
          <w:p w14:paraId="00000196">
            <w:pPr>
              <w:spacing w:after="0"/>
            </w:pPr>
            <w:r>
              <w:rPr>
                <w:rFonts w:ascii="Gungsuh" w:hAnsi="Gungsuh" w:eastAsia="Gungsuh" w:cs="Gungsuh"/>
                <w:rtl w:val="0"/>
              </w:rPr>
              <w:t>Acid Test Ratio = (Total Current Assets − Inventories) ÷ Total Current Liabilities</w:t>
            </w:r>
          </w:p>
        </w:tc>
      </w:tr>
      <w:tr w14:paraId="0142867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9D">
            <w:pPr>
              <w:spacing w:after="0"/>
            </w:pPr>
          </w:p>
        </w:tc>
        <w:tc>
          <w:tcPr>
            <w:tcBorders>
              <w:top w:val="nil"/>
              <w:left w:val="nil"/>
              <w:bottom w:val="nil"/>
              <w:right w:val="nil"/>
            </w:tcBorders>
            <w:vAlign w:val="bottom"/>
          </w:tcPr>
          <w:p w14:paraId="0000019E">
            <w:pPr>
              <w:spacing w:after="0"/>
            </w:pPr>
          </w:p>
        </w:tc>
        <w:tc>
          <w:tcPr>
            <w:tcBorders>
              <w:top w:val="nil"/>
              <w:left w:val="nil"/>
              <w:bottom w:val="nil"/>
              <w:right w:val="nil"/>
            </w:tcBorders>
            <w:vAlign w:val="bottom"/>
          </w:tcPr>
          <w:p w14:paraId="0000019F">
            <w:pPr>
              <w:spacing w:after="0"/>
            </w:pPr>
          </w:p>
        </w:tc>
        <w:tc>
          <w:tcPr>
            <w:tcBorders>
              <w:top w:val="nil"/>
              <w:left w:val="nil"/>
              <w:bottom w:val="nil"/>
              <w:right w:val="nil"/>
            </w:tcBorders>
            <w:vAlign w:val="bottom"/>
          </w:tcPr>
          <w:p w14:paraId="000001A0">
            <w:pPr>
              <w:spacing w:after="0"/>
            </w:pPr>
          </w:p>
        </w:tc>
        <w:tc>
          <w:tcPr>
            <w:tcBorders>
              <w:top w:val="nil"/>
              <w:left w:val="nil"/>
              <w:bottom w:val="nil"/>
              <w:right w:val="nil"/>
            </w:tcBorders>
            <w:vAlign w:val="bottom"/>
          </w:tcPr>
          <w:p w14:paraId="000001A1">
            <w:pPr>
              <w:spacing w:after="0"/>
            </w:pPr>
          </w:p>
        </w:tc>
        <w:tc>
          <w:tcPr>
            <w:tcBorders>
              <w:top w:val="nil"/>
              <w:left w:val="nil"/>
              <w:bottom w:val="nil"/>
              <w:right w:val="nil"/>
            </w:tcBorders>
            <w:vAlign w:val="bottom"/>
          </w:tcPr>
          <w:p w14:paraId="000001A2">
            <w:pPr>
              <w:spacing w:after="0"/>
            </w:pPr>
          </w:p>
        </w:tc>
        <w:tc>
          <w:tcPr>
            <w:tcBorders>
              <w:top w:val="nil"/>
              <w:left w:val="nil"/>
              <w:bottom w:val="nil"/>
              <w:right w:val="nil"/>
            </w:tcBorders>
            <w:vAlign w:val="bottom"/>
          </w:tcPr>
          <w:p w14:paraId="000001A3">
            <w:pPr>
              <w:spacing w:after="0"/>
            </w:pPr>
          </w:p>
        </w:tc>
      </w:tr>
      <w:tr w14:paraId="5D70760C">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1A4">
            <w:pPr>
              <w:spacing w:after="0"/>
              <w:rPr>
                <w:b/>
                <w:bCs/>
              </w:rPr>
            </w:pPr>
            <w:r>
              <w:rPr>
                <w:b/>
                <w:bCs/>
                <w:rtl w:val="0"/>
              </w:rPr>
              <w:t>Year</w:t>
            </w:r>
          </w:p>
        </w:tc>
        <w:tc>
          <w:tcPr>
            <w:tcBorders>
              <w:top w:val="nil"/>
              <w:left w:val="nil"/>
              <w:bottom w:val="nil"/>
              <w:right w:val="nil"/>
            </w:tcBorders>
            <w:vAlign w:val="center"/>
          </w:tcPr>
          <w:p w14:paraId="000001A5">
            <w:pPr>
              <w:spacing w:after="0"/>
              <w:rPr>
                <w:b/>
                <w:bCs/>
              </w:rPr>
            </w:pPr>
            <w:r>
              <w:rPr>
                <w:b/>
                <w:bCs/>
                <w:rtl w:val="0"/>
              </w:rPr>
              <w:t>Current Assets</w:t>
            </w:r>
          </w:p>
        </w:tc>
        <w:tc>
          <w:tcPr>
            <w:tcBorders>
              <w:top w:val="nil"/>
              <w:left w:val="nil"/>
              <w:bottom w:val="nil"/>
              <w:right w:val="nil"/>
            </w:tcBorders>
            <w:vAlign w:val="center"/>
          </w:tcPr>
          <w:p w14:paraId="000001A6">
            <w:pPr>
              <w:spacing w:after="0"/>
              <w:rPr>
                <w:b/>
                <w:bCs/>
              </w:rPr>
            </w:pPr>
            <w:r>
              <w:rPr>
                <w:b/>
                <w:bCs/>
                <w:rtl w:val="0"/>
              </w:rPr>
              <w:t>Inventories</w:t>
            </w:r>
          </w:p>
        </w:tc>
        <w:tc>
          <w:tcPr>
            <w:tcBorders>
              <w:top w:val="nil"/>
              <w:left w:val="nil"/>
              <w:bottom w:val="nil"/>
              <w:right w:val="nil"/>
            </w:tcBorders>
            <w:vAlign w:val="center"/>
          </w:tcPr>
          <w:p w14:paraId="000001A7">
            <w:pPr>
              <w:spacing w:after="0"/>
              <w:rPr>
                <w:b/>
                <w:bCs/>
              </w:rPr>
            </w:pPr>
            <w:r>
              <w:rPr>
                <w:b/>
                <w:bCs/>
                <w:rtl w:val="0"/>
              </w:rPr>
              <w:t>Current Liabilities</w:t>
            </w:r>
          </w:p>
        </w:tc>
        <w:tc>
          <w:tcPr>
            <w:tcBorders>
              <w:top w:val="nil"/>
              <w:left w:val="nil"/>
              <w:bottom w:val="nil"/>
              <w:right w:val="nil"/>
            </w:tcBorders>
            <w:vAlign w:val="center"/>
          </w:tcPr>
          <w:p w14:paraId="000001A8">
            <w:pPr>
              <w:spacing w:after="0"/>
              <w:rPr>
                <w:b/>
                <w:bCs/>
              </w:rPr>
            </w:pPr>
            <w:r>
              <w:rPr>
                <w:b/>
                <w:bCs/>
                <w:rtl w:val="0"/>
              </w:rPr>
              <w:t>Calculation</w:t>
            </w:r>
          </w:p>
        </w:tc>
        <w:tc>
          <w:tcPr>
            <w:tcBorders>
              <w:top w:val="nil"/>
              <w:left w:val="nil"/>
              <w:bottom w:val="nil"/>
              <w:right w:val="nil"/>
            </w:tcBorders>
            <w:vAlign w:val="center"/>
          </w:tcPr>
          <w:p w14:paraId="000001A9">
            <w:pPr>
              <w:spacing w:after="0"/>
              <w:rPr>
                <w:b/>
                <w:bCs/>
              </w:rPr>
            </w:pPr>
            <w:r>
              <w:rPr>
                <w:b/>
                <w:bCs/>
                <w:rtl w:val="0"/>
              </w:rPr>
              <w:t>Acid Test Ratio</w:t>
            </w:r>
          </w:p>
        </w:tc>
        <w:tc>
          <w:tcPr>
            <w:tcBorders>
              <w:top w:val="nil"/>
              <w:left w:val="nil"/>
              <w:bottom w:val="nil"/>
              <w:right w:val="nil"/>
            </w:tcBorders>
            <w:vAlign w:val="bottom"/>
          </w:tcPr>
          <w:p w14:paraId="000001AA">
            <w:pPr>
              <w:spacing w:after="0"/>
              <w:rPr>
                <w:b/>
                <w:bCs/>
              </w:rPr>
            </w:pPr>
          </w:p>
        </w:tc>
      </w:tr>
      <w:tr w14:paraId="43D6F2C1">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1AB">
            <w:pPr>
              <w:spacing w:after="0"/>
            </w:pPr>
            <w:r>
              <w:rPr>
                <w:rtl w:val="0"/>
              </w:rPr>
              <w:t>2024</w:t>
            </w:r>
          </w:p>
        </w:tc>
        <w:tc>
          <w:tcPr>
            <w:tcBorders>
              <w:top w:val="nil"/>
              <w:left w:val="nil"/>
              <w:bottom w:val="nil"/>
              <w:right w:val="nil"/>
            </w:tcBorders>
            <w:vAlign w:val="center"/>
          </w:tcPr>
          <w:p w14:paraId="000001AC">
            <w:pPr>
              <w:spacing w:after="0"/>
            </w:pPr>
            <w:r>
              <w:rPr>
                <w:rtl w:val="0"/>
              </w:rPr>
              <w:t>2,42,494</w:t>
            </w:r>
          </w:p>
        </w:tc>
        <w:tc>
          <w:tcPr>
            <w:tcBorders>
              <w:top w:val="nil"/>
              <w:left w:val="nil"/>
              <w:bottom w:val="nil"/>
              <w:right w:val="nil"/>
            </w:tcBorders>
            <w:vAlign w:val="center"/>
          </w:tcPr>
          <w:p w14:paraId="000001AD">
            <w:pPr>
              <w:spacing w:after="0"/>
            </w:pPr>
            <w:r>
              <w:rPr>
                <w:rtl w:val="0"/>
              </w:rPr>
              <w:t>79,355</w:t>
            </w:r>
          </w:p>
        </w:tc>
        <w:tc>
          <w:tcPr>
            <w:tcBorders>
              <w:top w:val="nil"/>
              <w:left w:val="nil"/>
              <w:bottom w:val="nil"/>
              <w:right w:val="nil"/>
            </w:tcBorders>
            <w:vAlign w:val="center"/>
          </w:tcPr>
          <w:p w14:paraId="000001AE">
            <w:pPr>
              <w:spacing w:after="0"/>
            </w:pPr>
            <w:r>
              <w:rPr>
                <w:rtl w:val="0"/>
              </w:rPr>
              <w:t>1,58,291</w:t>
            </w:r>
          </w:p>
        </w:tc>
        <w:tc>
          <w:tcPr>
            <w:tcBorders>
              <w:top w:val="nil"/>
              <w:left w:val="nil"/>
              <w:bottom w:val="nil"/>
              <w:right w:val="nil"/>
            </w:tcBorders>
            <w:vAlign w:val="center"/>
          </w:tcPr>
          <w:p w14:paraId="000001AF">
            <w:pPr>
              <w:spacing w:after="0"/>
            </w:pPr>
            <w:r>
              <w:rPr>
                <w:rFonts w:ascii="Gungsuh" w:hAnsi="Gungsuh" w:eastAsia="Gungsuh" w:cs="Gungsuh"/>
                <w:rtl w:val="0"/>
              </w:rPr>
              <w:t>(242,494 − 79,355) ÷ 158,291</w:t>
            </w:r>
          </w:p>
        </w:tc>
        <w:tc>
          <w:tcPr>
            <w:tcBorders>
              <w:top w:val="nil"/>
              <w:left w:val="nil"/>
              <w:bottom w:val="nil"/>
              <w:right w:val="nil"/>
            </w:tcBorders>
            <w:vAlign w:val="center"/>
          </w:tcPr>
          <w:p w14:paraId="000001B0">
            <w:pPr>
              <w:spacing w:after="0"/>
              <w:rPr>
                <w:b/>
                <w:bCs/>
              </w:rPr>
            </w:pPr>
            <w:r>
              <w:rPr>
                <w:b/>
                <w:bCs/>
                <w:rtl w:val="0"/>
              </w:rPr>
              <w:t>1.03</w:t>
            </w:r>
          </w:p>
        </w:tc>
        <w:tc>
          <w:tcPr>
            <w:tcBorders>
              <w:top w:val="nil"/>
              <w:left w:val="nil"/>
              <w:bottom w:val="nil"/>
              <w:right w:val="nil"/>
            </w:tcBorders>
            <w:vAlign w:val="bottom"/>
          </w:tcPr>
          <w:p w14:paraId="000001B1">
            <w:pPr>
              <w:spacing w:after="0"/>
              <w:rPr>
                <w:b/>
                <w:bCs/>
              </w:rPr>
            </w:pPr>
          </w:p>
        </w:tc>
      </w:tr>
      <w:tr w14:paraId="62767883">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1B2">
            <w:pPr>
              <w:spacing w:after="0"/>
            </w:pPr>
            <w:r>
              <w:rPr>
                <w:rtl w:val="0"/>
              </w:rPr>
              <w:t>2023</w:t>
            </w:r>
          </w:p>
        </w:tc>
        <w:tc>
          <w:tcPr>
            <w:tcBorders>
              <w:top w:val="nil"/>
              <w:left w:val="nil"/>
              <w:bottom w:val="nil"/>
              <w:right w:val="nil"/>
            </w:tcBorders>
            <w:vAlign w:val="center"/>
          </w:tcPr>
          <w:p w14:paraId="000001B3">
            <w:pPr>
              <w:spacing w:after="0"/>
            </w:pPr>
            <w:r>
              <w:rPr>
                <w:rtl w:val="0"/>
              </w:rPr>
              <w:t>2,58,851</w:t>
            </w:r>
          </w:p>
        </w:tc>
        <w:tc>
          <w:tcPr>
            <w:tcBorders>
              <w:top w:val="nil"/>
              <w:left w:val="nil"/>
              <w:bottom w:val="nil"/>
              <w:right w:val="nil"/>
            </w:tcBorders>
            <w:vAlign w:val="center"/>
          </w:tcPr>
          <w:p w14:paraId="000001B4">
            <w:pPr>
              <w:spacing w:after="0"/>
            </w:pPr>
            <w:r>
              <w:rPr>
                <w:rtl w:val="0"/>
              </w:rPr>
              <w:t>88,273</w:t>
            </w:r>
          </w:p>
        </w:tc>
        <w:tc>
          <w:tcPr>
            <w:tcBorders>
              <w:top w:val="nil"/>
              <w:left w:val="nil"/>
              <w:bottom w:val="nil"/>
              <w:right w:val="nil"/>
            </w:tcBorders>
            <w:vAlign w:val="center"/>
          </w:tcPr>
          <w:p w14:paraId="000001B5">
            <w:pPr>
              <w:spacing w:after="0"/>
            </w:pPr>
            <w:r>
              <w:rPr>
                <w:rtl w:val="0"/>
              </w:rPr>
              <w:t>1,61,148</w:t>
            </w:r>
          </w:p>
        </w:tc>
        <w:tc>
          <w:tcPr>
            <w:tcBorders>
              <w:top w:val="nil"/>
              <w:left w:val="nil"/>
              <w:bottom w:val="nil"/>
              <w:right w:val="nil"/>
            </w:tcBorders>
            <w:vAlign w:val="center"/>
          </w:tcPr>
          <w:p w14:paraId="000001B6">
            <w:pPr>
              <w:spacing w:after="0"/>
            </w:pPr>
            <w:r>
              <w:rPr>
                <w:rFonts w:ascii="Gungsuh" w:hAnsi="Gungsuh" w:eastAsia="Gungsuh" w:cs="Gungsuh"/>
                <w:rtl w:val="0"/>
              </w:rPr>
              <w:t>(258,851 − 88,273) ÷ 161,148</w:t>
            </w:r>
          </w:p>
        </w:tc>
        <w:tc>
          <w:tcPr>
            <w:tcBorders>
              <w:top w:val="nil"/>
              <w:left w:val="nil"/>
              <w:bottom w:val="nil"/>
              <w:right w:val="nil"/>
            </w:tcBorders>
            <w:vAlign w:val="center"/>
          </w:tcPr>
          <w:p w14:paraId="000001B7">
            <w:pPr>
              <w:spacing w:after="0"/>
              <w:rPr>
                <w:b/>
                <w:bCs/>
              </w:rPr>
            </w:pPr>
            <w:r>
              <w:rPr>
                <w:b/>
                <w:bCs/>
                <w:rtl w:val="0"/>
              </w:rPr>
              <w:t>1.06</w:t>
            </w:r>
          </w:p>
        </w:tc>
        <w:tc>
          <w:tcPr>
            <w:tcBorders>
              <w:top w:val="nil"/>
              <w:left w:val="nil"/>
              <w:bottom w:val="nil"/>
              <w:right w:val="nil"/>
            </w:tcBorders>
            <w:vAlign w:val="bottom"/>
          </w:tcPr>
          <w:p w14:paraId="000001B8">
            <w:pPr>
              <w:spacing w:after="0"/>
              <w:rPr>
                <w:b/>
                <w:bCs/>
              </w:rPr>
            </w:pPr>
          </w:p>
        </w:tc>
      </w:tr>
      <w:tr w14:paraId="02244AD3">
        <w:tblPrEx>
          <w:tblCellMar>
            <w:top w:w="0" w:type="dxa"/>
            <w:left w:w="115" w:type="dxa"/>
            <w:bottom w:w="0" w:type="dxa"/>
            <w:right w:w="115" w:type="dxa"/>
          </w:tblCellMar>
        </w:tblPrEx>
        <w:trPr>
          <w:trHeight w:val="1152" w:hRule="atLeast"/>
        </w:trPr>
        <w:tc>
          <w:tcPr>
            <w:tcBorders>
              <w:top w:val="nil"/>
              <w:left w:val="nil"/>
              <w:bottom w:val="nil"/>
              <w:right w:val="nil"/>
            </w:tcBorders>
            <w:vAlign w:val="center"/>
          </w:tcPr>
          <w:p w14:paraId="000001B9">
            <w:pPr>
              <w:spacing w:after="0"/>
            </w:pPr>
            <w:r>
              <w:rPr>
                <w:rtl w:val="0"/>
              </w:rPr>
              <w:t>2022</w:t>
            </w:r>
          </w:p>
        </w:tc>
        <w:tc>
          <w:tcPr>
            <w:tcBorders>
              <w:top w:val="nil"/>
              <w:left w:val="nil"/>
              <w:bottom w:val="nil"/>
              <w:right w:val="nil"/>
            </w:tcBorders>
            <w:vAlign w:val="center"/>
          </w:tcPr>
          <w:p w14:paraId="000001BA">
            <w:pPr>
              <w:spacing w:after="0"/>
            </w:pPr>
            <w:r>
              <w:rPr>
                <w:rtl w:val="0"/>
              </w:rPr>
              <w:t>3,38,040</w:t>
            </w:r>
          </w:p>
        </w:tc>
        <w:tc>
          <w:tcPr>
            <w:tcBorders>
              <w:top w:val="nil"/>
              <w:left w:val="nil"/>
              <w:bottom w:val="nil"/>
              <w:right w:val="nil"/>
            </w:tcBorders>
            <w:vAlign w:val="center"/>
          </w:tcPr>
          <w:p w14:paraId="000001BB">
            <w:pPr>
              <w:spacing w:after="0"/>
            </w:pPr>
            <w:r>
              <w:rPr>
                <w:rtl w:val="0"/>
              </w:rPr>
              <w:t>1,40,181</w:t>
            </w:r>
          </w:p>
        </w:tc>
        <w:tc>
          <w:tcPr>
            <w:tcBorders>
              <w:top w:val="nil"/>
              <w:left w:val="nil"/>
              <w:bottom w:val="nil"/>
              <w:right w:val="nil"/>
            </w:tcBorders>
            <w:vAlign w:val="center"/>
          </w:tcPr>
          <w:p w14:paraId="000001BC">
            <w:pPr>
              <w:spacing w:after="0"/>
            </w:pPr>
            <w:r>
              <w:rPr>
                <w:rtl w:val="0"/>
              </w:rPr>
              <w:t>2,16,473</w:t>
            </w:r>
          </w:p>
        </w:tc>
        <w:tc>
          <w:tcPr>
            <w:tcBorders>
              <w:top w:val="nil"/>
              <w:left w:val="nil"/>
              <w:bottom w:val="nil"/>
              <w:right w:val="nil"/>
            </w:tcBorders>
            <w:vAlign w:val="center"/>
          </w:tcPr>
          <w:p w14:paraId="000001BD">
            <w:pPr>
              <w:spacing w:after="0"/>
            </w:pPr>
            <w:r>
              <w:rPr>
                <w:rFonts w:ascii="Gungsuh" w:hAnsi="Gungsuh" w:eastAsia="Gungsuh" w:cs="Gungsuh"/>
                <w:rtl w:val="0"/>
              </w:rPr>
              <w:t>(338,040 − 140,181) ÷ 216,473</w:t>
            </w:r>
          </w:p>
        </w:tc>
        <w:tc>
          <w:tcPr>
            <w:tcBorders>
              <w:top w:val="nil"/>
              <w:left w:val="nil"/>
              <w:bottom w:val="nil"/>
              <w:right w:val="nil"/>
            </w:tcBorders>
            <w:vAlign w:val="center"/>
          </w:tcPr>
          <w:p w14:paraId="000001BE">
            <w:pPr>
              <w:spacing w:after="0"/>
              <w:rPr>
                <w:b/>
                <w:bCs/>
              </w:rPr>
            </w:pPr>
            <w:r>
              <w:rPr>
                <w:b/>
                <w:bCs/>
                <w:rtl w:val="0"/>
              </w:rPr>
              <w:t>0.91</w:t>
            </w:r>
          </w:p>
        </w:tc>
        <w:tc>
          <w:tcPr>
            <w:tcBorders>
              <w:top w:val="nil"/>
              <w:left w:val="nil"/>
              <w:bottom w:val="nil"/>
              <w:right w:val="nil"/>
            </w:tcBorders>
            <w:vAlign w:val="bottom"/>
          </w:tcPr>
          <w:p w14:paraId="000001BF">
            <w:pPr>
              <w:spacing w:after="0"/>
              <w:rPr>
                <w:b/>
                <w:bCs/>
              </w:rPr>
            </w:pPr>
          </w:p>
        </w:tc>
      </w:tr>
      <w:tr w14:paraId="7223AEC0">
        <w:tblPrEx>
          <w:tblCellMar>
            <w:top w:w="0" w:type="dxa"/>
            <w:left w:w="115" w:type="dxa"/>
            <w:bottom w:w="0" w:type="dxa"/>
            <w:right w:w="115" w:type="dxa"/>
          </w:tblCellMar>
        </w:tblPrEx>
        <w:trPr>
          <w:trHeight w:val="1152" w:hRule="atLeast"/>
        </w:trPr>
        <w:tc>
          <w:tcPr>
            <w:tcBorders>
              <w:top w:val="nil"/>
              <w:left w:val="nil"/>
              <w:bottom w:val="nil"/>
              <w:right w:val="nil"/>
            </w:tcBorders>
            <w:vAlign w:val="center"/>
          </w:tcPr>
          <w:p w14:paraId="000001C0">
            <w:pPr>
              <w:spacing w:after="0"/>
            </w:pPr>
            <w:r>
              <w:rPr>
                <w:rtl w:val="0"/>
              </w:rPr>
              <w:t>2021</w:t>
            </w:r>
          </w:p>
        </w:tc>
        <w:tc>
          <w:tcPr>
            <w:tcBorders>
              <w:top w:val="nil"/>
              <w:left w:val="nil"/>
              <w:bottom w:val="nil"/>
              <w:right w:val="nil"/>
            </w:tcBorders>
            <w:vAlign w:val="center"/>
          </w:tcPr>
          <w:p w14:paraId="000001C1">
            <w:pPr>
              <w:spacing w:after="0"/>
            </w:pPr>
            <w:r>
              <w:rPr>
                <w:rtl w:val="0"/>
              </w:rPr>
              <w:t>3,37,146</w:t>
            </w:r>
          </w:p>
        </w:tc>
        <w:tc>
          <w:tcPr>
            <w:tcBorders>
              <w:top w:val="nil"/>
              <w:left w:val="nil"/>
              <w:bottom w:val="nil"/>
              <w:right w:val="nil"/>
            </w:tcBorders>
            <w:vAlign w:val="center"/>
          </w:tcPr>
          <w:p w14:paraId="000001C2">
            <w:pPr>
              <w:spacing w:after="0"/>
            </w:pPr>
            <w:r>
              <w:rPr>
                <w:rtl w:val="0"/>
              </w:rPr>
              <w:t>1,34,469</w:t>
            </w:r>
          </w:p>
        </w:tc>
        <w:tc>
          <w:tcPr>
            <w:tcBorders>
              <w:top w:val="nil"/>
              <w:left w:val="nil"/>
              <w:bottom w:val="nil"/>
              <w:right w:val="nil"/>
            </w:tcBorders>
            <w:vAlign w:val="center"/>
          </w:tcPr>
          <w:p w14:paraId="000001C3">
            <w:pPr>
              <w:spacing w:after="0"/>
            </w:pPr>
            <w:r>
              <w:rPr>
                <w:rtl w:val="0"/>
              </w:rPr>
              <w:t>2,16,787</w:t>
            </w:r>
          </w:p>
        </w:tc>
        <w:tc>
          <w:tcPr>
            <w:tcBorders>
              <w:top w:val="nil"/>
              <w:left w:val="nil"/>
              <w:bottom w:val="nil"/>
              <w:right w:val="nil"/>
            </w:tcBorders>
            <w:vAlign w:val="center"/>
          </w:tcPr>
          <w:p w14:paraId="000001C4">
            <w:pPr>
              <w:spacing w:after="0"/>
            </w:pPr>
            <w:r>
              <w:rPr>
                <w:rFonts w:ascii="Gungsuh" w:hAnsi="Gungsuh" w:eastAsia="Gungsuh" w:cs="Gungsuh"/>
                <w:rtl w:val="0"/>
              </w:rPr>
              <w:t>(337,146 − 134,469) ÷ 216,787</w:t>
            </w:r>
          </w:p>
        </w:tc>
        <w:tc>
          <w:tcPr>
            <w:tcBorders>
              <w:top w:val="nil"/>
              <w:left w:val="nil"/>
              <w:bottom w:val="nil"/>
              <w:right w:val="nil"/>
            </w:tcBorders>
            <w:vAlign w:val="center"/>
          </w:tcPr>
          <w:p w14:paraId="000001C5">
            <w:pPr>
              <w:spacing w:after="0"/>
              <w:rPr>
                <w:b/>
                <w:bCs/>
              </w:rPr>
            </w:pPr>
            <w:r>
              <w:rPr>
                <w:b/>
                <w:bCs/>
                <w:rtl w:val="0"/>
              </w:rPr>
              <w:t>0.93</w:t>
            </w:r>
          </w:p>
        </w:tc>
        <w:tc>
          <w:tcPr>
            <w:tcBorders>
              <w:top w:val="nil"/>
              <w:left w:val="nil"/>
              <w:bottom w:val="nil"/>
              <w:right w:val="nil"/>
            </w:tcBorders>
            <w:vAlign w:val="bottom"/>
          </w:tcPr>
          <w:p w14:paraId="000001C6">
            <w:pPr>
              <w:spacing w:after="0"/>
              <w:rPr>
                <w:b/>
                <w:bCs/>
              </w:rPr>
            </w:pPr>
          </w:p>
        </w:tc>
      </w:tr>
      <w:tr w14:paraId="217F2FB0">
        <w:tblPrEx>
          <w:tblCellMar>
            <w:top w:w="0" w:type="dxa"/>
            <w:left w:w="115" w:type="dxa"/>
            <w:bottom w:w="0" w:type="dxa"/>
            <w:right w:w="115" w:type="dxa"/>
          </w:tblCellMar>
        </w:tblPrEx>
        <w:trPr>
          <w:trHeight w:val="1152" w:hRule="atLeast"/>
        </w:trPr>
        <w:tc>
          <w:tcPr>
            <w:tcBorders>
              <w:top w:val="nil"/>
              <w:left w:val="nil"/>
              <w:bottom w:val="nil"/>
              <w:right w:val="nil"/>
            </w:tcBorders>
            <w:vAlign w:val="center"/>
          </w:tcPr>
          <w:p w14:paraId="000001C7">
            <w:pPr>
              <w:spacing w:after="0"/>
            </w:pPr>
            <w:r>
              <w:rPr>
                <w:rtl w:val="0"/>
              </w:rPr>
              <w:t>2020</w:t>
            </w:r>
          </w:p>
        </w:tc>
        <w:tc>
          <w:tcPr>
            <w:tcBorders>
              <w:top w:val="nil"/>
              <w:left w:val="nil"/>
              <w:bottom w:val="nil"/>
              <w:right w:val="nil"/>
            </w:tcBorders>
            <w:vAlign w:val="center"/>
          </w:tcPr>
          <w:p w14:paraId="000001C8">
            <w:pPr>
              <w:spacing w:after="0"/>
            </w:pPr>
            <w:r>
              <w:rPr>
                <w:rtl w:val="0"/>
              </w:rPr>
              <w:t>3,26,843</w:t>
            </w:r>
          </w:p>
        </w:tc>
        <w:tc>
          <w:tcPr>
            <w:tcBorders>
              <w:top w:val="nil"/>
              <w:left w:val="nil"/>
              <w:bottom w:val="nil"/>
              <w:right w:val="nil"/>
            </w:tcBorders>
            <w:vAlign w:val="center"/>
          </w:tcPr>
          <w:p w14:paraId="000001C9">
            <w:pPr>
              <w:spacing w:after="0"/>
            </w:pPr>
            <w:r>
              <w:rPr>
                <w:rtl w:val="0"/>
              </w:rPr>
              <w:t>1,20,430</w:t>
            </w:r>
          </w:p>
        </w:tc>
        <w:tc>
          <w:tcPr>
            <w:tcBorders>
              <w:top w:val="nil"/>
              <w:left w:val="nil"/>
              <w:bottom w:val="nil"/>
              <w:right w:val="nil"/>
            </w:tcBorders>
            <w:vAlign w:val="center"/>
          </w:tcPr>
          <w:p w14:paraId="000001CA">
            <w:pPr>
              <w:spacing w:after="0"/>
            </w:pPr>
            <w:r>
              <w:rPr>
                <w:rtl w:val="0"/>
              </w:rPr>
              <w:t>1,79,510</w:t>
            </w:r>
          </w:p>
        </w:tc>
        <w:tc>
          <w:tcPr>
            <w:tcBorders>
              <w:top w:val="nil"/>
              <w:left w:val="nil"/>
              <w:bottom w:val="nil"/>
              <w:right w:val="nil"/>
            </w:tcBorders>
            <w:vAlign w:val="center"/>
          </w:tcPr>
          <w:p w14:paraId="000001CB">
            <w:pPr>
              <w:spacing w:after="0"/>
            </w:pPr>
            <w:r>
              <w:rPr>
                <w:rFonts w:ascii="Gungsuh" w:hAnsi="Gungsuh" w:eastAsia="Gungsuh" w:cs="Gungsuh"/>
                <w:rtl w:val="0"/>
              </w:rPr>
              <w:t>(326,843 − 120,430) ÷ 179,510</w:t>
            </w:r>
          </w:p>
        </w:tc>
        <w:tc>
          <w:tcPr>
            <w:tcBorders>
              <w:top w:val="nil"/>
              <w:left w:val="nil"/>
              <w:bottom w:val="nil"/>
              <w:right w:val="nil"/>
            </w:tcBorders>
            <w:vAlign w:val="center"/>
          </w:tcPr>
          <w:p w14:paraId="000001CC">
            <w:pPr>
              <w:spacing w:after="0"/>
              <w:rPr>
                <w:b/>
                <w:bCs/>
              </w:rPr>
            </w:pPr>
            <w:r>
              <w:rPr>
                <w:b/>
                <w:bCs/>
                <w:rtl w:val="0"/>
              </w:rPr>
              <w:t>1.15</w:t>
            </w:r>
          </w:p>
        </w:tc>
        <w:tc>
          <w:tcPr>
            <w:tcBorders>
              <w:top w:val="nil"/>
              <w:left w:val="nil"/>
              <w:bottom w:val="nil"/>
              <w:right w:val="nil"/>
            </w:tcBorders>
            <w:vAlign w:val="bottom"/>
          </w:tcPr>
          <w:p w14:paraId="000001CD">
            <w:pPr>
              <w:spacing w:after="0"/>
              <w:rPr>
                <w:b/>
                <w:bCs/>
              </w:rPr>
            </w:pPr>
          </w:p>
        </w:tc>
      </w:tr>
      <w:tr w14:paraId="657953DB">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CE">
            <w:pPr>
              <w:spacing w:after="0"/>
            </w:pPr>
          </w:p>
        </w:tc>
        <w:tc>
          <w:tcPr>
            <w:tcBorders>
              <w:top w:val="nil"/>
              <w:left w:val="nil"/>
              <w:bottom w:val="nil"/>
              <w:right w:val="nil"/>
            </w:tcBorders>
            <w:vAlign w:val="bottom"/>
          </w:tcPr>
          <w:p w14:paraId="000001CF">
            <w:pPr>
              <w:spacing w:after="0"/>
            </w:pPr>
          </w:p>
        </w:tc>
        <w:tc>
          <w:tcPr>
            <w:tcBorders>
              <w:top w:val="nil"/>
              <w:left w:val="nil"/>
              <w:bottom w:val="nil"/>
              <w:right w:val="nil"/>
            </w:tcBorders>
            <w:vAlign w:val="bottom"/>
          </w:tcPr>
          <w:p w14:paraId="000001D0">
            <w:pPr>
              <w:spacing w:after="0"/>
            </w:pPr>
          </w:p>
        </w:tc>
        <w:tc>
          <w:tcPr>
            <w:tcBorders>
              <w:top w:val="nil"/>
              <w:left w:val="nil"/>
              <w:bottom w:val="nil"/>
              <w:right w:val="nil"/>
            </w:tcBorders>
            <w:vAlign w:val="bottom"/>
          </w:tcPr>
          <w:p w14:paraId="000001D1">
            <w:pPr>
              <w:spacing w:after="0"/>
            </w:pPr>
          </w:p>
        </w:tc>
        <w:tc>
          <w:tcPr>
            <w:tcBorders>
              <w:top w:val="nil"/>
              <w:left w:val="nil"/>
              <w:bottom w:val="nil"/>
              <w:right w:val="nil"/>
            </w:tcBorders>
            <w:vAlign w:val="bottom"/>
          </w:tcPr>
          <w:p w14:paraId="000001D2">
            <w:pPr>
              <w:spacing w:after="0"/>
            </w:pPr>
          </w:p>
        </w:tc>
        <w:tc>
          <w:tcPr>
            <w:tcBorders>
              <w:top w:val="nil"/>
              <w:left w:val="nil"/>
              <w:bottom w:val="nil"/>
              <w:right w:val="nil"/>
            </w:tcBorders>
            <w:vAlign w:val="bottom"/>
          </w:tcPr>
          <w:p w14:paraId="000001D3">
            <w:pPr>
              <w:spacing w:after="0"/>
            </w:pPr>
          </w:p>
        </w:tc>
        <w:tc>
          <w:tcPr>
            <w:tcBorders>
              <w:top w:val="nil"/>
              <w:left w:val="nil"/>
              <w:bottom w:val="nil"/>
              <w:right w:val="nil"/>
            </w:tcBorders>
            <w:vAlign w:val="bottom"/>
          </w:tcPr>
          <w:p w14:paraId="000001D4">
            <w:pPr>
              <w:spacing w:after="0"/>
            </w:pPr>
          </w:p>
        </w:tc>
      </w:tr>
      <w:tr w14:paraId="42AE7FA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D5">
            <w:pPr>
              <w:spacing w:after="0"/>
            </w:pPr>
          </w:p>
        </w:tc>
        <w:tc>
          <w:tcPr>
            <w:tcBorders>
              <w:top w:val="nil"/>
              <w:left w:val="nil"/>
              <w:bottom w:val="nil"/>
              <w:right w:val="nil"/>
            </w:tcBorders>
            <w:vAlign w:val="bottom"/>
          </w:tcPr>
          <w:p w14:paraId="000001D6">
            <w:pPr>
              <w:spacing w:after="0"/>
            </w:pPr>
          </w:p>
        </w:tc>
        <w:tc>
          <w:tcPr>
            <w:tcBorders>
              <w:top w:val="nil"/>
              <w:left w:val="nil"/>
              <w:bottom w:val="nil"/>
              <w:right w:val="nil"/>
            </w:tcBorders>
            <w:vAlign w:val="bottom"/>
          </w:tcPr>
          <w:p w14:paraId="000001D7">
            <w:pPr>
              <w:spacing w:after="0"/>
            </w:pPr>
          </w:p>
        </w:tc>
        <w:tc>
          <w:tcPr>
            <w:tcBorders>
              <w:top w:val="nil"/>
              <w:left w:val="nil"/>
              <w:bottom w:val="nil"/>
              <w:right w:val="nil"/>
            </w:tcBorders>
            <w:vAlign w:val="bottom"/>
          </w:tcPr>
          <w:p w14:paraId="000001D8">
            <w:pPr>
              <w:spacing w:after="0"/>
            </w:pPr>
          </w:p>
        </w:tc>
        <w:tc>
          <w:tcPr>
            <w:tcBorders>
              <w:top w:val="nil"/>
              <w:left w:val="nil"/>
              <w:bottom w:val="nil"/>
              <w:right w:val="nil"/>
            </w:tcBorders>
            <w:vAlign w:val="bottom"/>
          </w:tcPr>
          <w:p w14:paraId="000001D9">
            <w:pPr>
              <w:spacing w:after="0"/>
            </w:pPr>
          </w:p>
        </w:tc>
        <w:tc>
          <w:tcPr>
            <w:tcBorders>
              <w:top w:val="nil"/>
              <w:left w:val="nil"/>
              <w:bottom w:val="nil"/>
              <w:right w:val="nil"/>
            </w:tcBorders>
            <w:vAlign w:val="bottom"/>
          </w:tcPr>
          <w:p w14:paraId="000001DA">
            <w:pPr>
              <w:spacing w:after="0"/>
            </w:pPr>
          </w:p>
        </w:tc>
        <w:tc>
          <w:tcPr>
            <w:tcBorders>
              <w:top w:val="nil"/>
              <w:left w:val="nil"/>
              <w:bottom w:val="nil"/>
              <w:right w:val="nil"/>
            </w:tcBorders>
            <w:vAlign w:val="bottom"/>
          </w:tcPr>
          <w:p w14:paraId="000001DB">
            <w:pPr>
              <w:spacing w:after="0"/>
            </w:pPr>
          </w:p>
        </w:tc>
      </w:tr>
      <w:tr w14:paraId="26F7C187">
        <w:tblPrEx>
          <w:tblCellMar>
            <w:top w:w="0" w:type="dxa"/>
            <w:left w:w="115" w:type="dxa"/>
            <w:bottom w:w="0" w:type="dxa"/>
            <w:right w:w="115" w:type="dxa"/>
          </w:tblCellMar>
        </w:tblPrEx>
        <w:trPr>
          <w:trHeight w:val="360" w:hRule="atLeast"/>
        </w:trPr>
        <w:tc>
          <w:tcPr>
            <w:gridSpan w:val="2"/>
            <w:tcBorders>
              <w:top w:val="nil"/>
              <w:left w:val="nil"/>
              <w:bottom w:val="nil"/>
              <w:right w:val="nil"/>
            </w:tcBorders>
            <w:vAlign w:val="center"/>
          </w:tcPr>
          <w:p w14:paraId="000001DC">
            <w:pPr>
              <w:spacing w:after="0"/>
              <w:rPr>
                <w:b/>
                <w:bCs/>
              </w:rPr>
            </w:pPr>
            <w:r>
              <w:rPr>
                <w:b/>
                <w:bCs/>
                <w:rtl w:val="0"/>
              </w:rPr>
              <w:t>Cash Ratio</w:t>
            </w:r>
          </w:p>
        </w:tc>
        <w:tc>
          <w:tcPr>
            <w:tcBorders>
              <w:top w:val="nil"/>
              <w:left w:val="nil"/>
              <w:bottom w:val="nil"/>
              <w:right w:val="nil"/>
            </w:tcBorders>
            <w:vAlign w:val="bottom"/>
          </w:tcPr>
          <w:p w14:paraId="000001DE">
            <w:pPr>
              <w:spacing w:after="0"/>
              <w:rPr>
                <w:b/>
                <w:bCs/>
              </w:rPr>
            </w:pPr>
          </w:p>
        </w:tc>
        <w:tc>
          <w:tcPr>
            <w:tcBorders>
              <w:top w:val="nil"/>
              <w:left w:val="nil"/>
              <w:bottom w:val="nil"/>
              <w:right w:val="nil"/>
            </w:tcBorders>
            <w:vAlign w:val="bottom"/>
          </w:tcPr>
          <w:p w14:paraId="000001DF">
            <w:pPr>
              <w:spacing w:after="0"/>
            </w:pPr>
          </w:p>
        </w:tc>
        <w:tc>
          <w:tcPr>
            <w:tcBorders>
              <w:top w:val="nil"/>
              <w:left w:val="nil"/>
              <w:bottom w:val="nil"/>
              <w:right w:val="nil"/>
            </w:tcBorders>
            <w:vAlign w:val="bottom"/>
          </w:tcPr>
          <w:p w14:paraId="000001E0">
            <w:pPr>
              <w:spacing w:after="0"/>
            </w:pPr>
          </w:p>
        </w:tc>
        <w:tc>
          <w:tcPr>
            <w:tcBorders>
              <w:top w:val="nil"/>
              <w:left w:val="nil"/>
              <w:bottom w:val="nil"/>
              <w:right w:val="nil"/>
            </w:tcBorders>
            <w:vAlign w:val="bottom"/>
          </w:tcPr>
          <w:p w14:paraId="000001E1">
            <w:pPr>
              <w:spacing w:after="0"/>
            </w:pPr>
          </w:p>
        </w:tc>
        <w:tc>
          <w:tcPr>
            <w:tcBorders>
              <w:top w:val="nil"/>
              <w:left w:val="nil"/>
              <w:bottom w:val="nil"/>
              <w:right w:val="nil"/>
            </w:tcBorders>
            <w:vAlign w:val="bottom"/>
          </w:tcPr>
          <w:p w14:paraId="000001E2">
            <w:pPr>
              <w:spacing w:after="0"/>
            </w:pPr>
          </w:p>
        </w:tc>
      </w:tr>
      <w:tr w14:paraId="18CD225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E3">
            <w:pPr>
              <w:spacing w:after="0"/>
            </w:pPr>
          </w:p>
        </w:tc>
        <w:tc>
          <w:tcPr>
            <w:tcBorders>
              <w:top w:val="nil"/>
              <w:left w:val="nil"/>
              <w:bottom w:val="nil"/>
              <w:right w:val="nil"/>
            </w:tcBorders>
            <w:vAlign w:val="bottom"/>
          </w:tcPr>
          <w:p w14:paraId="000001E4">
            <w:pPr>
              <w:spacing w:after="0"/>
            </w:pPr>
          </w:p>
        </w:tc>
        <w:tc>
          <w:tcPr>
            <w:tcBorders>
              <w:top w:val="nil"/>
              <w:left w:val="nil"/>
              <w:bottom w:val="nil"/>
              <w:right w:val="nil"/>
            </w:tcBorders>
            <w:vAlign w:val="bottom"/>
          </w:tcPr>
          <w:p w14:paraId="000001E5">
            <w:pPr>
              <w:spacing w:after="0"/>
            </w:pPr>
          </w:p>
        </w:tc>
        <w:tc>
          <w:tcPr>
            <w:tcBorders>
              <w:top w:val="nil"/>
              <w:left w:val="nil"/>
              <w:bottom w:val="nil"/>
              <w:right w:val="nil"/>
            </w:tcBorders>
            <w:vAlign w:val="bottom"/>
          </w:tcPr>
          <w:p w14:paraId="000001E6">
            <w:pPr>
              <w:spacing w:after="0"/>
            </w:pPr>
          </w:p>
        </w:tc>
        <w:tc>
          <w:tcPr>
            <w:tcBorders>
              <w:top w:val="nil"/>
              <w:left w:val="nil"/>
              <w:bottom w:val="nil"/>
              <w:right w:val="nil"/>
            </w:tcBorders>
            <w:vAlign w:val="bottom"/>
          </w:tcPr>
          <w:p w14:paraId="000001E7">
            <w:pPr>
              <w:spacing w:after="0"/>
            </w:pPr>
          </w:p>
        </w:tc>
        <w:tc>
          <w:tcPr>
            <w:tcBorders>
              <w:top w:val="nil"/>
              <w:left w:val="nil"/>
              <w:bottom w:val="nil"/>
              <w:right w:val="nil"/>
            </w:tcBorders>
            <w:vAlign w:val="bottom"/>
          </w:tcPr>
          <w:p w14:paraId="000001E8">
            <w:pPr>
              <w:spacing w:after="0"/>
            </w:pPr>
          </w:p>
        </w:tc>
        <w:tc>
          <w:tcPr>
            <w:tcBorders>
              <w:top w:val="nil"/>
              <w:left w:val="nil"/>
              <w:bottom w:val="nil"/>
              <w:right w:val="nil"/>
            </w:tcBorders>
            <w:vAlign w:val="bottom"/>
          </w:tcPr>
          <w:p w14:paraId="000001E9">
            <w:pPr>
              <w:spacing w:after="0"/>
            </w:pPr>
          </w:p>
        </w:tc>
      </w:tr>
      <w:tr w14:paraId="26F672E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EA">
            <w:pPr>
              <w:spacing w:after="0"/>
              <w:rPr>
                <w:b/>
                <w:bCs/>
              </w:rPr>
            </w:pPr>
            <w:r>
              <w:rPr>
                <w:b/>
                <w:bCs/>
                <w:rtl w:val="0"/>
              </w:rPr>
              <w:t>Formula:</w:t>
            </w:r>
          </w:p>
        </w:tc>
        <w:tc>
          <w:tcPr>
            <w:tcBorders>
              <w:top w:val="nil"/>
              <w:left w:val="nil"/>
              <w:bottom w:val="nil"/>
              <w:right w:val="nil"/>
            </w:tcBorders>
            <w:vAlign w:val="bottom"/>
          </w:tcPr>
          <w:p w14:paraId="000001EB">
            <w:pPr>
              <w:spacing w:after="0"/>
              <w:rPr>
                <w:b/>
                <w:bCs/>
              </w:rPr>
            </w:pPr>
          </w:p>
        </w:tc>
        <w:tc>
          <w:tcPr>
            <w:tcBorders>
              <w:top w:val="nil"/>
              <w:left w:val="nil"/>
              <w:bottom w:val="nil"/>
              <w:right w:val="nil"/>
            </w:tcBorders>
            <w:vAlign w:val="bottom"/>
          </w:tcPr>
          <w:p w14:paraId="000001EC">
            <w:pPr>
              <w:spacing w:after="0"/>
            </w:pPr>
          </w:p>
        </w:tc>
        <w:tc>
          <w:tcPr>
            <w:tcBorders>
              <w:top w:val="nil"/>
              <w:left w:val="nil"/>
              <w:bottom w:val="nil"/>
              <w:right w:val="nil"/>
            </w:tcBorders>
            <w:vAlign w:val="bottom"/>
          </w:tcPr>
          <w:p w14:paraId="000001ED">
            <w:pPr>
              <w:spacing w:after="0"/>
            </w:pPr>
          </w:p>
        </w:tc>
        <w:tc>
          <w:tcPr>
            <w:tcBorders>
              <w:top w:val="nil"/>
              <w:left w:val="nil"/>
              <w:bottom w:val="nil"/>
              <w:right w:val="nil"/>
            </w:tcBorders>
            <w:vAlign w:val="bottom"/>
          </w:tcPr>
          <w:p w14:paraId="000001EE">
            <w:pPr>
              <w:spacing w:after="0"/>
            </w:pPr>
          </w:p>
        </w:tc>
        <w:tc>
          <w:tcPr>
            <w:tcBorders>
              <w:top w:val="nil"/>
              <w:left w:val="nil"/>
              <w:bottom w:val="nil"/>
              <w:right w:val="nil"/>
            </w:tcBorders>
            <w:vAlign w:val="bottom"/>
          </w:tcPr>
          <w:p w14:paraId="000001EF">
            <w:pPr>
              <w:spacing w:after="0"/>
            </w:pPr>
          </w:p>
        </w:tc>
        <w:tc>
          <w:tcPr>
            <w:tcBorders>
              <w:top w:val="nil"/>
              <w:left w:val="nil"/>
              <w:bottom w:val="nil"/>
              <w:right w:val="nil"/>
            </w:tcBorders>
            <w:vAlign w:val="bottom"/>
          </w:tcPr>
          <w:p w14:paraId="000001F0">
            <w:pPr>
              <w:spacing w:after="0"/>
            </w:pPr>
          </w:p>
        </w:tc>
      </w:tr>
      <w:tr w14:paraId="4D589AED">
        <w:tblPrEx>
          <w:tblCellMar>
            <w:top w:w="0" w:type="dxa"/>
            <w:left w:w="115" w:type="dxa"/>
            <w:bottom w:w="0" w:type="dxa"/>
            <w:right w:w="115" w:type="dxa"/>
          </w:tblCellMar>
        </w:tblPrEx>
        <w:trPr>
          <w:trHeight w:val="288" w:hRule="atLeast"/>
        </w:trPr>
        <w:tc>
          <w:tcPr>
            <w:gridSpan w:val="6"/>
            <w:tcBorders>
              <w:top w:val="nil"/>
              <w:left w:val="nil"/>
              <w:bottom w:val="nil"/>
              <w:right w:val="nil"/>
            </w:tcBorders>
            <w:vAlign w:val="bottom"/>
          </w:tcPr>
          <w:p w14:paraId="000001F1">
            <w:pPr>
              <w:spacing w:after="0"/>
            </w:pPr>
            <w:r>
              <w:rPr>
                <w:rtl w:val="0"/>
              </w:rPr>
              <w:t>Cash Ratio = Cash and Cash Equivalents ÷ Total Current Liabilities</w:t>
            </w:r>
          </w:p>
        </w:tc>
        <w:tc>
          <w:tcPr>
            <w:tcBorders>
              <w:top w:val="nil"/>
              <w:left w:val="nil"/>
              <w:bottom w:val="nil"/>
              <w:right w:val="nil"/>
            </w:tcBorders>
            <w:vAlign w:val="bottom"/>
          </w:tcPr>
          <w:p w14:paraId="000001F7">
            <w:pPr>
              <w:spacing w:after="0"/>
            </w:pPr>
          </w:p>
        </w:tc>
      </w:tr>
      <w:tr w14:paraId="77EEADF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1F8">
            <w:pPr>
              <w:spacing w:after="0"/>
            </w:pPr>
          </w:p>
        </w:tc>
        <w:tc>
          <w:tcPr>
            <w:tcBorders>
              <w:top w:val="nil"/>
              <w:left w:val="nil"/>
              <w:bottom w:val="nil"/>
              <w:right w:val="nil"/>
            </w:tcBorders>
            <w:vAlign w:val="bottom"/>
          </w:tcPr>
          <w:p w14:paraId="000001F9">
            <w:pPr>
              <w:spacing w:after="0"/>
            </w:pPr>
          </w:p>
        </w:tc>
        <w:tc>
          <w:tcPr>
            <w:tcBorders>
              <w:top w:val="nil"/>
              <w:left w:val="nil"/>
              <w:bottom w:val="nil"/>
              <w:right w:val="nil"/>
            </w:tcBorders>
            <w:vAlign w:val="bottom"/>
          </w:tcPr>
          <w:p w14:paraId="000001FA">
            <w:pPr>
              <w:spacing w:after="0"/>
            </w:pPr>
          </w:p>
        </w:tc>
        <w:tc>
          <w:tcPr>
            <w:tcBorders>
              <w:top w:val="nil"/>
              <w:left w:val="nil"/>
              <w:bottom w:val="nil"/>
              <w:right w:val="nil"/>
            </w:tcBorders>
            <w:vAlign w:val="bottom"/>
          </w:tcPr>
          <w:p w14:paraId="000001FB">
            <w:pPr>
              <w:spacing w:after="0"/>
            </w:pPr>
          </w:p>
        </w:tc>
        <w:tc>
          <w:tcPr>
            <w:tcBorders>
              <w:top w:val="nil"/>
              <w:left w:val="nil"/>
              <w:bottom w:val="nil"/>
              <w:right w:val="nil"/>
            </w:tcBorders>
            <w:vAlign w:val="bottom"/>
          </w:tcPr>
          <w:p w14:paraId="000001FC">
            <w:pPr>
              <w:spacing w:after="0"/>
            </w:pPr>
          </w:p>
        </w:tc>
        <w:tc>
          <w:tcPr>
            <w:tcBorders>
              <w:top w:val="nil"/>
              <w:left w:val="nil"/>
              <w:bottom w:val="nil"/>
              <w:right w:val="nil"/>
            </w:tcBorders>
            <w:vAlign w:val="bottom"/>
          </w:tcPr>
          <w:p w14:paraId="000001FD">
            <w:pPr>
              <w:spacing w:after="0"/>
            </w:pPr>
          </w:p>
        </w:tc>
        <w:tc>
          <w:tcPr>
            <w:tcBorders>
              <w:top w:val="nil"/>
              <w:left w:val="nil"/>
              <w:bottom w:val="nil"/>
              <w:right w:val="nil"/>
            </w:tcBorders>
            <w:vAlign w:val="bottom"/>
          </w:tcPr>
          <w:p w14:paraId="000001FE">
            <w:pPr>
              <w:spacing w:after="0"/>
            </w:pPr>
          </w:p>
        </w:tc>
      </w:tr>
      <w:tr w14:paraId="0363749C">
        <w:tblPrEx>
          <w:tblCellMar>
            <w:top w:w="0" w:type="dxa"/>
            <w:left w:w="115" w:type="dxa"/>
            <w:bottom w:w="0" w:type="dxa"/>
            <w:right w:w="115" w:type="dxa"/>
          </w:tblCellMar>
        </w:tblPrEx>
        <w:trPr>
          <w:trHeight w:val="1152" w:hRule="atLeast"/>
        </w:trPr>
        <w:tc>
          <w:tcPr>
            <w:tcBorders>
              <w:top w:val="nil"/>
              <w:left w:val="nil"/>
              <w:bottom w:val="nil"/>
              <w:right w:val="nil"/>
            </w:tcBorders>
            <w:vAlign w:val="center"/>
          </w:tcPr>
          <w:p w14:paraId="000001FF">
            <w:pPr>
              <w:spacing w:after="0"/>
              <w:rPr>
                <w:b/>
                <w:bCs/>
              </w:rPr>
            </w:pPr>
            <w:r>
              <w:rPr>
                <w:b/>
                <w:bCs/>
                <w:rtl w:val="0"/>
              </w:rPr>
              <w:t>Year</w:t>
            </w:r>
          </w:p>
        </w:tc>
        <w:tc>
          <w:tcPr>
            <w:tcBorders>
              <w:top w:val="nil"/>
              <w:left w:val="nil"/>
              <w:bottom w:val="nil"/>
              <w:right w:val="nil"/>
            </w:tcBorders>
            <w:vAlign w:val="center"/>
          </w:tcPr>
          <w:p w14:paraId="00000200">
            <w:pPr>
              <w:spacing w:after="0"/>
              <w:rPr>
                <w:b/>
                <w:bCs/>
              </w:rPr>
            </w:pPr>
            <w:r>
              <w:rPr>
                <w:b/>
                <w:bCs/>
                <w:rtl w:val="0"/>
              </w:rPr>
              <w:t>Cash &amp; Cash Equivalents</w:t>
            </w:r>
          </w:p>
        </w:tc>
        <w:tc>
          <w:tcPr>
            <w:tcBorders>
              <w:top w:val="nil"/>
              <w:left w:val="nil"/>
              <w:bottom w:val="nil"/>
              <w:right w:val="nil"/>
            </w:tcBorders>
            <w:vAlign w:val="center"/>
          </w:tcPr>
          <w:p w14:paraId="00000201">
            <w:pPr>
              <w:spacing w:after="0"/>
              <w:rPr>
                <w:b/>
                <w:bCs/>
              </w:rPr>
            </w:pPr>
            <w:r>
              <w:rPr>
                <w:b/>
                <w:bCs/>
                <w:rtl w:val="0"/>
              </w:rPr>
              <w:t>Current Liabilities</w:t>
            </w:r>
          </w:p>
        </w:tc>
        <w:tc>
          <w:tcPr>
            <w:tcBorders>
              <w:top w:val="nil"/>
              <w:left w:val="nil"/>
              <w:bottom w:val="nil"/>
              <w:right w:val="nil"/>
            </w:tcBorders>
            <w:vAlign w:val="center"/>
          </w:tcPr>
          <w:p w14:paraId="00000202">
            <w:pPr>
              <w:spacing w:after="0"/>
              <w:rPr>
                <w:b/>
                <w:bCs/>
              </w:rPr>
            </w:pPr>
            <w:r>
              <w:rPr>
                <w:b/>
                <w:bCs/>
                <w:rtl w:val="0"/>
              </w:rPr>
              <w:t>Calculation</w:t>
            </w:r>
          </w:p>
        </w:tc>
        <w:tc>
          <w:tcPr>
            <w:tcBorders>
              <w:top w:val="nil"/>
              <w:left w:val="nil"/>
              <w:bottom w:val="nil"/>
              <w:right w:val="nil"/>
            </w:tcBorders>
            <w:vAlign w:val="center"/>
          </w:tcPr>
          <w:p w14:paraId="00000203">
            <w:pPr>
              <w:spacing w:after="0"/>
              <w:rPr>
                <w:b/>
                <w:bCs/>
              </w:rPr>
            </w:pPr>
            <w:r>
              <w:rPr>
                <w:b/>
                <w:bCs/>
                <w:rtl w:val="0"/>
              </w:rPr>
              <w:t>Cash Ratio</w:t>
            </w:r>
          </w:p>
        </w:tc>
        <w:tc>
          <w:tcPr>
            <w:tcBorders>
              <w:top w:val="nil"/>
              <w:left w:val="nil"/>
              <w:bottom w:val="nil"/>
              <w:right w:val="nil"/>
            </w:tcBorders>
            <w:vAlign w:val="bottom"/>
          </w:tcPr>
          <w:p w14:paraId="00000204">
            <w:pPr>
              <w:spacing w:after="0"/>
              <w:rPr>
                <w:b/>
                <w:bCs/>
              </w:rPr>
            </w:pPr>
          </w:p>
        </w:tc>
        <w:tc>
          <w:tcPr>
            <w:tcBorders>
              <w:top w:val="nil"/>
              <w:left w:val="nil"/>
              <w:bottom w:val="nil"/>
              <w:right w:val="nil"/>
            </w:tcBorders>
            <w:vAlign w:val="bottom"/>
          </w:tcPr>
          <w:p w14:paraId="00000205">
            <w:pPr>
              <w:spacing w:after="0"/>
            </w:pPr>
          </w:p>
        </w:tc>
      </w:tr>
      <w:tr w14:paraId="12885218">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06">
            <w:pPr>
              <w:spacing w:after="0"/>
            </w:pPr>
            <w:r>
              <w:rPr>
                <w:rtl w:val="0"/>
              </w:rPr>
              <w:t>2024</w:t>
            </w:r>
          </w:p>
        </w:tc>
        <w:tc>
          <w:tcPr>
            <w:tcBorders>
              <w:top w:val="nil"/>
              <w:left w:val="nil"/>
              <w:bottom w:val="nil"/>
              <w:right w:val="nil"/>
            </w:tcBorders>
            <w:vAlign w:val="center"/>
          </w:tcPr>
          <w:p w14:paraId="00000207">
            <w:pPr>
              <w:spacing w:after="0"/>
            </w:pPr>
            <w:r>
              <w:rPr>
                <w:rtl w:val="0"/>
              </w:rPr>
              <w:t>26,783</w:t>
            </w:r>
          </w:p>
        </w:tc>
        <w:tc>
          <w:tcPr>
            <w:tcBorders>
              <w:top w:val="nil"/>
              <w:left w:val="nil"/>
              <w:bottom w:val="nil"/>
              <w:right w:val="nil"/>
            </w:tcBorders>
            <w:vAlign w:val="center"/>
          </w:tcPr>
          <w:p w14:paraId="00000208">
            <w:pPr>
              <w:spacing w:after="0"/>
            </w:pPr>
            <w:r>
              <w:rPr>
                <w:rtl w:val="0"/>
              </w:rPr>
              <w:t>1,58,291</w:t>
            </w:r>
          </w:p>
        </w:tc>
        <w:tc>
          <w:tcPr>
            <w:tcBorders>
              <w:top w:val="nil"/>
              <w:left w:val="nil"/>
              <w:bottom w:val="nil"/>
              <w:right w:val="nil"/>
            </w:tcBorders>
            <w:vAlign w:val="center"/>
          </w:tcPr>
          <w:p w14:paraId="00000209">
            <w:pPr>
              <w:spacing w:after="0"/>
            </w:pPr>
            <w:r>
              <w:rPr>
                <w:rtl w:val="0"/>
              </w:rPr>
              <w:t>26,783 ÷ 158,291</w:t>
            </w:r>
          </w:p>
        </w:tc>
        <w:tc>
          <w:tcPr>
            <w:tcBorders>
              <w:top w:val="nil"/>
              <w:left w:val="nil"/>
              <w:bottom w:val="nil"/>
              <w:right w:val="nil"/>
            </w:tcBorders>
            <w:vAlign w:val="center"/>
          </w:tcPr>
          <w:p w14:paraId="0000020A">
            <w:pPr>
              <w:spacing w:after="0"/>
              <w:rPr>
                <w:b/>
                <w:bCs/>
              </w:rPr>
            </w:pPr>
            <w:r>
              <w:rPr>
                <w:b/>
                <w:bCs/>
                <w:rtl w:val="0"/>
              </w:rPr>
              <w:t>0.17</w:t>
            </w:r>
          </w:p>
        </w:tc>
        <w:tc>
          <w:tcPr>
            <w:tcBorders>
              <w:top w:val="nil"/>
              <w:left w:val="nil"/>
              <w:bottom w:val="nil"/>
              <w:right w:val="nil"/>
            </w:tcBorders>
            <w:vAlign w:val="bottom"/>
          </w:tcPr>
          <w:p w14:paraId="0000020B">
            <w:pPr>
              <w:spacing w:after="0"/>
              <w:rPr>
                <w:b/>
                <w:bCs/>
              </w:rPr>
            </w:pPr>
          </w:p>
        </w:tc>
        <w:tc>
          <w:tcPr>
            <w:tcBorders>
              <w:top w:val="nil"/>
              <w:left w:val="nil"/>
              <w:bottom w:val="nil"/>
              <w:right w:val="nil"/>
            </w:tcBorders>
            <w:vAlign w:val="bottom"/>
          </w:tcPr>
          <w:p w14:paraId="0000020C">
            <w:pPr>
              <w:spacing w:after="0"/>
            </w:pPr>
          </w:p>
        </w:tc>
      </w:tr>
      <w:tr w14:paraId="577D27B3">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0D">
            <w:pPr>
              <w:spacing w:after="0"/>
            </w:pPr>
            <w:r>
              <w:rPr>
                <w:rtl w:val="0"/>
              </w:rPr>
              <w:t>2023</w:t>
            </w:r>
          </w:p>
        </w:tc>
        <w:tc>
          <w:tcPr>
            <w:tcBorders>
              <w:top w:val="nil"/>
              <w:left w:val="nil"/>
              <w:bottom w:val="nil"/>
              <w:right w:val="nil"/>
            </w:tcBorders>
            <w:vAlign w:val="center"/>
          </w:tcPr>
          <w:p w14:paraId="0000020E">
            <w:pPr>
              <w:spacing w:after="0"/>
            </w:pPr>
            <w:r>
              <w:rPr>
                <w:rtl w:val="0"/>
              </w:rPr>
              <w:t>42,751</w:t>
            </w:r>
          </w:p>
        </w:tc>
        <w:tc>
          <w:tcPr>
            <w:tcBorders>
              <w:top w:val="nil"/>
              <w:left w:val="nil"/>
              <w:bottom w:val="nil"/>
              <w:right w:val="nil"/>
            </w:tcBorders>
            <w:vAlign w:val="center"/>
          </w:tcPr>
          <w:p w14:paraId="0000020F">
            <w:pPr>
              <w:spacing w:after="0"/>
            </w:pPr>
            <w:r>
              <w:rPr>
                <w:rtl w:val="0"/>
              </w:rPr>
              <w:t>1,61,148</w:t>
            </w:r>
          </w:p>
        </w:tc>
        <w:tc>
          <w:tcPr>
            <w:tcBorders>
              <w:top w:val="nil"/>
              <w:left w:val="nil"/>
              <w:bottom w:val="nil"/>
              <w:right w:val="nil"/>
            </w:tcBorders>
            <w:vAlign w:val="center"/>
          </w:tcPr>
          <w:p w14:paraId="00000210">
            <w:pPr>
              <w:spacing w:after="0"/>
            </w:pPr>
            <w:r>
              <w:rPr>
                <w:rtl w:val="0"/>
              </w:rPr>
              <w:t>42,751 ÷ 161,148</w:t>
            </w:r>
          </w:p>
        </w:tc>
        <w:tc>
          <w:tcPr>
            <w:tcBorders>
              <w:top w:val="nil"/>
              <w:left w:val="nil"/>
              <w:bottom w:val="nil"/>
              <w:right w:val="nil"/>
            </w:tcBorders>
            <w:vAlign w:val="center"/>
          </w:tcPr>
          <w:p w14:paraId="00000211">
            <w:pPr>
              <w:spacing w:after="0"/>
              <w:rPr>
                <w:b/>
                <w:bCs/>
              </w:rPr>
            </w:pPr>
            <w:r>
              <w:rPr>
                <w:b/>
                <w:bCs/>
                <w:rtl w:val="0"/>
              </w:rPr>
              <w:t>0.27</w:t>
            </w:r>
          </w:p>
        </w:tc>
        <w:tc>
          <w:tcPr>
            <w:tcBorders>
              <w:top w:val="nil"/>
              <w:left w:val="nil"/>
              <w:bottom w:val="nil"/>
              <w:right w:val="nil"/>
            </w:tcBorders>
            <w:vAlign w:val="bottom"/>
          </w:tcPr>
          <w:p w14:paraId="00000212">
            <w:pPr>
              <w:spacing w:after="0"/>
              <w:rPr>
                <w:b/>
                <w:bCs/>
              </w:rPr>
            </w:pPr>
          </w:p>
        </w:tc>
        <w:tc>
          <w:tcPr>
            <w:tcBorders>
              <w:top w:val="nil"/>
              <w:left w:val="nil"/>
              <w:bottom w:val="nil"/>
              <w:right w:val="nil"/>
            </w:tcBorders>
            <w:vAlign w:val="bottom"/>
          </w:tcPr>
          <w:p w14:paraId="00000213">
            <w:pPr>
              <w:spacing w:after="0"/>
            </w:pPr>
          </w:p>
        </w:tc>
      </w:tr>
      <w:tr w14:paraId="39B43F4A">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14">
            <w:pPr>
              <w:spacing w:after="0"/>
            </w:pPr>
            <w:r>
              <w:rPr>
                <w:rtl w:val="0"/>
              </w:rPr>
              <w:t>2022</w:t>
            </w:r>
          </w:p>
        </w:tc>
        <w:tc>
          <w:tcPr>
            <w:tcBorders>
              <w:top w:val="nil"/>
              <w:left w:val="nil"/>
              <w:bottom w:val="nil"/>
              <w:right w:val="nil"/>
            </w:tcBorders>
            <w:vAlign w:val="center"/>
          </w:tcPr>
          <w:p w14:paraId="00000215">
            <w:pPr>
              <w:spacing w:after="0"/>
            </w:pPr>
            <w:r>
              <w:rPr>
                <w:rtl w:val="0"/>
              </w:rPr>
              <w:t>66,740</w:t>
            </w:r>
          </w:p>
        </w:tc>
        <w:tc>
          <w:tcPr>
            <w:tcBorders>
              <w:top w:val="nil"/>
              <w:left w:val="nil"/>
              <w:bottom w:val="nil"/>
              <w:right w:val="nil"/>
            </w:tcBorders>
            <w:vAlign w:val="center"/>
          </w:tcPr>
          <w:p w14:paraId="00000216">
            <w:pPr>
              <w:spacing w:after="0"/>
            </w:pPr>
            <w:r>
              <w:rPr>
                <w:rtl w:val="0"/>
              </w:rPr>
              <w:t>2,16,473</w:t>
            </w:r>
          </w:p>
        </w:tc>
        <w:tc>
          <w:tcPr>
            <w:tcBorders>
              <w:top w:val="nil"/>
              <w:left w:val="nil"/>
              <w:bottom w:val="nil"/>
              <w:right w:val="nil"/>
            </w:tcBorders>
            <w:vAlign w:val="center"/>
          </w:tcPr>
          <w:p w14:paraId="00000217">
            <w:pPr>
              <w:spacing w:after="0"/>
            </w:pPr>
            <w:r>
              <w:rPr>
                <w:rtl w:val="0"/>
              </w:rPr>
              <w:t>66,740 ÷ 216,473</w:t>
            </w:r>
          </w:p>
        </w:tc>
        <w:tc>
          <w:tcPr>
            <w:tcBorders>
              <w:top w:val="nil"/>
              <w:left w:val="nil"/>
              <w:bottom w:val="nil"/>
              <w:right w:val="nil"/>
            </w:tcBorders>
            <w:vAlign w:val="center"/>
          </w:tcPr>
          <w:p w14:paraId="00000218">
            <w:pPr>
              <w:spacing w:after="0"/>
              <w:rPr>
                <w:b/>
                <w:bCs/>
              </w:rPr>
            </w:pPr>
            <w:r>
              <w:rPr>
                <w:b/>
                <w:bCs/>
                <w:rtl w:val="0"/>
              </w:rPr>
              <w:t>0.31</w:t>
            </w:r>
          </w:p>
        </w:tc>
        <w:tc>
          <w:tcPr>
            <w:tcBorders>
              <w:top w:val="nil"/>
              <w:left w:val="nil"/>
              <w:bottom w:val="nil"/>
              <w:right w:val="nil"/>
            </w:tcBorders>
            <w:vAlign w:val="bottom"/>
          </w:tcPr>
          <w:p w14:paraId="00000219">
            <w:pPr>
              <w:spacing w:after="0"/>
              <w:rPr>
                <w:b/>
                <w:bCs/>
              </w:rPr>
            </w:pPr>
          </w:p>
        </w:tc>
        <w:tc>
          <w:tcPr>
            <w:tcBorders>
              <w:top w:val="nil"/>
              <w:left w:val="nil"/>
              <w:bottom w:val="nil"/>
              <w:right w:val="nil"/>
            </w:tcBorders>
            <w:vAlign w:val="bottom"/>
          </w:tcPr>
          <w:p w14:paraId="0000021A">
            <w:pPr>
              <w:spacing w:after="0"/>
            </w:pPr>
          </w:p>
        </w:tc>
      </w:tr>
      <w:tr w14:paraId="61CB94B9">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1B">
            <w:pPr>
              <w:spacing w:after="0"/>
            </w:pPr>
            <w:r>
              <w:rPr>
                <w:rtl w:val="0"/>
              </w:rPr>
              <w:t>2021</w:t>
            </w:r>
          </w:p>
        </w:tc>
        <w:tc>
          <w:tcPr>
            <w:tcBorders>
              <w:top w:val="nil"/>
              <w:left w:val="nil"/>
              <w:bottom w:val="nil"/>
              <w:right w:val="nil"/>
            </w:tcBorders>
            <w:vAlign w:val="center"/>
          </w:tcPr>
          <w:p w14:paraId="0000021C">
            <w:pPr>
              <w:spacing w:after="0"/>
            </w:pPr>
            <w:r>
              <w:rPr>
                <w:rtl w:val="0"/>
              </w:rPr>
              <w:t>60,813</w:t>
            </w:r>
          </w:p>
        </w:tc>
        <w:tc>
          <w:tcPr>
            <w:tcBorders>
              <w:top w:val="nil"/>
              <w:left w:val="nil"/>
              <w:bottom w:val="nil"/>
              <w:right w:val="nil"/>
            </w:tcBorders>
            <w:vAlign w:val="center"/>
          </w:tcPr>
          <w:p w14:paraId="0000021D">
            <w:pPr>
              <w:spacing w:after="0"/>
            </w:pPr>
            <w:r>
              <w:rPr>
                <w:rtl w:val="0"/>
              </w:rPr>
              <w:t>2,16,787</w:t>
            </w:r>
          </w:p>
        </w:tc>
        <w:tc>
          <w:tcPr>
            <w:tcBorders>
              <w:top w:val="nil"/>
              <w:left w:val="nil"/>
              <w:bottom w:val="nil"/>
              <w:right w:val="nil"/>
            </w:tcBorders>
            <w:vAlign w:val="center"/>
          </w:tcPr>
          <w:p w14:paraId="0000021E">
            <w:pPr>
              <w:spacing w:after="0"/>
            </w:pPr>
            <w:r>
              <w:rPr>
                <w:rtl w:val="0"/>
              </w:rPr>
              <w:t>60,813 ÷ 216,787</w:t>
            </w:r>
          </w:p>
        </w:tc>
        <w:tc>
          <w:tcPr>
            <w:tcBorders>
              <w:top w:val="nil"/>
              <w:left w:val="nil"/>
              <w:bottom w:val="nil"/>
              <w:right w:val="nil"/>
            </w:tcBorders>
            <w:vAlign w:val="center"/>
          </w:tcPr>
          <w:p w14:paraId="0000021F">
            <w:pPr>
              <w:spacing w:after="0"/>
              <w:rPr>
                <w:b/>
                <w:bCs/>
              </w:rPr>
            </w:pPr>
            <w:r>
              <w:rPr>
                <w:b/>
                <w:bCs/>
                <w:rtl w:val="0"/>
              </w:rPr>
              <w:t>0.28</w:t>
            </w:r>
          </w:p>
        </w:tc>
        <w:tc>
          <w:tcPr>
            <w:tcBorders>
              <w:top w:val="nil"/>
              <w:left w:val="nil"/>
              <w:bottom w:val="nil"/>
              <w:right w:val="nil"/>
            </w:tcBorders>
            <w:vAlign w:val="bottom"/>
          </w:tcPr>
          <w:p w14:paraId="00000220">
            <w:pPr>
              <w:spacing w:after="0"/>
              <w:rPr>
                <w:b/>
                <w:bCs/>
              </w:rPr>
            </w:pPr>
          </w:p>
        </w:tc>
        <w:tc>
          <w:tcPr>
            <w:tcBorders>
              <w:top w:val="nil"/>
              <w:left w:val="nil"/>
              <w:bottom w:val="nil"/>
              <w:right w:val="nil"/>
            </w:tcBorders>
            <w:vAlign w:val="bottom"/>
          </w:tcPr>
          <w:p w14:paraId="00000221">
            <w:pPr>
              <w:spacing w:after="0"/>
            </w:pPr>
          </w:p>
        </w:tc>
      </w:tr>
      <w:tr w14:paraId="1F9B5DC9">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22">
            <w:pPr>
              <w:spacing w:after="0"/>
            </w:pPr>
            <w:r>
              <w:rPr>
                <w:rtl w:val="0"/>
              </w:rPr>
              <w:t>2020</w:t>
            </w:r>
          </w:p>
        </w:tc>
        <w:tc>
          <w:tcPr>
            <w:tcBorders>
              <w:top w:val="nil"/>
              <w:left w:val="nil"/>
              <w:bottom w:val="nil"/>
              <w:right w:val="nil"/>
            </w:tcBorders>
            <w:vAlign w:val="center"/>
          </w:tcPr>
          <w:p w14:paraId="00000223">
            <w:pPr>
              <w:spacing w:after="0"/>
            </w:pPr>
            <w:r>
              <w:rPr>
                <w:rtl w:val="0"/>
              </w:rPr>
              <w:t>57,153</w:t>
            </w:r>
          </w:p>
        </w:tc>
        <w:tc>
          <w:tcPr>
            <w:tcBorders>
              <w:top w:val="nil"/>
              <w:left w:val="nil"/>
              <w:bottom w:val="nil"/>
              <w:right w:val="nil"/>
            </w:tcBorders>
            <w:vAlign w:val="center"/>
          </w:tcPr>
          <w:p w14:paraId="00000224">
            <w:pPr>
              <w:spacing w:after="0"/>
            </w:pPr>
            <w:r>
              <w:rPr>
                <w:rtl w:val="0"/>
              </w:rPr>
              <w:t>1,79,510</w:t>
            </w:r>
          </w:p>
        </w:tc>
        <w:tc>
          <w:tcPr>
            <w:tcBorders>
              <w:top w:val="nil"/>
              <w:left w:val="nil"/>
              <w:bottom w:val="nil"/>
              <w:right w:val="nil"/>
            </w:tcBorders>
            <w:vAlign w:val="center"/>
          </w:tcPr>
          <w:p w14:paraId="00000225">
            <w:pPr>
              <w:spacing w:after="0"/>
            </w:pPr>
            <w:r>
              <w:rPr>
                <w:rtl w:val="0"/>
              </w:rPr>
              <w:t>57,153 ÷ 179,510</w:t>
            </w:r>
          </w:p>
        </w:tc>
        <w:tc>
          <w:tcPr>
            <w:tcBorders>
              <w:top w:val="nil"/>
              <w:left w:val="nil"/>
              <w:bottom w:val="nil"/>
              <w:right w:val="nil"/>
            </w:tcBorders>
            <w:vAlign w:val="center"/>
          </w:tcPr>
          <w:p w14:paraId="00000226">
            <w:pPr>
              <w:spacing w:after="0"/>
              <w:rPr>
                <w:b/>
                <w:bCs/>
              </w:rPr>
            </w:pPr>
            <w:r>
              <w:rPr>
                <w:b/>
                <w:bCs/>
                <w:rtl w:val="0"/>
              </w:rPr>
              <w:t>0.32</w:t>
            </w:r>
          </w:p>
        </w:tc>
        <w:tc>
          <w:tcPr>
            <w:tcBorders>
              <w:top w:val="nil"/>
              <w:left w:val="nil"/>
              <w:bottom w:val="nil"/>
              <w:right w:val="nil"/>
            </w:tcBorders>
            <w:vAlign w:val="bottom"/>
          </w:tcPr>
          <w:p w14:paraId="00000227">
            <w:pPr>
              <w:spacing w:after="0"/>
              <w:rPr>
                <w:b/>
                <w:bCs/>
              </w:rPr>
            </w:pPr>
          </w:p>
        </w:tc>
        <w:tc>
          <w:tcPr>
            <w:tcBorders>
              <w:top w:val="nil"/>
              <w:left w:val="nil"/>
              <w:bottom w:val="nil"/>
              <w:right w:val="nil"/>
            </w:tcBorders>
            <w:vAlign w:val="bottom"/>
          </w:tcPr>
          <w:p w14:paraId="00000228">
            <w:pPr>
              <w:spacing w:after="0"/>
            </w:pPr>
          </w:p>
        </w:tc>
      </w:tr>
    </w:tbl>
    <w:p w14:paraId="00000229"/>
    <w:p w14:paraId="0000022A">
      <w:pPr>
        <w:pStyle w:val="3"/>
      </w:pPr>
      <w:bookmarkStart w:id="33" w:name="_g16kvll68ghm" w:colFirst="0" w:colLast="0"/>
      <w:bookmarkEnd w:id="33"/>
      <w:r>
        <w:rPr>
          <w:rtl w:val="0"/>
        </w:rPr>
        <w:t>Appendix B</w:t>
      </w:r>
    </w:p>
    <w:tbl>
      <w:tblPr>
        <w:tblStyle w:val="18"/>
        <w:tblW w:w="5701" w:type="dxa"/>
        <w:tblInd w:w="0" w:type="dxa"/>
        <w:tblLayout w:type="fixed"/>
        <w:tblCellMar>
          <w:top w:w="0" w:type="dxa"/>
          <w:left w:w="115" w:type="dxa"/>
          <w:bottom w:w="0" w:type="dxa"/>
          <w:right w:w="115" w:type="dxa"/>
        </w:tblCellMar>
      </w:tblPr>
      <w:tblGrid>
        <w:gridCol w:w="1190"/>
        <w:gridCol w:w="1056"/>
        <w:gridCol w:w="1056"/>
        <w:gridCol w:w="1403"/>
        <w:gridCol w:w="996"/>
      </w:tblGrid>
      <w:tr w14:paraId="3B00F270">
        <w:tblPrEx>
          <w:tblCellMar>
            <w:top w:w="0" w:type="dxa"/>
            <w:left w:w="115" w:type="dxa"/>
            <w:bottom w:w="0" w:type="dxa"/>
            <w:right w:w="115" w:type="dxa"/>
          </w:tblCellMar>
        </w:tblPrEx>
        <w:trPr>
          <w:trHeight w:val="288" w:hRule="atLeast"/>
        </w:trPr>
        <w:tc>
          <w:tcPr>
            <w:gridSpan w:val="5"/>
            <w:tcBorders>
              <w:top w:val="nil"/>
              <w:left w:val="nil"/>
              <w:bottom w:val="nil"/>
              <w:right w:val="nil"/>
            </w:tcBorders>
            <w:vAlign w:val="bottom"/>
          </w:tcPr>
          <w:p w14:paraId="0000022B">
            <w:pPr>
              <w:spacing w:after="0"/>
            </w:pPr>
            <w:r>
              <w:rPr>
                <w:rtl w:val="0"/>
              </w:rPr>
              <w:t>Gross Profit Margin = Gross Profit ÷ Net Sales</w:t>
            </w:r>
          </w:p>
        </w:tc>
      </w:tr>
      <w:tr w14:paraId="507A3D3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30">
            <w:pPr>
              <w:spacing w:after="0"/>
            </w:pPr>
          </w:p>
        </w:tc>
        <w:tc>
          <w:tcPr>
            <w:tcBorders>
              <w:top w:val="nil"/>
              <w:left w:val="nil"/>
              <w:bottom w:val="nil"/>
              <w:right w:val="nil"/>
            </w:tcBorders>
            <w:vAlign w:val="bottom"/>
          </w:tcPr>
          <w:p w14:paraId="00000231">
            <w:pPr>
              <w:spacing w:after="0"/>
            </w:pPr>
          </w:p>
        </w:tc>
        <w:tc>
          <w:tcPr>
            <w:tcBorders>
              <w:top w:val="nil"/>
              <w:left w:val="nil"/>
              <w:bottom w:val="nil"/>
              <w:right w:val="nil"/>
            </w:tcBorders>
            <w:vAlign w:val="bottom"/>
          </w:tcPr>
          <w:p w14:paraId="00000232">
            <w:pPr>
              <w:spacing w:after="0"/>
            </w:pPr>
          </w:p>
        </w:tc>
        <w:tc>
          <w:tcPr>
            <w:tcBorders>
              <w:top w:val="nil"/>
              <w:left w:val="nil"/>
              <w:bottom w:val="nil"/>
              <w:right w:val="nil"/>
            </w:tcBorders>
            <w:vAlign w:val="bottom"/>
          </w:tcPr>
          <w:p w14:paraId="00000233">
            <w:pPr>
              <w:spacing w:after="0"/>
            </w:pPr>
          </w:p>
        </w:tc>
        <w:tc>
          <w:tcPr>
            <w:tcBorders>
              <w:top w:val="nil"/>
              <w:left w:val="nil"/>
              <w:bottom w:val="nil"/>
              <w:right w:val="nil"/>
            </w:tcBorders>
            <w:vAlign w:val="bottom"/>
          </w:tcPr>
          <w:p w14:paraId="00000234">
            <w:pPr>
              <w:spacing w:after="0"/>
            </w:pPr>
          </w:p>
        </w:tc>
      </w:tr>
      <w:tr w14:paraId="0BBF777E">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35">
            <w:pPr>
              <w:spacing w:after="0"/>
              <w:rPr>
                <w:b/>
                <w:bCs/>
              </w:rPr>
            </w:pPr>
            <w:r>
              <w:rPr>
                <w:b/>
                <w:bCs/>
                <w:rtl w:val="0"/>
              </w:rPr>
              <w:t>Year</w:t>
            </w:r>
          </w:p>
        </w:tc>
        <w:tc>
          <w:tcPr>
            <w:tcBorders>
              <w:top w:val="nil"/>
              <w:left w:val="nil"/>
              <w:bottom w:val="nil"/>
              <w:right w:val="nil"/>
            </w:tcBorders>
            <w:vAlign w:val="center"/>
          </w:tcPr>
          <w:p w14:paraId="00000236">
            <w:pPr>
              <w:spacing w:after="0"/>
              <w:rPr>
                <w:b/>
                <w:bCs/>
              </w:rPr>
            </w:pPr>
            <w:r>
              <w:rPr>
                <w:b/>
                <w:bCs/>
                <w:rtl w:val="0"/>
              </w:rPr>
              <w:t>Gross Profit</w:t>
            </w:r>
          </w:p>
        </w:tc>
        <w:tc>
          <w:tcPr>
            <w:tcBorders>
              <w:top w:val="nil"/>
              <w:left w:val="nil"/>
              <w:bottom w:val="nil"/>
              <w:right w:val="nil"/>
            </w:tcBorders>
            <w:vAlign w:val="center"/>
          </w:tcPr>
          <w:p w14:paraId="00000237">
            <w:pPr>
              <w:spacing w:after="0"/>
              <w:rPr>
                <w:b/>
                <w:bCs/>
              </w:rPr>
            </w:pPr>
            <w:r>
              <w:rPr>
                <w:b/>
                <w:bCs/>
                <w:rtl w:val="0"/>
              </w:rPr>
              <w:t>Net Sales</w:t>
            </w:r>
          </w:p>
        </w:tc>
        <w:tc>
          <w:tcPr>
            <w:tcBorders>
              <w:top w:val="nil"/>
              <w:left w:val="nil"/>
              <w:bottom w:val="nil"/>
              <w:right w:val="nil"/>
            </w:tcBorders>
            <w:vAlign w:val="center"/>
          </w:tcPr>
          <w:p w14:paraId="00000238">
            <w:pPr>
              <w:spacing w:after="0"/>
              <w:rPr>
                <w:b/>
                <w:bCs/>
              </w:rPr>
            </w:pPr>
            <w:r>
              <w:rPr>
                <w:b/>
                <w:bCs/>
                <w:rtl w:val="0"/>
              </w:rPr>
              <w:t>Calculation</w:t>
            </w:r>
          </w:p>
        </w:tc>
        <w:tc>
          <w:tcPr>
            <w:tcBorders>
              <w:top w:val="nil"/>
              <w:left w:val="nil"/>
              <w:bottom w:val="nil"/>
              <w:right w:val="nil"/>
            </w:tcBorders>
            <w:vAlign w:val="center"/>
          </w:tcPr>
          <w:p w14:paraId="00000239">
            <w:pPr>
              <w:spacing w:after="0"/>
              <w:rPr>
                <w:b/>
                <w:bCs/>
              </w:rPr>
            </w:pPr>
            <w:r>
              <w:rPr>
                <w:b/>
                <w:bCs/>
                <w:rtl w:val="0"/>
              </w:rPr>
              <w:t>Gross Margin</w:t>
            </w:r>
          </w:p>
        </w:tc>
      </w:tr>
      <w:tr w14:paraId="71EB5615">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3A">
            <w:pPr>
              <w:spacing w:after="0"/>
            </w:pPr>
            <w:r>
              <w:rPr>
                <w:rtl w:val="0"/>
              </w:rPr>
              <w:t>2024</w:t>
            </w:r>
          </w:p>
        </w:tc>
        <w:tc>
          <w:tcPr>
            <w:tcBorders>
              <w:top w:val="nil"/>
              <w:left w:val="nil"/>
              <w:bottom w:val="nil"/>
              <w:right w:val="nil"/>
            </w:tcBorders>
            <w:vAlign w:val="center"/>
          </w:tcPr>
          <w:p w14:paraId="0000023B">
            <w:pPr>
              <w:spacing w:after="0"/>
            </w:pPr>
            <w:r>
              <w:rPr>
                <w:rtl w:val="0"/>
              </w:rPr>
              <w:t>1,13,994</w:t>
            </w:r>
          </w:p>
        </w:tc>
        <w:tc>
          <w:tcPr>
            <w:tcBorders>
              <w:top w:val="nil"/>
              <w:left w:val="nil"/>
              <w:bottom w:val="nil"/>
              <w:right w:val="nil"/>
            </w:tcBorders>
            <w:vAlign w:val="center"/>
          </w:tcPr>
          <w:p w14:paraId="0000023C">
            <w:pPr>
              <w:spacing w:after="0"/>
            </w:pPr>
            <w:r>
              <w:rPr>
                <w:rtl w:val="0"/>
              </w:rPr>
              <w:t>3,94,879</w:t>
            </w:r>
          </w:p>
        </w:tc>
        <w:tc>
          <w:tcPr>
            <w:tcBorders>
              <w:top w:val="nil"/>
              <w:left w:val="nil"/>
              <w:bottom w:val="nil"/>
              <w:right w:val="nil"/>
            </w:tcBorders>
            <w:vAlign w:val="center"/>
          </w:tcPr>
          <w:p w14:paraId="0000023D">
            <w:pPr>
              <w:spacing w:after="0"/>
            </w:pPr>
            <w:r>
              <w:rPr>
                <w:rtl w:val="0"/>
              </w:rPr>
              <w:t>113,994 ÷ 394,879</w:t>
            </w:r>
          </w:p>
        </w:tc>
        <w:tc>
          <w:tcPr>
            <w:tcBorders>
              <w:top w:val="nil"/>
              <w:left w:val="nil"/>
              <w:bottom w:val="nil"/>
              <w:right w:val="nil"/>
            </w:tcBorders>
            <w:vAlign w:val="center"/>
          </w:tcPr>
          <w:p w14:paraId="0000023E">
            <w:pPr>
              <w:spacing w:after="0"/>
              <w:rPr>
                <w:b/>
                <w:bCs/>
              </w:rPr>
            </w:pPr>
            <w:r>
              <w:rPr>
                <w:b/>
                <w:bCs/>
                <w:rtl w:val="0"/>
              </w:rPr>
              <w:t>28.90%</w:t>
            </w:r>
          </w:p>
        </w:tc>
      </w:tr>
      <w:tr w14:paraId="66E45CB6">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3F">
            <w:pPr>
              <w:spacing w:after="0"/>
            </w:pPr>
            <w:r>
              <w:rPr>
                <w:rtl w:val="0"/>
              </w:rPr>
              <w:t>2023</w:t>
            </w:r>
          </w:p>
        </w:tc>
        <w:tc>
          <w:tcPr>
            <w:tcBorders>
              <w:top w:val="nil"/>
              <w:left w:val="nil"/>
              <w:bottom w:val="nil"/>
              <w:right w:val="nil"/>
            </w:tcBorders>
            <w:vAlign w:val="center"/>
          </w:tcPr>
          <w:p w14:paraId="00000240">
            <w:pPr>
              <w:spacing w:after="0"/>
            </w:pPr>
            <w:r>
              <w:rPr>
                <w:rtl w:val="0"/>
              </w:rPr>
              <w:t>97,560</w:t>
            </w:r>
          </w:p>
        </w:tc>
        <w:tc>
          <w:tcPr>
            <w:tcBorders>
              <w:top w:val="nil"/>
              <w:left w:val="nil"/>
              <w:bottom w:val="nil"/>
              <w:right w:val="nil"/>
            </w:tcBorders>
            <w:vAlign w:val="center"/>
          </w:tcPr>
          <w:p w14:paraId="00000241">
            <w:pPr>
              <w:spacing w:after="0"/>
            </w:pPr>
            <w:r>
              <w:rPr>
                <w:rtl w:val="0"/>
              </w:rPr>
              <w:t>4,20,457</w:t>
            </w:r>
          </w:p>
        </w:tc>
        <w:tc>
          <w:tcPr>
            <w:tcBorders>
              <w:top w:val="nil"/>
              <w:left w:val="nil"/>
              <w:bottom w:val="nil"/>
              <w:right w:val="nil"/>
            </w:tcBorders>
            <w:vAlign w:val="center"/>
          </w:tcPr>
          <w:p w14:paraId="00000242">
            <w:pPr>
              <w:spacing w:after="0"/>
            </w:pPr>
            <w:r>
              <w:rPr>
                <w:rtl w:val="0"/>
              </w:rPr>
              <w:t>97,560 ÷ 420,457</w:t>
            </w:r>
          </w:p>
        </w:tc>
        <w:tc>
          <w:tcPr>
            <w:tcBorders>
              <w:top w:val="nil"/>
              <w:left w:val="nil"/>
              <w:bottom w:val="nil"/>
              <w:right w:val="nil"/>
            </w:tcBorders>
            <w:vAlign w:val="center"/>
          </w:tcPr>
          <w:p w14:paraId="00000243">
            <w:pPr>
              <w:spacing w:after="0"/>
              <w:rPr>
                <w:b/>
                <w:bCs/>
              </w:rPr>
            </w:pPr>
            <w:r>
              <w:rPr>
                <w:b/>
                <w:bCs/>
                <w:rtl w:val="0"/>
              </w:rPr>
              <w:t>23.20%</w:t>
            </w:r>
          </w:p>
        </w:tc>
      </w:tr>
      <w:tr w14:paraId="0A738DFA">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44">
            <w:pPr>
              <w:spacing w:after="0"/>
            </w:pPr>
            <w:r>
              <w:rPr>
                <w:rtl w:val="0"/>
              </w:rPr>
              <w:t>2022</w:t>
            </w:r>
          </w:p>
        </w:tc>
        <w:tc>
          <w:tcPr>
            <w:tcBorders>
              <w:top w:val="nil"/>
              <w:left w:val="nil"/>
              <w:bottom w:val="nil"/>
              <w:right w:val="nil"/>
            </w:tcBorders>
            <w:vAlign w:val="center"/>
          </w:tcPr>
          <w:p w14:paraId="00000245">
            <w:pPr>
              <w:spacing w:after="0"/>
            </w:pPr>
            <w:r>
              <w:rPr>
                <w:rtl w:val="0"/>
              </w:rPr>
              <w:t>1,52,292</w:t>
            </w:r>
          </w:p>
        </w:tc>
        <w:tc>
          <w:tcPr>
            <w:tcBorders>
              <w:top w:val="nil"/>
              <w:left w:val="nil"/>
              <w:bottom w:val="nil"/>
              <w:right w:val="nil"/>
            </w:tcBorders>
            <w:vAlign w:val="center"/>
          </w:tcPr>
          <w:p w14:paraId="00000246">
            <w:pPr>
              <w:spacing w:after="0"/>
            </w:pPr>
            <w:r>
              <w:rPr>
                <w:rtl w:val="0"/>
              </w:rPr>
              <w:t>5,42,751</w:t>
            </w:r>
          </w:p>
        </w:tc>
        <w:tc>
          <w:tcPr>
            <w:tcBorders>
              <w:top w:val="nil"/>
              <w:left w:val="nil"/>
              <w:bottom w:val="nil"/>
              <w:right w:val="nil"/>
            </w:tcBorders>
            <w:vAlign w:val="center"/>
          </w:tcPr>
          <w:p w14:paraId="00000247">
            <w:pPr>
              <w:spacing w:after="0"/>
            </w:pPr>
            <w:r>
              <w:rPr>
                <w:rtl w:val="0"/>
              </w:rPr>
              <w:t>152,292 ÷ 542,751</w:t>
            </w:r>
          </w:p>
        </w:tc>
        <w:tc>
          <w:tcPr>
            <w:tcBorders>
              <w:top w:val="nil"/>
              <w:left w:val="nil"/>
              <w:bottom w:val="nil"/>
              <w:right w:val="nil"/>
            </w:tcBorders>
            <w:vAlign w:val="center"/>
          </w:tcPr>
          <w:p w14:paraId="00000248">
            <w:pPr>
              <w:spacing w:after="0"/>
              <w:rPr>
                <w:b/>
                <w:bCs/>
              </w:rPr>
            </w:pPr>
            <w:r>
              <w:rPr>
                <w:b/>
                <w:bCs/>
                <w:rtl w:val="0"/>
              </w:rPr>
              <w:t>28.10%</w:t>
            </w:r>
          </w:p>
        </w:tc>
      </w:tr>
      <w:tr w14:paraId="30743B5F">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49">
            <w:pPr>
              <w:spacing w:after="0"/>
            </w:pPr>
            <w:r>
              <w:rPr>
                <w:rtl w:val="0"/>
              </w:rPr>
              <w:t>2021</w:t>
            </w:r>
          </w:p>
        </w:tc>
        <w:tc>
          <w:tcPr>
            <w:tcBorders>
              <w:top w:val="nil"/>
              <w:left w:val="nil"/>
              <w:bottom w:val="nil"/>
              <w:right w:val="nil"/>
            </w:tcBorders>
            <w:vAlign w:val="center"/>
          </w:tcPr>
          <w:p w14:paraId="0000024A">
            <w:pPr>
              <w:spacing w:after="0"/>
            </w:pPr>
            <w:r>
              <w:rPr>
                <w:rtl w:val="0"/>
              </w:rPr>
              <w:t>1,73,016</w:t>
            </w:r>
          </w:p>
        </w:tc>
        <w:tc>
          <w:tcPr>
            <w:tcBorders>
              <w:top w:val="nil"/>
              <w:left w:val="nil"/>
              <w:bottom w:val="nil"/>
              <w:right w:val="nil"/>
            </w:tcBorders>
            <w:vAlign w:val="center"/>
          </w:tcPr>
          <w:p w14:paraId="0000024B">
            <w:pPr>
              <w:spacing w:after="0"/>
            </w:pPr>
            <w:r>
              <w:rPr>
                <w:rtl w:val="0"/>
              </w:rPr>
              <w:t>6,01,602</w:t>
            </w:r>
          </w:p>
        </w:tc>
        <w:tc>
          <w:tcPr>
            <w:tcBorders>
              <w:top w:val="nil"/>
              <w:left w:val="nil"/>
              <w:bottom w:val="nil"/>
              <w:right w:val="nil"/>
            </w:tcBorders>
            <w:vAlign w:val="center"/>
          </w:tcPr>
          <w:p w14:paraId="0000024C">
            <w:pPr>
              <w:spacing w:after="0"/>
            </w:pPr>
            <w:r>
              <w:rPr>
                <w:rtl w:val="0"/>
              </w:rPr>
              <w:t>173,016 ÷ 601,602</w:t>
            </w:r>
          </w:p>
        </w:tc>
        <w:tc>
          <w:tcPr>
            <w:tcBorders>
              <w:top w:val="nil"/>
              <w:left w:val="nil"/>
              <w:bottom w:val="nil"/>
              <w:right w:val="nil"/>
            </w:tcBorders>
            <w:vAlign w:val="center"/>
          </w:tcPr>
          <w:p w14:paraId="0000024D">
            <w:pPr>
              <w:spacing w:after="0"/>
              <w:rPr>
                <w:b/>
                <w:bCs/>
              </w:rPr>
            </w:pPr>
            <w:r>
              <w:rPr>
                <w:b/>
                <w:bCs/>
                <w:rtl w:val="0"/>
              </w:rPr>
              <w:t>28.80%</w:t>
            </w:r>
          </w:p>
        </w:tc>
      </w:tr>
      <w:tr w14:paraId="4BEC0F32">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4E">
            <w:pPr>
              <w:spacing w:after="0"/>
            </w:pPr>
            <w:r>
              <w:rPr>
                <w:rtl w:val="0"/>
              </w:rPr>
              <w:t>2020</w:t>
            </w:r>
          </w:p>
        </w:tc>
        <w:tc>
          <w:tcPr>
            <w:tcBorders>
              <w:top w:val="nil"/>
              <w:left w:val="nil"/>
              <w:bottom w:val="nil"/>
              <w:right w:val="nil"/>
            </w:tcBorders>
            <w:vAlign w:val="center"/>
          </w:tcPr>
          <w:p w14:paraId="0000024F">
            <w:pPr>
              <w:spacing w:after="0"/>
            </w:pPr>
            <w:r>
              <w:rPr>
                <w:rtl w:val="0"/>
              </w:rPr>
              <w:t>1,76,256</w:t>
            </w:r>
          </w:p>
        </w:tc>
        <w:tc>
          <w:tcPr>
            <w:tcBorders>
              <w:top w:val="nil"/>
              <w:left w:val="nil"/>
              <w:bottom w:val="nil"/>
              <w:right w:val="nil"/>
            </w:tcBorders>
            <w:vAlign w:val="center"/>
          </w:tcPr>
          <w:p w14:paraId="00000250">
            <w:pPr>
              <w:spacing w:after="0"/>
            </w:pPr>
            <w:r>
              <w:rPr>
                <w:rtl w:val="0"/>
              </w:rPr>
              <w:t>6,14,680</w:t>
            </w:r>
          </w:p>
        </w:tc>
        <w:tc>
          <w:tcPr>
            <w:tcBorders>
              <w:top w:val="nil"/>
              <w:left w:val="nil"/>
              <w:bottom w:val="nil"/>
              <w:right w:val="nil"/>
            </w:tcBorders>
            <w:vAlign w:val="center"/>
          </w:tcPr>
          <w:p w14:paraId="00000251">
            <w:pPr>
              <w:spacing w:after="0"/>
            </w:pPr>
            <w:r>
              <w:rPr>
                <w:rtl w:val="0"/>
              </w:rPr>
              <w:t>176,256 ÷ 614,680</w:t>
            </w:r>
          </w:p>
        </w:tc>
        <w:tc>
          <w:tcPr>
            <w:tcBorders>
              <w:top w:val="nil"/>
              <w:left w:val="nil"/>
              <w:bottom w:val="nil"/>
              <w:right w:val="nil"/>
            </w:tcBorders>
            <w:vAlign w:val="center"/>
          </w:tcPr>
          <w:p w14:paraId="00000252">
            <w:pPr>
              <w:spacing w:after="0"/>
              <w:rPr>
                <w:b/>
                <w:bCs/>
              </w:rPr>
            </w:pPr>
            <w:r>
              <w:rPr>
                <w:b/>
                <w:bCs/>
                <w:rtl w:val="0"/>
              </w:rPr>
              <w:t>28.70%</w:t>
            </w:r>
          </w:p>
        </w:tc>
      </w:tr>
      <w:tr w14:paraId="7CD9ACA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53">
            <w:pPr>
              <w:spacing w:after="0"/>
              <w:rPr>
                <w:b/>
                <w:bCs/>
              </w:rPr>
            </w:pPr>
          </w:p>
        </w:tc>
        <w:tc>
          <w:tcPr>
            <w:tcBorders>
              <w:top w:val="nil"/>
              <w:left w:val="nil"/>
              <w:bottom w:val="nil"/>
              <w:right w:val="nil"/>
            </w:tcBorders>
            <w:vAlign w:val="bottom"/>
          </w:tcPr>
          <w:p w14:paraId="00000254">
            <w:pPr>
              <w:spacing w:after="0"/>
            </w:pPr>
          </w:p>
        </w:tc>
        <w:tc>
          <w:tcPr>
            <w:tcBorders>
              <w:top w:val="nil"/>
              <w:left w:val="nil"/>
              <w:bottom w:val="nil"/>
              <w:right w:val="nil"/>
            </w:tcBorders>
            <w:vAlign w:val="bottom"/>
          </w:tcPr>
          <w:p w14:paraId="00000255">
            <w:pPr>
              <w:spacing w:after="0"/>
            </w:pPr>
          </w:p>
        </w:tc>
        <w:tc>
          <w:tcPr>
            <w:tcBorders>
              <w:top w:val="nil"/>
              <w:left w:val="nil"/>
              <w:bottom w:val="nil"/>
              <w:right w:val="nil"/>
            </w:tcBorders>
            <w:vAlign w:val="bottom"/>
          </w:tcPr>
          <w:p w14:paraId="00000256">
            <w:pPr>
              <w:spacing w:after="0"/>
            </w:pPr>
          </w:p>
        </w:tc>
        <w:tc>
          <w:tcPr>
            <w:tcBorders>
              <w:top w:val="nil"/>
              <w:left w:val="nil"/>
              <w:bottom w:val="nil"/>
              <w:right w:val="nil"/>
            </w:tcBorders>
            <w:vAlign w:val="bottom"/>
          </w:tcPr>
          <w:p w14:paraId="00000257">
            <w:pPr>
              <w:spacing w:after="0"/>
            </w:pPr>
          </w:p>
        </w:tc>
      </w:tr>
      <w:tr w14:paraId="64E3E12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58">
            <w:pPr>
              <w:spacing w:after="0"/>
            </w:pPr>
          </w:p>
        </w:tc>
        <w:tc>
          <w:tcPr>
            <w:tcBorders>
              <w:top w:val="nil"/>
              <w:left w:val="nil"/>
              <w:bottom w:val="nil"/>
              <w:right w:val="nil"/>
            </w:tcBorders>
            <w:vAlign w:val="bottom"/>
          </w:tcPr>
          <w:p w14:paraId="00000259">
            <w:pPr>
              <w:spacing w:after="0"/>
            </w:pPr>
          </w:p>
        </w:tc>
        <w:tc>
          <w:tcPr>
            <w:tcBorders>
              <w:top w:val="nil"/>
              <w:left w:val="nil"/>
              <w:bottom w:val="nil"/>
              <w:right w:val="nil"/>
            </w:tcBorders>
            <w:vAlign w:val="bottom"/>
          </w:tcPr>
          <w:p w14:paraId="0000025A">
            <w:pPr>
              <w:spacing w:after="0"/>
            </w:pPr>
          </w:p>
        </w:tc>
        <w:tc>
          <w:tcPr>
            <w:tcBorders>
              <w:top w:val="nil"/>
              <w:left w:val="nil"/>
              <w:bottom w:val="nil"/>
              <w:right w:val="nil"/>
            </w:tcBorders>
            <w:vAlign w:val="bottom"/>
          </w:tcPr>
          <w:p w14:paraId="0000025B">
            <w:pPr>
              <w:spacing w:after="0"/>
            </w:pPr>
          </w:p>
        </w:tc>
        <w:tc>
          <w:tcPr>
            <w:tcBorders>
              <w:top w:val="nil"/>
              <w:left w:val="nil"/>
              <w:bottom w:val="nil"/>
              <w:right w:val="nil"/>
            </w:tcBorders>
            <w:vAlign w:val="bottom"/>
          </w:tcPr>
          <w:p w14:paraId="0000025C">
            <w:pPr>
              <w:spacing w:after="0"/>
            </w:pPr>
          </w:p>
        </w:tc>
      </w:tr>
      <w:tr w14:paraId="25199206">
        <w:tblPrEx>
          <w:tblCellMar>
            <w:top w:w="0" w:type="dxa"/>
            <w:left w:w="115" w:type="dxa"/>
            <w:bottom w:w="0" w:type="dxa"/>
            <w:right w:w="115" w:type="dxa"/>
          </w:tblCellMar>
        </w:tblPrEx>
        <w:trPr>
          <w:trHeight w:val="360" w:hRule="atLeast"/>
        </w:trPr>
        <w:tc>
          <w:tcPr>
            <w:gridSpan w:val="3"/>
            <w:tcBorders>
              <w:top w:val="nil"/>
              <w:left w:val="nil"/>
              <w:bottom w:val="nil"/>
              <w:right w:val="nil"/>
            </w:tcBorders>
            <w:vAlign w:val="center"/>
          </w:tcPr>
          <w:p w14:paraId="0000025D">
            <w:pPr>
              <w:spacing w:after="0"/>
              <w:rPr>
                <w:b/>
                <w:bCs/>
              </w:rPr>
            </w:pPr>
            <w:r>
              <w:rPr>
                <w:b/>
                <w:bCs/>
                <w:rtl w:val="0"/>
              </w:rPr>
              <w:t>Net Profit Margin</w:t>
            </w:r>
          </w:p>
        </w:tc>
        <w:tc>
          <w:tcPr>
            <w:tcBorders>
              <w:top w:val="nil"/>
              <w:left w:val="nil"/>
              <w:bottom w:val="nil"/>
              <w:right w:val="nil"/>
            </w:tcBorders>
            <w:vAlign w:val="bottom"/>
          </w:tcPr>
          <w:p w14:paraId="00000260">
            <w:pPr>
              <w:spacing w:after="0"/>
              <w:rPr>
                <w:b/>
                <w:bCs/>
              </w:rPr>
            </w:pPr>
          </w:p>
        </w:tc>
        <w:tc>
          <w:tcPr>
            <w:tcBorders>
              <w:top w:val="nil"/>
              <w:left w:val="nil"/>
              <w:bottom w:val="nil"/>
              <w:right w:val="nil"/>
            </w:tcBorders>
            <w:vAlign w:val="bottom"/>
          </w:tcPr>
          <w:p w14:paraId="00000261">
            <w:pPr>
              <w:spacing w:after="0"/>
            </w:pPr>
          </w:p>
        </w:tc>
      </w:tr>
      <w:tr w14:paraId="29742D3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62">
            <w:pPr>
              <w:spacing w:after="0"/>
            </w:pPr>
          </w:p>
        </w:tc>
        <w:tc>
          <w:tcPr>
            <w:tcBorders>
              <w:top w:val="nil"/>
              <w:left w:val="nil"/>
              <w:bottom w:val="nil"/>
              <w:right w:val="nil"/>
            </w:tcBorders>
            <w:vAlign w:val="bottom"/>
          </w:tcPr>
          <w:p w14:paraId="00000263">
            <w:pPr>
              <w:spacing w:after="0"/>
            </w:pPr>
          </w:p>
        </w:tc>
        <w:tc>
          <w:tcPr>
            <w:tcBorders>
              <w:top w:val="nil"/>
              <w:left w:val="nil"/>
              <w:bottom w:val="nil"/>
              <w:right w:val="nil"/>
            </w:tcBorders>
            <w:vAlign w:val="bottom"/>
          </w:tcPr>
          <w:p w14:paraId="00000264">
            <w:pPr>
              <w:spacing w:after="0"/>
            </w:pPr>
          </w:p>
        </w:tc>
        <w:tc>
          <w:tcPr>
            <w:tcBorders>
              <w:top w:val="nil"/>
              <w:left w:val="nil"/>
              <w:bottom w:val="nil"/>
              <w:right w:val="nil"/>
            </w:tcBorders>
            <w:vAlign w:val="bottom"/>
          </w:tcPr>
          <w:p w14:paraId="00000265">
            <w:pPr>
              <w:spacing w:after="0"/>
            </w:pPr>
          </w:p>
        </w:tc>
        <w:tc>
          <w:tcPr>
            <w:tcBorders>
              <w:top w:val="nil"/>
              <w:left w:val="nil"/>
              <w:bottom w:val="nil"/>
              <w:right w:val="nil"/>
            </w:tcBorders>
            <w:vAlign w:val="bottom"/>
          </w:tcPr>
          <w:p w14:paraId="00000266">
            <w:pPr>
              <w:spacing w:after="0"/>
            </w:pPr>
          </w:p>
        </w:tc>
      </w:tr>
      <w:tr w14:paraId="055F968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67">
            <w:pPr>
              <w:spacing w:after="0"/>
              <w:rPr>
                <w:b/>
                <w:bCs/>
              </w:rPr>
            </w:pPr>
            <w:r>
              <w:rPr>
                <w:b/>
                <w:bCs/>
                <w:rtl w:val="0"/>
              </w:rPr>
              <w:t>Formula:</w:t>
            </w:r>
          </w:p>
        </w:tc>
        <w:tc>
          <w:tcPr>
            <w:tcBorders>
              <w:top w:val="nil"/>
              <w:left w:val="nil"/>
              <w:bottom w:val="nil"/>
              <w:right w:val="nil"/>
            </w:tcBorders>
            <w:vAlign w:val="bottom"/>
          </w:tcPr>
          <w:p w14:paraId="00000268">
            <w:pPr>
              <w:spacing w:after="0"/>
              <w:rPr>
                <w:b/>
                <w:bCs/>
              </w:rPr>
            </w:pPr>
          </w:p>
        </w:tc>
        <w:tc>
          <w:tcPr>
            <w:tcBorders>
              <w:top w:val="nil"/>
              <w:left w:val="nil"/>
              <w:bottom w:val="nil"/>
              <w:right w:val="nil"/>
            </w:tcBorders>
            <w:vAlign w:val="bottom"/>
          </w:tcPr>
          <w:p w14:paraId="00000269">
            <w:pPr>
              <w:spacing w:after="0"/>
            </w:pPr>
          </w:p>
        </w:tc>
        <w:tc>
          <w:tcPr>
            <w:tcBorders>
              <w:top w:val="nil"/>
              <w:left w:val="nil"/>
              <w:bottom w:val="nil"/>
              <w:right w:val="nil"/>
            </w:tcBorders>
            <w:vAlign w:val="bottom"/>
          </w:tcPr>
          <w:p w14:paraId="0000026A">
            <w:pPr>
              <w:spacing w:after="0"/>
            </w:pPr>
          </w:p>
        </w:tc>
        <w:tc>
          <w:tcPr>
            <w:tcBorders>
              <w:top w:val="nil"/>
              <w:left w:val="nil"/>
              <w:bottom w:val="nil"/>
              <w:right w:val="nil"/>
            </w:tcBorders>
            <w:vAlign w:val="bottom"/>
          </w:tcPr>
          <w:p w14:paraId="0000026B">
            <w:pPr>
              <w:spacing w:after="0"/>
            </w:pPr>
          </w:p>
        </w:tc>
      </w:tr>
      <w:tr w14:paraId="27BDAD48">
        <w:tblPrEx>
          <w:tblCellMar>
            <w:top w:w="0" w:type="dxa"/>
            <w:left w:w="115" w:type="dxa"/>
            <w:bottom w:w="0" w:type="dxa"/>
            <w:right w:w="115" w:type="dxa"/>
          </w:tblCellMar>
        </w:tblPrEx>
        <w:trPr>
          <w:trHeight w:val="288" w:hRule="atLeast"/>
        </w:trPr>
        <w:tc>
          <w:tcPr>
            <w:gridSpan w:val="5"/>
            <w:tcBorders>
              <w:top w:val="nil"/>
              <w:left w:val="nil"/>
              <w:bottom w:val="nil"/>
              <w:right w:val="nil"/>
            </w:tcBorders>
            <w:vAlign w:val="bottom"/>
          </w:tcPr>
          <w:p w14:paraId="0000026C">
            <w:pPr>
              <w:spacing w:after="0"/>
            </w:pPr>
            <w:r>
              <w:rPr>
                <w:rtl w:val="0"/>
              </w:rPr>
              <w:t>Net Profit Margin = Net Income ÷ Net Sales</w:t>
            </w:r>
          </w:p>
        </w:tc>
      </w:tr>
      <w:tr w14:paraId="09A9D7F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71">
            <w:pPr>
              <w:spacing w:after="0"/>
            </w:pPr>
          </w:p>
        </w:tc>
        <w:tc>
          <w:tcPr>
            <w:tcBorders>
              <w:top w:val="nil"/>
              <w:left w:val="nil"/>
              <w:bottom w:val="nil"/>
              <w:right w:val="nil"/>
            </w:tcBorders>
            <w:vAlign w:val="bottom"/>
          </w:tcPr>
          <w:p w14:paraId="00000272">
            <w:pPr>
              <w:spacing w:after="0"/>
            </w:pPr>
          </w:p>
        </w:tc>
        <w:tc>
          <w:tcPr>
            <w:tcBorders>
              <w:top w:val="nil"/>
              <w:left w:val="nil"/>
              <w:bottom w:val="nil"/>
              <w:right w:val="nil"/>
            </w:tcBorders>
            <w:vAlign w:val="bottom"/>
          </w:tcPr>
          <w:p w14:paraId="00000273">
            <w:pPr>
              <w:spacing w:after="0"/>
            </w:pPr>
          </w:p>
        </w:tc>
        <w:tc>
          <w:tcPr>
            <w:tcBorders>
              <w:top w:val="nil"/>
              <w:left w:val="nil"/>
              <w:bottom w:val="nil"/>
              <w:right w:val="nil"/>
            </w:tcBorders>
            <w:vAlign w:val="bottom"/>
          </w:tcPr>
          <w:p w14:paraId="00000274">
            <w:pPr>
              <w:spacing w:after="0"/>
            </w:pPr>
          </w:p>
        </w:tc>
        <w:tc>
          <w:tcPr>
            <w:tcBorders>
              <w:top w:val="nil"/>
              <w:left w:val="nil"/>
              <w:bottom w:val="nil"/>
              <w:right w:val="nil"/>
            </w:tcBorders>
            <w:vAlign w:val="bottom"/>
          </w:tcPr>
          <w:p w14:paraId="00000275">
            <w:pPr>
              <w:spacing w:after="0"/>
            </w:pPr>
          </w:p>
        </w:tc>
      </w:tr>
      <w:tr w14:paraId="4B8A0B3F">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276">
            <w:pPr>
              <w:spacing w:after="0"/>
              <w:rPr>
                <w:b/>
                <w:bCs/>
              </w:rPr>
            </w:pPr>
            <w:r>
              <w:rPr>
                <w:b/>
                <w:bCs/>
                <w:rtl w:val="0"/>
              </w:rPr>
              <w:t>Year</w:t>
            </w:r>
          </w:p>
        </w:tc>
        <w:tc>
          <w:tcPr>
            <w:tcBorders>
              <w:top w:val="nil"/>
              <w:left w:val="nil"/>
              <w:bottom w:val="nil"/>
              <w:right w:val="nil"/>
            </w:tcBorders>
            <w:vAlign w:val="center"/>
          </w:tcPr>
          <w:p w14:paraId="00000277">
            <w:pPr>
              <w:spacing w:after="0"/>
              <w:rPr>
                <w:b/>
                <w:bCs/>
              </w:rPr>
            </w:pPr>
            <w:r>
              <w:rPr>
                <w:b/>
                <w:bCs/>
                <w:rtl w:val="0"/>
              </w:rPr>
              <w:t>Net Income (Loss)</w:t>
            </w:r>
          </w:p>
        </w:tc>
        <w:tc>
          <w:tcPr>
            <w:tcBorders>
              <w:top w:val="nil"/>
              <w:left w:val="nil"/>
              <w:bottom w:val="nil"/>
              <w:right w:val="nil"/>
            </w:tcBorders>
            <w:vAlign w:val="center"/>
          </w:tcPr>
          <w:p w14:paraId="00000278">
            <w:pPr>
              <w:spacing w:after="0"/>
              <w:rPr>
                <w:b/>
                <w:bCs/>
              </w:rPr>
            </w:pPr>
            <w:r>
              <w:rPr>
                <w:b/>
                <w:bCs/>
                <w:rtl w:val="0"/>
              </w:rPr>
              <w:t>Net Sales</w:t>
            </w:r>
          </w:p>
        </w:tc>
        <w:tc>
          <w:tcPr>
            <w:tcBorders>
              <w:top w:val="nil"/>
              <w:left w:val="nil"/>
              <w:bottom w:val="nil"/>
              <w:right w:val="nil"/>
            </w:tcBorders>
            <w:vAlign w:val="center"/>
          </w:tcPr>
          <w:p w14:paraId="00000279">
            <w:pPr>
              <w:spacing w:after="0"/>
              <w:rPr>
                <w:b/>
                <w:bCs/>
              </w:rPr>
            </w:pPr>
            <w:r>
              <w:rPr>
                <w:b/>
                <w:bCs/>
                <w:rtl w:val="0"/>
              </w:rPr>
              <w:t>Calculation</w:t>
            </w:r>
          </w:p>
        </w:tc>
        <w:tc>
          <w:tcPr>
            <w:tcBorders>
              <w:top w:val="nil"/>
              <w:left w:val="nil"/>
              <w:bottom w:val="nil"/>
              <w:right w:val="nil"/>
            </w:tcBorders>
            <w:vAlign w:val="center"/>
          </w:tcPr>
          <w:p w14:paraId="0000027A">
            <w:pPr>
              <w:spacing w:after="0"/>
              <w:rPr>
                <w:b/>
                <w:bCs/>
              </w:rPr>
            </w:pPr>
            <w:r>
              <w:rPr>
                <w:b/>
                <w:bCs/>
                <w:rtl w:val="0"/>
              </w:rPr>
              <w:t>Net Margin</w:t>
            </w:r>
          </w:p>
        </w:tc>
      </w:tr>
      <w:tr w14:paraId="5D0FD9D0">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7B">
            <w:pPr>
              <w:spacing w:after="0"/>
            </w:pPr>
            <w:r>
              <w:rPr>
                <w:rtl w:val="0"/>
              </w:rPr>
              <w:t>2024</w:t>
            </w:r>
          </w:p>
        </w:tc>
        <w:tc>
          <w:tcPr>
            <w:tcBorders>
              <w:top w:val="nil"/>
              <w:left w:val="nil"/>
              <w:bottom w:val="nil"/>
              <w:right w:val="nil"/>
            </w:tcBorders>
            <w:vAlign w:val="center"/>
          </w:tcPr>
          <w:p w14:paraId="0000027C">
            <w:pPr>
              <w:spacing w:after="0"/>
            </w:pPr>
            <w:r>
              <w:rPr>
                <w:rtl w:val="0"/>
              </w:rPr>
              <w:t>-24,029</w:t>
            </w:r>
          </w:p>
        </w:tc>
        <w:tc>
          <w:tcPr>
            <w:tcBorders>
              <w:top w:val="nil"/>
              <w:left w:val="nil"/>
              <w:bottom w:val="nil"/>
              <w:right w:val="nil"/>
            </w:tcBorders>
            <w:vAlign w:val="center"/>
          </w:tcPr>
          <w:p w14:paraId="0000027D">
            <w:pPr>
              <w:spacing w:after="0"/>
            </w:pPr>
            <w:r>
              <w:rPr>
                <w:rtl w:val="0"/>
              </w:rPr>
              <w:t>3,94,879</w:t>
            </w:r>
          </w:p>
        </w:tc>
        <w:tc>
          <w:tcPr>
            <w:tcBorders>
              <w:top w:val="nil"/>
              <w:left w:val="nil"/>
              <w:bottom w:val="nil"/>
              <w:right w:val="nil"/>
            </w:tcBorders>
            <w:vAlign w:val="center"/>
          </w:tcPr>
          <w:p w14:paraId="0000027E">
            <w:pPr>
              <w:spacing w:after="0"/>
            </w:pPr>
            <w:r>
              <w:rPr>
                <w:rtl w:val="0"/>
              </w:rPr>
              <w:t>(24,029) ÷ 394,879</w:t>
            </w:r>
          </w:p>
        </w:tc>
        <w:tc>
          <w:tcPr>
            <w:tcBorders>
              <w:top w:val="nil"/>
              <w:left w:val="nil"/>
              <w:bottom w:val="nil"/>
              <w:right w:val="nil"/>
            </w:tcBorders>
            <w:vAlign w:val="center"/>
          </w:tcPr>
          <w:p w14:paraId="0000027F">
            <w:pPr>
              <w:spacing w:after="0"/>
              <w:rPr>
                <w:b/>
                <w:bCs/>
              </w:rPr>
            </w:pPr>
            <w:r>
              <w:rPr>
                <w:b/>
                <w:bCs/>
                <w:rtl w:val="0"/>
              </w:rPr>
              <w:t>–6.1%</w:t>
            </w:r>
          </w:p>
        </w:tc>
      </w:tr>
      <w:tr w14:paraId="27BF002E">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80">
            <w:pPr>
              <w:spacing w:after="0"/>
            </w:pPr>
            <w:r>
              <w:rPr>
                <w:rtl w:val="0"/>
              </w:rPr>
              <w:t>2023</w:t>
            </w:r>
          </w:p>
        </w:tc>
        <w:tc>
          <w:tcPr>
            <w:tcBorders>
              <w:top w:val="nil"/>
              <w:left w:val="nil"/>
              <w:bottom w:val="nil"/>
              <w:right w:val="nil"/>
            </w:tcBorders>
            <w:vAlign w:val="center"/>
          </w:tcPr>
          <w:p w14:paraId="00000281">
            <w:pPr>
              <w:spacing w:after="0"/>
            </w:pPr>
            <w:r>
              <w:rPr>
                <w:rtl w:val="0"/>
              </w:rPr>
              <w:t>-98,238</w:t>
            </w:r>
          </w:p>
        </w:tc>
        <w:tc>
          <w:tcPr>
            <w:tcBorders>
              <w:top w:val="nil"/>
              <w:left w:val="nil"/>
              <w:bottom w:val="nil"/>
              <w:right w:val="nil"/>
            </w:tcBorders>
            <w:vAlign w:val="center"/>
          </w:tcPr>
          <w:p w14:paraId="00000282">
            <w:pPr>
              <w:spacing w:after="0"/>
            </w:pPr>
            <w:r>
              <w:rPr>
                <w:rtl w:val="0"/>
              </w:rPr>
              <w:t>4,20,457</w:t>
            </w:r>
          </w:p>
        </w:tc>
        <w:tc>
          <w:tcPr>
            <w:tcBorders>
              <w:top w:val="nil"/>
              <w:left w:val="nil"/>
              <w:bottom w:val="nil"/>
              <w:right w:val="nil"/>
            </w:tcBorders>
            <w:vAlign w:val="center"/>
          </w:tcPr>
          <w:p w14:paraId="00000283">
            <w:pPr>
              <w:spacing w:after="0"/>
            </w:pPr>
            <w:r>
              <w:rPr>
                <w:rtl w:val="0"/>
              </w:rPr>
              <w:t>(98,238) ÷ 420,457</w:t>
            </w:r>
          </w:p>
        </w:tc>
        <w:tc>
          <w:tcPr>
            <w:tcBorders>
              <w:top w:val="nil"/>
              <w:left w:val="nil"/>
              <w:bottom w:val="nil"/>
              <w:right w:val="nil"/>
            </w:tcBorders>
            <w:vAlign w:val="center"/>
          </w:tcPr>
          <w:p w14:paraId="00000284">
            <w:pPr>
              <w:spacing w:after="0"/>
              <w:rPr>
                <w:b/>
                <w:bCs/>
              </w:rPr>
            </w:pPr>
            <w:r>
              <w:rPr>
                <w:b/>
                <w:bCs/>
                <w:rtl w:val="0"/>
              </w:rPr>
              <w:t>–23.4%</w:t>
            </w:r>
          </w:p>
        </w:tc>
      </w:tr>
      <w:tr w14:paraId="68C9D791">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85">
            <w:pPr>
              <w:spacing w:after="0"/>
            </w:pPr>
            <w:r>
              <w:rPr>
                <w:rtl w:val="0"/>
              </w:rPr>
              <w:t>2022</w:t>
            </w:r>
          </w:p>
        </w:tc>
        <w:tc>
          <w:tcPr>
            <w:tcBorders>
              <w:top w:val="nil"/>
              <w:left w:val="nil"/>
              <w:bottom w:val="nil"/>
              <w:right w:val="nil"/>
            </w:tcBorders>
            <w:vAlign w:val="center"/>
          </w:tcPr>
          <w:p w14:paraId="00000286">
            <w:pPr>
              <w:spacing w:after="0"/>
            </w:pPr>
            <w:r>
              <w:rPr>
                <w:rtl w:val="0"/>
              </w:rPr>
              <w:t>407</w:t>
            </w:r>
          </w:p>
        </w:tc>
        <w:tc>
          <w:tcPr>
            <w:tcBorders>
              <w:top w:val="nil"/>
              <w:left w:val="nil"/>
              <w:bottom w:val="nil"/>
              <w:right w:val="nil"/>
            </w:tcBorders>
            <w:vAlign w:val="center"/>
          </w:tcPr>
          <w:p w14:paraId="00000287">
            <w:pPr>
              <w:spacing w:after="0"/>
            </w:pPr>
            <w:r>
              <w:rPr>
                <w:rtl w:val="0"/>
              </w:rPr>
              <w:t>5,42,751</w:t>
            </w:r>
          </w:p>
        </w:tc>
        <w:tc>
          <w:tcPr>
            <w:tcBorders>
              <w:top w:val="nil"/>
              <w:left w:val="nil"/>
              <w:bottom w:val="nil"/>
              <w:right w:val="nil"/>
            </w:tcBorders>
            <w:vAlign w:val="center"/>
          </w:tcPr>
          <w:p w14:paraId="00000288">
            <w:pPr>
              <w:spacing w:after="0"/>
            </w:pPr>
            <w:r>
              <w:rPr>
                <w:rtl w:val="0"/>
              </w:rPr>
              <w:t>407 ÷ 542,751</w:t>
            </w:r>
          </w:p>
        </w:tc>
        <w:tc>
          <w:tcPr>
            <w:tcBorders>
              <w:top w:val="nil"/>
              <w:left w:val="nil"/>
              <w:bottom w:val="nil"/>
              <w:right w:val="nil"/>
            </w:tcBorders>
            <w:vAlign w:val="center"/>
          </w:tcPr>
          <w:p w14:paraId="00000289">
            <w:pPr>
              <w:spacing w:after="0"/>
              <w:rPr>
                <w:b/>
                <w:bCs/>
              </w:rPr>
            </w:pPr>
            <w:r>
              <w:rPr>
                <w:b/>
                <w:bCs/>
                <w:rtl w:val="0"/>
              </w:rPr>
              <w:t>0.10%</w:t>
            </w:r>
          </w:p>
        </w:tc>
      </w:tr>
      <w:tr w14:paraId="46D067E6">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8A">
            <w:pPr>
              <w:spacing w:after="0"/>
            </w:pPr>
            <w:r>
              <w:rPr>
                <w:rtl w:val="0"/>
              </w:rPr>
              <w:t>2021</w:t>
            </w:r>
          </w:p>
        </w:tc>
        <w:tc>
          <w:tcPr>
            <w:tcBorders>
              <w:top w:val="nil"/>
              <w:left w:val="nil"/>
              <w:bottom w:val="nil"/>
              <w:right w:val="nil"/>
            </w:tcBorders>
            <w:vAlign w:val="center"/>
          </w:tcPr>
          <w:p w14:paraId="0000028B">
            <w:pPr>
              <w:spacing w:after="0"/>
            </w:pPr>
            <w:r>
              <w:rPr>
                <w:rtl w:val="0"/>
              </w:rPr>
              <w:t>5,301</w:t>
            </w:r>
          </w:p>
        </w:tc>
        <w:tc>
          <w:tcPr>
            <w:tcBorders>
              <w:top w:val="nil"/>
              <w:left w:val="nil"/>
              <w:bottom w:val="nil"/>
              <w:right w:val="nil"/>
            </w:tcBorders>
            <w:vAlign w:val="center"/>
          </w:tcPr>
          <w:p w14:paraId="0000028C">
            <w:pPr>
              <w:spacing w:after="0"/>
            </w:pPr>
            <w:r>
              <w:rPr>
                <w:rtl w:val="0"/>
              </w:rPr>
              <w:t>6,01,602</w:t>
            </w:r>
          </w:p>
        </w:tc>
        <w:tc>
          <w:tcPr>
            <w:tcBorders>
              <w:top w:val="nil"/>
              <w:left w:val="nil"/>
              <w:bottom w:val="nil"/>
              <w:right w:val="nil"/>
            </w:tcBorders>
            <w:vAlign w:val="center"/>
          </w:tcPr>
          <w:p w14:paraId="0000028D">
            <w:pPr>
              <w:spacing w:after="0"/>
            </w:pPr>
            <w:r>
              <w:rPr>
                <w:rtl w:val="0"/>
              </w:rPr>
              <w:t>5,301 ÷ 601,602</w:t>
            </w:r>
          </w:p>
        </w:tc>
        <w:tc>
          <w:tcPr>
            <w:tcBorders>
              <w:top w:val="nil"/>
              <w:left w:val="nil"/>
              <w:bottom w:val="nil"/>
              <w:right w:val="nil"/>
            </w:tcBorders>
            <w:vAlign w:val="center"/>
          </w:tcPr>
          <w:p w14:paraId="0000028E">
            <w:pPr>
              <w:spacing w:after="0"/>
              <w:rPr>
                <w:b/>
                <w:bCs/>
              </w:rPr>
            </w:pPr>
            <w:r>
              <w:rPr>
                <w:b/>
                <w:bCs/>
                <w:rtl w:val="0"/>
              </w:rPr>
              <w:t>0.90%</w:t>
            </w:r>
          </w:p>
        </w:tc>
      </w:tr>
      <w:tr w14:paraId="712A3DBD">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8F">
            <w:pPr>
              <w:spacing w:after="0"/>
            </w:pPr>
            <w:r>
              <w:rPr>
                <w:rtl w:val="0"/>
              </w:rPr>
              <w:t>2020</w:t>
            </w:r>
          </w:p>
        </w:tc>
        <w:tc>
          <w:tcPr>
            <w:tcBorders>
              <w:top w:val="nil"/>
              <w:left w:val="nil"/>
              <w:bottom w:val="nil"/>
              <w:right w:val="nil"/>
            </w:tcBorders>
            <w:vAlign w:val="center"/>
          </w:tcPr>
          <w:p w14:paraId="00000290">
            <w:pPr>
              <w:spacing w:after="0"/>
            </w:pPr>
            <w:r>
              <w:rPr>
                <w:rtl w:val="0"/>
              </w:rPr>
              <w:t>38,572</w:t>
            </w:r>
          </w:p>
        </w:tc>
        <w:tc>
          <w:tcPr>
            <w:tcBorders>
              <w:top w:val="nil"/>
              <w:left w:val="nil"/>
              <w:bottom w:val="nil"/>
              <w:right w:val="nil"/>
            </w:tcBorders>
            <w:vAlign w:val="center"/>
          </w:tcPr>
          <w:p w14:paraId="00000291">
            <w:pPr>
              <w:spacing w:after="0"/>
            </w:pPr>
            <w:r>
              <w:rPr>
                <w:rtl w:val="0"/>
              </w:rPr>
              <w:t>6,14,680</w:t>
            </w:r>
          </w:p>
        </w:tc>
        <w:tc>
          <w:tcPr>
            <w:tcBorders>
              <w:top w:val="nil"/>
              <w:left w:val="nil"/>
              <w:bottom w:val="nil"/>
              <w:right w:val="nil"/>
            </w:tcBorders>
            <w:vAlign w:val="center"/>
          </w:tcPr>
          <w:p w14:paraId="00000292">
            <w:pPr>
              <w:spacing w:after="0"/>
            </w:pPr>
            <w:r>
              <w:rPr>
                <w:rtl w:val="0"/>
              </w:rPr>
              <w:t>38,572 ÷ 614,680</w:t>
            </w:r>
          </w:p>
        </w:tc>
        <w:tc>
          <w:tcPr>
            <w:tcBorders>
              <w:top w:val="nil"/>
              <w:left w:val="nil"/>
              <w:bottom w:val="nil"/>
              <w:right w:val="nil"/>
            </w:tcBorders>
            <w:vAlign w:val="center"/>
          </w:tcPr>
          <w:p w14:paraId="00000293">
            <w:pPr>
              <w:spacing w:after="0"/>
              <w:rPr>
                <w:b/>
                <w:bCs/>
              </w:rPr>
            </w:pPr>
            <w:r>
              <w:rPr>
                <w:b/>
                <w:bCs/>
                <w:rtl w:val="0"/>
              </w:rPr>
              <w:t>6.30%</w:t>
            </w:r>
          </w:p>
        </w:tc>
      </w:tr>
    </w:tbl>
    <w:p w14:paraId="00000294"/>
    <w:p w14:paraId="00000295">
      <w:pPr>
        <w:pStyle w:val="3"/>
      </w:pPr>
      <w:bookmarkStart w:id="34" w:name="_lscfqlrmqkib" w:colFirst="0" w:colLast="0"/>
      <w:bookmarkEnd w:id="34"/>
      <w:r>
        <w:rPr>
          <w:rtl w:val="0"/>
        </w:rPr>
        <w:t>Appendix C</w:t>
      </w:r>
    </w:p>
    <w:tbl>
      <w:tblPr>
        <w:tblStyle w:val="19"/>
        <w:tblW w:w="7069" w:type="dxa"/>
        <w:tblInd w:w="0" w:type="dxa"/>
        <w:tblLayout w:type="fixed"/>
        <w:tblCellMar>
          <w:top w:w="0" w:type="dxa"/>
          <w:left w:w="115" w:type="dxa"/>
          <w:bottom w:w="0" w:type="dxa"/>
          <w:right w:w="115" w:type="dxa"/>
        </w:tblCellMar>
      </w:tblPr>
      <w:tblGrid>
        <w:gridCol w:w="1190"/>
        <w:gridCol w:w="1056"/>
        <w:gridCol w:w="1230"/>
        <w:gridCol w:w="1403"/>
        <w:gridCol w:w="1230"/>
        <w:gridCol w:w="960"/>
      </w:tblGrid>
      <w:tr w14:paraId="3BE6AB01">
        <w:tblPrEx>
          <w:tblCellMar>
            <w:top w:w="0" w:type="dxa"/>
            <w:left w:w="115" w:type="dxa"/>
            <w:bottom w:w="0" w:type="dxa"/>
            <w:right w:w="115" w:type="dxa"/>
          </w:tblCellMar>
        </w:tblPrEx>
        <w:trPr>
          <w:trHeight w:val="468" w:hRule="atLeast"/>
        </w:trPr>
        <w:tc>
          <w:tcPr>
            <w:gridSpan w:val="5"/>
            <w:tcBorders>
              <w:top w:val="nil"/>
              <w:left w:val="nil"/>
              <w:bottom w:val="nil"/>
              <w:right w:val="nil"/>
            </w:tcBorders>
            <w:vAlign w:val="center"/>
          </w:tcPr>
          <w:p w14:paraId="00000296">
            <w:pPr>
              <w:spacing w:after="0"/>
              <w:rPr>
                <w:b/>
                <w:bCs/>
              </w:rPr>
            </w:pPr>
            <w:r>
              <w:rPr>
                <w:b/>
                <w:bCs/>
                <w:rtl w:val="0"/>
              </w:rPr>
              <w:t>Inventory Turnover Ratio</w:t>
            </w:r>
          </w:p>
        </w:tc>
        <w:tc>
          <w:tcPr>
            <w:tcBorders>
              <w:top w:val="nil"/>
              <w:left w:val="nil"/>
              <w:bottom w:val="nil"/>
              <w:right w:val="nil"/>
            </w:tcBorders>
            <w:vAlign w:val="bottom"/>
          </w:tcPr>
          <w:p w14:paraId="0000029B">
            <w:pPr>
              <w:spacing w:after="0"/>
              <w:rPr>
                <w:b/>
                <w:bCs/>
              </w:rPr>
            </w:pPr>
          </w:p>
        </w:tc>
      </w:tr>
      <w:tr w14:paraId="5CE20BDB">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9C">
            <w:pPr>
              <w:spacing w:after="0"/>
            </w:pPr>
          </w:p>
        </w:tc>
        <w:tc>
          <w:tcPr>
            <w:tcBorders>
              <w:top w:val="nil"/>
              <w:left w:val="nil"/>
              <w:bottom w:val="nil"/>
              <w:right w:val="nil"/>
            </w:tcBorders>
            <w:vAlign w:val="bottom"/>
          </w:tcPr>
          <w:p w14:paraId="0000029D">
            <w:pPr>
              <w:spacing w:after="0"/>
            </w:pPr>
          </w:p>
        </w:tc>
        <w:tc>
          <w:tcPr>
            <w:tcBorders>
              <w:top w:val="nil"/>
              <w:left w:val="nil"/>
              <w:bottom w:val="nil"/>
              <w:right w:val="nil"/>
            </w:tcBorders>
            <w:vAlign w:val="bottom"/>
          </w:tcPr>
          <w:p w14:paraId="0000029E">
            <w:pPr>
              <w:spacing w:after="0"/>
            </w:pPr>
          </w:p>
        </w:tc>
        <w:tc>
          <w:tcPr>
            <w:tcBorders>
              <w:top w:val="nil"/>
              <w:left w:val="nil"/>
              <w:bottom w:val="nil"/>
              <w:right w:val="nil"/>
            </w:tcBorders>
            <w:vAlign w:val="bottom"/>
          </w:tcPr>
          <w:p w14:paraId="0000029F">
            <w:pPr>
              <w:spacing w:after="0"/>
            </w:pPr>
          </w:p>
        </w:tc>
        <w:tc>
          <w:tcPr>
            <w:tcBorders>
              <w:top w:val="nil"/>
              <w:left w:val="nil"/>
              <w:bottom w:val="nil"/>
              <w:right w:val="nil"/>
            </w:tcBorders>
            <w:vAlign w:val="bottom"/>
          </w:tcPr>
          <w:p w14:paraId="000002A0">
            <w:pPr>
              <w:spacing w:after="0"/>
            </w:pPr>
          </w:p>
        </w:tc>
        <w:tc>
          <w:tcPr>
            <w:tcBorders>
              <w:top w:val="nil"/>
              <w:left w:val="nil"/>
              <w:bottom w:val="nil"/>
              <w:right w:val="nil"/>
            </w:tcBorders>
            <w:vAlign w:val="bottom"/>
          </w:tcPr>
          <w:p w14:paraId="000002A1">
            <w:pPr>
              <w:spacing w:after="0"/>
            </w:pPr>
          </w:p>
        </w:tc>
      </w:tr>
      <w:tr w14:paraId="3F15AD8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A2">
            <w:pPr>
              <w:spacing w:after="0"/>
              <w:rPr>
                <w:b/>
                <w:bCs/>
              </w:rPr>
            </w:pPr>
            <w:r>
              <w:rPr>
                <w:b/>
                <w:bCs/>
                <w:rtl w:val="0"/>
              </w:rPr>
              <w:t>Formula:</w:t>
            </w:r>
          </w:p>
        </w:tc>
        <w:tc>
          <w:tcPr>
            <w:tcBorders>
              <w:top w:val="nil"/>
              <w:left w:val="nil"/>
              <w:bottom w:val="nil"/>
              <w:right w:val="nil"/>
            </w:tcBorders>
            <w:vAlign w:val="bottom"/>
          </w:tcPr>
          <w:p w14:paraId="000002A3">
            <w:pPr>
              <w:spacing w:after="0"/>
              <w:rPr>
                <w:b/>
                <w:bCs/>
              </w:rPr>
            </w:pPr>
          </w:p>
        </w:tc>
        <w:tc>
          <w:tcPr>
            <w:tcBorders>
              <w:top w:val="nil"/>
              <w:left w:val="nil"/>
              <w:bottom w:val="nil"/>
              <w:right w:val="nil"/>
            </w:tcBorders>
            <w:vAlign w:val="bottom"/>
          </w:tcPr>
          <w:p w14:paraId="000002A4">
            <w:pPr>
              <w:spacing w:after="0"/>
            </w:pPr>
          </w:p>
        </w:tc>
        <w:tc>
          <w:tcPr>
            <w:tcBorders>
              <w:top w:val="nil"/>
              <w:left w:val="nil"/>
              <w:bottom w:val="nil"/>
              <w:right w:val="nil"/>
            </w:tcBorders>
            <w:vAlign w:val="bottom"/>
          </w:tcPr>
          <w:p w14:paraId="000002A5">
            <w:pPr>
              <w:spacing w:after="0"/>
            </w:pPr>
          </w:p>
        </w:tc>
        <w:tc>
          <w:tcPr>
            <w:tcBorders>
              <w:top w:val="nil"/>
              <w:left w:val="nil"/>
              <w:bottom w:val="nil"/>
              <w:right w:val="nil"/>
            </w:tcBorders>
            <w:vAlign w:val="bottom"/>
          </w:tcPr>
          <w:p w14:paraId="000002A6">
            <w:pPr>
              <w:spacing w:after="0"/>
            </w:pPr>
          </w:p>
        </w:tc>
        <w:tc>
          <w:tcPr>
            <w:tcBorders>
              <w:top w:val="nil"/>
              <w:left w:val="nil"/>
              <w:bottom w:val="nil"/>
              <w:right w:val="nil"/>
            </w:tcBorders>
            <w:vAlign w:val="bottom"/>
          </w:tcPr>
          <w:p w14:paraId="000002A7">
            <w:pPr>
              <w:spacing w:after="0"/>
            </w:pPr>
          </w:p>
        </w:tc>
      </w:tr>
      <w:tr w14:paraId="546A98FD">
        <w:tblPrEx>
          <w:tblCellMar>
            <w:top w:w="0" w:type="dxa"/>
            <w:left w:w="115" w:type="dxa"/>
            <w:bottom w:w="0" w:type="dxa"/>
            <w:right w:w="115" w:type="dxa"/>
          </w:tblCellMar>
        </w:tblPrEx>
        <w:trPr>
          <w:trHeight w:val="288" w:hRule="atLeast"/>
        </w:trPr>
        <w:tc>
          <w:tcPr>
            <w:gridSpan w:val="6"/>
            <w:tcBorders>
              <w:top w:val="nil"/>
              <w:left w:val="nil"/>
              <w:bottom w:val="nil"/>
              <w:right w:val="nil"/>
            </w:tcBorders>
            <w:vAlign w:val="bottom"/>
          </w:tcPr>
          <w:p w14:paraId="000002A8">
            <w:pPr>
              <w:spacing w:after="0"/>
            </w:pPr>
            <w:r>
              <w:rPr>
                <w:rtl w:val="0"/>
              </w:rPr>
              <w:t>Inventory Turnover = Cost of Sales ÷ Average Inventory</w:t>
            </w:r>
          </w:p>
        </w:tc>
      </w:tr>
      <w:tr w14:paraId="7203C58F">
        <w:tblPrEx>
          <w:tblCellMar>
            <w:top w:w="0" w:type="dxa"/>
            <w:left w:w="115" w:type="dxa"/>
            <w:bottom w:w="0" w:type="dxa"/>
            <w:right w:w="115" w:type="dxa"/>
          </w:tblCellMar>
        </w:tblPrEx>
        <w:trPr>
          <w:trHeight w:val="288" w:hRule="atLeast"/>
        </w:trPr>
        <w:tc>
          <w:tcPr>
            <w:gridSpan w:val="6"/>
            <w:tcBorders>
              <w:top w:val="nil"/>
              <w:left w:val="nil"/>
              <w:bottom w:val="nil"/>
              <w:right w:val="nil"/>
            </w:tcBorders>
            <w:vAlign w:val="bottom"/>
          </w:tcPr>
          <w:p w14:paraId="000002AE">
            <w:pPr>
              <w:spacing w:after="0"/>
              <w:rPr>
                <w:i/>
                <w:iCs/>
              </w:rPr>
            </w:pPr>
            <w:r>
              <w:rPr>
                <w:i/>
                <w:iCs/>
                <w:rtl w:val="0"/>
              </w:rPr>
              <w:t>(Average inventory = (Opening + Closing) ÷ 2; for 2020, closing inventory used)</w:t>
            </w:r>
          </w:p>
        </w:tc>
      </w:tr>
      <w:tr w14:paraId="58B0505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B4">
            <w:pPr>
              <w:spacing w:after="0"/>
              <w:rPr>
                <w:i/>
                <w:iCs/>
              </w:rPr>
            </w:pPr>
          </w:p>
        </w:tc>
        <w:tc>
          <w:tcPr>
            <w:tcBorders>
              <w:top w:val="nil"/>
              <w:left w:val="nil"/>
              <w:bottom w:val="nil"/>
              <w:right w:val="nil"/>
            </w:tcBorders>
            <w:vAlign w:val="bottom"/>
          </w:tcPr>
          <w:p w14:paraId="000002B5">
            <w:pPr>
              <w:spacing w:after="0"/>
            </w:pPr>
          </w:p>
        </w:tc>
        <w:tc>
          <w:tcPr>
            <w:tcBorders>
              <w:top w:val="nil"/>
              <w:left w:val="nil"/>
              <w:bottom w:val="nil"/>
              <w:right w:val="nil"/>
            </w:tcBorders>
            <w:vAlign w:val="bottom"/>
          </w:tcPr>
          <w:p w14:paraId="000002B6">
            <w:pPr>
              <w:spacing w:after="0"/>
            </w:pPr>
          </w:p>
        </w:tc>
        <w:tc>
          <w:tcPr>
            <w:tcBorders>
              <w:top w:val="nil"/>
              <w:left w:val="nil"/>
              <w:bottom w:val="nil"/>
              <w:right w:val="nil"/>
            </w:tcBorders>
            <w:vAlign w:val="bottom"/>
          </w:tcPr>
          <w:p w14:paraId="000002B7">
            <w:pPr>
              <w:spacing w:after="0"/>
            </w:pPr>
          </w:p>
        </w:tc>
        <w:tc>
          <w:tcPr>
            <w:tcBorders>
              <w:top w:val="nil"/>
              <w:left w:val="nil"/>
              <w:bottom w:val="nil"/>
              <w:right w:val="nil"/>
            </w:tcBorders>
            <w:vAlign w:val="bottom"/>
          </w:tcPr>
          <w:p w14:paraId="000002B8">
            <w:pPr>
              <w:spacing w:after="0"/>
            </w:pPr>
          </w:p>
        </w:tc>
        <w:tc>
          <w:tcPr>
            <w:tcBorders>
              <w:top w:val="nil"/>
              <w:left w:val="nil"/>
              <w:bottom w:val="nil"/>
              <w:right w:val="nil"/>
            </w:tcBorders>
            <w:vAlign w:val="bottom"/>
          </w:tcPr>
          <w:p w14:paraId="000002B9">
            <w:pPr>
              <w:spacing w:after="0"/>
            </w:pPr>
          </w:p>
        </w:tc>
      </w:tr>
      <w:tr w14:paraId="68F16A19">
        <w:tblPrEx>
          <w:tblCellMar>
            <w:top w:w="0" w:type="dxa"/>
            <w:left w:w="115" w:type="dxa"/>
            <w:bottom w:w="0" w:type="dxa"/>
            <w:right w:w="115" w:type="dxa"/>
          </w:tblCellMar>
        </w:tblPrEx>
        <w:trPr>
          <w:trHeight w:val="1152" w:hRule="atLeast"/>
        </w:trPr>
        <w:tc>
          <w:tcPr>
            <w:tcBorders>
              <w:top w:val="nil"/>
              <w:left w:val="nil"/>
              <w:bottom w:val="nil"/>
              <w:right w:val="nil"/>
            </w:tcBorders>
            <w:vAlign w:val="center"/>
          </w:tcPr>
          <w:p w14:paraId="000002BA">
            <w:pPr>
              <w:spacing w:after="0"/>
              <w:rPr>
                <w:b/>
                <w:bCs/>
              </w:rPr>
            </w:pPr>
            <w:r>
              <w:rPr>
                <w:b/>
                <w:bCs/>
                <w:rtl w:val="0"/>
              </w:rPr>
              <w:t>Year</w:t>
            </w:r>
          </w:p>
        </w:tc>
        <w:tc>
          <w:tcPr>
            <w:tcBorders>
              <w:top w:val="nil"/>
              <w:left w:val="nil"/>
              <w:bottom w:val="nil"/>
              <w:right w:val="nil"/>
            </w:tcBorders>
            <w:vAlign w:val="center"/>
          </w:tcPr>
          <w:p w14:paraId="000002BB">
            <w:pPr>
              <w:spacing w:after="0"/>
              <w:rPr>
                <w:b/>
                <w:bCs/>
              </w:rPr>
            </w:pPr>
            <w:r>
              <w:rPr>
                <w:b/>
                <w:bCs/>
                <w:rtl w:val="0"/>
              </w:rPr>
              <w:t>Cost of Sales</w:t>
            </w:r>
          </w:p>
        </w:tc>
        <w:tc>
          <w:tcPr>
            <w:tcBorders>
              <w:top w:val="nil"/>
              <w:left w:val="nil"/>
              <w:bottom w:val="nil"/>
              <w:right w:val="nil"/>
            </w:tcBorders>
            <w:vAlign w:val="center"/>
          </w:tcPr>
          <w:p w14:paraId="000002BC">
            <w:pPr>
              <w:spacing w:after="0"/>
              <w:rPr>
                <w:b/>
                <w:bCs/>
              </w:rPr>
            </w:pPr>
            <w:r>
              <w:rPr>
                <w:b/>
                <w:bCs/>
                <w:rtl w:val="0"/>
              </w:rPr>
              <w:t>Average Inventory</w:t>
            </w:r>
          </w:p>
        </w:tc>
        <w:tc>
          <w:tcPr>
            <w:tcBorders>
              <w:top w:val="nil"/>
              <w:left w:val="nil"/>
              <w:bottom w:val="nil"/>
              <w:right w:val="nil"/>
            </w:tcBorders>
            <w:vAlign w:val="center"/>
          </w:tcPr>
          <w:p w14:paraId="000002BD">
            <w:pPr>
              <w:spacing w:after="0"/>
              <w:rPr>
                <w:b/>
                <w:bCs/>
              </w:rPr>
            </w:pPr>
            <w:r>
              <w:rPr>
                <w:b/>
                <w:bCs/>
                <w:rtl w:val="0"/>
              </w:rPr>
              <w:t>Calculation</w:t>
            </w:r>
          </w:p>
        </w:tc>
        <w:tc>
          <w:tcPr>
            <w:tcBorders>
              <w:top w:val="nil"/>
              <w:left w:val="nil"/>
              <w:bottom w:val="nil"/>
              <w:right w:val="nil"/>
            </w:tcBorders>
            <w:vAlign w:val="center"/>
          </w:tcPr>
          <w:p w14:paraId="000002BE">
            <w:pPr>
              <w:spacing w:after="0"/>
              <w:rPr>
                <w:b/>
                <w:bCs/>
              </w:rPr>
            </w:pPr>
            <w:r>
              <w:rPr>
                <w:b/>
                <w:bCs/>
                <w:rtl w:val="0"/>
              </w:rPr>
              <w:t>Inventory Turnover (times)</w:t>
            </w:r>
          </w:p>
        </w:tc>
        <w:tc>
          <w:tcPr>
            <w:tcBorders>
              <w:top w:val="nil"/>
              <w:left w:val="nil"/>
              <w:bottom w:val="nil"/>
              <w:right w:val="nil"/>
            </w:tcBorders>
            <w:vAlign w:val="bottom"/>
          </w:tcPr>
          <w:p w14:paraId="000002BF">
            <w:pPr>
              <w:spacing w:after="0"/>
              <w:rPr>
                <w:b/>
                <w:bCs/>
              </w:rPr>
            </w:pPr>
          </w:p>
        </w:tc>
      </w:tr>
      <w:tr w14:paraId="58D5BC21">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C0">
            <w:pPr>
              <w:spacing w:after="0"/>
            </w:pPr>
            <w:r>
              <w:rPr>
                <w:rtl w:val="0"/>
              </w:rPr>
              <w:t>2024</w:t>
            </w:r>
          </w:p>
        </w:tc>
        <w:tc>
          <w:tcPr>
            <w:tcBorders>
              <w:top w:val="nil"/>
              <w:left w:val="nil"/>
              <w:bottom w:val="nil"/>
              <w:right w:val="nil"/>
            </w:tcBorders>
            <w:vAlign w:val="center"/>
          </w:tcPr>
          <w:p w14:paraId="000002C1">
            <w:pPr>
              <w:spacing w:after="0"/>
            </w:pPr>
            <w:r>
              <w:rPr>
                <w:rtl w:val="0"/>
              </w:rPr>
              <w:t>2,80,885</w:t>
            </w:r>
          </w:p>
        </w:tc>
        <w:tc>
          <w:tcPr>
            <w:tcBorders>
              <w:top w:val="nil"/>
              <w:left w:val="nil"/>
              <w:bottom w:val="nil"/>
              <w:right w:val="nil"/>
            </w:tcBorders>
            <w:vAlign w:val="center"/>
          </w:tcPr>
          <w:p w14:paraId="000002C2">
            <w:pPr>
              <w:spacing w:after="0"/>
            </w:pPr>
            <w:r>
              <w:rPr>
                <w:rtl w:val="0"/>
              </w:rPr>
              <w:t>83,814</w:t>
            </w:r>
          </w:p>
        </w:tc>
        <w:tc>
          <w:tcPr>
            <w:tcBorders>
              <w:top w:val="nil"/>
              <w:left w:val="nil"/>
              <w:bottom w:val="nil"/>
              <w:right w:val="nil"/>
            </w:tcBorders>
            <w:vAlign w:val="center"/>
          </w:tcPr>
          <w:p w14:paraId="000002C3">
            <w:pPr>
              <w:spacing w:after="0"/>
            </w:pPr>
            <w:r>
              <w:rPr>
                <w:rtl w:val="0"/>
              </w:rPr>
              <w:t>280,885 ÷ 83,814</w:t>
            </w:r>
          </w:p>
        </w:tc>
        <w:tc>
          <w:tcPr>
            <w:tcBorders>
              <w:top w:val="nil"/>
              <w:left w:val="nil"/>
              <w:bottom w:val="nil"/>
              <w:right w:val="nil"/>
            </w:tcBorders>
            <w:vAlign w:val="center"/>
          </w:tcPr>
          <w:p w14:paraId="000002C4">
            <w:pPr>
              <w:spacing w:after="0"/>
              <w:rPr>
                <w:b/>
                <w:bCs/>
              </w:rPr>
            </w:pPr>
            <w:r>
              <w:rPr>
                <w:b/>
                <w:bCs/>
                <w:rtl w:val="0"/>
              </w:rPr>
              <w:t>3.35</w:t>
            </w:r>
          </w:p>
        </w:tc>
        <w:tc>
          <w:tcPr>
            <w:tcBorders>
              <w:top w:val="nil"/>
              <w:left w:val="nil"/>
              <w:bottom w:val="nil"/>
              <w:right w:val="nil"/>
            </w:tcBorders>
            <w:vAlign w:val="bottom"/>
          </w:tcPr>
          <w:p w14:paraId="000002C5">
            <w:pPr>
              <w:spacing w:after="0"/>
              <w:rPr>
                <w:b/>
                <w:bCs/>
              </w:rPr>
            </w:pPr>
          </w:p>
        </w:tc>
      </w:tr>
      <w:tr w14:paraId="130322FA">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C6">
            <w:pPr>
              <w:spacing w:after="0"/>
            </w:pPr>
            <w:r>
              <w:rPr>
                <w:rtl w:val="0"/>
              </w:rPr>
              <w:t>2023</w:t>
            </w:r>
          </w:p>
        </w:tc>
        <w:tc>
          <w:tcPr>
            <w:tcBorders>
              <w:top w:val="nil"/>
              <w:left w:val="nil"/>
              <w:bottom w:val="nil"/>
              <w:right w:val="nil"/>
            </w:tcBorders>
            <w:vAlign w:val="center"/>
          </w:tcPr>
          <w:p w14:paraId="000002C7">
            <w:pPr>
              <w:spacing w:after="0"/>
            </w:pPr>
            <w:r>
              <w:rPr>
                <w:rtl w:val="0"/>
              </w:rPr>
              <w:t>3,22,897</w:t>
            </w:r>
          </w:p>
        </w:tc>
        <w:tc>
          <w:tcPr>
            <w:tcBorders>
              <w:top w:val="nil"/>
              <w:left w:val="nil"/>
              <w:bottom w:val="nil"/>
              <w:right w:val="nil"/>
            </w:tcBorders>
            <w:vAlign w:val="center"/>
          </w:tcPr>
          <w:p w14:paraId="000002C8">
            <w:pPr>
              <w:spacing w:after="0"/>
            </w:pPr>
            <w:r>
              <w:rPr>
                <w:rtl w:val="0"/>
              </w:rPr>
              <w:t>1,14,227</w:t>
            </w:r>
          </w:p>
        </w:tc>
        <w:tc>
          <w:tcPr>
            <w:tcBorders>
              <w:top w:val="nil"/>
              <w:left w:val="nil"/>
              <w:bottom w:val="nil"/>
              <w:right w:val="nil"/>
            </w:tcBorders>
            <w:vAlign w:val="center"/>
          </w:tcPr>
          <w:p w14:paraId="000002C9">
            <w:pPr>
              <w:spacing w:after="0"/>
            </w:pPr>
            <w:r>
              <w:rPr>
                <w:rtl w:val="0"/>
              </w:rPr>
              <w:t>322,897 ÷ 114,227</w:t>
            </w:r>
          </w:p>
        </w:tc>
        <w:tc>
          <w:tcPr>
            <w:tcBorders>
              <w:top w:val="nil"/>
              <w:left w:val="nil"/>
              <w:bottom w:val="nil"/>
              <w:right w:val="nil"/>
            </w:tcBorders>
            <w:vAlign w:val="center"/>
          </w:tcPr>
          <w:p w14:paraId="000002CA">
            <w:pPr>
              <w:spacing w:after="0"/>
              <w:rPr>
                <w:b/>
                <w:bCs/>
              </w:rPr>
            </w:pPr>
            <w:r>
              <w:rPr>
                <w:b/>
                <w:bCs/>
                <w:rtl w:val="0"/>
              </w:rPr>
              <w:t>2.83</w:t>
            </w:r>
          </w:p>
        </w:tc>
        <w:tc>
          <w:tcPr>
            <w:tcBorders>
              <w:top w:val="nil"/>
              <w:left w:val="nil"/>
              <w:bottom w:val="nil"/>
              <w:right w:val="nil"/>
            </w:tcBorders>
            <w:vAlign w:val="bottom"/>
          </w:tcPr>
          <w:p w14:paraId="000002CB">
            <w:pPr>
              <w:spacing w:after="0"/>
              <w:rPr>
                <w:b/>
                <w:bCs/>
              </w:rPr>
            </w:pPr>
          </w:p>
        </w:tc>
      </w:tr>
      <w:tr w14:paraId="0A6F18E0">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CC">
            <w:pPr>
              <w:spacing w:after="0"/>
            </w:pPr>
            <w:r>
              <w:rPr>
                <w:rtl w:val="0"/>
              </w:rPr>
              <w:t>2022</w:t>
            </w:r>
          </w:p>
        </w:tc>
        <w:tc>
          <w:tcPr>
            <w:tcBorders>
              <w:top w:val="nil"/>
              <w:left w:val="nil"/>
              <w:bottom w:val="nil"/>
              <w:right w:val="nil"/>
            </w:tcBorders>
            <w:vAlign w:val="center"/>
          </w:tcPr>
          <w:p w14:paraId="000002CD">
            <w:pPr>
              <w:spacing w:after="0"/>
            </w:pPr>
            <w:r>
              <w:rPr>
                <w:rtl w:val="0"/>
              </w:rPr>
              <w:t>3,90,459</w:t>
            </w:r>
          </w:p>
        </w:tc>
        <w:tc>
          <w:tcPr>
            <w:tcBorders>
              <w:top w:val="nil"/>
              <w:left w:val="nil"/>
              <w:bottom w:val="nil"/>
              <w:right w:val="nil"/>
            </w:tcBorders>
            <w:vAlign w:val="center"/>
          </w:tcPr>
          <w:p w14:paraId="000002CE">
            <w:pPr>
              <w:spacing w:after="0"/>
            </w:pPr>
            <w:r>
              <w:rPr>
                <w:rtl w:val="0"/>
              </w:rPr>
              <w:t>1,37,325</w:t>
            </w:r>
          </w:p>
        </w:tc>
        <w:tc>
          <w:tcPr>
            <w:tcBorders>
              <w:top w:val="nil"/>
              <w:left w:val="nil"/>
              <w:bottom w:val="nil"/>
              <w:right w:val="nil"/>
            </w:tcBorders>
            <w:vAlign w:val="center"/>
          </w:tcPr>
          <w:p w14:paraId="000002CF">
            <w:pPr>
              <w:spacing w:after="0"/>
            </w:pPr>
            <w:r>
              <w:rPr>
                <w:rtl w:val="0"/>
              </w:rPr>
              <w:t>390,459 ÷ 137,325</w:t>
            </w:r>
          </w:p>
        </w:tc>
        <w:tc>
          <w:tcPr>
            <w:tcBorders>
              <w:top w:val="nil"/>
              <w:left w:val="nil"/>
              <w:bottom w:val="nil"/>
              <w:right w:val="nil"/>
            </w:tcBorders>
            <w:vAlign w:val="center"/>
          </w:tcPr>
          <w:p w14:paraId="000002D0">
            <w:pPr>
              <w:spacing w:after="0"/>
              <w:rPr>
                <w:b/>
                <w:bCs/>
              </w:rPr>
            </w:pPr>
            <w:r>
              <w:rPr>
                <w:b/>
                <w:bCs/>
                <w:rtl w:val="0"/>
              </w:rPr>
              <w:t>2.84</w:t>
            </w:r>
          </w:p>
        </w:tc>
        <w:tc>
          <w:tcPr>
            <w:tcBorders>
              <w:top w:val="nil"/>
              <w:left w:val="nil"/>
              <w:bottom w:val="nil"/>
              <w:right w:val="nil"/>
            </w:tcBorders>
            <w:vAlign w:val="bottom"/>
          </w:tcPr>
          <w:p w14:paraId="000002D1">
            <w:pPr>
              <w:spacing w:after="0"/>
              <w:rPr>
                <w:b/>
                <w:bCs/>
              </w:rPr>
            </w:pPr>
          </w:p>
        </w:tc>
      </w:tr>
      <w:tr w14:paraId="41099999">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D2">
            <w:pPr>
              <w:spacing w:after="0"/>
            </w:pPr>
            <w:r>
              <w:rPr>
                <w:rtl w:val="0"/>
              </w:rPr>
              <w:t>2021</w:t>
            </w:r>
          </w:p>
        </w:tc>
        <w:tc>
          <w:tcPr>
            <w:tcBorders>
              <w:top w:val="nil"/>
              <w:left w:val="nil"/>
              <w:bottom w:val="nil"/>
              <w:right w:val="nil"/>
            </w:tcBorders>
            <w:vAlign w:val="center"/>
          </w:tcPr>
          <w:p w14:paraId="000002D3">
            <w:pPr>
              <w:spacing w:after="0"/>
            </w:pPr>
            <w:r>
              <w:rPr>
                <w:rtl w:val="0"/>
              </w:rPr>
              <w:t>4,28,586</w:t>
            </w:r>
          </w:p>
        </w:tc>
        <w:tc>
          <w:tcPr>
            <w:tcBorders>
              <w:top w:val="nil"/>
              <w:left w:val="nil"/>
              <w:bottom w:val="nil"/>
              <w:right w:val="nil"/>
            </w:tcBorders>
            <w:vAlign w:val="center"/>
          </w:tcPr>
          <w:p w14:paraId="000002D4">
            <w:pPr>
              <w:spacing w:after="0"/>
            </w:pPr>
            <w:r>
              <w:rPr>
                <w:rtl w:val="0"/>
              </w:rPr>
              <w:t>1,27,450</w:t>
            </w:r>
          </w:p>
        </w:tc>
        <w:tc>
          <w:tcPr>
            <w:tcBorders>
              <w:top w:val="nil"/>
              <w:left w:val="nil"/>
              <w:bottom w:val="nil"/>
              <w:right w:val="nil"/>
            </w:tcBorders>
            <w:vAlign w:val="center"/>
          </w:tcPr>
          <w:p w14:paraId="000002D5">
            <w:pPr>
              <w:spacing w:after="0"/>
            </w:pPr>
            <w:r>
              <w:rPr>
                <w:rtl w:val="0"/>
              </w:rPr>
              <w:t>428,586 ÷ 127,450</w:t>
            </w:r>
          </w:p>
        </w:tc>
        <w:tc>
          <w:tcPr>
            <w:tcBorders>
              <w:top w:val="nil"/>
              <w:left w:val="nil"/>
              <w:bottom w:val="nil"/>
              <w:right w:val="nil"/>
            </w:tcBorders>
            <w:vAlign w:val="center"/>
          </w:tcPr>
          <w:p w14:paraId="000002D6">
            <w:pPr>
              <w:spacing w:after="0"/>
              <w:rPr>
                <w:b/>
                <w:bCs/>
              </w:rPr>
            </w:pPr>
            <w:r>
              <w:rPr>
                <w:b/>
                <w:bCs/>
                <w:rtl w:val="0"/>
              </w:rPr>
              <w:t>3.36</w:t>
            </w:r>
          </w:p>
        </w:tc>
        <w:tc>
          <w:tcPr>
            <w:tcBorders>
              <w:top w:val="nil"/>
              <w:left w:val="nil"/>
              <w:bottom w:val="nil"/>
              <w:right w:val="nil"/>
            </w:tcBorders>
            <w:vAlign w:val="bottom"/>
          </w:tcPr>
          <w:p w14:paraId="000002D7">
            <w:pPr>
              <w:spacing w:after="0"/>
              <w:rPr>
                <w:b/>
                <w:bCs/>
              </w:rPr>
            </w:pPr>
          </w:p>
        </w:tc>
      </w:tr>
      <w:tr w14:paraId="25BC8108">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2D8">
            <w:pPr>
              <w:spacing w:after="0"/>
            </w:pPr>
            <w:r>
              <w:rPr>
                <w:rtl w:val="0"/>
              </w:rPr>
              <w:t>2020</w:t>
            </w:r>
          </w:p>
        </w:tc>
        <w:tc>
          <w:tcPr>
            <w:tcBorders>
              <w:top w:val="nil"/>
              <w:left w:val="nil"/>
              <w:bottom w:val="nil"/>
              <w:right w:val="nil"/>
            </w:tcBorders>
            <w:vAlign w:val="center"/>
          </w:tcPr>
          <w:p w14:paraId="000002D9">
            <w:pPr>
              <w:spacing w:after="0"/>
            </w:pPr>
            <w:r>
              <w:rPr>
                <w:rtl w:val="0"/>
              </w:rPr>
              <w:t>4,38,424</w:t>
            </w:r>
          </w:p>
        </w:tc>
        <w:tc>
          <w:tcPr>
            <w:tcBorders>
              <w:top w:val="nil"/>
              <w:left w:val="nil"/>
              <w:bottom w:val="nil"/>
              <w:right w:val="nil"/>
            </w:tcBorders>
            <w:vAlign w:val="center"/>
          </w:tcPr>
          <w:p w14:paraId="000002DA">
            <w:pPr>
              <w:spacing w:after="0"/>
            </w:pPr>
            <w:r>
              <w:rPr>
                <w:rtl w:val="0"/>
              </w:rPr>
              <w:t>1,20,430</w:t>
            </w:r>
          </w:p>
        </w:tc>
        <w:tc>
          <w:tcPr>
            <w:tcBorders>
              <w:top w:val="nil"/>
              <w:left w:val="nil"/>
              <w:bottom w:val="nil"/>
              <w:right w:val="nil"/>
            </w:tcBorders>
            <w:vAlign w:val="center"/>
          </w:tcPr>
          <w:p w14:paraId="000002DB">
            <w:pPr>
              <w:spacing w:after="0"/>
            </w:pPr>
            <w:r>
              <w:rPr>
                <w:rtl w:val="0"/>
              </w:rPr>
              <w:t>438,424 ÷ 120,430</w:t>
            </w:r>
          </w:p>
        </w:tc>
        <w:tc>
          <w:tcPr>
            <w:tcBorders>
              <w:top w:val="nil"/>
              <w:left w:val="nil"/>
              <w:bottom w:val="nil"/>
              <w:right w:val="nil"/>
            </w:tcBorders>
            <w:vAlign w:val="center"/>
          </w:tcPr>
          <w:p w14:paraId="000002DC">
            <w:pPr>
              <w:spacing w:after="0"/>
              <w:rPr>
                <w:b/>
                <w:bCs/>
              </w:rPr>
            </w:pPr>
            <w:r>
              <w:rPr>
                <w:b/>
                <w:bCs/>
                <w:rtl w:val="0"/>
              </w:rPr>
              <w:t>3.64</w:t>
            </w:r>
          </w:p>
        </w:tc>
        <w:tc>
          <w:tcPr>
            <w:tcBorders>
              <w:top w:val="nil"/>
              <w:left w:val="nil"/>
              <w:bottom w:val="nil"/>
              <w:right w:val="nil"/>
            </w:tcBorders>
            <w:vAlign w:val="bottom"/>
          </w:tcPr>
          <w:p w14:paraId="000002DD">
            <w:pPr>
              <w:spacing w:after="0"/>
              <w:rPr>
                <w:b/>
                <w:bCs/>
              </w:rPr>
            </w:pPr>
          </w:p>
        </w:tc>
      </w:tr>
      <w:tr w14:paraId="78E6F19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DE">
            <w:pPr>
              <w:spacing w:after="0"/>
            </w:pPr>
          </w:p>
        </w:tc>
        <w:tc>
          <w:tcPr>
            <w:tcBorders>
              <w:top w:val="nil"/>
              <w:left w:val="nil"/>
              <w:bottom w:val="nil"/>
              <w:right w:val="nil"/>
            </w:tcBorders>
            <w:vAlign w:val="bottom"/>
          </w:tcPr>
          <w:p w14:paraId="000002DF">
            <w:pPr>
              <w:spacing w:after="0"/>
            </w:pPr>
          </w:p>
        </w:tc>
        <w:tc>
          <w:tcPr>
            <w:tcBorders>
              <w:top w:val="nil"/>
              <w:left w:val="nil"/>
              <w:bottom w:val="nil"/>
              <w:right w:val="nil"/>
            </w:tcBorders>
            <w:vAlign w:val="bottom"/>
          </w:tcPr>
          <w:p w14:paraId="000002E0">
            <w:pPr>
              <w:spacing w:after="0"/>
            </w:pPr>
          </w:p>
        </w:tc>
        <w:tc>
          <w:tcPr>
            <w:tcBorders>
              <w:top w:val="nil"/>
              <w:left w:val="nil"/>
              <w:bottom w:val="nil"/>
              <w:right w:val="nil"/>
            </w:tcBorders>
            <w:vAlign w:val="bottom"/>
          </w:tcPr>
          <w:p w14:paraId="000002E1">
            <w:pPr>
              <w:spacing w:after="0"/>
            </w:pPr>
          </w:p>
        </w:tc>
        <w:tc>
          <w:tcPr>
            <w:tcBorders>
              <w:top w:val="nil"/>
              <w:left w:val="nil"/>
              <w:bottom w:val="nil"/>
              <w:right w:val="nil"/>
            </w:tcBorders>
            <w:vAlign w:val="bottom"/>
          </w:tcPr>
          <w:p w14:paraId="000002E2">
            <w:pPr>
              <w:spacing w:after="0"/>
            </w:pPr>
          </w:p>
        </w:tc>
        <w:tc>
          <w:tcPr>
            <w:tcBorders>
              <w:top w:val="nil"/>
              <w:left w:val="nil"/>
              <w:bottom w:val="nil"/>
              <w:right w:val="nil"/>
            </w:tcBorders>
            <w:vAlign w:val="bottom"/>
          </w:tcPr>
          <w:p w14:paraId="000002E3">
            <w:pPr>
              <w:spacing w:after="0"/>
            </w:pPr>
          </w:p>
        </w:tc>
      </w:tr>
      <w:tr w14:paraId="4916BC4B">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E4">
            <w:pPr>
              <w:spacing w:after="0"/>
            </w:pPr>
          </w:p>
        </w:tc>
        <w:tc>
          <w:tcPr>
            <w:tcBorders>
              <w:top w:val="nil"/>
              <w:left w:val="nil"/>
              <w:bottom w:val="nil"/>
              <w:right w:val="nil"/>
            </w:tcBorders>
            <w:vAlign w:val="bottom"/>
          </w:tcPr>
          <w:p w14:paraId="000002E5">
            <w:pPr>
              <w:spacing w:after="0"/>
            </w:pPr>
          </w:p>
        </w:tc>
        <w:tc>
          <w:tcPr>
            <w:tcBorders>
              <w:top w:val="nil"/>
              <w:left w:val="nil"/>
              <w:bottom w:val="nil"/>
              <w:right w:val="nil"/>
            </w:tcBorders>
            <w:vAlign w:val="bottom"/>
          </w:tcPr>
          <w:p w14:paraId="000002E6">
            <w:pPr>
              <w:spacing w:after="0"/>
            </w:pPr>
          </w:p>
        </w:tc>
        <w:tc>
          <w:tcPr>
            <w:tcBorders>
              <w:top w:val="nil"/>
              <w:left w:val="nil"/>
              <w:bottom w:val="nil"/>
              <w:right w:val="nil"/>
            </w:tcBorders>
            <w:vAlign w:val="bottom"/>
          </w:tcPr>
          <w:p w14:paraId="000002E7">
            <w:pPr>
              <w:spacing w:after="0"/>
            </w:pPr>
          </w:p>
        </w:tc>
        <w:tc>
          <w:tcPr>
            <w:tcBorders>
              <w:top w:val="nil"/>
              <w:left w:val="nil"/>
              <w:bottom w:val="nil"/>
              <w:right w:val="nil"/>
            </w:tcBorders>
            <w:vAlign w:val="bottom"/>
          </w:tcPr>
          <w:p w14:paraId="000002E8">
            <w:pPr>
              <w:spacing w:after="0"/>
            </w:pPr>
          </w:p>
        </w:tc>
        <w:tc>
          <w:tcPr>
            <w:tcBorders>
              <w:top w:val="nil"/>
              <w:left w:val="nil"/>
              <w:bottom w:val="nil"/>
              <w:right w:val="nil"/>
            </w:tcBorders>
            <w:vAlign w:val="bottom"/>
          </w:tcPr>
          <w:p w14:paraId="000002E9">
            <w:pPr>
              <w:spacing w:after="0"/>
            </w:pPr>
          </w:p>
        </w:tc>
      </w:tr>
      <w:tr w14:paraId="49A347FE">
        <w:tblPrEx>
          <w:tblCellMar>
            <w:top w:w="0" w:type="dxa"/>
            <w:left w:w="115" w:type="dxa"/>
            <w:bottom w:w="0" w:type="dxa"/>
            <w:right w:w="115" w:type="dxa"/>
          </w:tblCellMar>
        </w:tblPrEx>
        <w:trPr>
          <w:trHeight w:val="468" w:hRule="atLeast"/>
        </w:trPr>
        <w:tc>
          <w:tcPr>
            <w:gridSpan w:val="4"/>
            <w:tcBorders>
              <w:top w:val="nil"/>
              <w:left w:val="nil"/>
              <w:bottom w:val="nil"/>
              <w:right w:val="nil"/>
            </w:tcBorders>
            <w:vAlign w:val="center"/>
          </w:tcPr>
          <w:p w14:paraId="000002EA">
            <w:pPr>
              <w:spacing w:after="0"/>
              <w:rPr>
                <w:b/>
                <w:bCs/>
              </w:rPr>
            </w:pPr>
            <w:r>
              <w:rPr>
                <w:b/>
                <w:bCs/>
                <w:rtl w:val="0"/>
              </w:rPr>
              <w:t>Asset Turnover Ratio</w:t>
            </w:r>
          </w:p>
        </w:tc>
        <w:tc>
          <w:tcPr>
            <w:tcBorders>
              <w:top w:val="nil"/>
              <w:left w:val="nil"/>
              <w:bottom w:val="nil"/>
              <w:right w:val="nil"/>
            </w:tcBorders>
            <w:vAlign w:val="bottom"/>
          </w:tcPr>
          <w:p w14:paraId="000002EE">
            <w:pPr>
              <w:spacing w:after="0"/>
              <w:rPr>
                <w:b/>
                <w:bCs/>
              </w:rPr>
            </w:pPr>
          </w:p>
        </w:tc>
        <w:tc>
          <w:tcPr>
            <w:tcBorders>
              <w:top w:val="nil"/>
              <w:left w:val="nil"/>
              <w:bottom w:val="nil"/>
              <w:right w:val="nil"/>
            </w:tcBorders>
            <w:vAlign w:val="bottom"/>
          </w:tcPr>
          <w:p w14:paraId="000002EF">
            <w:pPr>
              <w:spacing w:after="0"/>
            </w:pPr>
          </w:p>
        </w:tc>
      </w:tr>
      <w:tr w14:paraId="2C78BDC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F0">
            <w:pPr>
              <w:spacing w:after="0"/>
            </w:pPr>
          </w:p>
        </w:tc>
        <w:tc>
          <w:tcPr>
            <w:tcBorders>
              <w:top w:val="nil"/>
              <w:left w:val="nil"/>
              <w:bottom w:val="nil"/>
              <w:right w:val="nil"/>
            </w:tcBorders>
            <w:vAlign w:val="bottom"/>
          </w:tcPr>
          <w:p w14:paraId="000002F1">
            <w:pPr>
              <w:spacing w:after="0"/>
            </w:pPr>
          </w:p>
        </w:tc>
        <w:tc>
          <w:tcPr>
            <w:tcBorders>
              <w:top w:val="nil"/>
              <w:left w:val="nil"/>
              <w:bottom w:val="nil"/>
              <w:right w:val="nil"/>
            </w:tcBorders>
            <w:vAlign w:val="bottom"/>
          </w:tcPr>
          <w:p w14:paraId="000002F2">
            <w:pPr>
              <w:spacing w:after="0"/>
            </w:pPr>
          </w:p>
        </w:tc>
        <w:tc>
          <w:tcPr>
            <w:tcBorders>
              <w:top w:val="nil"/>
              <w:left w:val="nil"/>
              <w:bottom w:val="nil"/>
              <w:right w:val="nil"/>
            </w:tcBorders>
            <w:vAlign w:val="bottom"/>
          </w:tcPr>
          <w:p w14:paraId="000002F3">
            <w:pPr>
              <w:spacing w:after="0"/>
            </w:pPr>
          </w:p>
        </w:tc>
        <w:tc>
          <w:tcPr>
            <w:tcBorders>
              <w:top w:val="nil"/>
              <w:left w:val="nil"/>
              <w:bottom w:val="nil"/>
              <w:right w:val="nil"/>
            </w:tcBorders>
            <w:vAlign w:val="bottom"/>
          </w:tcPr>
          <w:p w14:paraId="000002F4">
            <w:pPr>
              <w:spacing w:after="0"/>
            </w:pPr>
          </w:p>
        </w:tc>
        <w:tc>
          <w:tcPr>
            <w:tcBorders>
              <w:top w:val="nil"/>
              <w:left w:val="nil"/>
              <w:bottom w:val="nil"/>
              <w:right w:val="nil"/>
            </w:tcBorders>
            <w:vAlign w:val="bottom"/>
          </w:tcPr>
          <w:p w14:paraId="000002F5">
            <w:pPr>
              <w:spacing w:after="0"/>
            </w:pPr>
          </w:p>
        </w:tc>
      </w:tr>
      <w:tr w14:paraId="7C1340A7">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2F6">
            <w:pPr>
              <w:spacing w:after="0"/>
              <w:rPr>
                <w:b/>
                <w:bCs/>
              </w:rPr>
            </w:pPr>
            <w:r>
              <w:rPr>
                <w:b/>
                <w:bCs/>
                <w:rtl w:val="0"/>
              </w:rPr>
              <w:t>Formula:</w:t>
            </w:r>
          </w:p>
        </w:tc>
        <w:tc>
          <w:tcPr>
            <w:tcBorders>
              <w:top w:val="nil"/>
              <w:left w:val="nil"/>
              <w:bottom w:val="nil"/>
              <w:right w:val="nil"/>
            </w:tcBorders>
            <w:vAlign w:val="bottom"/>
          </w:tcPr>
          <w:p w14:paraId="000002F7">
            <w:pPr>
              <w:spacing w:after="0"/>
              <w:rPr>
                <w:b/>
                <w:bCs/>
              </w:rPr>
            </w:pPr>
          </w:p>
        </w:tc>
        <w:tc>
          <w:tcPr>
            <w:tcBorders>
              <w:top w:val="nil"/>
              <w:left w:val="nil"/>
              <w:bottom w:val="nil"/>
              <w:right w:val="nil"/>
            </w:tcBorders>
            <w:vAlign w:val="bottom"/>
          </w:tcPr>
          <w:p w14:paraId="000002F8">
            <w:pPr>
              <w:spacing w:after="0"/>
            </w:pPr>
          </w:p>
        </w:tc>
        <w:tc>
          <w:tcPr>
            <w:tcBorders>
              <w:top w:val="nil"/>
              <w:left w:val="nil"/>
              <w:bottom w:val="nil"/>
              <w:right w:val="nil"/>
            </w:tcBorders>
            <w:vAlign w:val="bottom"/>
          </w:tcPr>
          <w:p w14:paraId="000002F9">
            <w:pPr>
              <w:spacing w:after="0"/>
            </w:pPr>
          </w:p>
        </w:tc>
        <w:tc>
          <w:tcPr>
            <w:tcBorders>
              <w:top w:val="nil"/>
              <w:left w:val="nil"/>
              <w:bottom w:val="nil"/>
              <w:right w:val="nil"/>
            </w:tcBorders>
            <w:vAlign w:val="bottom"/>
          </w:tcPr>
          <w:p w14:paraId="000002FA">
            <w:pPr>
              <w:spacing w:after="0"/>
            </w:pPr>
          </w:p>
        </w:tc>
        <w:tc>
          <w:tcPr>
            <w:tcBorders>
              <w:top w:val="nil"/>
              <w:left w:val="nil"/>
              <w:bottom w:val="nil"/>
              <w:right w:val="nil"/>
            </w:tcBorders>
            <w:vAlign w:val="bottom"/>
          </w:tcPr>
          <w:p w14:paraId="000002FB">
            <w:pPr>
              <w:spacing w:after="0"/>
            </w:pPr>
          </w:p>
        </w:tc>
      </w:tr>
      <w:tr w14:paraId="370D70CD">
        <w:tblPrEx>
          <w:tblCellMar>
            <w:top w:w="0" w:type="dxa"/>
            <w:left w:w="115" w:type="dxa"/>
            <w:bottom w:w="0" w:type="dxa"/>
            <w:right w:w="115" w:type="dxa"/>
          </w:tblCellMar>
        </w:tblPrEx>
        <w:trPr>
          <w:trHeight w:val="288" w:hRule="atLeast"/>
        </w:trPr>
        <w:tc>
          <w:tcPr>
            <w:gridSpan w:val="5"/>
            <w:tcBorders>
              <w:top w:val="nil"/>
              <w:left w:val="nil"/>
              <w:bottom w:val="nil"/>
              <w:right w:val="nil"/>
            </w:tcBorders>
            <w:vAlign w:val="bottom"/>
          </w:tcPr>
          <w:p w14:paraId="000002FC">
            <w:pPr>
              <w:spacing w:after="0"/>
            </w:pPr>
            <w:r>
              <w:rPr>
                <w:rtl w:val="0"/>
              </w:rPr>
              <w:t>Asset Turnover = Net Sales ÷ Average Total Assets</w:t>
            </w:r>
          </w:p>
        </w:tc>
        <w:tc>
          <w:tcPr>
            <w:tcBorders>
              <w:top w:val="nil"/>
              <w:left w:val="nil"/>
              <w:bottom w:val="nil"/>
              <w:right w:val="nil"/>
            </w:tcBorders>
            <w:vAlign w:val="bottom"/>
          </w:tcPr>
          <w:p w14:paraId="00000301">
            <w:pPr>
              <w:spacing w:after="0"/>
            </w:pPr>
          </w:p>
        </w:tc>
      </w:tr>
      <w:tr w14:paraId="5879AAA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02">
            <w:pPr>
              <w:spacing w:after="0"/>
            </w:pPr>
          </w:p>
        </w:tc>
        <w:tc>
          <w:tcPr>
            <w:tcBorders>
              <w:top w:val="nil"/>
              <w:left w:val="nil"/>
              <w:bottom w:val="nil"/>
              <w:right w:val="nil"/>
            </w:tcBorders>
            <w:vAlign w:val="bottom"/>
          </w:tcPr>
          <w:p w14:paraId="00000303">
            <w:pPr>
              <w:spacing w:after="0"/>
            </w:pPr>
          </w:p>
        </w:tc>
        <w:tc>
          <w:tcPr>
            <w:tcBorders>
              <w:top w:val="nil"/>
              <w:left w:val="nil"/>
              <w:bottom w:val="nil"/>
              <w:right w:val="nil"/>
            </w:tcBorders>
            <w:vAlign w:val="bottom"/>
          </w:tcPr>
          <w:p w14:paraId="00000304">
            <w:pPr>
              <w:spacing w:after="0"/>
            </w:pPr>
          </w:p>
        </w:tc>
        <w:tc>
          <w:tcPr>
            <w:tcBorders>
              <w:top w:val="nil"/>
              <w:left w:val="nil"/>
              <w:bottom w:val="nil"/>
              <w:right w:val="nil"/>
            </w:tcBorders>
            <w:vAlign w:val="bottom"/>
          </w:tcPr>
          <w:p w14:paraId="00000305">
            <w:pPr>
              <w:spacing w:after="0"/>
            </w:pPr>
          </w:p>
        </w:tc>
        <w:tc>
          <w:tcPr>
            <w:tcBorders>
              <w:top w:val="nil"/>
              <w:left w:val="nil"/>
              <w:bottom w:val="nil"/>
              <w:right w:val="nil"/>
            </w:tcBorders>
            <w:vAlign w:val="bottom"/>
          </w:tcPr>
          <w:p w14:paraId="00000306">
            <w:pPr>
              <w:spacing w:after="0"/>
            </w:pPr>
          </w:p>
        </w:tc>
        <w:tc>
          <w:tcPr>
            <w:tcBorders>
              <w:top w:val="nil"/>
              <w:left w:val="nil"/>
              <w:bottom w:val="nil"/>
              <w:right w:val="nil"/>
            </w:tcBorders>
            <w:vAlign w:val="bottom"/>
          </w:tcPr>
          <w:p w14:paraId="00000307">
            <w:pPr>
              <w:spacing w:after="0"/>
            </w:pPr>
          </w:p>
        </w:tc>
      </w:tr>
      <w:tr w14:paraId="4DD19A6E">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308">
            <w:pPr>
              <w:spacing w:after="0"/>
              <w:rPr>
                <w:b/>
                <w:bCs/>
              </w:rPr>
            </w:pPr>
            <w:r>
              <w:rPr>
                <w:b/>
                <w:bCs/>
                <w:rtl w:val="0"/>
              </w:rPr>
              <w:t>Year</w:t>
            </w:r>
          </w:p>
        </w:tc>
        <w:tc>
          <w:tcPr>
            <w:tcBorders>
              <w:top w:val="nil"/>
              <w:left w:val="nil"/>
              <w:bottom w:val="nil"/>
              <w:right w:val="nil"/>
            </w:tcBorders>
            <w:vAlign w:val="center"/>
          </w:tcPr>
          <w:p w14:paraId="00000309">
            <w:pPr>
              <w:spacing w:after="0"/>
              <w:rPr>
                <w:b/>
                <w:bCs/>
              </w:rPr>
            </w:pPr>
            <w:r>
              <w:rPr>
                <w:b/>
                <w:bCs/>
                <w:rtl w:val="0"/>
              </w:rPr>
              <w:t>Net Sales</w:t>
            </w:r>
          </w:p>
        </w:tc>
        <w:tc>
          <w:tcPr>
            <w:tcBorders>
              <w:top w:val="nil"/>
              <w:left w:val="nil"/>
              <w:bottom w:val="nil"/>
              <w:right w:val="nil"/>
            </w:tcBorders>
            <w:vAlign w:val="center"/>
          </w:tcPr>
          <w:p w14:paraId="0000030A">
            <w:pPr>
              <w:spacing w:after="0"/>
              <w:rPr>
                <w:b/>
                <w:bCs/>
              </w:rPr>
            </w:pPr>
            <w:r>
              <w:rPr>
                <w:b/>
                <w:bCs/>
                <w:rtl w:val="0"/>
              </w:rPr>
              <w:t>Average Total Assets</w:t>
            </w:r>
          </w:p>
        </w:tc>
        <w:tc>
          <w:tcPr>
            <w:tcBorders>
              <w:top w:val="nil"/>
              <w:left w:val="nil"/>
              <w:bottom w:val="nil"/>
              <w:right w:val="nil"/>
            </w:tcBorders>
            <w:vAlign w:val="center"/>
          </w:tcPr>
          <w:p w14:paraId="0000030B">
            <w:pPr>
              <w:spacing w:after="0"/>
              <w:rPr>
                <w:b/>
                <w:bCs/>
              </w:rPr>
            </w:pPr>
            <w:r>
              <w:rPr>
                <w:b/>
                <w:bCs/>
                <w:rtl w:val="0"/>
              </w:rPr>
              <w:t>Calculation</w:t>
            </w:r>
          </w:p>
        </w:tc>
        <w:tc>
          <w:tcPr>
            <w:tcBorders>
              <w:top w:val="nil"/>
              <w:left w:val="nil"/>
              <w:bottom w:val="nil"/>
              <w:right w:val="nil"/>
            </w:tcBorders>
            <w:vAlign w:val="center"/>
          </w:tcPr>
          <w:p w14:paraId="0000030C">
            <w:pPr>
              <w:spacing w:after="0"/>
              <w:rPr>
                <w:b/>
                <w:bCs/>
              </w:rPr>
            </w:pPr>
            <w:r>
              <w:rPr>
                <w:b/>
                <w:bCs/>
                <w:rtl w:val="0"/>
              </w:rPr>
              <w:t>Asset Turnover (times)</w:t>
            </w:r>
          </w:p>
        </w:tc>
        <w:tc>
          <w:tcPr>
            <w:tcBorders>
              <w:top w:val="nil"/>
              <w:left w:val="nil"/>
              <w:bottom w:val="nil"/>
              <w:right w:val="nil"/>
            </w:tcBorders>
            <w:vAlign w:val="bottom"/>
          </w:tcPr>
          <w:p w14:paraId="0000030D">
            <w:pPr>
              <w:spacing w:after="0"/>
              <w:rPr>
                <w:b/>
                <w:bCs/>
              </w:rPr>
            </w:pPr>
          </w:p>
        </w:tc>
      </w:tr>
      <w:tr w14:paraId="4B2D19FF">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0E">
            <w:pPr>
              <w:spacing w:after="0"/>
            </w:pPr>
            <w:r>
              <w:rPr>
                <w:rtl w:val="0"/>
              </w:rPr>
              <w:t>2024</w:t>
            </w:r>
          </w:p>
        </w:tc>
        <w:tc>
          <w:tcPr>
            <w:tcBorders>
              <w:top w:val="nil"/>
              <w:left w:val="nil"/>
              <w:bottom w:val="nil"/>
              <w:right w:val="nil"/>
            </w:tcBorders>
            <w:vAlign w:val="center"/>
          </w:tcPr>
          <w:p w14:paraId="0000030F">
            <w:pPr>
              <w:spacing w:after="0"/>
            </w:pPr>
            <w:r>
              <w:rPr>
                <w:rtl w:val="0"/>
              </w:rPr>
              <w:t>3,94,879</w:t>
            </w:r>
          </w:p>
        </w:tc>
        <w:tc>
          <w:tcPr>
            <w:tcBorders>
              <w:top w:val="nil"/>
              <w:left w:val="nil"/>
              <w:bottom w:val="nil"/>
              <w:right w:val="nil"/>
            </w:tcBorders>
            <w:vAlign w:val="center"/>
          </w:tcPr>
          <w:p w14:paraId="00000310">
            <w:pPr>
              <w:spacing w:after="0"/>
            </w:pPr>
            <w:r>
              <w:rPr>
                <w:rtl w:val="0"/>
              </w:rPr>
              <w:t>3,39,613</w:t>
            </w:r>
          </w:p>
        </w:tc>
        <w:tc>
          <w:tcPr>
            <w:tcBorders>
              <w:top w:val="nil"/>
              <w:left w:val="nil"/>
              <w:bottom w:val="nil"/>
              <w:right w:val="nil"/>
            </w:tcBorders>
            <w:vAlign w:val="center"/>
          </w:tcPr>
          <w:p w14:paraId="00000311">
            <w:pPr>
              <w:spacing w:after="0"/>
            </w:pPr>
            <w:r>
              <w:rPr>
                <w:rtl w:val="0"/>
              </w:rPr>
              <w:t>394,879 ÷ 339,613</w:t>
            </w:r>
          </w:p>
        </w:tc>
        <w:tc>
          <w:tcPr>
            <w:tcBorders>
              <w:top w:val="nil"/>
              <w:left w:val="nil"/>
              <w:bottom w:val="nil"/>
              <w:right w:val="nil"/>
            </w:tcBorders>
            <w:vAlign w:val="center"/>
          </w:tcPr>
          <w:p w14:paraId="00000312">
            <w:pPr>
              <w:spacing w:after="0"/>
              <w:rPr>
                <w:b/>
                <w:bCs/>
              </w:rPr>
            </w:pPr>
            <w:r>
              <w:rPr>
                <w:b/>
                <w:bCs/>
                <w:rtl w:val="0"/>
              </w:rPr>
              <w:t>1.16</w:t>
            </w:r>
          </w:p>
        </w:tc>
        <w:tc>
          <w:tcPr>
            <w:tcBorders>
              <w:top w:val="nil"/>
              <w:left w:val="nil"/>
              <w:bottom w:val="nil"/>
              <w:right w:val="nil"/>
            </w:tcBorders>
            <w:vAlign w:val="bottom"/>
          </w:tcPr>
          <w:p w14:paraId="00000313">
            <w:pPr>
              <w:spacing w:after="0"/>
              <w:rPr>
                <w:b/>
                <w:bCs/>
              </w:rPr>
            </w:pPr>
          </w:p>
        </w:tc>
      </w:tr>
      <w:tr w14:paraId="58A1AEE4">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14">
            <w:pPr>
              <w:spacing w:after="0"/>
            </w:pPr>
            <w:r>
              <w:rPr>
                <w:rtl w:val="0"/>
              </w:rPr>
              <w:t>2023</w:t>
            </w:r>
          </w:p>
        </w:tc>
        <w:tc>
          <w:tcPr>
            <w:tcBorders>
              <w:top w:val="nil"/>
              <w:left w:val="nil"/>
              <w:bottom w:val="nil"/>
              <w:right w:val="nil"/>
            </w:tcBorders>
            <w:vAlign w:val="center"/>
          </w:tcPr>
          <w:p w14:paraId="00000315">
            <w:pPr>
              <w:spacing w:after="0"/>
            </w:pPr>
            <w:r>
              <w:rPr>
                <w:rtl w:val="0"/>
              </w:rPr>
              <w:t>4,20,457</w:t>
            </w:r>
          </w:p>
        </w:tc>
        <w:tc>
          <w:tcPr>
            <w:tcBorders>
              <w:top w:val="nil"/>
              <w:left w:val="nil"/>
              <w:bottom w:val="nil"/>
              <w:right w:val="nil"/>
            </w:tcBorders>
            <w:vAlign w:val="center"/>
          </w:tcPr>
          <w:p w14:paraId="00000316">
            <w:pPr>
              <w:spacing w:after="0"/>
            </w:pPr>
            <w:r>
              <w:rPr>
                <w:rtl w:val="0"/>
              </w:rPr>
              <w:t>4,30,018</w:t>
            </w:r>
          </w:p>
        </w:tc>
        <w:tc>
          <w:tcPr>
            <w:tcBorders>
              <w:top w:val="nil"/>
              <w:left w:val="nil"/>
              <w:bottom w:val="nil"/>
              <w:right w:val="nil"/>
            </w:tcBorders>
            <w:vAlign w:val="center"/>
          </w:tcPr>
          <w:p w14:paraId="00000317">
            <w:pPr>
              <w:spacing w:after="0"/>
            </w:pPr>
            <w:r>
              <w:rPr>
                <w:rtl w:val="0"/>
              </w:rPr>
              <w:t>420,457 ÷ 430,018</w:t>
            </w:r>
          </w:p>
        </w:tc>
        <w:tc>
          <w:tcPr>
            <w:tcBorders>
              <w:top w:val="nil"/>
              <w:left w:val="nil"/>
              <w:bottom w:val="nil"/>
              <w:right w:val="nil"/>
            </w:tcBorders>
            <w:vAlign w:val="center"/>
          </w:tcPr>
          <w:p w14:paraId="00000318">
            <w:pPr>
              <w:spacing w:after="0"/>
              <w:rPr>
                <w:b/>
                <w:bCs/>
              </w:rPr>
            </w:pPr>
            <w:r>
              <w:rPr>
                <w:b/>
                <w:bCs/>
                <w:rtl w:val="0"/>
              </w:rPr>
              <w:t>0.98</w:t>
            </w:r>
          </w:p>
        </w:tc>
        <w:tc>
          <w:tcPr>
            <w:tcBorders>
              <w:top w:val="nil"/>
              <w:left w:val="nil"/>
              <w:bottom w:val="nil"/>
              <w:right w:val="nil"/>
            </w:tcBorders>
            <w:vAlign w:val="bottom"/>
          </w:tcPr>
          <w:p w14:paraId="00000319">
            <w:pPr>
              <w:spacing w:after="0"/>
              <w:rPr>
                <w:b/>
                <w:bCs/>
              </w:rPr>
            </w:pPr>
          </w:p>
        </w:tc>
      </w:tr>
      <w:tr w14:paraId="78C452DD">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1A">
            <w:pPr>
              <w:spacing w:after="0"/>
            </w:pPr>
            <w:r>
              <w:rPr>
                <w:rtl w:val="0"/>
              </w:rPr>
              <w:t>2022</w:t>
            </w:r>
          </w:p>
        </w:tc>
        <w:tc>
          <w:tcPr>
            <w:tcBorders>
              <w:top w:val="nil"/>
              <w:left w:val="nil"/>
              <w:bottom w:val="nil"/>
              <w:right w:val="nil"/>
            </w:tcBorders>
            <w:vAlign w:val="center"/>
          </w:tcPr>
          <w:p w14:paraId="0000031B">
            <w:pPr>
              <w:spacing w:after="0"/>
            </w:pPr>
            <w:r>
              <w:rPr>
                <w:rtl w:val="0"/>
              </w:rPr>
              <w:t>5,42,751</w:t>
            </w:r>
          </w:p>
        </w:tc>
        <w:tc>
          <w:tcPr>
            <w:tcBorders>
              <w:top w:val="nil"/>
              <w:left w:val="nil"/>
              <w:bottom w:val="nil"/>
              <w:right w:val="nil"/>
            </w:tcBorders>
            <w:vAlign w:val="center"/>
          </w:tcPr>
          <w:p w14:paraId="0000031C">
            <w:pPr>
              <w:spacing w:after="0"/>
            </w:pPr>
            <w:r>
              <w:rPr>
                <w:rtl w:val="0"/>
              </w:rPr>
              <w:t>5,07,256</w:t>
            </w:r>
          </w:p>
        </w:tc>
        <w:tc>
          <w:tcPr>
            <w:tcBorders>
              <w:top w:val="nil"/>
              <w:left w:val="nil"/>
              <w:bottom w:val="nil"/>
              <w:right w:val="nil"/>
            </w:tcBorders>
            <w:vAlign w:val="center"/>
          </w:tcPr>
          <w:p w14:paraId="0000031D">
            <w:pPr>
              <w:spacing w:after="0"/>
            </w:pPr>
            <w:r>
              <w:rPr>
                <w:rtl w:val="0"/>
              </w:rPr>
              <w:t>542,751 ÷ 507,256</w:t>
            </w:r>
          </w:p>
        </w:tc>
        <w:tc>
          <w:tcPr>
            <w:tcBorders>
              <w:top w:val="nil"/>
              <w:left w:val="nil"/>
              <w:bottom w:val="nil"/>
              <w:right w:val="nil"/>
            </w:tcBorders>
            <w:vAlign w:val="center"/>
          </w:tcPr>
          <w:p w14:paraId="0000031E">
            <w:pPr>
              <w:spacing w:after="0"/>
              <w:rPr>
                <w:b/>
                <w:bCs/>
              </w:rPr>
            </w:pPr>
            <w:r>
              <w:rPr>
                <w:b/>
                <w:bCs/>
                <w:rtl w:val="0"/>
              </w:rPr>
              <w:t>1.07</w:t>
            </w:r>
          </w:p>
        </w:tc>
        <w:tc>
          <w:tcPr>
            <w:tcBorders>
              <w:top w:val="nil"/>
              <w:left w:val="nil"/>
              <w:bottom w:val="nil"/>
              <w:right w:val="nil"/>
            </w:tcBorders>
            <w:vAlign w:val="bottom"/>
          </w:tcPr>
          <w:p w14:paraId="0000031F">
            <w:pPr>
              <w:spacing w:after="0"/>
              <w:rPr>
                <w:b/>
                <w:bCs/>
              </w:rPr>
            </w:pPr>
          </w:p>
        </w:tc>
      </w:tr>
      <w:tr w14:paraId="43A6A3E0">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20">
            <w:pPr>
              <w:spacing w:after="0"/>
            </w:pPr>
            <w:r>
              <w:rPr>
                <w:rtl w:val="0"/>
              </w:rPr>
              <w:t>2021</w:t>
            </w:r>
          </w:p>
        </w:tc>
        <w:tc>
          <w:tcPr>
            <w:tcBorders>
              <w:top w:val="nil"/>
              <w:left w:val="nil"/>
              <w:bottom w:val="nil"/>
              <w:right w:val="nil"/>
            </w:tcBorders>
            <w:vAlign w:val="center"/>
          </w:tcPr>
          <w:p w14:paraId="00000321">
            <w:pPr>
              <w:spacing w:after="0"/>
            </w:pPr>
            <w:r>
              <w:rPr>
                <w:rtl w:val="0"/>
              </w:rPr>
              <w:t>6,01,602</w:t>
            </w:r>
          </w:p>
        </w:tc>
        <w:tc>
          <w:tcPr>
            <w:tcBorders>
              <w:top w:val="nil"/>
              <w:left w:val="nil"/>
              <w:bottom w:val="nil"/>
              <w:right w:val="nil"/>
            </w:tcBorders>
            <w:vAlign w:val="center"/>
          </w:tcPr>
          <w:p w14:paraId="00000322">
            <w:pPr>
              <w:spacing w:after="0"/>
            </w:pPr>
            <w:r>
              <w:rPr>
                <w:rtl w:val="0"/>
              </w:rPr>
              <w:t>5,10,319</w:t>
            </w:r>
          </w:p>
        </w:tc>
        <w:tc>
          <w:tcPr>
            <w:tcBorders>
              <w:top w:val="nil"/>
              <w:left w:val="nil"/>
              <w:bottom w:val="nil"/>
              <w:right w:val="nil"/>
            </w:tcBorders>
            <w:vAlign w:val="center"/>
          </w:tcPr>
          <w:p w14:paraId="00000323">
            <w:pPr>
              <w:spacing w:after="0"/>
            </w:pPr>
            <w:r>
              <w:rPr>
                <w:rtl w:val="0"/>
              </w:rPr>
              <w:t>601,602 ÷ 510,319</w:t>
            </w:r>
          </w:p>
        </w:tc>
        <w:tc>
          <w:tcPr>
            <w:tcBorders>
              <w:top w:val="nil"/>
              <w:left w:val="nil"/>
              <w:bottom w:val="nil"/>
              <w:right w:val="nil"/>
            </w:tcBorders>
            <w:vAlign w:val="center"/>
          </w:tcPr>
          <w:p w14:paraId="00000324">
            <w:pPr>
              <w:spacing w:after="0"/>
              <w:rPr>
                <w:b/>
                <w:bCs/>
              </w:rPr>
            </w:pPr>
            <w:r>
              <w:rPr>
                <w:b/>
                <w:bCs/>
                <w:rtl w:val="0"/>
              </w:rPr>
              <w:t>1.18</w:t>
            </w:r>
          </w:p>
        </w:tc>
        <w:tc>
          <w:tcPr>
            <w:tcBorders>
              <w:top w:val="nil"/>
              <w:left w:val="nil"/>
              <w:bottom w:val="nil"/>
              <w:right w:val="nil"/>
            </w:tcBorders>
            <w:vAlign w:val="bottom"/>
          </w:tcPr>
          <w:p w14:paraId="00000325">
            <w:pPr>
              <w:spacing w:after="0"/>
              <w:rPr>
                <w:b/>
                <w:bCs/>
              </w:rPr>
            </w:pPr>
          </w:p>
        </w:tc>
      </w:tr>
      <w:tr w14:paraId="5395EDCC">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26">
            <w:pPr>
              <w:spacing w:after="0"/>
            </w:pPr>
            <w:r>
              <w:rPr>
                <w:rtl w:val="0"/>
              </w:rPr>
              <w:t>2020</w:t>
            </w:r>
          </w:p>
        </w:tc>
        <w:tc>
          <w:tcPr>
            <w:tcBorders>
              <w:top w:val="nil"/>
              <w:left w:val="nil"/>
              <w:bottom w:val="nil"/>
              <w:right w:val="nil"/>
            </w:tcBorders>
            <w:vAlign w:val="center"/>
          </w:tcPr>
          <w:p w14:paraId="00000327">
            <w:pPr>
              <w:spacing w:after="0"/>
            </w:pPr>
            <w:r>
              <w:rPr>
                <w:rtl w:val="0"/>
              </w:rPr>
              <w:t>6,14,680</w:t>
            </w:r>
          </w:p>
        </w:tc>
        <w:tc>
          <w:tcPr>
            <w:tcBorders>
              <w:top w:val="nil"/>
              <w:left w:val="nil"/>
              <w:bottom w:val="nil"/>
              <w:right w:val="nil"/>
            </w:tcBorders>
            <w:vAlign w:val="center"/>
          </w:tcPr>
          <w:p w14:paraId="00000328">
            <w:pPr>
              <w:spacing w:after="0"/>
            </w:pPr>
            <w:r>
              <w:rPr>
                <w:rtl w:val="0"/>
              </w:rPr>
              <w:t>5,10,290</w:t>
            </w:r>
          </w:p>
        </w:tc>
        <w:tc>
          <w:tcPr>
            <w:tcBorders>
              <w:top w:val="nil"/>
              <w:left w:val="nil"/>
              <w:bottom w:val="nil"/>
              <w:right w:val="nil"/>
            </w:tcBorders>
            <w:vAlign w:val="center"/>
          </w:tcPr>
          <w:p w14:paraId="00000329">
            <w:pPr>
              <w:spacing w:after="0"/>
            </w:pPr>
            <w:r>
              <w:rPr>
                <w:rtl w:val="0"/>
              </w:rPr>
              <w:t>614,680 ÷ 510,290</w:t>
            </w:r>
          </w:p>
        </w:tc>
        <w:tc>
          <w:tcPr>
            <w:tcBorders>
              <w:top w:val="nil"/>
              <w:left w:val="nil"/>
              <w:bottom w:val="nil"/>
              <w:right w:val="nil"/>
            </w:tcBorders>
            <w:vAlign w:val="center"/>
          </w:tcPr>
          <w:p w14:paraId="0000032A">
            <w:pPr>
              <w:spacing w:after="0"/>
              <w:rPr>
                <w:b/>
                <w:bCs/>
              </w:rPr>
            </w:pPr>
            <w:r>
              <w:rPr>
                <w:b/>
                <w:bCs/>
                <w:rtl w:val="0"/>
              </w:rPr>
              <w:t>1.2</w:t>
            </w:r>
          </w:p>
        </w:tc>
        <w:tc>
          <w:tcPr>
            <w:tcBorders>
              <w:top w:val="nil"/>
              <w:left w:val="nil"/>
              <w:bottom w:val="nil"/>
              <w:right w:val="nil"/>
            </w:tcBorders>
            <w:vAlign w:val="bottom"/>
          </w:tcPr>
          <w:p w14:paraId="0000032B">
            <w:pPr>
              <w:spacing w:after="0"/>
              <w:rPr>
                <w:b/>
                <w:bCs/>
              </w:rPr>
            </w:pPr>
          </w:p>
        </w:tc>
      </w:tr>
      <w:tr w14:paraId="0B3D7C1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2C">
            <w:pPr>
              <w:spacing w:after="0"/>
            </w:pPr>
          </w:p>
        </w:tc>
        <w:tc>
          <w:tcPr>
            <w:tcBorders>
              <w:top w:val="nil"/>
              <w:left w:val="nil"/>
              <w:bottom w:val="nil"/>
              <w:right w:val="nil"/>
            </w:tcBorders>
            <w:vAlign w:val="bottom"/>
          </w:tcPr>
          <w:p w14:paraId="0000032D">
            <w:pPr>
              <w:spacing w:after="0"/>
            </w:pPr>
          </w:p>
        </w:tc>
        <w:tc>
          <w:tcPr>
            <w:tcBorders>
              <w:top w:val="nil"/>
              <w:left w:val="nil"/>
              <w:bottom w:val="nil"/>
              <w:right w:val="nil"/>
            </w:tcBorders>
            <w:vAlign w:val="bottom"/>
          </w:tcPr>
          <w:p w14:paraId="0000032E">
            <w:pPr>
              <w:spacing w:after="0"/>
            </w:pPr>
          </w:p>
        </w:tc>
        <w:tc>
          <w:tcPr>
            <w:tcBorders>
              <w:top w:val="nil"/>
              <w:left w:val="nil"/>
              <w:bottom w:val="nil"/>
              <w:right w:val="nil"/>
            </w:tcBorders>
            <w:vAlign w:val="bottom"/>
          </w:tcPr>
          <w:p w14:paraId="0000032F">
            <w:pPr>
              <w:spacing w:after="0"/>
            </w:pPr>
          </w:p>
        </w:tc>
        <w:tc>
          <w:tcPr>
            <w:tcBorders>
              <w:top w:val="nil"/>
              <w:left w:val="nil"/>
              <w:bottom w:val="nil"/>
              <w:right w:val="nil"/>
            </w:tcBorders>
            <w:vAlign w:val="bottom"/>
          </w:tcPr>
          <w:p w14:paraId="00000330">
            <w:pPr>
              <w:spacing w:after="0"/>
            </w:pPr>
          </w:p>
        </w:tc>
        <w:tc>
          <w:tcPr>
            <w:tcBorders>
              <w:top w:val="nil"/>
              <w:left w:val="nil"/>
              <w:bottom w:val="nil"/>
              <w:right w:val="nil"/>
            </w:tcBorders>
            <w:vAlign w:val="bottom"/>
          </w:tcPr>
          <w:p w14:paraId="00000331">
            <w:pPr>
              <w:spacing w:after="0"/>
            </w:pPr>
          </w:p>
        </w:tc>
      </w:tr>
      <w:tr w14:paraId="2BDBEAB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32">
            <w:pPr>
              <w:spacing w:after="0"/>
            </w:pPr>
          </w:p>
        </w:tc>
        <w:tc>
          <w:tcPr>
            <w:tcBorders>
              <w:top w:val="nil"/>
              <w:left w:val="nil"/>
              <w:bottom w:val="nil"/>
              <w:right w:val="nil"/>
            </w:tcBorders>
            <w:vAlign w:val="bottom"/>
          </w:tcPr>
          <w:p w14:paraId="00000333">
            <w:pPr>
              <w:spacing w:after="0"/>
            </w:pPr>
          </w:p>
        </w:tc>
        <w:tc>
          <w:tcPr>
            <w:tcBorders>
              <w:top w:val="nil"/>
              <w:left w:val="nil"/>
              <w:bottom w:val="nil"/>
              <w:right w:val="nil"/>
            </w:tcBorders>
            <w:vAlign w:val="bottom"/>
          </w:tcPr>
          <w:p w14:paraId="00000334">
            <w:pPr>
              <w:spacing w:after="0"/>
            </w:pPr>
          </w:p>
        </w:tc>
        <w:tc>
          <w:tcPr>
            <w:tcBorders>
              <w:top w:val="nil"/>
              <w:left w:val="nil"/>
              <w:bottom w:val="nil"/>
              <w:right w:val="nil"/>
            </w:tcBorders>
            <w:vAlign w:val="bottom"/>
          </w:tcPr>
          <w:p w14:paraId="00000335">
            <w:pPr>
              <w:spacing w:after="0"/>
            </w:pPr>
          </w:p>
        </w:tc>
        <w:tc>
          <w:tcPr>
            <w:tcBorders>
              <w:top w:val="nil"/>
              <w:left w:val="nil"/>
              <w:bottom w:val="nil"/>
              <w:right w:val="nil"/>
            </w:tcBorders>
            <w:vAlign w:val="bottom"/>
          </w:tcPr>
          <w:p w14:paraId="00000336">
            <w:pPr>
              <w:spacing w:after="0"/>
            </w:pPr>
          </w:p>
        </w:tc>
        <w:tc>
          <w:tcPr>
            <w:tcBorders>
              <w:top w:val="nil"/>
              <w:left w:val="nil"/>
              <w:bottom w:val="nil"/>
              <w:right w:val="nil"/>
            </w:tcBorders>
            <w:vAlign w:val="bottom"/>
          </w:tcPr>
          <w:p w14:paraId="00000337">
            <w:pPr>
              <w:spacing w:after="0"/>
            </w:pPr>
          </w:p>
        </w:tc>
      </w:tr>
      <w:tr w14:paraId="0B569F8A">
        <w:tblPrEx>
          <w:tblCellMar>
            <w:top w:w="0" w:type="dxa"/>
            <w:left w:w="115" w:type="dxa"/>
            <w:bottom w:w="0" w:type="dxa"/>
            <w:right w:w="115" w:type="dxa"/>
          </w:tblCellMar>
        </w:tblPrEx>
        <w:trPr>
          <w:trHeight w:val="468" w:hRule="atLeast"/>
        </w:trPr>
        <w:tc>
          <w:tcPr>
            <w:gridSpan w:val="4"/>
            <w:tcBorders>
              <w:top w:val="nil"/>
              <w:left w:val="nil"/>
              <w:bottom w:val="nil"/>
              <w:right w:val="nil"/>
            </w:tcBorders>
            <w:vAlign w:val="center"/>
          </w:tcPr>
          <w:p w14:paraId="00000338">
            <w:pPr>
              <w:spacing w:after="0"/>
              <w:rPr>
                <w:b/>
                <w:bCs/>
              </w:rPr>
            </w:pPr>
            <w:r>
              <w:rPr>
                <w:b/>
                <w:bCs/>
                <w:rtl w:val="0"/>
              </w:rPr>
              <w:t>Return on Assets (ROA)</w:t>
            </w:r>
          </w:p>
        </w:tc>
        <w:tc>
          <w:tcPr>
            <w:tcBorders>
              <w:top w:val="nil"/>
              <w:left w:val="nil"/>
              <w:bottom w:val="nil"/>
              <w:right w:val="nil"/>
            </w:tcBorders>
            <w:vAlign w:val="bottom"/>
          </w:tcPr>
          <w:p w14:paraId="0000033C">
            <w:pPr>
              <w:spacing w:after="0"/>
              <w:rPr>
                <w:b/>
                <w:bCs/>
              </w:rPr>
            </w:pPr>
          </w:p>
        </w:tc>
        <w:tc>
          <w:tcPr>
            <w:tcBorders>
              <w:top w:val="nil"/>
              <w:left w:val="nil"/>
              <w:bottom w:val="nil"/>
              <w:right w:val="nil"/>
            </w:tcBorders>
            <w:vAlign w:val="bottom"/>
          </w:tcPr>
          <w:p w14:paraId="0000033D">
            <w:pPr>
              <w:spacing w:after="0"/>
            </w:pPr>
          </w:p>
        </w:tc>
      </w:tr>
      <w:tr w14:paraId="4E7DF30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3E">
            <w:pPr>
              <w:spacing w:after="0"/>
            </w:pPr>
          </w:p>
        </w:tc>
        <w:tc>
          <w:tcPr>
            <w:tcBorders>
              <w:top w:val="nil"/>
              <w:left w:val="nil"/>
              <w:bottom w:val="nil"/>
              <w:right w:val="nil"/>
            </w:tcBorders>
            <w:vAlign w:val="bottom"/>
          </w:tcPr>
          <w:p w14:paraId="0000033F">
            <w:pPr>
              <w:spacing w:after="0"/>
            </w:pPr>
          </w:p>
        </w:tc>
        <w:tc>
          <w:tcPr>
            <w:tcBorders>
              <w:top w:val="nil"/>
              <w:left w:val="nil"/>
              <w:bottom w:val="nil"/>
              <w:right w:val="nil"/>
            </w:tcBorders>
            <w:vAlign w:val="bottom"/>
          </w:tcPr>
          <w:p w14:paraId="00000340">
            <w:pPr>
              <w:spacing w:after="0"/>
            </w:pPr>
          </w:p>
        </w:tc>
        <w:tc>
          <w:tcPr>
            <w:tcBorders>
              <w:top w:val="nil"/>
              <w:left w:val="nil"/>
              <w:bottom w:val="nil"/>
              <w:right w:val="nil"/>
            </w:tcBorders>
            <w:vAlign w:val="bottom"/>
          </w:tcPr>
          <w:p w14:paraId="00000341">
            <w:pPr>
              <w:spacing w:after="0"/>
            </w:pPr>
          </w:p>
        </w:tc>
        <w:tc>
          <w:tcPr>
            <w:tcBorders>
              <w:top w:val="nil"/>
              <w:left w:val="nil"/>
              <w:bottom w:val="nil"/>
              <w:right w:val="nil"/>
            </w:tcBorders>
            <w:vAlign w:val="bottom"/>
          </w:tcPr>
          <w:p w14:paraId="00000342">
            <w:pPr>
              <w:spacing w:after="0"/>
            </w:pPr>
          </w:p>
        </w:tc>
        <w:tc>
          <w:tcPr>
            <w:tcBorders>
              <w:top w:val="nil"/>
              <w:left w:val="nil"/>
              <w:bottom w:val="nil"/>
              <w:right w:val="nil"/>
            </w:tcBorders>
            <w:vAlign w:val="bottom"/>
          </w:tcPr>
          <w:p w14:paraId="00000343">
            <w:pPr>
              <w:spacing w:after="0"/>
            </w:pPr>
          </w:p>
        </w:tc>
      </w:tr>
      <w:tr w14:paraId="6FEC7CD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44">
            <w:pPr>
              <w:spacing w:after="0"/>
              <w:rPr>
                <w:b/>
                <w:bCs/>
              </w:rPr>
            </w:pPr>
            <w:r>
              <w:rPr>
                <w:b/>
                <w:bCs/>
                <w:rtl w:val="0"/>
              </w:rPr>
              <w:t>Formula:</w:t>
            </w:r>
          </w:p>
        </w:tc>
        <w:tc>
          <w:tcPr>
            <w:tcBorders>
              <w:top w:val="nil"/>
              <w:left w:val="nil"/>
              <w:bottom w:val="nil"/>
              <w:right w:val="nil"/>
            </w:tcBorders>
            <w:vAlign w:val="bottom"/>
          </w:tcPr>
          <w:p w14:paraId="00000345">
            <w:pPr>
              <w:spacing w:after="0"/>
              <w:rPr>
                <w:b/>
                <w:bCs/>
              </w:rPr>
            </w:pPr>
          </w:p>
        </w:tc>
        <w:tc>
          <w:tcPr>
            <w:tcBorders>
              <w:top w:val="nil"/>
              <w:left w:val="nil"/>
              <w:bottom w:val="nil"/>
              <w:right w:val="nil"/>
            </w:tcBorders>
            <w:vAlign w:val="bottom"/>
          </w:tcPr>
          <w:p w14:paraId="00000346">
            <w:pPr>
              <w:spacing w:after="0"/>
            </w:pPr>
          </w:p>
        </w:tc>
        <w:tc>
          <w:tcPr>
            <w:tcBorders>
              <w:top w:val="nil"/>
              <w:left w:val="nil"/>
              <w:bottom w:val="nil"/>
              <w:right w:val="nil"/>
            </w:tcBorders>
            <w:vAlign w:val="bottom"/>
          </w:tcPr>
          <w:p w14:paraId="00000347">
            <w:pPr>
              <w:spacing w:after="0"/>
            </w:pPr>
          </w:p>
        </w:tc>
        <w:tc>
          <w:tcPr>
            <w:tcBorders>
              <w:top w:val="nil"/>
              <w:left w:val="nil"/>
              <w:bottom w:val="nil"/>
              <w:right w:val="nil"/>
            </w:tcBorders>
            <w:vAlign w:val="bottom"/>
          </w:tcPr>
          <w:p w14:paraId="00000348">
            <w:pPr>
              <w:spacing w:after="0"/>
            </w:pPr>
          </w:p>
        </w:tc>
        <w:tc>
          <w:tcPr>
            <w:tcBorders>
              <w:top w:val="nil"/>
              <w:left w:val="nil"/>
              <w:bottom w:val="nil"/>
              <w:right w:val="nil"/>
            </w:tcBorders>
            <w:vAlign w:val="bottom"/>
          </w:tcPr>
          <w:p w14:paraId="00000349">
            <w:pPr>
              <w:spacing w:after="0"/>
            </w:pPr>
          </w:p>
        </w:tc>
      </w:tr>
      <w:tr w14:paraId="4A3BDBA1">
        <w:tblPrEx>
          <w:tblCellMar>
            <w:top w:w="0" w:type="dxa"/>
            <w:left w:w="115" w:type="dxa"/>
            <w:bottom w:w="0" w:type="dxa"/>
            <w:right w:w="115" w:type="dxa"/>
          </w:tblCellMar>
        </w:tblPrEx>
        <w:trPr>
          <w:trHeight w:val="288" w:hRule="atLeast"/>
        </w:trPr>
        <w:tc>
          <w:tcPr>
            <w:gridSpan w:val="4"/>
            <w:tcBorders>
              <w:top w:val="nil"/>
              <w:left w:val="nil"/>
              <w:bottom w:val="nil"/>
              <w:right w:val="nil"/>
            </w:tcBorders>
            <w:vAlign w:val="bottom"/>
          </w:tcPr>
          <w:p w14:paraId="0000034A">
            <w:pPr>
              <w:spacing w:after="0"/>
            </w:pPr>
            <w:r>
              <w:rPr>
                <w:rtl w:val="0"/>
              </w:rPr>
              <w:t>ROA = Net Income ÷ Average Total Assets</w:t>
            </w:r>
          </w:p>
        </w:tc>
        <w:tc>
          <w:tcPr>
            <w:tcBorders>
              <w:top w:val="nil"/>
              <w:left w:val="nil"/>
              <w:bottom w:val="nil"/>
              <w:right w:val="nil"/>
            </w:tcBorders>
            <w:vAlign w:val="bottom"/>
          </w:tcPr>
          <w:p w14:paraId="0000034E">
            <w:pPr>
              <w:spacing w:after="0"/>
            </w:pPr>
          </w:p>
        </w:tc>
        <w:tc>
          <w:tcPr>
            <w:tcBorders>
              <w:top w:val="nil"/>
              <w:left w:val="nil"/>
              <w:bottom w:val="nil"/>
              <w:right w:val="nil"/>
            </w:tcBorders>
            <w:vAlign w:val="bottom"/>
          </w:tcPr>
          <w:p w14:paraId="0000034F">
            <w:pPr>
              <w:spacing w:after="0"/>
            </w:pPr>
          </w:p>
        </w:tc>
      </w:tr>
      <w:tr w14:paraId="2848D95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50">
            <w:pPr>
              <w:spacing w:after="0"/>
            </w:pPr>
          </w:p>
        </w:tc>
        <w:tc>
          <w:tcPr>
            <w:tcBorders>
              <w:top w:val="nil"/>
              <w:left w:val="nil"/>
              <w:bottom w:val="nil"/>
              <w:right w:val="nil"/>
            </w:tcBorders>
            <w:vAlign w:val="bottom"/>
          </w:tcPr>
          <w:p w14:paraId="00000351">
            <w:pPr>
              <w:spacing w:after="0"/>
            </w:pPr>
          </w:p>
        </w:tc>
        <w:tc>
          <w:tcPr>
            <w:tcBorders>
              <w:top w:val="nil"/>
              <w:left w:val="nil"/>
              <w:bottom w:val="nil"/>
              <w:right w:val="nil"/>
            </w:tcBorders>
            <w:vAlign w:val="bottom"/>
          </w:tcPr>
          <w:p w14:paraId="00000352">
            <w:pPr>
              <w:spacing w:after="0"/>
            </w:pPr>
          </w:p>
        </w:tc>
        <w:tc>
          <w:tcPr>
            <w:tcBorders>
              <w:top w:val="nil"/>
              <w:left w:val="nil"/>
              <w:bottom w:val="nil"/>
              <w:right w:val="nil"/>
            </w:tcBorders>
            <w:vAlign w:val="bottom"/>
          </w:tcPr>
          <w:p w14:paraId="00000353">
            <w:pPr>
              <w:spacing w:after="0"/>
            </w:pPr>
          </w:p>
        </w:tc>
        <w:tc>
          <w:tcPr>
            <w:tcBorders>
              <w:top w:val="nil"/>
              <w:left w:val="nil"/>
              <w:bottom w:val="nil"/>
              <w:right w:val="nil"/>
            </w:tcBorders>
            <w:vAlign w:val="bottom"/>
          </w:tcPr>
          <w:p w14:paraId="00000354">
            <w:pPr>
              <w:spacing w:after="0"/>
            </w:pPr>
          </w:p>
        </w:tc>
        <w:tc>
          <w:tcPr>
            <w:tcBorders>
              <w:top w:val="nil"/>
              <w:left w:val="nil"/>
              <w:bottom w:val="nil"/>
              <w:right w:val="nil"/>
            </w:tcBorders>
            <w:vAlign w:val="bottom"/>
          </w:tcPr>
          <w:p w14:paraId="00000355">
            <w:pPr>
              <w:spacing w:after="0"/>
            </w:pPr>
          </w:p>
        </w:tc>
      </w:tr>
      <w:tr w14:paraId="53D79B4D">
        <w:tblPrEx>
          <w:tblCellMar>
            <w:top w:w="0" w:type="dxa"/>
            <w:left w:w="115" w:type="dxa"/>
            <w:bottom w:w="0" w:type="dxa"/>
            <w:right w:w="115" w:type="dxa"/>
          </w:tblCellMar>
        </w:tblPrEx>
        <w:trPr>
          <w:trHeight w:val="864" w:hRule="atLeast"/>
        </w:trPr>
        <w:tc>
          <w:tcPr>
            <w:tcBorders>
              <w:top w:val="nil"/>
              <w:left w:val="nil"/>
              <w:bottom w:val="nil"/>
              <w:right w:val="nil"/>
            </w:tcBorders>
            <w:vAlign w:val="center"/>
          </w:tcPr>
          <w:p w14:paraId="00000356">
            <w:pPr>
              <w:spacing w:after="0"/>
              <w:rPr>
                <w:b/>
                <w:bCs/>
              </w:rPr>
            </w:pPr>
            <w:r>
              <w:rPr>
                <w:b/>
                <w:bCs/>
                <w:rtl w:val="0"/>
              </w:rPr>
              <w:t>Year</w:t>
            </w:r>
          </w:p>
        </w:tc>
        <w:tc>
          <w:tcPr>
            <w:tcBorders>
              <w:top w:val="nil"/>
              <w:left w:val="nil"/>
              <w:bottom w:val="nil"/>
              <w:right w:val="nil"/>
            </w:tcBorders>
            <w:vAlign w:val="center"/>
          </w:tcPr>
          <w:p w14:paraId="00000357">
            <w:pPr>
              <w:spacing w:after="0"/>
              <w:rPr>
                <w:b/>
                <w:bCs/>
              </w:rPr>
            </w:pPr>
            <w:r>
              <w:rPr>
                <w:b/>
                <w:bCs/>
                <w:rtl w:val="0"/>
              </w:rPr>
              <w:t>Net Income (Loss)</w:t>
            </w:r>
          </w:p>
        </w:tc>
        <w:tc>
          <w:tcPr>
            <w:tcBorders>
              <w:top w:val="nil"/>
              <w:left w:val="nil"/>
              <w:bottom w:val="nil"/>
              <w:right w:val="nil"/>
            </w:tcBorders>
            <w:vAlign w:val="center"/>
          </w:tcPr>
          <w:p w14:paraId="00000358">
            <w:pPr>
              <w:spacing w:after="0"/>
              <w:rPr>
                <w:b/>
                <w:bCs/>
              </w:rPr>
            </w:pPr>
            <w:r>
              <w:rPr>
                <w:b/>
                <w:bCs/>
                <w:rtl w:val="0"/>
              </w:rPr>
              <w:t>Average Total Assets</w:t>
            </w:r>
          </w:p>
        </w:tc>
        <w:tc>
          <w:tcPr>
            <w:tcBorders>
              <w:top w:val="nil"/>
              <w:left w:val="nil"/>
              <w:bottom w:val="nil"/>
              <w:right w:val="nil"/>
            </w:tcBorders>
            <w:vAlign w:val="center"/>
          </w:tcPr>
          <w:p w14:paraId="00000359">
            <w:pPr>
              <w:spacing w:after="0"/>
              <w:rPr>
                <w:b/>
                <w:bCs/>
              </w:rPr>
            </w:pPr>
            <w:r>
              <w:rPr>
                <w:b/>
                <w:bCs/>
                <w:rtl w:val="0"/>
              </w:rPr>
              <w:t>Calculation</w:t>
            </w:r>
          </w:p>
        </w:tc>
        <w:tc>
          <w:tcPr>
            <w:tcBorders>
              <w:top w:val="nil"/>
              <w:left w:val="nil"/>
              <w:bottom w:val="nil"/>
              <w:right w:val="nil"/>
            </w:tcBorders>
            <w:vAlign w:val="center"/>
          </w:tcPr>
          <w:p w14:paraId="0000035A">
            <w:pPr>
              <w:spacing w:after="0"/>
              <w:rPr>
                <w:b/>
                <w:bCs/>
              </w:rPr>
            </w:pPr>
            <w:r>
              <w:rPr>
                <w:b/>
                <w:bCs/>
                <w:rtl w:val="0"/>
              </w:rPr>
              <w:t>ROA</w:t>
            </w:r>
          </w:p>
        </w:tc>
        <w:tc>
          <w:tcPr>
            <w:tcBorders>
              <w:top w:val="nil"/>
              <w:left w:val="nil"/>
              <w:bottom w:val="nil"/>
              <w:right w:val="nil"/>
            </w:tcBorders>
            <w:vAlign w:val="bottom"/>
          </w:tcPr>
          <w:p w14:paraId="0000035B">
            <w:pPr>
              <w:spacing w:after="0"/>
              <w:rPr>
                <w:b/>
                <w:bCs/>
              </w:rPr>
            </w:pPr>
          </w:p>
        </w:tc>
      </w:tr>
      <w:tr w14:paraId="64F515D4">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5C">
            <w:pPr>
              <w:spacing w:after="0"/>
            </w:pPr>
            <w:r>
              <w:rPr>
                <w:rtl w:val="0"/>
              </w:rPr>
              <w:t>2024</w:t>
            </w:r>
          </w:p>
        </w:tc>
        <w:tc>
          <w:tcPr>
            <w:tcBorders>
              <w:top w:val="nil"/>
              <w:left w:val="nil"/>
              <w:bottom w:val="nil"/>
              <w:right w:val="nil"/>
            </w:tcBorders>
            <w:vAlign w:val="center"/>
          </w:tcPr>
          <w:p w14:paraId="0000035D">
            <w:pPr>
              <w:spacing w:after="0"/>
            </w:pPr>
            <w:r>
              <w:rPr>
                <w:rtl w:val="0"/>
              </w:rPr>
              <w:t>-24,029</w:t>
            </w:r>
          </w:p>
        </w:tc>
        <w:tc>
          <w:tcPr>
            <w:tcBorders>
              <w:top w:val="nil"/>
              <w:left w:val="nil"/>
              <w:bottom w:val="nil"/>
              <w:right w:val="nil"/>
            </w:tcBorders>
            <w:vAlign w:val="center"/>
          </w:tcPr>
          <w:p w14:paraId="0000035E">
            <w:pPr>
              <w:spacing w:after="0"/>
            </w:pPr>
            <w:r>
              <w:rPr>
                <w:rtl w:val="0"/>
              </w:rPr>
              <w:t>3,39,613</w:t>
            </w:r>
          </w:p>
        </w:tc>
        <w:tc>
          <w:tcPr>
            <w:tcBorders>
              <w:top w:val="nil"/>
              <w:left w:val="nil"/>
              <w:bottom w:val="nil"/>
              <w:right w:val="nil"/>
            </w:tcBorders>
            <w:vAlign w:val="center"/>
          </w:tcPr>
          <w:p w14:paraId="0000035F">
            <w:pPr>
              <w:spacing w:after="0"/>
            </w:pPr>
            <w:r>
              <w:rPr>
                <w:rtl w:val="0"/>
              </w:rPr>
              <w:t>(24,029) ÷ 339,613</w:t>
            </w:r>
          </w:p>
        </w:tc>
        <w:tc>
          <w:tcPr>
            <w:tcBorders>
              <w:top w:val="nil"/>
              <w:left w:val="nil"/>
              <w:bottom w:val="nil"/>
              <w:right w:val="nil"/>
            </w:tcBorders>
            <w:vAlign w:val="center"/>
          </w:tcPr>
          <w:p w14:paraId="00000360">
            <w:pPr>
              <w:spacing w:after="0"/>
              <w:rPr>
                <w:b/>
                <w:bCs/>
              </w:rPr>
            </w:pPr>
            <w:r>
              <w:rPr>
                <w:b/>
                <w:bCs/>
                <w:rtl w:val="0"/>
              </w:rPr>
              <w:t>–7.1%</w:t>
            </w:r>
          </w:p>
        </w:tc>
        <w:tc>
          <w:tcPr>
            <w:tcBorders>
              <w:top w:val="nil"/>
              <w:left w:val="nil"/>
              <w:bottom w:val="nil"/>
              <w:right w:val="nil"/>
            </w:tcBorders>
            <w:vAlign w:val="bottom"/>
          </w:tcPr>
          <w:p w14:paraId="00000361">
            <w:pPr>
              <w:spacing w:after="0"/>
              <w:rPr>
                <w:b/>
                <w:bCs/>
              </w:rPr>
            </w:pPr>
          </w:p>
        </w:tc>
      </w:tr>
      <w:tr w14:paraId="15BE3EC3">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62">
            <w:pPr>
              <w:spacing w:after="0"/>
            </w:pPr>
            <w:r>
              <w:rPr>
                <w:rtl w:val="0"/>
              </w:rPr>
              <w:t>2023</w:t>
            </w:r>
          </w:p>
        </w:tc>
        <w:tc>
          <w:tcPr>
            <w:tcBorders>
              <w:top w:val="nil"/>
              <w:left w:val="nil"/>
              <w:bottom w:val="nil"/>
              <w:right w:val="nil"/>
            </w:tcBorders>
            <w:vAlign w:val="center"/>
          </w:tcPr>
          <w:p w14:paraId="00000363">
            <w:pPr>
              <w:spacing w:after="0"/>
            </w:pPr>
            <w:r>
              <w:rPr>
                <w:rtl w:val="0"/>
              </w:rPr>
              <w:t>-98,238</w:t>
            </w:r>
          </w:p>
        </w:tc>
        <w:tc>
          <w:tcPr>
            <w:tcBorders>
              <w:top w:val="nil"/>
              <w:left w:val="nil"/>
              <w:bottom w:val="nil"/>
              <w:right w:val="nil"/>
            </w:tcBorders>
            <w:vAlign w:val="center"/>
          </w:tcPr>
          <w:p w14:paraId="00000364">
            <w:pPr>
              <w:spacing w:after="0"/>
            </w:pPr>
            <w:r>
              <w:rPr>
                <w:rtl w:val="0"/>
              </w:rPr>
              <w:t>4,30,018</w:t>
            </w:r>
          </w:p>
        </w:tc>
        <w:tc>
          <w:tcPr>
            <w:tcBorders>
              <w:top w:val="nil"/>
              <w:left w:val="nil"/>
              <w:bottom w:val="nil"/>
              <w:right w:val="nil"/>
            </w:tcBorders>
            <w:vAlign w:val="center"/>
          </w:tcPr>
          <w:p w14:paraId="00000365">
            <w:pPr>
              <w:spacing w:after="0"/>
            </w:pPr>
            <w:r>
              <w:rPr>
                <w:rtl w:val="0"/>
              </w:rPr>
              <w:t>(98,238) ÷ 430,018</w:t>
            </w:r>
          </w:p>
        </w:tc>
        <w:tc>
          <w:tcPr>
            <w:tcBorders>
              <w:top w:val="nil"/>
              <w:left w:val="nil"/>
              <w:bottom w:val="nil"/>
              <w:right w:val="nil"/>
            </w:tcBorders>
            <w:vAlign w:val="center"/>
          </w:tcPr>
          <w:p w14:paraId="00000366">
            <w:pPr>
              <w:spacing w:after="0"/>
              <w:rPr>
                <w:b/>
                <w:bCs/>
              </w:rPr>
            </w:pPr>
            <w:r>
              <w:rPr>
                <w:b/>
                <w:bCs/>
                <w:rtl w:val="0"/>
              </w:rPr>
              <w:t>–22.8%</w:t>
            </w:r>
          </w:p>
        </w:tc>
        <w:tc>
          <w:tcPr>
            <w:tcBorders>
              <w:top w:val="nil"/>
              <w:left w:val="nil"/>
              <w:bottom w:val="nil"/>
              <w:right w:val="nil"/>
            </w:tcBorders>
            <w:vAlign w:val="bottom"/>
          </w:tcPr>
          <w:p w14:paraId="00000367">
            <w:pPr>
              <w:spacing w:after="0"/>
              <w:rPr>
                <w:b/>
                <w:bCs/>
              </w:rPr>
            </w:pPr>
          </w:p>
        </w:tc>
      </w:tr>
      <w:tr w14:paraId="10569F4D">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68">
            <w:pPr>
              <w:spacing w:after="0"/>
            </w:pPr>
            <w:r>
              <w:rPr>
                <w:rtl w:val="0"/>
              </w:rPr>
              <w:t>2022</w:t>
            </w:r>
          </w:p>
        </w:tc>
        <w:tc>
          <w:tcPr>
            <w:tcBorders>
              <w:top w:val="nil"/>
              <w:left w:val="nil"/>
              <w:bottom w:val="nil"/>
              <w:right w:val="nil"/>
            </w:tcBorders>
            <w:vAlign w:val="center"/>
          </w:tcPr>
          <w:p w14:paraId="00000369">
            <w:pPr>
              <w:spacing w:after="0"/>
            </w:pPr>
            <w:r>
              <w:rPr>
                <w:rtl w:val="0"/>
              </w:rPr>
              <w:t>407</w:t>
            </w:r>
          </w:p>
        </w:tc>
        <w:tc>
          <w:tcPr>
            <w:tcBorders>
              <w:top w:val="nil"/>
              <w:left w:val="nil"/>
              <w:bottom w:val="nil"/>
              <w:right w:val="nil"/>
            </w:tcBorders>
            <w:vAlign w:val="center"/>
          </w:tcPr>
          <w:p w14:paraId="0000036A">
            <w:pPr>
              <w:spacing w:after="0"/>
            </w:pPr>
            <w:r>
              <w:rPr>
                <w:rtl w:val="0"/>
              </w:rPr>
              <w:t>5,07,256</w:t>
            </w:r>
          </w:p>
        </w:tc>
        <w:tc>
          <w:tcPr>
            <w:tcBorders>
              <w:top w:val="nil"/>
              <w:left w:val="nil"/>
              <w:bottom w:val="nil"/>
              <w:right w:val="nil"/>
            </w:tcBorders>
            <w:vAlign w:val="center"/>
          </w:tcPr>
          <w:p w14:paraId="0000036B">
            <w:pPr>
              <w:spacing w:after="0"/>
            </w:pPr>
            <w:r>
              <w:rPr>
                <w:rtl w:val="0"/>
              </w:rPr>
              <w:t>407 ÷ 507,256</w:t>
            </w:r>
          </w:p>
        </w:tc>
        <w:tc>
          <w:tcPr>
            <w:tcBorders>
              <w:top w:val="nil"/>
              <w:left w:val="nil"/>
              <w:bottom w:val="nil"/>
              <w:right w:val="nil"/>
            </w:tcBorders>
            <w:vAlign w:val="center"/>
          </w:tcPr>
          <w:p w14:paraId="0000036C">
            <w:pPr>
              <w:spacing w:after="0"/>
              <w:rPr>
                <w:b/>
                <w:bCs/>
              </w:rPr>
            </w:pPr>
            <w:r>
              <w:rPr>
                <w:b/>
                <w:bCs/>
                <w:rtl w:val="0"/>
              </w:rPr>
              <w:t>0.10%</w:t>
            </w:r>
          </w:p>
        </w:tc>
        <w:tc>
          <w:tcPr>
            <w:tcBorders>
              <w:top w:val="nil"/>
              <w:left w:val="nil"/>
              <w:bottom w:val="nil"/>
              <w:right w:val="nil"/>
            </w:tcBorders>
            <w:vAlign w:val="bottom"/>
          </w:tcPr>
          <w:p w14:paraId="0000036D">
            <w:pPr>
              <w:spacing w:after="0"/>
              <w:rPr>
                <w:b/>
                <w:bCs/>
              </w:rPr>
            </w:pPr>
          </w:p>
        </w:tc>
      </w:tr>
      <w:tr w14:paraId="2B60B611">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6E">
            <w:pPr>
              <w:spacing w:after="0"/>
            </w:pPr>
            <w:r>
              <w:rPr>
                <w:rtl w:val="0"/>
              </w:rPr>
              <w:t>2021</w:t>
            </w:r>
          </w:p>
        </w:tc>
        <w:tc>
          <w:tcPr>
            <w:tcBorders>
              <w:top w:val="nil"/>
              <w:left w:val="nil"/>
              <w:bottom w:val="nil"/>
              <w:right w:val="nil"/>
            </w:tcBorders>
            <w:vAlign w:val="center"/>
          </w:tcPr>
          <w:p w14:paraId="0000036F">
            <w:pPr>
              <w:spacing w:after="0"/>
            </w:pPr>
            <w:r>
              <w:rPr>
                <w:rtl w:val="0"/>
              </w:rPr>
              <w:t>5,301</w:t>
            </w:r>
          </w:p>
        </w:tc>
        <w:tc>
          <w:tcPr>
            <w:tcBorders>
              <w:top w:val="nil"/>
              <w:left w:val="nil"/>
              <w:bottom w:val="nil"/>
              <w:right w:val="nil"/>
            </w:tcBorders>
            <w:vAlign w:val="center"/>
          </w:tcPr>
          <w:p w14:paraId="00000370">
            <w:pPr>
              <w:spacing w:after="0"/>
            </w:pPr>
            <w:r>
              <w:rPr>
                <w:rtl w:val="0"/>
              </w:rPr>
              <w:t>5,10,319</w:t>
            </w:r>
          </w:p>
        </w:tc>
        <w:tc>
          <w:tcPr>
            <w:tcBorders>
              <w:top w:val="nil"/>
              <w:left w:val="nil"/>
              <w:bottom w:val="nil"/>
              <w:right w:val="nil"/>
            </w:tcBorders>
            <w:vAlign w:val="center"/>
          </w:tcPr>
          <w:p w14:paraId="00000371">
            <w:pPr>
              <w:spacing w:after="0"/>
            </w:pPr>
            <w:r>
              <w:rPr>
                <w:rtl w:val="0"/>
              </w:rPr>
              <w:t>5,301 ÷ 510,319</w:t>
            </w:r>
          </w:p>
        </w:tc>
        <w:tc>
          <w:tcPr>
            <w:tcBorders>
              <w:top w:val="nil"/>
              <w:left w:val="nil"/>
              <w:bottom w:val="nil"/>
              <w:right w:val="nil"/>
            </w:tcBorders>
            <w:vAlign w:val="center"/>
          </w:tcPr>
          <w:p w14:paraId="00000372">
            <w:pPr>
              <w:spacing w:after="0"/>
              <w:rPr>
                <w:b/>
                <w:bCs/>
              </w:rPr>
            </w:pPr>
            <w:r>
              <w:rPr>
                <w:b/>
                <w:bCs/>
                <w:rtl w:val="0"/>
              </w:rPr>
              <w:t>1.00%</w:t>
            </w:r>
          </w:p>
        </w:tc>
        <w:tc>
          <w:tcPr>
            <w:tcBorders>
              <w:top w:val="nil"/>
              <w:left w:val="nil"/>
              <w:bottom w:val="nil"/>
              <w:right w:val="nil"/>
            </w:tcBorders>
            <w:vAlign w:val="bottom"/>
          </w:tcPr>
          <w:p w14:paraId="00000373">
            <w:pPr>
              <w:spacing w:after="0"/>
              <w:rPr>
                <w:b/>
                <w:bCs/>
              </w:rPr>
            </w:pPr>
          </w:p>
        </w:tc>
      </w:tr>
      <w:tr w14:paraId="20944516">
        <w:tblPrEx>
          <w:tblCellMar>
            <w:top w:w="0" w:type="dxa"/>
            <w:left w:w="115" w:type="dxa"/>
            <w:bottom w:w="0" w:type="dxa"/>
            <w:right w:w="115" w:type="dxa"/>
          </w:tblCellMar>
        </w:tblPrEx>
        <w:trPr>
          <w:trHeight w:val="576" w:hRule="atLeast"/>
        </w:trPr>
        <w:tc>
          <w:tcPr>
            <w:tcBorders>
              <w:top w:val="nil"/>
              <w:left w:val="nil"/>
              <w:bottom w:val="nil"/>
              <w:right w:val="nil"/>
            </w:tcBorders>
            <w:vAlign w:val="center"/>
          </w:tcPr>
          <w:p w14:paraId="00000374">
            <w:pPr>
              <w:spacing w:after="0"/>
            </w:pPr>
            <w:r>
              <w:rPr>
                <w:rtl w:val="0"/>
              </w:rPr>
              <w:t>2020</w:t>
            </w:r>
          </w:p>
        </w:tc>
        <w:tc>
          <w:tcPr>
            <w:tcBorders>
              <w:top w:val="nil"/>
              <w:left w:val="nil"/>
              <w:bottom w:val="nil"/>
              <w:right w:val="nil"/>
            </w:tcBorders>
            <w:vAlign w:val="center"/>
          </w:tcPr>
          <w:p w14:paraId="00000375">
            <w:pPr>
              <w:spacing w:after="0"/>
            </w:pPr>
            <w:r>
              <w:rPr>
                <w:rtl w:val="0"/>
              </w:rPr>
              <w:t>38,572</w:t>
            </w:r>
          </w:p>
        </w:tc>
        <w:tc>
          <w:tcPr>
            <w:tcBorders>
              <w:top w:val="nil"/>
              <w:left w:val="nil"/>
              <w:bottom w:val="nil"/>
              <w:right w:val="nil"/>
            </w:tcBorders>
            <w:vAlign w:val="center"/>
          </w:tcPr>
          <w:p w14:paraId="00000376">
            <w:pPr>
              <w:spacing w:after="0"/>
            </w:pPr>
            <w:r>
              <w:rPr>
                <w:rtl w:val="0"/>
              </w:rPr>
              <w:t>5,10,290</w:t>
            </w:r>
          </w:p>
        </w:tc>
        <w:tc>
          <w:tcPr>
            <w:tcBorders>
              <w:top w:val="nil"/>
              <w:left w:val="nil"/>
              <w:bottom w:val="nil"/>
              <w:right w:val="nil"/>
            </w:tcBorders>
            <w:vAlign w:val="center"/>
          </w:tcPr>
          <w:p w14:paraId="00000377">
            <w:pPr>
              <w:spacing w:after="0"/>
            </w:pPr>
            <w:r>
              <w:rPr>
                <w:rtl w:val="0"/>
              </w:rPr>
              <w:t>38,572 ÷ 510,290</w:t>
            </w:r>
          </w:p>
        </w:tc>
        <w:tc>
          <w:tcPr>
            <w:tcBorders>
              <w:top w:val="nil"/>
              <w:left w:val="nil"/>
              <w:bottom w:val="nil"/>
              <w:right w:val="nil"/>
            </w:tcBorders>
            <w:vAlign w:val="center"/>
          </w:tcPr>
          <w:p w14:paraId="00000378">
            <w:pPr>
              <w:spacing w:after="0"/>
              <w:rPr>
                <w:b/>
                <w:bCs/>
              </w:rPr>
            </w:pPr>
            <w:r>
              <w:rPr>
                <w:b/>
                <w:bCs/>
                <w:rtl w:val="0"/>
              </w:rPr>
              <w:t>7.60%</w:t>
            </w:r>
          </w:p>
        </w:tc>
        <w:tc>
          <w:tcPr>
            <w:tcBorders>
              <w:top w:val="nil"/>
              <w:left w:val="nil"/>
              <w:bottom w:val="nil"/>
              <w:right w:val="nil"/>
            </w:tcBorders>
            <w:vAlign w:val="bottom"/>
          </w:tcPr>
          <w:p w14:paraId="00000379">
            <w:pPr>
              <w:spacing w:after="0"/>
              <w:rPr>
                <w:b/>
                <w:bCs/>
              </w:rPr>
            </w:pPr>
          </w:p>
        </w:tc>
      </w:tr>
    </w:tbl>
    <w:p w14:paraId="0000037A"/>
    <w:p w14:paraId="0000037B">
      <w:pPr>
        <w:pStyle w:val="3"/>
      </w:pPr>
      <w:bookmarkStart w:id="35" w:name="_n896ay55tspc" w:colFirst="0" w:colLast="0"/>
      <w:bookmarkEnd w:id="35"/>
      <w:r>
        <w:rPr>
          <w:rtl w:val="0"/>
        </w:rPr>
        <w:t>Appendix D</w:t>
      </w:r>
    </w:p>
    <w:tbl>
      <w:tblPr>
        <w:tblStyle w:val="20"/>
        <w:tblW w:w="7273" w:type="dxa"/>
        <w:tblInd w:w="0" w:type="dxa"/>
        <w:tblLayout w:type="fixed"/>
        <w:tblCellMar>
          <w:top w:w="0" w:type="dxa"/>
          <w:left w:w="115" w:type="dxa"/>
          <w:bottom w:w="0" w:type="dxa"/>
          <w:right w:w="115" w:type="dxa"/>
        </w:tblCellMar>
      </w:tblPr>
      <w:tblGrid>
        <w:gridCol w:w="1190"/>
        <w:gridCol w:w="1300"/>
        <w:gridCol w:w="1300"/>
        <w:gridCol w:w="1403"/>
        <w:gridCol w:w="1120"/>
        <w:gridCol w:w="960"/>
      </w:tblGrid>
      <w:tr w14:paraId="0C757602">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37C">
            <w:pPr>
              <w:spacing w:after="0"/>
              <w:rPr>
                <w:b/>
                <w:bCs/>
              </w:rPr>
            </w:pPr>
            <w:r>
              <w:rPr>
                <w:b/>
                <w:bCs/>
                <w:rtl w:val="0"/>
              </w:rPr>
              <w:t>(a) Debt to Equity Ratio</w:t>
            </w:r>
          </w:p>
        </w:tc>
        <w:tc>
          <w:tcPr>
            <w:tcBorders>
              <w:top w:val="nil"/>
              <w:left w:val="nil"/>
              <w:bottom w:val="nil"/>
              <w:right w:val="nil"/>
            </w:tcBorders>
            <w:vAlign w:val="bottom"/>
          </w:tcPr>
          <w:p w14:paraId="0000037E">
            <w:pPr>
              <w:spacing w:after="0"/>
              <w:rPr>
                <w:b/>
                <w:bCs/>
              </w:rPr>
            </w:pPr>
          </w:p>
        </w:tc>
        <w:tc>
          <w:tcPr>
            <w:tcBorders>
              <w:top w:val="nil"/>
              <w:left w:val="nil"/>
              <w:bottom w:val="nil"/>
              <w:right w:val="nil"/>
            </w:tcBorders>
            <w:vAlign w:val="bottom"/>
          </w:tcPr>
          <w:p w14:paraId="0000037F">
            <w:pPr>
              <w:spacing w:after="0"/>
            </w:pPr>
          </w:p>
        </w:tc>
        <w:tc>
          <w:tcPr>
            <w:tcBorders>
              <w:top w:val="nil"/>
              <w:left w:val="nil"/>
              <w:bottom w:val="nil"/>
              <w:right w:val="nil"/>
            </w:tcBorders>
            <w:vAlign w:val="bottom"/>
          </w:tcPr>
          <w:p w14:paraId="00000380">
            <w:pPr>
              <w:spacing w:after="0"/>
            </w:pPr>
          </w:p>
        </w:tc>
        <w:tc>
          <w:tcPr>
            <w:tcBorders>
              <w:top w:val="nil"/>
              <w:left w:val="nil"/>
              <w:bottom w:val="nil"/>
              <w:right w:val="nil"/>
            </w:tcBorders>
            <w:vAlign w:val="bottom"/>
          </w:tcPr>
          <w:p w14:paraId="00000381">
            <w:pPr>
              <w:spacing w:after="0"/>
            </w:pPr>
          </w:p>
        </w:tc>
      </w:tr>
      <w:tr w14:paraId="4FCF48F5">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82">
            <w:pPr>
              <w:spacing w:after="0"/>
            </w:pPr>
          </w:p>
        </w:tc>
        <w:tc>
          <w:tcPr>
            <w:tcBorders>
              <w:top w:val="nil"/>
              <w:left w:val="nil"/>
              <w:bottom w:val="nil"/>
              <w:right w:val="nil"/>
            </w:tcBorders>
            <w:vAlign w:val="bottom"/>
          </w:tcPr>
          <w:p w14:paraId="00000383">
            <w:pPr>
              <w:spacing w:after="0"/>
            </w:pPr>
          </w:p>
        </w:tc>
        <w:tc>
          <w:tcPr>
            <w:tcBorders>
              <w:top w:val="nil"/>
              <w:left w:val="nil"/>
              <w:bottom w:val="nil"/>
              <w:right w:val="nil"/>
            </w:tcBorders>
            <w:vAlign w:val="bottom"/>
          </w:tcPr>
          <w:p w14:paraId="00000384">
            <w:pPr>
              <w:spacing w:after="0"/>
            </w:pPr>
          </w:p>
        </w:tc>
        <w:tc>
          <w:tcPr>
            <w:tcBorders>
              <w:top w:val="nil"/>
              <w:left w:val="nil"/>
              <w:bottom w:val="nil"/>
              <w:right w:val="nil"/>
            </w:tcBorders>
            <w:vAlign w:val="bottom"/>
          </w:tcPr>
          <w:p w14:paraId="00000385">
            <w:pPr>
              <w:spacing w:after="0"/>
            </w:pPr>
          </w:p>
        </w:tc>
        <w:tc>
          <w:tcPr>
            <w:tcBorders>
              <w:top w:val="nil"/>
              <w:left w:val="nil"/>
              <w:bottom w:val="nil"/>
              <w:right w:val="nil"/>
            </w:tcBorders>
            <w:vAlign w:val="bottom"/>
          </w:tcPr>
          <w:p w14:paraId="00000386">
            <w:pPr>
              <w:spacing w:after="0"/>
            </w:pPr>
          </w:p>
        </w:tc>
        <w:tc>
          <w:tcPr>
            <w:tcBorders>
              <w:top w:val="nil"/>
              <w:left w:val="nil"/>
              <w:bottom w:val="nil"/>
              <w:right w:val="nil"/>
            </w:tcBorders>
            <w:vAlign w:val="bottom"/>
          </w:tcPr>
          <w:p w14:paraId="00000387">
            <w:pPr>
              <w:spacing w:after="0"/>
            </w:pPr>
          </w:p>
        </w:tc>
      </w:tr>
      <w:tr w14:paraId="7B24FFE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88">
            <w:pPr>
              <w:spacing w:after="0"/>
              <w:rPr>
                <w:b/>
                <w:bCs/>
              </w:rPr>
            </w:pPr>
            <w:r>
              <w:rPr>
                <w:b/>
                <w:bCs/>
                <w:rtl w:val="0"/>
              </w:rPr>
              <w:t>Formula:</w:t>
            </w:r>
          </w:p>
        </w:tc>
        <w:tc>
          <w:tcPr>
            <w:tcBorders>
              <w:top w:val="nil"/>
              <w:left w:val="nil"/>
              <w:bottom w:val="nil"/>
              <w:right w:val="nil"/>
            </w:tcBorders>
            <w:vAlign w:val="bottom"/>
          </w:tcPr>
          <w:p w14:paraId="00000389">
            <w:pPr>
              <w:spacing w:after="0"/>
              <w:rPr>
                <w:b/>
                <w:bCs/>
              </w:rPr>
            </w:pPr>
          </w:p>
        </w:tc>
        <w:tc>
          <w:tcPr>
            <w:tcBorders>
              <w:top w:val="nil"/>
              <w:left w:val="nil"/>
              <w:bottom w:val="nil"/>
              <w:right w:val="nil"/>
            </w:tcBorders>
            <w:vAlign w:val="bottom"/>
          </w:tcPr>
          <w:p w14:paraId="0000038A">
            <w:pPr>
              <w:spacing w:after="0"/>
            </w:pPr>
          </w:p>
        </w:tc>
        <w:tc>
          <w:tcPr>
            <w:tcBorders>
              <w:top w:val="nil"/>
              <w:left w:val="nil"/>
              <w:bottom w:val="nil"/>
              <w:right w:val="nil"/>
            </w:tcBorders>
            <w:vAlign w:val="bottom"/>
          </w:tcPr>
          <w:p w14:paraId="0000038B">
            <w:pPr>
              <w:spacing w:after="0"/>
            </w:pPr>
          </w:p>
        </w:tc>
        <w:tc>
          <w:tcPr>
            <w:tcBorders>
              <w:top w:val="nil"/>
              <w:left w:val="nil"/>
              <w:bottom w:val="nil"/>
              <w:right w:val="nil"/>
            </w:tcBorders>
            <w:vAlign w:val="bottom"/>
          </w:tcPr>
          <w:p w14:paraId="0000038C">
            <w:pPr>
              <w:spacing w:after="0"/>
            </w:pPr>
          </w:p>
        </w:tc>
        <w:tc>
          <w:tcPr>
            <w:tcBorders>
              <w:top w:val="nil"/>
              <w:left w:val="nil"/>
              <w:bottom w:val="nil"/>
              <w:right w:val="nil"/>
            </w:tcBorders>
            <w:vAlign w:val="bottom"/>
          </w:tcPr>
          <w:p w14:paraId="0000038D">
            <w:pPr>
              <w:spacing w:after="0"/>
            </w:pPr>
          </w:p>
        </w:tc>
      </w:tr>
      <w:tr w14:paraId="48DE087D">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38E">
            <w:pPr>
              <w:spacing w:after="0"/>
            </w:pPr>
            <w:r>
              <w:rPr>
                <w:rtl w:val="0"/>
              </w:rPr>
              <w:t>Total Liabilities ÷ Shareholders’ Equity</w:t>
            </w:r>
          </w:p>
        </w:tc>
        <w:tc>
          <w:tcPr>
            <w:tcBorders>
              <w:top w:val="nil"/>
              <w:left w:val="nil"/>
              <w:bottom w:val="nil"/>
              <w:right w:val="nil"/>
            </w:tcBorders>
            <w:vAlign w:val="bottom"/>
          </w:tcPr>
          <w:p w14:paraId="00000391">
            <w:pPr>
              <w:spacing w:after="0"/>
            </w:pPr>
          </w:p>
        </w:tc>
        <w:tc>
          <w:tcPr>
            <w:tcBorders>
              <w:top w:val="nil"/>
              <w:left w:val="nil"/>
              <w:bottom w:val="nil"/>
              <w:right w:val="nil"/>
            </w:tcBorders>
            <w:vAlign w:val="bottom"/>
          </w:tcPr>
          <w:p w14:paraId="00000392">
            <w:pPr>
              <w:spacing w:after="0"/>
            </w:pPr>
          </w:p>
        </w:tc>
        <w:tc>
          <w:tcPr>
            <w:tcBorders>
              <w:top w:val="nil"/>
              <w:left w:val="nil"/>
              <w:bottom w:val="nil"/>
              <w:right w:val="nil"/>
            </w:tcBorders>
            <w:vAlign w:val="bottom"/>
          </w:tcPr>
          <w:p w14:paraId="00000393">
            <w:pPr>
              <w:spacing w:after="0"/>
            </w:pPr>
          </w:p>
        </w:tc>
      </w:tr>
      <w:tr w14:paraId="1E08F34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94">
            <w:pPr>
              <w:spacing w:after="0"/>
            </w:pPr>
          </w:p>
        </w:tc>
        <w:tc>
          <w:tcPr>
            <w:tcBorders>
              <w:top w:val="nil"/>
              <w:left w:val="nil"/>
              <w:bottom w:val="nil"/>
              <w:right w:val="nil"/>
            </w:tcBorders>
            <w:vAlign w:val="bottom"/>
          </w:tcPr>
          <w:p w14:paraId="00000395">
            <w:pPr>
              <w:spacing w:after="0"/>
            </w:pPr>
          </w:p>
        </w:tc>
        <w:tc>
          <w:tcPr>
            <w:tcBorders>
              <w:top w:val="nil"/>
              <w:left w:val="nil"/>
              <w:bottom w:val="nil"/>
              <w:right w:val="nil"/>
            </w:tcBorders>
            <w:vAlign w:val="bottom"/>
          </w:tcPr>
          <w:p w14:paraId="00000396">
            <w:pPr>
              <w:spacing w:after="0"/>
            </w:pPr>
          </w:p>
        </w:tc>
        <w:tc>
          <w:tcPr>
            <w:tcBorders>
              <w:top w:val="nil"/>
              <w:left w:val="nil"/>
              <w:bottom w:val="nil"/>
              <w:right w:val="nil"/>
            </w:tcBorders>
            <w:vAlign w:val="bottom"/>
          </w:tcPr>
          <w:p w14:paraId="00000397">
            <w:pPr>
              <w:spacing w:after="0"/>
            </w:pPr>
          </w:p>
        </w:tc>
        <w:tc>
          <w:tcPr>
            <w:tcBorders>
              <w:top w:val="nil"/>
              <w:left w:val="nil"/>
              <w:bottom w:val="nil"/>
              <w:right w:val="nil"/>
            </w:tcBorders>
            <w:vAlign w:val="bottom"/>
          </w:tcPr>
          <w:p w14:paraId="00000398">
            <w:pPr>
              <w:spacing w:after="0"/>
            </w:pPr>
          </w:p>
        </w:tc>
        <w:tc>
          <w:tcPr>
            <w:tcBorders>
              <w:top w:val="nil"/>
              <w:left w:val="nil"/>
              <w:bottom w:val="nil"/>
              <w:right w:val="nil"/>
            </w:tcBorders>
            <w:vAlign w:val="bottom"/>
          </w:tcPr>
          <w:p w14:paraId="00000399">
            <w:pPr>
              <w:spacing w:after="0"/>
            </w:pPr>
          </w:p>
        </w:tc>
      </w:tr>
      <w:tr w14:paraId="7DBF9C65">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39A">
            <w:pPr>
              <w:spacing w:after="0"/>
              <w:rPr>
                <w:b/>
                <w:bCs/>
              </w:rPr>
            </w:pPr>
            <w:r>
              <w:rPr>
                <w:b/>
                <w:bCs/>
                <w:rtl w:val="0"/>
              </w:rPr>
              <w:t>Year</w:t>
            </w:r>
          </w:p>
        </w:tc>
        <w:tc>
          <w:tcPr>
            <w:tcBorders>
              <w:top w:val="nil"/>
              <w:left w:val="nil"/>
              <w:bottom w:val="nil"/>
              <w:right w:val="nil"/>
            </w:tcBorders>
            <w:vAlign w:val="center"/>
          </w:tcPr>
          <w:p w14:paraId="0000039B">
            <w:pPr>
              <w:spacing w:after="0"/>
              <w:rPr>
                <w:b/>
                <w:bCs/>
              </w:rPr>
            </w:pPr>
            <w:r>
              <w:rPr>
                <w:b/>
                <w:bCs/>
                <w:rtl w:val="0"/>
              </w:rPr>
              <w:t>Total Liabilities</w:t>
            </w:r>
          </w:p>
        </w:tc>
        <w:tc>
          <w:tcPr>
            <w:tcBorders>
              <w:top w:val="nil"/>
              <w:left w:val="nil"/>
              <w:bottom w:val="nil"/>
              <w:right w:val="nil"/>
            </w:tcBorders>
            <w:vAlign w:val="center"/>
          </w:tcPr>
          <w:p w14:paraId="0000039C">
            <w:pPr>
              <w:spacing w:after="0"/>
              <w:rPr>
                <w:b/>
                <w:bCs/>
              </w:rPr>
            </w:pPr>
            <w:r>
              <w:rPr>
                <w:b/>
                <w:bCs/>
                <w:rtl w:val="0"/>
              </w:rPr>
              <w:t>Equity</w:t>
            </w:r>
          </w:p>
        </w:tc>
        <w:tc>
          <w:tcPr>
            <w:tcBorders>
              <w:top w:val="nil"/>
              <w:left w:val="nil"/>
              <w:bottom w:val="nil"/>
              <w:right w:val="nil"/>
            </w:tcBorders>
            <w:vAlign w:val="center"/>
          </w:tcPr>
          <w:p w14:paraId="0000039D">
            <w:pPr>
              <w:spacing w:after="0"/>
              <w:rPr>
                <w:b/>
                <w:bCs/>
              </w:rPr>
            </w:pPr>
            <w:r>
              <w:rPr>
                <w:b/>
                <w:bCs/>
                <w:rtl w:val="0"/>
              </w:rPr>
              <w:t>Calculation</w:t>
            </w:r>
          </w:p>
        </w:tc>
        <w:tc>
          <w:tcPr>
            <w:tcBorders>
              <w:top w:val="nil"/>
              <w:left w:val="nil"/>
              <w:bottom w:val="nil"/>
              <w:right w:val="nil"/>
            </w:tcBorders>
            <w:vAlign w:val="center"/>
          </w:tcPr>
          <w:p w14:paraId="0000039E">
            <w:pPr>
              <w:spacing w:after="0"/>
              <w:rPr>
                <w:b/>
                <w:bCs/>
              </w:rPr>
            </w:pPr>
            <w:r>
              <w:rPr>
                <w:b/>
                <w:bCs/>
                <w:rtl w:val="0"/>
              </w:rPr>
              <w:t>Debt / Equity</w:t>
            </w:r>
          </w:p>
        </w:tc>
        <w:tc>
          <w:tcPr>
            <w:tcBorders>
              <w:top w:val="nil"/>
              <w:left w:val="nil"/>
              <w:bottom w:val="nil"/>
              <w:right w:val="nil"/>
            </w:tcBorders>
            <w:vAlign w:val="bottom"/>
          </w:tcPr>
          <w:p w14:paraId="0000039F">
            <w:pPr>
              <w:spacing w:after="0"/>
              <w:rPr>
                <w:b/>
                <w:bCs/>
              </w:rPr>
            </w:pPr>
          </w:p>
        </w:tc>
      </w:tr>
      <w:tr w14:paraId="1A284E64">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A0">
            <w:pPr>
              <w:spacing w:after="0"/>
            </w:pPr>
            <w:r>
              <w:rPr>
                <w:rtl w:val="0"/>
              </w:rPr>
              <w:t>2024</w:t>
            </w:r>
          </w:p>
        </w:tc>
        <w:tc>
          <w:tcPr>
            <w:tcBorders>
              <w:top w:val="nil"/>
              <w:left w:val="nil"/>
              <w:bottom w:val="nil"/>
              <w:right w:val="nil"/>
            </w:tcBorders>
            <w:vAlign w:val="center"/>
          </w:tcPr>
          <w:p w14:paraId="000003A1">
            <w:pPr>
              <w:spacing w:after="0"/>
            </w:pPr>
            <w:r>
              <w:rPr>
                <w:rtl w:val="0"/>
              </w:rPr>
              <w:t>1,70,249</w:t>
            </w:r>
          </w:p>
        </w:tc>
        <w:tc>
          <w:tcPr>
            <w:tcBorders>
              <w:top w:val="nil"/>
              <w:left w:val="nil"/>
              <w:bottom w:val="nil"/>
              <w:right w:val="nil"/>
            </w:tcBorders>
            <w:vAlign w:val="center"/>
          </w:tcPr>
          <w:p w14:paraId="000003A2">
            <w:pPr>
              <w:spacing w:after="0"/>
            </w:pPr>
            <w:r>
              <w:rPr>
                <w:rtl w:val="0"/>
              </w:rPr>
              <w:t>1,53,105</w:t>
            </w:r>
          </w:p>
        </w:tc>
        <w:tc>
          <w:tcPr>
            <w:tcBorders>
              <w:top w:val="nil"/>
              <w:left w:val="nil"/>
              <w:bottom w:val="nil"/>
              <w:right w:val="nil"/>
            </w:tcBorders>
            <w:vAlign w:val="center"/>
          </w:tcPr>
          <w:p w14:paraId="000003A3">
            <w:pPr>
              <w:spacing w:after="0"/>
            </w:pPr>
            <w:r>
              <w:rPr>
                <w:rtl w:val="0"/>
              </w:rPr>
              <w:t>170,249 ÷ 153,105</w:t>
            </w:r>
          </w:p>
        </w:tc>
        <w:tc>
          <w:tcPr>
            <w:tcBorders>
              <w:top w:val="nil"/>
              <w:left w:val="nil"/>
              <w:bottom w:val="nil"/>
              <w:right w:val="nil"/>
            </w:tcBorders>
            <w:vAlign w:val="center"/>
          </w:tcPr>
          <w:p w14:paraId="000003A4">
            <w:pPr>
              <w:spacing w:after="0"/>
              <w:rPr>
                <w:b/>
                <w:bCs/>
              </w:rPr>
            </w:pPr>
            <w:r>
              <w:rPr>
                <w:b/>
                <w:bCs/>
                <w:rtl w:val="0"/>
              </w:rPr>
              <w:t>1.11</w:t>
            </w:r>
          </w:p>
        </w:tc>
        <w:tc>
          <w:tcPr>
            <w:tcBorders>
              <w:top w:val="nil"/>
              <w:left w:val="nil"/>
              <w:bottom w:val="nil"/>
              <w:right w:val="nil"/>
            </w:tcBorders>
            <w:vAlign w:val="bottom"/>
          </w:tcPr>
          <w:p w14:paraId="000003A5">
            <w:pPr>
              <w:spacing w:after="0"/>
              <w:rPr>
                <w:b/>
                <w:bCs/>
              </w:rPr>
            </w:pPr>
          </w:p>
        </w:tc>
      </w:tr>
      <w:tr w14:paraId="541399E0">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A6">
            <w:pPr>
              <w:spacing w:after="0"/>
            </w:pPr>
            <w:r>
              <w:rPr>
                <w:rtl w:val="0"/>
              </w:rPr>
              <w:t>2023</w:t>
            </w:r>
          </w:p>
        </w:tc>
        <w:tc>
          <w:tcPr>
            <w:tcBorders>
              <w:top w:val="nil"/>
              <w:left w:val="nil"/>
              <w:bottom w:val="nil"/>
              <w:right w:val="nil"/>
            </w:tcBorders>
            <w:vAlign w:val="center"/>
          </w:tcPr>
          <w:p w14:paraId="000003A7">
            <w:pPr>
              <w:spacing w:after="0"/>
            </w:pPr>
            <w:r>
              <w:rPr>
                <w:rtl w:val="0"/>
              </w:rPr>
              <w:t>1,76,952</w:t>
            </w:r>
          </w:p>
        </w:tc>
        <w:tc>
          <w:tcPr>
            <w:tcBorders>
              <w:top w:val="nil"/>
              <w:left w:val="nil"/>
              <w:bottom w:val="nil"/>
              <w:right w:val="nil"/>
            </w:tcBorders>
            <w:vAlign w:val="center"/>
          </w:tcPr>
          <w:p w14:paraId="000003A8">
            <w:pPr>
              <w:spacing w:after="0"/>
            </w:pPr>
            <w:r>
              <w:rPr>
                <w:rtl w:val="0"/>
              </w:rPr>
              <w:t>1,78,920</w:t>
            </w:r>
          </w:p>
        </w:tc>
        <w:tc>
          <w:tcPr>
            <w:tcBorders>
              <w:top w:val="nil"/>
              <w:left w:val="nil"/>
              <w:bottom w:val="nil"/>
              <w:right w:val="nil"/>
            </w:tcBorders>
            <w:vAlign w:val="center"/>
          </w:tcPr>
          <w:p w14:paraId="000003A9">
            <w:pPr>
              <w:spacing w:after="0"/>
            </w:pPr>
            <w:r>
              <w:rPr>
                <w:rtl w:val="0"/>
              </w:rPr>
              <w:t>176,952 ÷ 178,920</w:t>
            </w:r>
          </w:p>
        </w:tc>
        <w:tc>
          <w:tcPr>
            <w:tcBorders>
              <w:top w:val="nil"/>
              <w:left w:val="nil"/>
              <w:bottom w:val="nil"/>
              <w:right w:val="nil"/>
            </w:tcBorders>
            <w:vAlign w:val="center"/>
          </w:tcPr>
          <w:p w14:paraId="000003AA">
            <w:pPr>
              <w:spacing w:after="0"/>
              <w:rPr>
                <w:b/>
                <w:bCs/>
              </w:rPr>
            </w:pPr>
            <w:r>
              <w:rPr>
                <w:b/>
                <w:bCs/>
                <w:rtl w:val="0"/>
              </w:rPr>
              <w:t>0.99</w:t>
            </w:r>
          </w:p>
        </w:tc>
        <w:tc>
          <w:tcPr>
            <w:tcBorders>
              <w:top w:val="nil"/>
              <w:left w:val="nil"/>
              <w:bottom w:val="nil"/>
              <w:right w:val="nil"/>
            </w:tcBorders>
            <w:vAlign w:val="bottom"/>
          </w:tcPr>
          <w:p w14:paraId="000003AB">
            <w:pPr>
              <w:spacing w:after="0"/>
              <w:rPr>
                <w:b/>
                <w:bCs/>
              </w:rPr>
            </w:pPr>
          </w:p>
        </w:tc>
      </w:tr>
      <w:tr w14:paraId="5711C846">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AC">
            <w:pPr>
              <w:spacing w:after="0"/>
            </w:pPr>
            <w:r>
              <w:rPr>
                <w:rtl w:val="0"/>
              </w:rPr>
              <w:t>2022</w:t>
            </w:r>
          </w:p>
        </w:tc>
        <w:tc>
          <w:tcPr>
            <w:tcBorders>
              <w:top w:val="nil"/>
              <w:left w:val="nil"/>
              <w:bottom w:val="nil"/>
              <w:right w:val="nil"/>
            </w:tcBorders>
            <w:vAlign w:val="center"/>
          </w:tcPr>
          <w:p w14:paraId="000003AD">
            <w:pPr>
              <w:spacing w:after="0"/>
            </w:pPr>
            <w:r>
              <w:rPr>
                <w:rtl w:val="0"/>
              </w:rPr>
              <w:t>2,35,757</w:t>
            </w:r>
          </w:p>
        </w:tc>
        <w:tc>
          <w:tcPr>
            <w:tcBorders>
              <w:top w:val="nil"/>
              <w:left w:val="nil"/>
              <w:bottom w:val="nil"/>
              <w:right w:val="nil"/>
            </w:tcBorders>
            <w:vAlign w:val="center"/>
          </w:tcPr>
          <w:p w14:paraId="000003AE">
            <w:pPr>
              <w:spacing w:after="0"/>
            </w:pPr>
            <w:r>
              <w:rPr>
                <w:rtl w:val="0"/>
              </w:rPr>
              <w:t>2,68,406</w:t>
            </w:r>
          </w:p>
        </w:tc>
        <w:tc>
          <w:tcPr>
            <w:tcBorders>
              <w:top w:val="nil"/>
              <w:left w:val="nil"/>
              <w:bottom w:val="nil"/>
              <w:right w:val="nil"/>
            </w:tcBorders>
            <w:vAlign w:val="center"/>
          </w:tcPr>
          <w:p w14:paraId="000003AF">
            <w:pPr>
              <w:spacing w:after="0"/>
            </w:pPr>
            <w:r>
              <w:rPr>
                <w:rtl w:val="0"/>
              </w:rPr>
              <w:t>235,757 ÷ 268,406</w:t>
            </w:r>
          </w:p>
        </w:tc>
        <w:tc>
          <w:tcPr>
            <w:tcBorders>
              <w:top w:val="nil"/>
              <w:left w:val="nil"/>
              <w:bottom w:val="nil"/>
              <w:right w:val="nil"/>
            </w:tcBorders>
            <w:vAlign w:val="center"/>
          </w:tcPr>
          <w:p w14:paraId="000003B0">
            <w:pPr>
              <w:spacing w:after="0"/>
              <w:rPr>
                <w:b/>
                <w:bCs/>
              </w:rPr>
            </w:pPr>
            <w:r>
              <w:rPr>
                <w:b/>
                <w:bCs/>
                <w:rtl w:val="0"/>
              </w:rPr>
              <w:t>0.88</w:t>
            </w:r>
          </w:p>
        </w:tc>
        <w:tc>
          <w:tcPr>
            <w:tcBorders>
              <w:top w:val="nil"/>
              <w:left w:val="nil"/>
              <w:bottom w:val="nil"/>
              <w:right w:val="nil"/>
            </w:tcBorders>
            <w:vAlign w:val="bottom"/>
          </w:tcPr>
          <w:p w14:paraId="000003B1">
            <w:pPr>
              <w:spacing w:after="0"/>
              <w:rPr>
                <w:b/>
                <w:bCs/>
              </w:rPr>
            </w:pPr>
          </w:p>
        </w:tc>
      </w:tr>
      <w:tr w14:paraId="2020A06B">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B2">
            <w:pPr>
              <w:spacing w:after="0"/>
            </w:pPr>
            <w:r>
              <w:rPr>
                <w:rtl w:val="0"/>
              </w:rPr>
              <w:t>2021</w:t>
            </w:r>
          </w:p>
        </w:tc>
        <w:tc>
          <w:tcPr>
            <w:tcBorders>
              <w:top w:val="nil"/>
              <w:left w:val="nil"/>
              <w:bottom w:val="nil"/>
              <w:right w:val="nil"/>
            </w:tcBorders>
            <w:vAlign w:val="center"/>
          </w:tcPr>
          <w:p w14:paraId="000003B3">
            <w:pPr>
              <w:spacing w:after="0"/>
            </w:pPr>
            <w:r>
              <w:rPr>
                <w:rtl w:val="0"/>
              </w:rPr>
              <w:t>2,34,399</w:t>
            </w:r>
          </w:p>
        </w:tc>
        <w:tc>
          <w:tcPr>
            <w:tcBorders>
              <w:top w:val="nil"/>
              <w:left w:val="nil"/>
              <w:bottom w:val="nil"/>
              <w:right w:val="nil"/>
            </w:tcBorders>
            <w:vAlign w:val="center"/>
          </w:tcPr>
          <w:p w14:paraId="000003B4">
            <w:pPr>
              <w:spacing w:after="0"/>
            </w:pPr>
            <w:r>
              <w:rPr>
                <w:rtl w:val="0"/>
              </w:rPr>
              <w:t>2,75,949</w:t>
            </w:r>
          </w:p>
        </w:tc>
        <w:tc>
          <w:tcPr>
            <w:tcBorders>
              <w:top w:val="nil"/>
              <w:left w:val="nil"/>
              <w:bottom w:val="nil"/>
              <w:right w:val="nil"/>
            </w:tcBorders>
            <w:vAlign w:val="center"/>
          </w:tcPr>
          <w:p w14:paraId="000003B5">
            <w:pPr>
              <w:spacing w:after="0"/>
            </w:pPr>
            <w:r>
              <w:rPr>
                <w:rtl w:val="0"/>
              </w:rPr>
              <w:t>234,399 ÷ 275,949</w:t>
            </w:r>
          </w:p>
        </w:tc>
        <w:tc>
          <w:tcPr>
            <w:tcBorders>
              <w:top w:val="nil"/>
              <w:left w:val="nil"/>
              <w:bottom w:val="nil"/>
              <w:right w:val="nil"/>
            </w:tcBorders>
            <w:vAlign w:val="center"/>
          </w:tcPr>
          <w:p w14:paraId="000003B6">
            <w:pPr>
              <w:spacing w:after="0"/>
              <w:rPr>
                <w:b/>
                <w:bCs/>
              </w:rPr>
            </w:pPr>
            <w:r>
              <w:rPr>
                <w:b/>
                <w:bCs/>
                <w:rtl w:val="0"/>
              </w:rPr>
              <w:t>0.85</w:t>
            </w:r>
          </w:p>
        </w:tc>
        <w:tc>
          <w:tcPr>
            <w:tcBorders>
              <w:top w:val="nil"/>
              <w:left w:val="nil"/>
              <w:bottom w:val="nil"/>
              <w:right w:val="nil"/>
            </w:tcBorders>
            <w:vAlign w:val="bottom"/>
          </w:tcPr>
          <w:p w14:paraId="000003B7">
            <w:pPr>
              <w:spacing w:after="0"/>
              <w:rPr>
                <w:b/>
                <w:bCs/>
              </w:rPr>
            </w:pPr>
          </w:p>
        </w:tc>
      </w:tr>
      <w:tr w14:paraId="5E5754A9">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B8">
            <w:pPr>
              <w:spacing w:after="0"/>
            </w:pPr>
            <w:r>
              <w:rPr>
                <w:rtl w:val="0"/>
              </w:rPr>
              <w:t>2020</w:t>
            </w:r>
          </w:p>
        </w:tc>
        <w:tc>
          <w:tcPr>
            <w:tcBorders>
              <w:top w:val="nil"/>
              <w:left w:val="nil"/>
              <w:bottom w:val="nil"/>
              <w:right w:val="nil"/>
            </w:tcBorders>
            <w:vAlign w:val="center"/>
          </w:tcPr>
          <w:p w14:paraId="000003B9">
            <w:pPr>
              <w:spacing w:after="0"/>
            </w:pPr>
            <w:r>
              <w:rPr>
                <w:rtl w:val="0"/>
              </w:rPr>
              <w:t>1,96,989</w:t>
            </w:r>
          </w:p>
        </w:tc>
        <w:tc>
          <w:tcPr>
            <w:tcBorders>
              <w:top w:val="nil"/>
              <w:left w:val="nil"/>
              <w:bottom w:val="nil"/>
              <w:right w:val="nil"/>
            </w:tcBorders>
            <w:vAlign w:val="center"/>
          </w:tcPr>
          <w:p w14:paraId="000003BA">
            <w:pPr>
              <w:spacing w:after="0"/>
            </w:pPr>
            <w:r>
              <w:rPr>
                <w:rtl w:val="0"/>
              </w:rPr>
              <w:t>3,13,301</w:t>
            </w:r>
          </w:p>
        </w:tc>
        <w:tc>
          <w:tcPr>
            <w:tcBorders>
              <w:top w:val="nil"/>
              <w:left w:val="nil"/>
              <w:bottom w:val="nil"/>
              <w:right w:val="nil"/>
            </w:tcBorders>
            <w:vAlign w:val="center"/>
          </w:tcPr>
          <w:p w14:paraId="000003BB">
            <w:pPr>
              <w:spacing w:after="0"/>
            </w:pPr>
            <w:r>
              <w:rPr>
                <w:rtl w:val="0"/>
              </w:rPr>
              <w:t>196,989 ÷ 313,301</w:t>
            </w:r>
          </w:p>
        </w:tc>
        <w:tc>
          <w:tcPr>
            <w:tcBorders>
              <w:top w:val="nil"/>
              <w:left w:val="nil"/>
              <w:bottom w:val="nil"/>
              <w:right w:val="nil"/>
            </w:tcBorders>
            <w:vAlign w:val="center"/>
          </w:tcPr>
          <w:p w14:paraId="000003BC">
            <w:pPr>
              <w:spacing w:after="0"/>
              <w:rPr>
                <w:b/>
                <w:bCs/>
              </w:rPr>
            </w:pPr>
            <w:r>
              <w:rPr>
                <w:b/>
                <w:bCs/>
                <w:rtl w:val="0"/>
              </w:rPr>
              <w:t>0.63</w:t>
            </w:r>
          </w:p>
        </w:tc>
        <w:tc>
          <w:tcPr>
            <w:tcBorders>
              <w:top w:val="nil"/>
              <w:left w:val="nil"/>
              <w:bottom w:val="nil"/>
              <w:right w:val="nil"/>
            </w:tcBorders>
            <w:vAlign w:val="bottom"/>
          </w:tcPr>
          <w:p w14:paraId="000003BD">
            <w:pPr>
              <w:spacing w:after="0"/>
              <w:rPr>
                <w:b/>
                <w:bCs/>
              </w:rPr>
            </w:pPr>
          </w:p>
        </w:tc>
      </w:tr>
      <w:tr w14:paraId="2DC2193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BE">
            <w:pPr>
              <w:spacing w:after="0"/>
            </w:pPr>
          </w:p>
        </w:tc>
        <w:tc>
          <w:tcPr>
            <w:tcBorders>
              <w:top w:val="nil"/>
              <w:left w:val="nil"/>
              <w:bottom w:val="nil"/>
              <w:right w:val="nil"/>
            </w:tcBorders>
            <w:vAlign w:val="bottom"/>
          </w:tcPr>
          <w:p w14:paraId="000003BF">
            <w:pPr>
              <w:spacing w:after="0"/>
            </w:pPr>
          </w:p>
        </w:tc>
        <w:tc>
          <w:tcPr>
            <w:tcBorders>
              <w:top w:val="nil"/>
              <w:left w:val="nil"/>
              <w:bottom w:val="nil"/>
              <w:right w:val="nil"/>
            </w:tcBorders>
            <w:vAlign w:val="bottom"/>
          </w:tcPr>
          <w:p w14:paraId="000003C0">
            <w:pPr>
              <w:spacing w:after="0"/>
            </w:pPr>
          </w:p>
        </w:tc>
        <w:tc>
          <w:tcPr>
            <w:tcBorders>
              <w:top w:val="nil"/>
              <w:left w:val="nil"/>
              <w:bottom w:val="nil"/>
              <w:right w:val="nil"/>
            </w:tcBorders>
            <w:vAlign w:val="bottom"/>
          </w:tcPr>
          <w:p w14:paraId="000003C1">
            <w:pPr>
              <w:spacing w:after="0"/>
            </w:pPr>
          </w:p>
        </w:tc>
        <w:tc>
          <w:tcPr>
            <w:tcBorders>
              <w:top w:val="nil"/>
              <w:left w:val="nil"/>
              <w:bottom w:val="nil"/>
              <w:right w:val="nil"/>
            </w:tcBorders>
            <w:vAlign w:val="bottom"/>
          </w:tcPr>
          <w:p w14:paraId="000003C2">
            <w:pPr>
              <w:spacing w:after="0"/>
            </w:pPr>
          </w:p>
        </w:tc>
        <w:tc>
          <w:tcPr>
            <w:tcBorders>
              <w:top w:val="nil"/>
              <w:left w:val="nil"/>
              <w:bottom w:val="nil"/>
              <w:right w:val="nil"/>
            </w:tcBorders>
            <w:vAlign w:val="bottom"/>
          </w:tcPr>
          <w:p w14:paraId="000003C3">
            <w:pPr>
              <w:spacing w:after="0"/>
            </w:pPr>
          </w:p>
        </w:tc>
      </w:tr>
      <w:tr w14:paraId="621790A2">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C4">
            <w:pPr>
              <w:spacing w:after="0"/>
            </w:pPr>
          </w:p>
        </w:tc>
        <w:tc>
          <w:tcPr>
            <w:tcBorders>
              <w:top w:val="nil"/>
              <w:left w:val="nil"/>
              <w:bottom w:val="nil"/>
              <w:right w:val="nil"/>
            </w:tcBorders>
            <w:vAlign w:val="bottom"/>
          </w:tcPr>
          <w:p w14:paraId="000003C5">
            <w:pPr>
              <w:spacing w:after="0"/>
            </w:pPr>
          </w:p>
        </w:tc>
        <w:tc>
          <w:tcPr>
            <w:tcBorders>
              <w:top w:val="nil"/>
              <w:left w:val="nil"/>
              <w:bottom w:val="nil"/>
              <w:right w:val="nil"/>
            </w:tcBorders>
            <w:vAlign w:val="bottom"/>
          </w:tcPr>
          <w:p w14:paraId="000003C6">
            <w:pPr>
              <w:spacing w:after="0"/>
            </w:pPr>
          </w:p>
        </w:tc>
        <w:tc>
          <w:tcPr>
            <w:tcBorders>
              <w:top w:val="nil"/>
              <w:left w:val="nil"/>
              <w:bottom w:val="nil"/>
              <w:right w:val="nil"/>
            </w:tcBorders>
            <w:vAlign w:val="bottom"/>
          </w:tcPr>
          <w:p w14:paraId="000003C7">
            <w:pPr>
              <w:spacing w:after="0"/>
            </w:pPr>
          </w:p>
        </w:tc>
        <w:tc>
          <w:tcPr>
            <w:tcBorders>
              <w:top w:val="nil"/>
              <w:left w:val="nil"/>
              <w:bottom w:val="nil"/>
              <w:right w:val="nil"/>
            </w:tcBorders>
            <w:vAlign w:val="bottom"/>
          </w:tcPr>
          <w:p w14:paraId="000003C8">
            <w:pPr>
              <w:spacing w:after="0"/>
            </w:pPr>
          </w:p>
        </w:tc>
        <w:tc>
          <w:tcPr>
            <w:tcBorders>
              <w:top w:val="nil"/>
              <w:left w:val="nil"/>
              <w:bottom w:val="nil"/>
              <w:right w:val="nil"/>
            </w:tcBorders>
            <w:vAlign w:val="bottom"/>
          </w:tcPr>
          <w:p w14:paraId="000003C9">
            <w:pPr>
              <w:spacing w:after="0"/>
            </w:pPr>
          </w:p>
        </w:tc>
      </w:tr>
      <w:tr w14:paraId="2E5B9F70">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3CA">
            <w:pPr>
              <w:spacing w:after="0"/>
              <w:rPr>
                <w:b/>
                <w:bCs/>
              </w:rPr>
            </w:pPr>
            <w:r>
              <w:rPr>
                <w:b/>
                <w:bCs/>
                <w:rtl w:val="0"/>
              </w:rPr>
              <w:t>(b) Debt to Assets Ratio</w:t>
            </w:r>
          </w:p>
        </w:tc>
        <w:tc>
          <w:tcPr>
            <w:tcBorders>
              <w:top w:val="nil"/>
              <w:left w:val="nil"/>
              <w:bottom w:val="nil"/>
              <w:right w:val="nil"/>
            </w:tcBorders>
            <w:vAlign w:val="bottom"/>
          </w:tcPr>
          <w:p w14:paraId="000003CC">
            <w:pPr>
              <w:spacing w:after="0"/>
              <w:rPr>
                <w:b/>
                <w:bCs/>
              </w:rPr>
            </w:pPr>
          </w:p>
        </w:tc>
        <w:tc>
          <w:tcPr>
            <w:tcBorders>
              <w:top w:val="nil"/>
              <w:left w:val="nil"/>
              <w:bottom w:val="nil"/>
              <w:right w:val="nil"/>
            </w:tcBorders>
            <w:vAlign w:val="bottom"/>
          </w:tcPr>
          <w:p w14:paraId="000003CD">
            <w:pPr>
              <w:spacing w:after="0"/>
            </w:pPr>
          </w:p>
        </w:tc>
        <w:tc>
          <w:tcPr>
            <w:tcBorders>
              <w:top w:val="nil"/>
              <w:left w:val="nil"/>
              <w:bottom w:val="nil"/>
              <w:right w:val="nil"/>
            </w:tcBorders>
            <w:vAlign w:val="bottom"/>
          </w:tcPr>
          <w:p w14:paraId="000003CE">
            <w:pPr>
              <w:spacing w:after="0"/>
            </w:pPr>
          </w:p>
        </w:tc>
        <w:tc>
          <w:tcPr>
            <w:tcBorders>
              <w:top w:val="nil"/>
              <w:left w:val="nil"/>
              <w:bottom w:val="nil"/>
              <w:right w:val="nil"/>
            </w:tcBorders>
            <w:vAlign w:val="bottom"/>
          </w:tcPr>
          <w:p w14:paraId="000003CF">
            <w:pPr>
              <w:spacing w:after="0"/>
            </w:pPr>
          </w:p>
        </w:tc>
      </w:tr>
      <w:tr w14:paraId="739FCF55">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D0">
            <w:pPr>
              <w:spacing w:after="0"/>
            </w:pPr>
          </w:p>
        </w:tc>
        <w:tc>
          <w:tcPr>
            <w:tcBorders>
              <w:top w:val="nil"/>
              <w:left w:val="nil"/>
              <w:bottom w:val="nil"/>
              <w:right w:val="nil"/>
            </w:tcBorders>
            <w:vAlign w:val="bottom"/>
          </w:tcPr>
          <w:p w14:paraId="000003D1">
            <w:pPr>
              <w:spacing w:after="0"/>
            </w:pPr>
          </w:p>
        </w:tc>
        <w:tc>
          <w:tcPr>
            <w:tcBorders>
              <w:top w:val="nil"/>
              <w:left w:val="nil"/>
              <w:bottom w:val="nil"/>
              <w:right w:val="nil"/>
            </w:tcBorders>
            <w:vAlign w:val="bottom"/>
          </w:tcPr>
          <w:p w14:paraId="000003D2">
            <w:pPr>
              <w:spacing w:after="0"/>
            </w:pPr>
          </w:p>
        </w:tc>
        <w:tc>
          <w:tcPr>
            <w:tcBorders>
              <w:top w:val="nil"/>
              <w:left w:val="nil"/>
              <w:bottom w:val="nil"/>
              <w:right w:val="nil"/>
            </w:tcBorders>
            <w:vAlign w:val="bottom"/>
          </w:tcPr>
          <w:p w14:paraId="000003D3">
            <w:pPr>
              <w:spacing w:after="0"/>
            </w:pPr>
          </w:p>
        </w:tc>
        <w:tc>
          <w:tcPr>
            <w:tcBorders>
              <w:top w:val="nil"/>
              <w:left w:val="nil"/>
              <w:bottom w:val="nil"/>
              <w:right w:val="nil"/>
            </w:tcBorders>
            <w:vAlign w:val="bottom"/>
          </w:tcPr>
          <w:p w14:paraId="000003D4">
            <w:pPr>
              <w:spacing w:after="0"/>
            </w:pPr>
          </w:p>
        </w:tc>
        <w:tc>
          <w:tcPr>
            <w:tcBorders>
              <w:top w:val="nil"/>
              <w:left w:val="nil"/>
              <w:bottom w:val="nil"/>
              <w:right w:val="nil"/>
            </w:tcBorders>
            <w:vAlign w:val="bottom"/>
          </w:tcPr>
          <w:p w14:paraId="000003D5">
            <w:pPr>
              <w:spacing w:after="0"/>
            </w:pPr>
          </w:p>
        </w:tc>
      </w:tr>
      <w:tr w14:paraId="783FC11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D6">
            <w:pPr>
              <w:spacing w:after="0"/>
              <w:rPr>
                <w:b/>
                <w:bCs/>
              </w:rPr>
            </w:pPr>
            <w:r>
              <w:rPr>
                <w:b/>
                <w:bCs/>
                <w:rtl w:val="0"/>
              </w:rPr>
              <w:t>Formula:</w:t>
            </w:r>
          </w:p>
        </w:tc>
        <w:tc>
          <w:tcPr>
            <w:tcBorders>
              <w:top w:val="nil"/>
              <w:left w:val="nil"/>
              <w:bottom w:val="nil"/>
              <w:right w:val="nil"/>
            </w:tcBorders>
            <w:vAlign w:val="bottom"/>
          </w:tcPr>
          <w:p w14:paraId="000003D7">
            <w:pPr>
              <w:spacing w:after="0"/>
              <w:rPr>
                <w:b/>
                <w:bCs/>
              </w:rPr>
            </w:pPr>
          </w:p>
        </w:tc>
        <w:tc>
          <w:tcPr>
            <w:tcBorders>
              <w:top w:val="nil"/>
              <w:left w:val="nil"/>
              <w:bottom w:val="nil"/>
              <w:right w:val="nil"/>
            </w:tcBorders>
            <w:vAlign w:val="bottom"/>
          </w:tcPr>
          <w:p w14:paraId="000003D8">
            <w:pPr>
              <w:spacing w:after="0"/>
            </w:pPr>
          </w:p>
        </w:tc>
        <w:tc>
          <w:tcPr>
            <w:tcBorders>
              <w:top w:val="nil"/>
              <w:left w:val="nil"/>
              <w:bottom w:val="nil"/>
              <w:right w:val="nil"/>
            </w:tcBorders>
            <w:vAlign w:val="bottom"/>
          </w:tcPr>
          <w:p w14:paraId="000003D9">
            <w:pPr>
              <w:spacing w:after="0"/>
            </w:pPr>
          </w:p>
        </w:tc>
        <w:tc>
          <w:tcPr>
            <w:tcBorders>
              <w:top w:val="nil"/>
              <w:left w:val="nil"/>
              <w:bottom w:val="nil"/>
              <w:right w:val="nil"/>
            </w:tcBorders>
            <w:vAlign w:val="bottom"/>
          </w:tcPr>
          <w:p w14:paraId="000003DA">
            <w:pPr>
              <w:spacing w:after="0"/>
            </w:pPr>
          </w:p>
        </w:tc>
        <w:tc>
          <w:tcPr>
            <w:tcBorders>
              <w:top w:val="nil"/>
              <w:left w:val="nil"/>
              <w:bottom w:val="nil"/>
              <w:right w:val="nil"/>
            </w:tcBorders>
            <w:vAlign w:val="bottom"/>
          </w:tcPr>
          <w:p w14:paraId="000003DB">
            <w:pPr>
              <w:spacing w:after="0"/>
            </w:pPr>
          </w:p>
        </w:tc>
      </w:tr>
      <w:tr w14:paraId="030512D6">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3DC">
            <w:pPr>
              <w:spacing w:after="0"/>
            </w:pPr>
            <w:r>
              <w:rPr>
                <w:rtl w:val="0"/>
              </w:rPr>
              <w:t>Total Liabilities ÷ Total Assets</w:t>
            </w:r>
          </w:p>
        </w:tc>
        <w:tc>
          <w:tcPr>
            <w:tcBorders>
              <w:top w:val="nil"/>
              <w:left w:val="nil"/>
              <w:bottom w:val="nil"/>
              <w:right w:val="nil"/>
            </w:tcBorders>
            <w:vAlign w:val="bottom"/>
          </w:tcPr>
          <w:p w14:paraId="000003DE">
            <w:pPr>
              <w:spacing w:after="0"/>
            </w:pPr>
          </w:p>
        </w:tc>
        <w:tc>
          <w:tcPr>
            <w:tcBorders>
              <w:top w:val="nil"/>
              <w:left w:val="nil"/>
              <w:bottom w:val="nil"/>
              <w:right w:val="nil"/>
            </w:tcBorders>
            <w:vAlign w:val="bottom"/>
          </w:tcPr>
          <w:p w14:paraId="000003DF">
            <w:pPr>
              <w:spacing w:after="0"/>
            </w:pPr>
          </w:p>
        </w:tc>
        <w:tc>
          <w:tcPr>
            <w:tcBorders>
              <w:top w:val="nil"/>
              <w:left w:val="nil"/>
              <w:bottom w:val="nil"/>
              <w:right w:val="nil"/>
            </w:tcBorders>
            <w:vAlign w:val="bottom"/>
          </w:tcPr>
          <w:p w14:paraId="000003E0">
            <w:pPr>
              <w:spacing w:after="0"/>
            </w:pPr>
          </w:p>
        </w:tc>
        <w:tc>
          <w:tcPr>
            <w:tcBorders>
              <w:top w:val="nil"/>
              <w:left w:val="nil"/>
              <w:bottom w:val="nil"/>
              <w:right w:val="nil"/>
            </w:tcBorders>
            <w:vAlign w:val="bottom"/>
          </w:tcPr>
          <w:p w14:paraId="000003E1">
            <w:pPr>
              <w:spacing w:after="0"/>
            </w:pPr>
          </w:p>
        </w:tc>
      </w:tr>
      <w:tr w14:paraId="3396FDD5">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3E2">
            <w:pPr>
              <w:spacing w:after="0"/>
            </w:pPr>
          </w:p>
        </w:tc>
        <w:tc>
          <w:tcPr>
            <w:tcBorders>
              <w:top w:val="nil"/>
              <w:left w:val="nil"/>
              <w:bottom w:val="nil"/>
              <w:right w:val="nil"/>
            </w:tcBorders>
            <w:vAlign w:val="bottom"/>
          </w:tcPr>
          <w:p w14:paraId="000003E3">
            <w:pPr>
              <w:spacing w:after="0"/>
            </w:pPr>
          </w:p>
        </w:tc>
        <w:tc>
          <w:tcPr>
            <w:tcBorders>
              <w:top w:val="nil"/>
              <w:left w:val="nil"/>
              <w:bottom w:val="nil"/>
              <w:right w:val="nil"/>
            </w:tcBorders>
            <w:vAlign w:val="bottom"/>
          </w:tcPr>
          <w:p w14:paraId="000003E4">
            <w:pPr>
              <w:spacing w:after="0"/>
            </w:pPr>
          </w:p>
        </w:tc>
        <w:tc>
          <w:tcPr>
            <w:tcBorders>
              <w:top w:val="nil"/>
              <w:left w:val="nil"/>
              <w:bottom w:val="nil"/>
              <w:right w:val="nil"/>
            </w:tcBorders>
            <w:vAlign w:val="bottom"/>
          </w:tcPr>
          <w:p w14:paraId="000003E5">
            <w:pPr>
              <w:spacing w:after="0"/>
            </w:pPr>
          </w:p>
        </w:tc>
        <w:tc>
          <w:tcPr>
            <w:tcBorders>
              <w:top w:val="nil"/>
              <w:left w:val="nil"/>
              <w:bottom w:val="nil"/>
              <w:right w:val="nil"/>
            </w:tcBorders>
            <w:vAlign w:val="bottom"/>
          </w:tcPr>
          <w:p w14:paraId="000003E6">
            <w:pPr>
              <w:spacing w:after="0"/>
            </w:pPr>
          </w:p>
        </w:tc>
        <w:tc>
          <w:tcPr>
            <w:tcBorders>
              <w:top w:val="nil"/>
              <w:left w:val="nil"/>
              <w:bottom w:val="nil"/>
              <w:right w:val="nil"/>
            </w:tcBorders>
            <w:vAlign w:val="bottom"/>
          </w:tcPr>
          <w:p w14:paraId="000003E7">
            <w:pPr>
              <w:spacing w:after="0"/>
            </w:pPr>
          </w:p>
        </w:tc>
      </w:tr>
      <w:tr w14:paraId="1E6B1EC8">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3E8">
            <w:pPr>
              <w:spacing w:after="0"/>
              <w:rPr>
                <w:b/>
                <w:bCs/>
              </w:rPr>
            </w:pPr>
            <w:r>
              <w:rPr>
                <w:b/>
                <w:bCs/>
                <w:rtl w:val="0"/>
              </w:rPr>
              <w:t>Year</w:t>
            </w:r>
          </w:p>
        </w:tc>
        <w:tc>
          <w:tcPr>
            <w:tcBorders>
              <w:top w:val="nil"/>
              <w:left w:val="nil"/>
              <w:bottom w:val="nil"/>
              <w:right w:val="nil"/>
            </w:tcBorders>
            <w:vAlign w:val="center"/>
          </w:tcPr>
          <w:p w14:paraId="000003E9">
            <w:pPr>
              <w:spacing w:after="0"/>
              <w:rPr>
                <w:b/>
                <w:bCs/>
              </w:rPr>
            </w:pPr>
            <w:r>
              <w:rPr>
                <w:b/>
                <w:bCs/>
                <w:rtl w:val="0"/>
              </w:rPr>
              <w:t>Total Liabilities</w:t>
            </w:r>
          </w:p>
        </w:tc>
        <w:tc>
          <w:tcPr>
            <w:tcBorders>
              <w:top w:val="nil"/>
              <w:left w:val="nil"/>
              <w:bottom w:val="nil"/>
              <w:right w:val="nil"/>
            </w:tcBorders>
            <w:vAlign w:val="center"/>
          </w:tcPr>
          <w:p w14:paraId="000003EA">
            <w:pPr>
              <w:spacing w:after="0"/>
              <w:rPr>
                <w:b/>
                <w:bCs/>
              </w:rPr>
            </w:pPr>
            <w:r>
              <w:rPr>
                <w:b/>
                <w:bCs/>
                <w:rtl w:val="0"/>
              </w:rPr>
              <w:t>Total Assets</w:t>
            </w:r>
          </w:p>
        </w:tc>
        <w:tc>
          <w:tcPr>
            <w:tcBorders>
              <w:top w:val="nil"/>
              <w:left w:val="nil"/>
              <w:bottom w:val="nil"/>
              <w:right w:val="nil"/>
            </w:tcBorders>
            <w:vAlign w:val="center"/>
          </w:tcPr>
          <w:p w14:paraId="000003EB">
            <w:pPr>
              <w:spacing w:after="0"/>
              <w:rPr>
                <w:b/>
                <w:bCs/>
              </w:rPr>
            </w:pPr>
            <w:r>
              <w:rPr>
                <w:b/>
                <w:bCs/>
                <w:rtl w:val="0"/>
              </w:rPr>
              <w:t>Calculation</w:t>
            </w:r>
          </w:p>
        </w:tc>
        <w:tc>
          <w:tcPr>
            <w:tcBorders>
              <w:top w:val="nil"/>
              <w:left w:val="nil"/>
              <w:bottom w:val="nil"/>
              <w:right w:val="nil"/>
            </w:tcBorders>
            <w:vAlign w:val="center"/>
          </w:tcPr>
          <w:p w14:paraId="000003EC">
            <w:pPr>
              <w:spacing w:after="0"/>
              <w:rPr>
                <w:b/>
                <w:bCs/>
              </w:rPr>
            </w:pPr>
            <w:r>
              <w:rPr>
                <w:b/>
                <w:bCs/>
                <w:rtl w:val="0"/>
              </w:rPr>
              <w:t>Debt / Assets</w:t>
            </w:r>
          </w:p>
        </w:tc>
        <w:tc>
          <w:tcPr>
            <w:tcBorders>
              <w:top w:val="nil"/>
              <w:left w:val="nil"/>
              <w:bottom w:val="nil"/>
              <w:right w:val="nil"/>
            </w:tcBorders>
            <w:vAlign w:val="bottom"/>
          </w:tcPr>
          <w:p w14:paraId="000003ED">
            <w:pPr>
              <w:spacing w:after="0"/>
              <w:rPr>
                <w:b/>
                <w:bCs/>
              </w:rPr>
            </w:pPr>
          </w:p>
        </w:tc>
      </w:tr>
      <w:tr w14:paraId="5BF73072">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EE">
            <w:pPr>
              <w:spacing w:after="0"/>
            </w:pPr>
            <w:r>
              <w:rPr>
                <w:rtl w:val="0"/>
              </w:rPr>
              <w:t>2024</w:t>
            </w:r>
          </w:p>
        </w:tc>
        <w:tc>
          <w:tcPr>
            <w:tcBorders>
              <w:top w:val="nil"/>
              <w:left w:val="nil"/>
              <w:bottom w:val="nil"/>
              <w:right w:val="nil"/>
            </w:tcBorders>
            <w:vAlign w:val="center"/>
          </w:tcPr>
          <w:p w14:paraId="000003EF">
            <w:pPr>
              <w:spacing w:after="0"/>
            </w:pPr>
            <w:r>
              <w:rPr>
                <w:rtl w:val="0"/>
              </w:rPr>
              <w:t>1,70,249</w:t>
            </w:r>
          </w:p>
        </w:tc>
        <w:tc>
          <w:tcPr>
            <w:tcBorders>
              <w:top w:val="nil"/>
              <w:left w:val="nil"/>
              <w:bottom w:val="nil"/>
              <w:right w:val="nil"/>
            </w:tcBorders>
            <w:vAlign w:val="center"/>
          </w:tcPr>
          <w:p w14:paraId="000003F0">
            <w:pPr>
              <w:spacing w:after="0"/>
            </w:pPr>
            <w:r>
              <w:rPr>
                <w:rtl w:val="0"/>
              </w:rPr>
              <w:t>3,23,354</w:t>
            </w:r>
          </w:p>
        </w:tc>
        <w:tc>
          <w:tcPr>
            <w:tcBorders>
              <w:top w:val="nil"/>
              <w:left w:val="nil"/>
              <w:bottom w:val="nil"/>
              <w:right w:val="nil"/>
            </w:tcBorders>
            <w:vAlign w:val="center"/>
          </w:tcPr>
          <w:p w14:paraId="000003F1">
            <w:pPr>
              <w:spacing w:after="0"/>
            </w:pPr>
            <w:r>
              <w:rPr>
                <w:rtl w:val="0"/>
              </w:rPr>
              <w:t>170,249 ÷ 323,354</w:t>
            </w:r>
          </w:p>
        </w:tc>
        <w:tc>
          <w:tcPr>
            <w:tcBorders>
              <w:top w:val="nil"/>
              <w:left w:val="nil"/>
              <w:bottom w:val="nil"/>
              <w:right w:val="nil"/>
            </w:tcBorders>
            <w:vAlign w:val="center"/>
          </w:tcPr>
          <w:p w14:paraId="000003F2">
            <w:pPr>
              <w:spacing w:after="0"/>
              <w:rPr>
                <w:b/>
                <w:bCs/>
              </w:rPr>
            </w:pPr>
            <w:r>
              <w:rPr>
                <w:b/>
                <w:bCs/>
                <w:rtl w:val="0"/>
              </w:rPr>
              <w:t>52.60%</w:t>
            </w:r>
          </w:p>
        </w:tc>
        <w:tc>
          <w:tcPr>
            <w:tcBorders>
              <w:top w:val="nil"/>
              <w:left w:val="nil"/>
              <w:bottom w:val="nil"/>
              <w:right w:val="nil"/>
            </w:tcBorders>
            <w:vAlign w:val="bottom"/>
          </w:tcPr>
          <w:p w14:paraId="000003F3">
            <w:pPr>
              <w:spacing w:after="0"/>
              <w:rPr>
                <w:b/>
                <w:bCs/>
              </w:rPr>
            </w:pPr>
          </w:p>
        </w:tc>
      </w:tr>
      <w:tr w14:paraId="62AA85DA">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F4">
            <w:pPr>
              <w:spacing w:after="0"/>
            </w:pPr>
            <w:r>
              <w:rPr>
                <w:rtl w:val="0"/>
              </w:rPr>
              <w:t>2023</w:t>
            </w:r>
          </w:p>
        </w:tc>
        <w:tc>
          <w:tcPr>
            <w:tcBorders>
              <w:top w:val="nil"/>
              <w:left w:val="nil"/>
              <w:bottom w:val="nil"/>
              <w:right w:val="nil"/>
            </w:tcBorders>
            <w:vAlign w:val="center"/>
          </w:tcPr>
          <w:p w14:paraId="000003F5">
            <w:pPr>
              <w:spacing w:after="0"/>
            </w:pPr>
            <w:r>
              <w:rPr>
                <w:rtl w:val="0"/>
              </w:rPr>
              <w:t>1,76,952</w:t>
            </w:r>
          </w:p>
        </w:tc>
        <w:tc>
          <w:tcPr>
            <w:tcBorders>
              <w:top w:val="nil"/>
              <w:left w:val="nil"/>
              <w:bottom w:val="nil"/>
              <w:right w:val="nil"/>
            </w:tcBorders>
            <w:vAlign w:val="center"/>
          </w:tcPr>
          <w:p w14:paraId="000003F6">
            <w:pPr>
              <w:spacing w:after="0"/>
            </w:pPr>
            <w:r>
              <w:rPr>
                <w:rtl w:val="0"/>
              </w:rPr>
              <w:t>3,55,872</w:t>
            </w:r>
          </w:p>
        </w:tc>
        <w:tc>
          <w:tcPr>
            <w:tcBorders>
              <w:top w:val="nil"/>
              <w:left w:val="nil"/>
              <w:bottom w:val="nil"/>
              <w:right w:val="nil"/>
            </w:tcBorders>
            <w:vAlign w:val="center"/>
          </w:tcPr>
          <w:p w14:paraId="000003F7">
            <w:pPr>
              <w:spacing w:after="0"/>
            </w:pPr>
            <w:r>
              <w:rPr>
                <w:rtl w:val="0"/>
              </w:rPr>
              <w:t>176,952 ÷ 355,872</w:t>
            </w:r>
          </w:p>
        </w:tc>
        <w:tc>
          <w:tcPr>
            <w:tcBorders>
              <w:top w:val="nil"/>
              <w:left w:val="nil"/>
              <w:bottom w:val="nil"/>
              <w:right w:val="nil"/>
            </w:tcBorders>
            <w:vAlign w:val="center"/>
          </w:tcPr>
          <w:p w14:paraId="000003F8">
            <w:pPr>
              <w:spacing w:after="0"/>
              <w:rPr>
                <w:b/>
                <w:bCs/>
              </w:rPr>
            </w:pPr>
            <w:r>
              <w:rPr>
                <w:b/>
                <w:bCs/>
                <w:rtl w:val="0"/>
              </w:rPr>
              <w:t>49.70%</w:t>
            </w:r>
          </w:p>
        </w:tc>
        <w:tc>
          <w:tcPr>
            <w:tcBorders>
              <w:top w:val="nil"/>
              <w:left w:val="nil"/>
              <w:bottom w:val="nil"/>
              <w:right w:val="nil"/>
            </w:tcBorders>
            <w:vAlign w:val="bottom"/>
          </w:tcPr>
          <w:p w14:paraId="000003F9">
            <w:pPr>
              <w:spacing w:after="0"/>
              <w:rPr>
                <w:b/>
                <w:bCs/>
              </w:rPr>
            </w:pPr>
          </w:p>
        </w:tc>
      </w:tr>
      <w:tr w14:paraId="42C17451">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3FA">
            <w:pPr>
              <w:spacing w:after="0"/>
            </w:pPr>
            <w:r>
              <w:rPr>
                <w:rtl w:val="0"/>
              </w:rPr>
              <w:t>2022</w:t>
            </w:r>
          </w:p>
        </w:tc>
        <w:tc>
          <w:tcPr>
            <w:tcBorders>
              <w:top w:val="nil"/>
              <w:left w:val="nil"/>
              <w:bottom w:val="nil"/>
              <w:right w:val="nil"/>
            </w:tcBorders>
            <w:vAlign w:val="center"/>
          </w:tcPr>
          <w:p w14:paraId="000003FB">
            <w:pPr>
              <w:spacing w:after="0"/>
            </w:pPr>
            <w:r>
              <w:rPr>
                <w:rtl w:val="0"/>
              </w:rPr>
              <w:t>2,35,757</w:t>
            </w:r>
          </w:p>
        </w:tc>
        <w:tc>
          <w:tcPr>
            <w:tcBorders>
              <w:top w:val="nil"/>
              <w:left w:val="nil"/>
              <w:bottom w:val="nil"/>
              <w:right w:val="nil"/>
            </w:tcBorders>
            <w:vAlign w:val="center"/>
          </w:tcPr>
          <w:p w14:paraId="000003FC">
            <w:pPr>
              <w:spacing w:after="0"/>
            </w:pPr>
            <w:r>
              <w:rPr>
                <w:rtl w:val="0"/>
              </w:rPr>
              <w:t>5,04,163</w:t>
            </w:r>
          </w:p>
        </w:tc>
        <w:tc>
          <w:tcPr>
            <w:tcBorders>
              <w:top w:val="nil"/>
              <w:left w:val="nil"/>
              <w:bottom w:val="nil"/>
              <w:right w:val="nil"/>
            </w:tcBorders>
            <w:vAlign w:val="center"/>
          </w:tcPr>
          <w:p w14:paraId="000003FD">
            <w:pPr>
              <w:spacing w:after="0"/>
            </w:pPr>
            <w:r>
              <w:rPr>
                <w:rtl w:val="0"/>
              </w:rPr>
              <w:t>235,757 ÷ 504,163</w:t>
            </w:r>
          </w:p>
        </w:tc>
        <w:tc>
          <w:tcPr>
            <w:tcBorders>
              <w:top w:val="nil"/>
              <w:left w:val="nil"/>
              <w:bottom w:val="nil"/>
              <w:right w:val="nil"/>
            </w:tcBorders>
            <w:vAlign w:val="center"/>
          </w:tcPr>
          <w:p w14:paraId="000003FE">
            <w:pPr>
              <w:spacing w:after="0"/>
              <w:rPr>
                <w:b/>
                <w:bCs/>
              </w:rPr>
            </w:pPr>
            <w:r>
              <w:rPr>
                <w:b/>
                <w:bCs/>
                <w:rtl w:val="0"/>
              </w:rPr>
              <w:t>46.80%</w:t>
            </w:r>
          </w:p>
        </w:tc>
        <w:tc>
          <w:tcPr>
            <w:tcBorders>
              <w:top w:val="nil"/>
              <w:left w:val="nil"/>
              <w:bottom w:val="nil"/>
              <w:right w:val="nil"/>
            </w:tcBorders>
            <w:vAlign w:val="bottom"/>
          </w:tcPr>
          <w:p w14:paraId="000003FF">
            <w:pPr>
              <w:spacing w:after="0"/>
              <w:rPr>
                <w:b/>
                <w:bCs/>
              </w:rPr>
            </w:pPr>
          </w:p>
        </w:tc>
      </w:tr>
      <w:tr w14:paraId="6DCEB10E">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00">
            <w:pPr>
              <w:spacing w:after="0"/>
            </w:pPr>
            <w:r>
              <w:rPr>
                <w:rtl w:val="0"/>
              </w:rPr>
              <w:t>2021</w:t>
            </w:r>
          </w:p>
        </w:tc>
        <w:tc>
          <w:tcPr>
            <w:tcBorders>
              <w:top w:val="nil"/>
              <w:left w:val="nil"/>
              <w:bottom w:val="nil"/>
              <w:right w:val="nil"/>
            </w:tcBorders>
            <w:vAlign w:val="center"/>
          </w:tcPr>
          <w:p w14:paraId="00000401">
            <w:pPr>
              <w:spacing w:after="0"/>
            </w:pPr>
            <w:r>
              <w:rPr>
                <w:rtl w:val="0"/>
              </w:rPr>
              <w:t>2,34,399</w:t>
            </w:r>
          </w:p>
        </w:tc>
        <w:tc>
          <w:tcPr>
            <w:tcBorders>
              <w:top w:val="nil"/>
              <w:left w:val="nil"/>
              <w:bottom w:val="nil"/>
              <w:right w:val="nil"/>
            </w:tcBorders>
            <w:vAlign w:val="center"/>
          </w:tcPr>
          <w:p w14:paraId="00000402">
            <w:pPr>
              <w:spacing w:after="0"/>
            </w:pPr>
            <w:r>
              <w:rPr>
                <w:rtl w:val="0"/>
              </w:rPr>
              <w:t>5,10,348</w:t>
            </w:r>
          </w:p>
        </w:tc>
        <w:tc>
          <w:tcPr>
            <w:tcBorders>
              <w:top w:val="nil"/>
              <w:left w:val="nil"/>
              <w:bottom w:val="nil"/>
              <w:right w:val="nil"/>
            </w:tcBorders>
            <w:vAlign w:val="center"/>
          </w:tcPr>
          <w:p w14:paraId="00000403">
            <w:pPr>
              <w:spacing w:after="0"/>
            </w:pPr>
            <w:r>
              <w:rPr>
                <w:rtl w:val="0"/>
              </w:rPr>
              <w:t>234,399 ÷ 510,348</w:t>
            </w:r>
          </w:p>
        </w:tc>
        <w:tc>
          <w:tcPr>
            <w:tcBorders>
              <w:top w:val="nil"/>
              <w:left w:val="nil"/>
              <w:bottom w:val="nil"/>
              <w:right w:val="nil"/>
            </w:tcBorders>
            <w:vAlign w:val="center"/>
          </w:tcPr>
          <w:p w14:paraId="00000404">
            <w:pPr>
              <w:spacing w:after="0"/>
              <w:rPr>
                <w:b/>
                <w:bCs/>
              </w:rPr>
            </w:pPr>
            <w:r>
              <w:rPr>
                <w:b/>
                <w:bCs/>
                <w:rtl w:val="0"/>
              </w:rPr>
              <w:t>45.90%</w:t>
            </w:r>
          </w:p>
        </w:tc>
        <w:tc>
          <w:tcPr>
            <w:tcBorders>
              <w:top w:val="nil"/>
              <w:left w:val="nil"/>
              <w:bottom w:val="nil"/>
              <w:right w:val="nil"/>
            </w:tcBorders>
            <w:vAlign w:val="bottom"/>
          </w:tcPr>
          <w:p w14:paraId="00000405">
            <w:pPr>
              <w:spacing w:after="0"/>
              <w:rPr>
                <w:b/>
                <w:bCs/>
              </w:rPr>
            </w:pPr>
          </w:p>
        </w:tc>
      </w:tr>
      <w:tr w14:paraId="19DF94D8">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06">
            <w:pPr>
              <w:spacing w:after="0"/>
            </w:pPr>
            <w:r>
              <w:rPr>
                <w:rtl w:val="0"/>
              </w:rPr>
              <w:t>2020</w:t>
            </w:r>
          </w:p>
        </w:tc>
        <w:tc>
          <w:tcPr>
            <w:tcBorders>
              <w:top w:val="nil"/>
              <w:left w:val="nil"/>
              <w:bottom w:val="nil"/>
              <w:right w:val="nil"/>
            </w:tcBorders>
            <w:vAlign w:val="center"/>
          </w:tcPr>
          <w:p w14:paraId="00000407">
            <w:pPr>
              <w:spacing w:after="0"/>
            </w:pPr>
            <w:r>
              <w:rPr>
                <w:rtl w:val="0"/>
              </w:rPr>
              <w:t>1,96,989</w:t>
            </w:r>
          </w:p>
        </w:tc>
        <w:tc>
          <w:tcPr>
            <w:tcBorders>
              <w:top w:val="nil"/>
              <w:left w:val="nil"/>
              <w:bottom w:val="nil"/>
              <w:right w:val="nil"/>
            </w:tcBorders>
            <w:vAlign w:val="center"/>
          </w:tcPr>
          <w:p w14:paraId="00000408">
            <w:pPr>
              <w:spacing w:after="0"/>
            </w:pPr>
            <w:r>
              <w:rPr>
                <w:rtl w:val="0"/>
              </w:rPr>
              <w:t>5,10,290</w:t>
            </w:r>
          </w:p>
        </w:tc>
        <w:tc>
          <w:tcPr>
            <w:tcBorders>
              <w:top w:val="nil"/>
              <w:left w:val="nil"/>
              <w:bottom w:val="nil"/>
              <w:right w:val="nil"/>
            </w:tcBorders>
            <w:vAlign w:val="center"/>
          </w:tcPr>
          <w:p w14:paraId="00000409">
            <w:pPr>
              <w:spacing w:after="0"/>
            </w:pPr>
            <w:r>
              <w:rPr>
                <w:rtl w:val="0"/>
              </w:rPr>
              <w:t>196,989 ÷ 510,290</w:t>
            </w:r>
          </w:p>
        </w:tc>
        <w:tc>
          <w:tcPr>
            <w:tcBorders>
              <w:top w:val="nil"/>
              <w:left w:val="nil"/>
              <w:bottom w:val="nil"/>
              <w:right w:val="nil"/>
            </w:tcBorders>
            <w:vAlign w:val="center"/>
          </w:tcPr>
          <w:p w14:paraId="0000040A">
            <w:pPr>
              <w:spacing w:after="0"/>
              <w:rPr>
                <w:b/>
                <w:bCs/>
              </w:rPr>
            </w:pPr>
            <w:r>
              <w:rPr>
                <w:b/>
                <w:bCs/>
                <w:rtl w:val="0"/>
              </w:rPr>
              <w:t>38.60%</w:t>
            </w:r>
          </w:p>
        </w:tc>
        <w:tc>
          <w:tcPr>
            <w:tcBorders>
              <w:top w:val="nil"/>
              <w:left w:val="nil"/>
              <w:bottom w:val="nil"/>
              <w:right w:val="nil"/>
            </w:tcBorders>
            <w:vAlign w:val="bottom"/>
          </w:tcPr>
          <w:p w14:paraId="0000040B">
            <w:pPr>
              <w:spacing w:after="0"/>
              <w:rPr>
                <w:b/>
                <w:bCs/>
              </w:rPr>
            </w:pPr>
          </w:p>
        </w:tc>
      </w:tr>
      <w:tr w14:paraId="0255195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0C">
            <w:pPr>
              <w:spacing w:after="0"/>
            </w:pPr>
          </w:p>
        </w:tc>
        <w:tc>
          <w:tcPr>
            <w:tcBorders>
              <w:top w:val="nil"/>
              <w:left w:val="nil"/>
              <w:bottom w:val="nil"/>
              <w:right w:val="nil"/>
            </w:tcBorders>
            <w:vAlign w:val="bottom"/>
          </w:tcPr>
          <w:p w14:paraId="0000040D">
            <w:pPr>
              <w:spacing w:after="0"/>
            </w:pPr>
          </w:p>
        </w:tc>
        <w:tc>
          <w:tcPr>
            <w:tcBorders>
              <w:top w:val="nil"/>
              <w:left w:val="nil"/>
              <w:bottom w:val="nil"/>
              <w:right w:val="nil"/>
            </w:tcBorders>
            <w:vAlign w:val="bottom"/>
          </w:tcPr>
          <w:p w14:paraId="0000040E">
            <w:pPr>
              <w:spacing w:after="0"/>
            </w:pPr>
          </w:p>
        </w:tc>
        <w:tc>
          <w:tcPr>
            <w:tcBorders>
              <w:top w:val="nil"/>
              <w:left w:val="nil"/>
              <w:bottom w:val="nil"/>
              <w:right w:val="nil"/>
            </w:tcBorders>
            <w:vAlign w:val="bottom"/>
          </w:tcPr>
          <w:p w14:paraId="0000040F">
            <w:pPr>
              <w:spacing w:after="0"/>
            </w:pPr>
          </w:p>
        </w:tc>
        <w:tc>
          <w:tcPr>
            <w:tcBorders>
              <w:top w:val="nil"/>
              <w:left w:val="nil"/>
              <w:bottom w:val="nil"/>
              <w:right w:val="nil"/>
            </w:tcBorders>
            <w:vAlign w:val="bottom"/>
          </w:tcPr>
          <w:p w14:paraId="00000410">
            <w:pPr>
              <w:spacing w:after="0"/>
            </w:pPr>
          </w:p>
        </w:tc>
        <w:tc>
          <w:tcPr>
            <w:tcBorders>
              <w:top w:val="nil"/>
              <w:left w:val="nil"/>
              <w:bottom w:val="nil"/>
              <w:right w:val="nil"/>
            </w:tcBorders>
            <w:vAlign w:val="bottom"/>
          </w:tcPr>
          <w:p w14:paraId="00000411">
            <w:pPr>
              <w:spacing w:after="0"/>
            </w:pPr>
          </w:p>
        </w:tc>
      </w:tr>
      <w:tr w14:paraId="2C6CC4D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12">
            <w:pPr>
              <w:spacing w:after="0"/>
            </w:pPr>
          </w:p>
        </w:tc>
        <w:tc>
          <w:tcPr>
            <w:tcBorders>
              <w:top w:val="nil"/>
              <w:left w:val="nil"/>
              <w:bottom w:val="nil"/>
              <w:right w:val="nil"/>
            </w:tcBorders>
            <w:vAlign w:val="bottom"/>
          </w:tcPr>
          <w:p w14:paraId="00000413">
            <w:pPr>
              <w:spacing w:after="0"/>
            </w:pPr>
          </w:p>
        </w:tc>
        <w:tc>
          <w:tcPr>
            <w:tcBorders>
              <w:top w:val="nil"/>
              <w:left w:val="nil"/>
              <w:bottom w:val="nil"/>
              <w:right w:val="nil"/>
            </w:tcBorders>
            <w:vAlign w:val="bottom"/>
          </w:tcPr>
          <w:p w14:paraId="00000414">
            <w:pPr>
              <w:spacing w:after="0"/>
            </w:pPr>
          </w:p>
        </w:tc>
        <w:tc>
          <w:tcPr>
            <w:tcBorders>
              <w:top w:val="nil"/>
              <w:left w:val="nil"/>
              <w:bottom w:val="nil"/>
              <w:right w:val="nil"/>
            </w:tcBorders>
            <w:vAlign w:val="bottom"/>
          </w:tcPr>
          <w:p w14:paraId="00000415">
            <w:pPr>
              <w:spacing w:after="0"/>
            </w:pPr>
          </w:p>
        </w:tc>
        <w:tc>
          <w:tcPr>
            <w:tcBorders>
              <w:top w:val="nil"/>
              <w:left w:val="nil"/>
              <w:bottom w:val="nil"/>
              <w:right w:val="nil"/>
            </w:tcBorders>
            <w:vAlign w:val="bottom"/>
          </w:tcPr>
          <w:p w14:paraId="00000416">
            <w:pPr>
              <w:spacing w:after="0"/>
            </w:pPr>
          </w:p>
        </w:tc>
        <w:tc>
          <w:tcPr>
            <w:tcBorders>
              <w:top w:val="nil"/>
              <w:left w:val="nil"/>
              <w:bottom w:val="nil"/>
              <w:right w:val="nil"/>
            </w:tcBorders>
            <w:vAlign w:val="bottom"/>
          </w:tcPr>
          <w:p w14:paraId="00000417">
            <w:pPr>
              <w:spacing w:after="0"/>
            </w:pPr>
          </w:p>
        </w:tc>
      </w:tr>
      <w:tr w14:paraId="24E38A5F">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418">
            <w:pPr>
              <w:spacing w:after="0"/>
              <w:rPr>
                <w:b/>
                <w:bCs/>
              </w:rPr>
            </w:pPr>
            <w:r>
              <w:rPr>
                <w:b/>
                <w:bCs/>
                <w:rtl w:val="0"/>
              </w:rPr>
              <w:t xml:space="preserve"> Investment Ratios</w:t>
            </w:r>
          </w:p>
        </w:tc>
        <w:tc>
          <w:tcPr>
            <w:tcBorders>
              <w:top w:val="nil"/>
              <w:left w:val="nil"/>
              <w:bottom w:val="nil"/>
              <w:right w:val="nil"/>
            </w:tcBorders>
            <w:vAlign w:val="bottom"/>
          </w:tcPr>
          <w:p w14:paraId="0000041A">
            <w:pPr>
              <w:spacing w:after="0"/>
              <w:rPr>
                <w:b/>
                <w:bCs/>
              </w:rPr>
            </w:pPr>
          </w:p>
        </w:tc>
        <w:tc>
          <w:tcPr>
            <w:tcBorders>
              <w:top w:val="nil"/>
              <w:left w:val="nil"/>
              <w:bottom w:val="nil"/>
              <w:right w:val="nil"/>
            </w:tcBorders>
            <w:vAlign w:val="bottom"/>
          </w:tcPr>
          <w:p w14:paraId="0000041B">
            <w:pPr>
              <w:spacing w:after="0"/>
            </w:pPr>
          </w:p>
        </w:tc>
        <w:tc>
          <w:tcPr>
            <w:tcBorders>
              <w:top w:val="nil"/>
              <w:left w:val="nil"/>
              <w:bottom w:val="nil"/>
              <w:right w:val="nil"/>
            </w:tcBorders>
            <w:vAlign w:val="bottom"/>
          </w:tcPr>
          <w:p w14:paraId="0000041C">
            <w:pPr>
              <w:spacing w:after="0"/>
            </w:pPr>
          </w:p>
        </w:tc>
        <w:tc>
          <w:tcPr>
            <w:tcBorders>
              <w:top w:val="nil"/>
              <w:left w:val="nil"/>
              <w:bottom w:val="nil"/>
              <w:right w:val="nil"/>
            </w:tcBorders>
            <w:vAlign w:val="bottom"/>
          </w:tcPr>
          <w:p w14:paraId="0000041D">
            <w:pPr>
              <w:spacing w:after="0"/>
            </w:pPr>
          </w:p>
        </w:tc>
      </w:tr>
      <w:tr w14:paraId="009170C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1E">
            <w:pPr>
              <w:spacing w:after="0"/>
            </w:pPr>
          </w:p>
        </w:tc>
        <w:tc>
          <w:tcPr>
            <w:tcBorders>
              <w:top w:val="nil"/>
              <w:left w:val="nil"/>
              <w:bottom w:val="nil"/>
              <w:right w:val="nil"/>
            </w:tcBorders>
            <w:vAlign w:val="bottom"/>
          </w:tcPr>
          <w:p w14:paraId="0000041F">
            <w:pPr>
              <w:spacing w:after="0"/>
            </w:pPr>
          </w:p>
        </w:tc>
        <w:tc>
          <w:tcPr>
            <w:tcBorders>
              <w:top w:val="nil"/>
              <w:left w:val="nil"/>
              <w:bottom w:val="nil"/>
              <w:right w:val="nil"/>
            </w:tcBorders>
            <w:vAlign w:val="bottom"/>
          </w:tcPr>
          <w:p w14:paraId="00000420">
            <w:pPr>
              <w:spacing w:after="0"/>
            </w:pPr>
          </w:p>
        </w:tc>
        <w:tc>
          <w:tcPr>
            <w:tcBorders>
              <w:top w:val="nil"/>
              <w:left w:val="nil"/>
              <w:bottom w:val="nil"/>
              <w:right w:val="nil"/>
            </w:tcBorders>
            <w:vAlign w:val="bottom"/>
          </w:tcPr>
          <w:p w14:paraId="00000421">
            <w:pPr>
              <w:spacing w:after="0"/>
            </w:pPr>
          </w:p>
        </w:tc>
        <w:tc>
          <w:tcPr>
            <w:tcBorders>
              <w:top w:val="nil"/>
              <w:left w:val="nil"/>
              <w:bottom w:val="nil"/>
              <w:right w:val="nil"/>
            </w:tcBorders>
            <w:vAlign w:val="bottom"/>
          </w:tcPr>
          <w:p w14:paraId="00000422">
            <w:pPr>
              <w:spacing w:after="0"/>
            </w:pPr>
          </w:p>
        </w:tc>
        <w:tc>
          <w:tcPr>
            <w:tcBorders>
              <w:top w:val="nil"/>
              <w:left w:val="nil"/>
              <w:bottom w:val="nil"/>
              <w:right w:val="nil"/>
            </w:tcBorders>
            <w:vAlign w:val="bottom"/>
          </w:tcPr>
          <w:p w14:paraId="00000423">
            <w:pPr>
              <w:spacing w:after="0"/>
            </w:pPr>
          </w:p>
        </w:tc>
      </w:tr>
      <w:tr w14:paraId="657B3C3F">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424">
            <w:pPr>
              <w:spacing w:after="0"/>
              <w:rPr>
                <w:b/>
                <w:bCs/>
              </w:rPr>
            </w:pPr>
            <w:r>
              <w:rPr>
                <w:b/>
                <w:bCs/>
                <w:rtl w:val="0"/>
              </w:rPr>
              <w:t>(a) Return on Equity (ROE)</w:t>
            </w:r>
          </w:p>
        </w:tc>
        <w:tc>
          <w:tcPr>
            <w:tcBorders>
              <w:top w:val="nil"/>
              <w:left w:val="nil"/>
              <w:bottom w:val="nil"/>
              <w:right w:val="nil"/>
            </w:tcBorders>
            <w:vAlign w:val="bottom"/>
          </w:tcPr>
          <w:p w14:paraId="00000426">
            <w:pPr>
              <w:spacing w:after="0"/>
              <w:rPr>
                <w:b/>
                <w:bCs/>
              </w:rPr>
            </w:pPr>
          </w:p>
        </w:tc>
        <w:tc>
          <w:tcPr>
            <w:tcBorders>
              <w:top w:val="nil"/>
              <w:left w:val="nil"/>
              <w:bottom w:val="nil"/>
              <w:right w:val="nil"/>
            </w:tcBorders>
            <w:vAlign w:val="bottom"/>
          </w:tcPr>
          <w:p w14:paraId="00000427">
            <w:pPr>
              <w:spacing w:after="0"/>
            </w:pPr>
          </w:p>
        </w:tc>
        <w:tc>
          <w:tcPr>
            <w:tcBorders>
              <w:top w:val="nil"/>
              <w:left w:val="nil"/>
              <w:bottom w:val="nil"/>
              <w:right w:val="nil"/>
            </w:tcBorders>
            <w:vAlign w:val="bottom"/>
          </w:tcPr>
          <w:p w14:paraId="00000428">
            <w:pPr>
              <w:spacing w:after="0"/>
            </w:pPr>
          </w:p>
        </w:tc>
        <w:tc>
          <w:tcPr>
            <w:tcBorders>
              <w:top w:val="nil"/>
              <w:left w:val="nil"/>
              <w:bottom w:val="nil"/>
              <w:right w:val="nil"/>
            </w:tcBorders>
            <w:vAlign w:val="bottom"/>
          </w:tcPr>
          <w:p w14:paraId="00000429">
            <w:pPr>
              <w:spacing w:after="0"/>
            </w:pPr>
          </w:p>
        </w:tc>
      </w:tr>
      <w:tr w14:paraId="316BB6C7">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2A">
            <w:pPr>
              <w:spacing w:after="0"/>
            </w:pPr>
          </w:p>
        </w:tc>
        <w:tc>
          <w:tcPr>
            <w:tcBorders>
              <w:top w:val="nil"/>
              <w:left w:val="nil"/>
              <w:bottom w:val="nil"/>
              <w:right w:val="nil"/>
            </w:tcBorders>
            <w:vAlign w:val="bottom"/>
          </w:tcPr>
          <w:p w14:paraId="0000042B">
            <w:pPr>
              <w:spacing w:after="0"/>
            </w:pPr>
          </w:p>
        </w:tc>
        <w:tc>
          <w:tcPr>
            <w:tcBorders>
              <w:top w:val="nil"/>
              <w:left w:val="nil"/>
              <w:bottom w:val="nil"/>
              <w:right w:val="nil"/>
            </w:tcBorders>
            <w:vAlign w:val="bottom"/>
          </w:tcPr>
          <w:p w14:paraId="0000042C">
            <w:pPr>
              <w:spacing w:after="0"/>
            </w:pPr>
          </w:p>
        </w:tc>
        <w:tc>
          <w:tcPr>
            <w:tcBorders>
              <w:top w:val="nil"/>
              <w:left w:val="nil"/>
              <w:bottom w:val="nil"/>
              <w:right w:val="nil"/>
            </w:tcBorders>
            <w:vAlign w:val="bottom"/>
          </w:tcPr>
          <w:p w14:paraId="0000042D">
            <w:pPr>
              <w:spacing w:after="0"/>
            </w:pPr>
          </w:p>
        </w:tc>
        <w:tc>
          <w:tcPr>
            <w:tcBorders>
              <w:top w:val="nil"/>
              <w:left w:val="nil"/>
              <w:bottom w:val="nil"/>
              <w:right w:val="nil"/>
            </w:tcBorders>
            <w:vAlign w:val="bottom"/>
          </w:tcPr>
          <w:p w14:paraId="0000042E">
            <w:pPr>
              <w:spacing w:after="0"/>
            </w:pPr>
          </w:p>
        </w:tc>
        <w:tc>
          <w:tcPr>
            <w:tcBorders>
              <w:top w:val="nil"/>
              <w:left w:val="nil"/>
              <w:bottom w:val="nil"/>
              <w:right w:val="nil"/>
            </w:tcBorders>
            <w:vAlign w:val="bottom"/>
          </w:tcPr>
          <w:p w14:paraId="0000042F">
            <w:pPr>
              <w:spacing w:after="0"/>
            </w:pPr>
          </w:p>
        </w:tc>
      </w:tr>
      <w:tr w14:paraId="604B309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30">
            <w:pPr>
              <w:spacing w:after="0"/>
              <w:rPr>
                <w:b/>
                <w:bCs/>
              </w:rPr>
            </w:pPr>
            <w:r>
              <w:rPr>
                <w:b/>
                <w:bCs/>
                <w:rtl w:val="0"/>
              </w:rPr>
              <w:t>Formula:</w:t>
            </w:r>
          </w:p>
        </w:tc>
        <w:tc>
          <w:tcPr>
            <w:tcBorders>
              <w:top w:val="nil"/>
              <w:left w:val="nil"/>
              <w:bottom w:val="nil"/>
              <w:right w:val="nil"/>
            </w:tcBorders>
            <w:vAlign w:val="bottom"/>
          </w:tcPr>
          <w:p w14:paraId="00000431">
            <w:pPr>
              <w:spacing w:after="0"/>
              <w:rPr>
                <w:b/>
                <w:bCs/>
              </w:rPr>
            </w:pPr>
          </w:p>
        </w:tc>
        <w:tc>
          <w:tcPr>
            <w:tcBorders>
              <w:top w:val="nil"/>
              <w:left w:val="nil"/>
              <w:bottom w:val="nil"/>
              <w:right w:val="nil"/>
            </w:tcBorders>
            <w:vAlign w:val="bottom"/>
          </w:tcPr>
          <w:p w14:paraId="00000432">
            <w:pPr>
              <w:spacing w:after="0"/>
            </w:pPr>
          </w:p>
        </w:tc>
        <w:tc>
          <w:tcPr>
            <w:tcBorders>
              <w:top w:val="nil"/>
              <w:left w:val="nil"/>
              <w:bottom w:val="nil"/>
              <w:right w:val="nil"/>
            </w:tcBorders>
            <w:vAlign w:val="bottom"/>
          </w:tcPr>
          <w:p w14:paraId="00000433">
            <w:pPr>
              <w:spacing w:after="0"/>
            </w:pPr>
          </w:p>
        </w:tc>
        <w:tc>
          <w:tcPr>
            <w:tcBorders>
              <w:top w:val="nil"/>
              <w:left w:val="nil"/>
              <w:bottom w:val="nil"/>
              <w:right w:val="nil"/>
            </w:tcBorders>
            <w:vAlign w:val="bottom"/>
          </w:tcPr>
          <w:p w14:paraId="00000434">
            <w:pPr>
              <w:spacing w:after="0"/>
            </w:pPr>
          </w:p>
        </w:tc>
        <w:tc>
          <w:tcPr>
            <w:tcBorders>
              <w:top w:val="nil"/>
              <w:left w:val="nil"/>
              <w:bottom w:val="nil"/>
              <w:right w:val="nil"/>
            </w:tcBorders>
            <w:vAlign w:val="bottom"/>
          </w:tcPr>
          <w:p w14:paraId="00000435">
            <w:pPr>
              <w:spacing w:after="0"/>
            </w:pPr>
          </w:p>
        </w:tc>
      </w:tr>
      <w:tr w14:paraId="3EF90473">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436">
            <w:pPr>
              <w:spacing w:after="0"/>
            </w:pPr>
            <w:r>
              <w:rPr>
                <w:rtl w:val="0"/>
              </w:rPr>
              <w:t>Net Income ÷ Average Shareholders’ Equity</w:t>
            </w:r>
          </w:p>
        </w:tc>
        <w:tc>
          <w:tcPr>
            <w:tcBorders>
              <w:top w:val="nil"/>
              <w:left w:val="nil"/>
              <w:bottom w:val="nil"/>
              <w:right w:val="nil"/>
            </w:tcBorders>
            <w:vAlign w:val="bottom"/>
          </w:tcPr>
          <w:p w14:paraId="00000439">
            <w:pPr>
              <w:spacing w:after="0"/>
            </w:pPr>
          </w:p>
        </w:tc>
        <w:tc>
          <w:tcPr>
            <w:tcBorders>
              <w:top w:val="nil"/>
              <w:left w:val="nil"/>
              <w:bottom w:val="nil"/>
              <w:right w:val="nil"/>
            </w:tcBorders>
            <w:vAlign w:val="bottom"/>
          </w:tcPr>
          <w:p w14:paraId="0000043A">
            <w:pPr>
              <w:spacing w:after="0"/>
            </w:pPr>
          </w:p>
        </w:tc>
        <w:tc>
          <w:tcPr>
            <w:tcBorders>
              <w:top w:val="nil"/>
              <w:left w:val="nil"/>
              <w:bottom w:val="nil"/>
              <w:right w:val="nil"/>
            </w:tcBorders>
            <w:vAlign w:val="bottom"/>
          </w:tcPr>
          <w:p w14:paraId="0000043B">
            <w:pPr>
              <w:spacing w:after="0"/>
            </w:pPr>
          </w:p>
        </w:tc>
      </w:tr>
      <w:tr w14:paraId="711A307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3C">
            <w:pPr>
              <w:spacing w:after="0"/>
            </w:pPr>
          </w:p>
        </w:tc>
        <w:tc>
          <w:tcPr>
            <w:tcBorders>
              <w:top w:val="nil"/>
              <w:left w:val="nil"/>
              <w:bottom w:val="nil"/>
              <w:right w:val="nil"/>
            </w:tcBorders>
            <w:vAlign w:val="bottom"/>
          </w:tcPr>
          <w:p w14:paraId="0000043D">
            <w:pPr>
              <w:spacing w:after="0"/>
            </w:pPr>
          </w:p>
        </w:tc>
        <w:tc>
          <w:tcPr>
            <w:tcBorders>
              <w:top w:val="nil"/>
              <w:left w:val="nil"/>
              <w:bottom w:val="nil"/>
              <w:right w:val="nil"/>
            </w:tcBorders>
            <w:vAlign w:val="bottom"/>
          </w:tcPr>
          <w:p w14:paraId="0000043E">
            <w:pPr>
              <w:spacing w:after="0"/>
            </w:pPr>
          </w:p>
        </w:tc>
        <w:tc>
          <w:tcPr>
            <w:tcBorders>
              <w:top w:val="nil"/>
              <w:left w:val="nil"/>
              <w:bottom w:val="nil"/>
              <w:right w:val="nil"/>
            </w:tcBorders>
            <w:vAlign w:val="bottom"/>
          </w:tcPr>
          <w:p w14:paraId="0000043F">
            <w:pPr>
              <w:spacing w:after="0"/>
            </w:pPr>
          </w:p>
        </w:tc>
        <w:tc>
          <w:tcPr>
            <w:tcBorders>
              <w:top w:val="nil"/>
              <w:left w:val="nil"/>
              <w:bottom w:val="nil"/>
              <w:right w:val="nil"/>
            </w:tcBorders>
            <w:vAlign w:val="bottom"/>
          </w:tcPr>
          <w:p w14:paraId="00000440">
            <w:pPr>
              <w:spacing w:after="0"/>
            </w:pPr>
          </w:p>
        </w:tc>
        <w:tc>
          <w:tcPr>
            <w:tcBorders>
              <w:top w:val="nil"/>
              <w:left w:val="nil"/>
              <w:bottom w:val="nil"/>
              <w:right w:val="nil"/>
            </w:tcBorders>
            <w:vAlign w:val="bottom"/>
          </w:tcPr>
          <w:p w14:paraId="00000441">
            <w:pPr>
              <w:spacing w:after="0"/>
            </w:pPr>
          </w:p>
        </w:tc>
      </w:tr>
      <w:tr w14:paraId="3B6FCF62">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42">
            <w:pPr>
              <w:spacing w:after="0"/>
              <w:rPr>
                <w:b/>
                <w:bCs/>
              </w:rPr>
            </w:pPr>
            <w:r>
              <w:rPr>
                <w:b/>
                <w:bCs/>
                <w:rtl w:val="0"/>
              </w:rPr>
              <w:t>Year</w:t>
            </w:r>
          </w:p>
        </w:tc>
        <w:tc>
          <w:tcPr>
            <w:tcBorders>
              <w:top w:val="nil"/>
              <w:left w:val="nil"/>
              <w:bottom w:val="nil"/>
              <w:right w:val="nil"/>
            </w:tcBorders>
            <w:vAlign w:val="center"/>
          </w:tcPr>
          <w:p w14:paraId="00000443">
            <w:pPr>
              <w:spacing w:after="0"/>
              <w:rPr>
                <w:b/>
                <w:bCs/>
              </w:rPr>
            </w:pPr>
            <w:r>
              <w:rPr>
                <w:b/>
                <w:bCs/>
                <w:rtl w:val="0"/>
              </w:rPr>
              <w:t>Net Income</w:t>
            </w:r>
          </w:p>
        </w:tc>
        <w:tc>
          <w:tcPr>
            <w:tcBorders>
              <w:top w:val="nil"/>
              <w:left w:val="nil"/>
              <w:bottom w:val="nil"/>
              <w:right w:val="nil"/>
            </w:tcBorders>
            <w:vAlign w:val="center"/>
          </w:tcPr>
          <w:p w14:paraId="00000444">
            <w:pPr>
              <w:spacing w:after="0"/>
              <w:rPr>
                <w:b/>
                <w:bCs/>
              </w:rPr>
            </w:pPr>
            <w:r>
              <w:rPr>
                <w:b/>
                <w:bCs/>
                <w:rtl w:val="0"/>
              </w:rPr>
              <w:t>Avg. Equity</w:t>
            </w:r>
          </w:p>
        </w:tc>
        <w:tc>
          <w:tcPr>
            <w:tcBorders>
              <w:top w:val="nil"/>
              <w:left w:val="nil"/>
              <w:bottom w:val="nil"/>
              <w:right w:val="nil"/>
            </w:tcBorders>
            <w:vAlign w:val="center"/>
          </w:tcPr>
          <w:p w14:paraId="00000445">
            <w:pPr>
              <w:spacing w:after="0"/>
              <w:rPr>
                <w:b/>
                <w:bCs/>
              </w:rPr>
            </w:pPr>
            <w:r>
              <w:rPr>
                <w:b/>
                <w:bCs/>
                <w:rtl w:val="0"/>
              </w:rPr>
              <w:t>Calculation</w:t>
            </w:r>
          </w:p>
        </w:tc>
        <w:tc>
          <w:tcPr>
            <w:tcBorders>
              <w:top w:val="nil"/>
              <w:left w:val="nil"/>
              <w:bottom w:val="nil"/>
              <w:right w:val="nil"/>
            </w:tcBorders>
            <w:vAlign w:val="center"/>
          </w:tcPr>
          <w:p w14:paraId="00000446">
            <w:pPr>
              <w:spacing w:after="0"/>
              <w:rPr>
                <w:b/>
                <w:bCs/>
              </w:rPr>
            </w:pPr>
            <w:r>
              <w:rPr>
                <w:b/>
                <w:bCs/>
                <w:rtl w:val="0"/>
              </w:rPr>
              <w:t>ROE</w:t>
            </w:r>
          </w:p>
        </w:tc>
        <w:tc>
          <w:tcPr>
            <w:tcBorders>
              <w:top w:val="nil"/>
              <w:left w:val="nil"/>
              <w:bottom w:val="nil"/>
              <w:right w:val="nil"/>
            </w:tcBorders>
            <w:vAlign w:val="bottom"/>
          </w:tcPr>
          <w:p w14:paraId="00000447">
            <w:pPr>
              <w:spacing w:after="0"/>
              <w:rPr>
                <w:b/>
                <w:bCs/>
              </w:rPr>
            </w:pPr>
          </w:p>
        </w:tc>
      </w:tr>
      <w:tr w14:paraId="3E50344D">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48">
            <w:pPr>
              <w:spacing w:after="0"/>
            </w:pPr>
            <w:r>
              <w:rPr>
                <w:rtl w:val="0"/>
              </w:rPr>
              <w:t>2024</w:t>
            </w:r>
          </w:p>
        </w:tc>
        <w:tc>
          <w:tcPr>
            <w:tcBorders>
              <w:top w:val="nil"/>
              <w:left w:val="nil"/>
              <w:bottom w:val="nil"/>
              <w:right w:val="nil"/>
            </w:tcBorders>
            <w:vAlign w:val="center"/>
          </w:tcPr>
          <w:p w14:paraId="00000449">
            <w:pPr>
              <w:spacing w:after="0"/>
            </w:pPr>
            <w:r>
              <w:rPr>
                <w:rtl w:val="0"/>
              </w:rPr>
              <w:t>-24,029</w:t>
            </w:r>
          </w:p>
        </w:tc>
        <w:tc>
          <w:tcPr>
            <w:tcBorders>
              <w:top w:val="nil"/>
              <w:left w:val="nil"/>
              <w:bottom w:val="nil"/>
              <w:right w:val="nil"/>
            </w:tcBorders>
            <w:vAlign w:val="center"/>
          </w:tcPr>
          <w:p w14:paraId="0000044A">
            <w:pPr>
              <w:spacing w:after="0"/>
            </w:pPr>
            <w:r>
              <w:rPr>
                <w:rtl w:val="0"/>
              </w:rPr>
              <w:t>1,66,013</w:t>
            </w:r>
          </w:p>
        </w:tc>
        <w:tc>
          <w:tcPr>
            <w:tcBorders>
              <w:top w:val="nil"/>
              <w:left w:val="nil"/>
              <w:bottom w:val="nil"/>
              <w:right w:val="nil"/>
            </w:tcBorders>
            <w:vAlign w:val="center"/>
          </w:tcPr>
          <w:p w14:paraId="0000044B">
            <w:pPr>
              <w:spacing w:after="0"/>
            </w:pPr>
            <w:r>
              <w:rPr>
                <w:rtl w:val="0"/>
              </w:rPr>
              <w:t>(24,029) ÷ 166,013</w:t>
            </w:r>
          </w:p>
        </w:tc>
        <w:tc>
          <w:tcPr>
            <w:tcBorders>
              <w:top w:val="nil"/>
              <w:left w:val="nil"/>
              <w:bottom w:val="nil"/>
              <w:right w:val="nil"/>
            </w:tcBorders>
            <w:vAlign w:val="center"/>
          </w:tcPr>
          <w:p w14:paraId="0000044C">
            <w:pPr>
              <w:spacing w:after="0"/>
              <w:rPr>
                <w:b/>
                <w:bCs/>
              </w:rPr>
            </w:pPr>
            <w:r>
              <w:rPr>
                <w:b/>
                <w:bCs/>
                <w:rtl w:val="0"/>
              </w:rPr>
              <w:t>–14.5%</w:t>
            </w:r>
          </w:p>
        </w:tc>
        <w:tc>
          <w:tcPr>
            <w:tcBorders>
              <w:top w:val="nil"/>
              <w:left w:val="nil"/>
              <w:bottom w:val="nil"/>
              <w:right w:val="nil"/>
            </w:tcBorders>
            <w:vAlign w:val="bottom"/>
          </w:tcPr>
          <w:p w14:paraId="0000044D">
            <w:pPr>
              <w:spacing w:after="0"/>
              <w:rPr>
                <w:b/>
                <w:bCs/>
              </w:rPr>
            </w:pPr>
          </w:p>
        </w:tc>
      </w:tr>
      <w:tr w14:paraId="7CD0428C">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4E">
            <w:pPr>
              <w:spacing w:after="0"/>
            </w:pPr>
            <w:r>
              <w:rPr>
                <w:rtl w:val="0"/>
              </w:rPr>
              <w:t>2023</w:t>
            </w:r>
          </w:p>
        </w:tc>
        <w:tc>
          <w:tcPr>
            <w:tcBorders>
              <w:top w:val="nil"/>
              <w:left w:val="nil"/>
              <w:bottom w:val="nil"/>
              <w:right w:val="nil"/>
            </w:tcBorders>
            <w:vAlign w:val="center"/>
          </w:tcPr>
          <w:p w14:paraId="0000044F">
            <w:pPr>
              <w:spacing w:after="0"/>
            </w:pPr>
            <w:r>
              <w:rPr>
                <w:rtl w:val="0"/>
              </w:rPr>
              <w:t>-98,238</w:t>
            </w:r>
          </w:p>
        </w:tc>
        <w:tc>
          <w:tcPr>
            <w:tcBorders>
              <w:top w:val="nil"/>
              <w:left w:val="nil"/>
              <w:bottom w:val="nil"/>
              <w:right w:val="nil"/>
            </w:tcBorders>
            <w:vAlign w:val="center"/>
          </w:tcPr>
          <w:p w14:paraId="00000450">
            <w:pPr>
              <w:spacing w:after="0"/>
            </w:pPr>
            <w:r>
              <w:rPr>
                <w:rtl w:val="0"/>
              </w:rPr>
              <w:t>2,23,663</w:t>
            </w:r>
          </w:p>
        </w:tc>
        <w:tc>
          <w:tcPr>
            <w:tcBorders>
              <w:top w:val="nil"/>
              <w:left w:val="nil"/>
              <w:bottom w:val="nil"/>
              <w:right w:val="nil"/>
            </w:tcBorders>
            <w:vAlign w:val="center"/>
          </w:tcPr>
          <w:p w14:paraId="00000451">
            <w:pPr>
              <w:spacing w:after="0"/>
            </w:pPr>
            <w:r>
              <w:rPr>
                <w:rtl w:val="0"/>
              </w:rPr>
              <w:t>(98,238) ÷ 223,663</w:t>
            </w:r>
          </w:p>
        </w:tc>
        <w:tc>
          <w:tcPr>
            <w:tcBorders>
              <w:top w:val="nil"/>
              <w:left w:val="nil"/>
              <w:bottom w:val="nil"/>
              <w:right w:val="nil"/>
            </w:tcBorders>
            <w:vAlign w:val="center"/>
          </w:tcPr>
          <w:p w14:paraId="00000452">
            <w:pPr>
              <w:spacing w:after="0"/>
              <w:rPr>
                <w:b/>
                <w:bCs/>
              </w:rPr>
            </w:pPr>
            <w:r>
              <w:rPr>
                <w:b/>
                <w:bCs/>
                <w:rtl w:val="0"/>
              </w:rPr>
              <w:t>–43.9%</w:t>
            </w:r>
          </w:p>
        </w:tc>
        <w:tc>
          <w:tcPr>
            <w:tcBorders>
              <w:top w:val="nil"/>
              <w:left w:val="nil"/>
              <w:bottom w:val="nil"/>
              <w:right w:val="nil"/>
            </w:tcBorders>
            <w:vAlign w:val="bottom"/>
          </w:tcPr>
          <w:p w14:paraId="00000453">
            <w:pPr>
              <w:spacing w:after="0"/>
              <w:rPr>
                <w:b/>
                <w:bCs/>
              </w:rPr>
            </w:pPr>
          </w:p>
        </w:tc>
      </w:tr>
      <w:tr w14:paraId="599E9CD5">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54">
            <w:pPr>
              <w:spacing w:after="0"/>
            </w:pPr>
            <w:r>
              <w:rPr>
                <w:rtl w:val="0"/>
              </w:rPr>
              <w:t>2022</w:t>
            </w:r>
          </w:p>
        </w:tc>
        <w:tc>
          <w:tcPr>
            <w:tcBorders>
              <w:top w:val="nil"/>
              <w:left w:val="nil"/>
              <w:bottom w:val="nil"/>
              <w:right w:val="nil"/>
            </w:tcBorders>
            <w:vAlign w:val="center"/>
          </w:tcPr>
          <w:p w14:paraId="00000455">
            <w:pPr>
              <w:spacing w:after="0"/>
            </w:pPr>
            <w:r>
              <w:rPr>
                <w:rtl w:val="0"/>
              </w:rPr>
              <w:t>407</w:t>
            </w:r>
          </w:p>
        </w:tc>
        <w:tc>
          <w:tcPr>
            <w:tcBorders>
              <w:top w:val="nil"/>
              <w:left w:val="nil"/>
              <w:bottom w:val="nil"/>
              <w:right w:val="nil"/>
            </w:tcBorders>
            <w:vAlign w:val="center"/>
          </w:tcPr>
          <w:p w14:paraId="00000456">
            <w:pPr>
              <w:spacing w:after="0"/>
            </w:pPr>
            <w:r>
              <w:rPr>
                <w:rtl w:val="0"/>
              </w:rPr>
              <w:t>2,72,178</w:t>
            </w:r>
          </w:p>
        </w:tc>
        <w:tc>
          <w:tcPr>
            <w:tcBorders>
              <w:top w:val="nil"/>
              <w:left w:val="nil"/>
              <w:bottom w:val="nil"/>
              <w:right w:val="nil"/>
            </w:tcBorders>
            <w:vAlign w:val="center"/>
          </w:tcPr>
          <w:p w14:paraId="00000457">
            <w:pPr>
              <w:spacing w:after="0"/>
            </w:pPr>
            <w:r>
              <w:rPr>
                <w:rtl w:val="0"/>
              </w:rPr>
              <w:t>407 ÷ 272,178</w:t>
            </w:r>
          </w:p>
        </w:tc>
        <w:tc>
          <w:tcPr>
            <w:tcBorders>
              <w:top w:val="nil"/>
              <w:left w:val="nil"/>
              <w:bottom w:val="nil"/>
              <w:right w:val="nil"/>
            </w:tcBorders>
            <w:vAlign w:val="center"/>
          </w:tcPr>
          <w:p w14:paraId="00000458">
            <w:pPr>
              <w:spacing w:after="0"/>
              <w:rPr>
                <w:b/>
                <w:bCs/>
              </w:rPr>
            </w:pPr>
            <w:r>
              <w:rPr>
                <w:b/>
                <w:bCs/>
                <w:rtl w:val="0"/>
              </w:rPr>
              <w:t>0.10%</w:t>
            </w:r>
          </w:p>
        </w:tc>
        <w:tc>
          <w:tcPr>
            <w:tcBorders>
              <w:top w:val="nil"/>
              <w:left w:val="nil"/>
              <w:bottom w:val="nil"/>
              <w:right w:val="nil"/>
            </w:tcBorders>
            <w:vAlign w:val="bottom"/>
          </w:tcPr>
          <w:p w14:paraId="00000459">
            <w:pPr>
              <w:spacing w:after="0"/>
              <w:rPr>
                <w:b/>
                <w:bCs/>
              </w:rPr>
            </w:pPr>
          </w:p>
        </w:tc>
      </w:tr>
      <w:tr w14:paraId="05A3F668">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5A">
            <w:pPr>
              <w:spacing w:after="0"/>
            </w:pPr>
            <w:r>
              <w:rPr>
                <w:rtl w:val="0"/>
              </w:rPr>
              <w:t>2021</w:t>
            </w:r>
          </w:p>
        </w:tc>
        <w:tc>
          <w:tcPr>
            <w:tcBorders>
              <w:top w:val="nil"/>
              <w:left w:val="nil"/>
              <w:bottom w:val="nil"/>
              <w:right w:val="nil"/>
            </w:tcBorders>
            <w:vAlign w:val="center"/>
          </w:tcPr>
          <w:p w14:paraId="0000045B">
            <w:pPr>
              <w:spacing w:after="0"/>
            </w:pPr>
            <w:r>
              <w:rPr>
                <w:rtl w:val="0"/>
              </w:rPr>
              <w:t>5,301</w:t>
            </w:r>
          </w:p>
        </w:tc>
        <w:tc>
          <w:tcPr>
            <w:tcBorders>
              <w:top w:val="nil"/>
              <w:left w:val="nil"/>
              <w:bottom w:val="nil"/>
              <w:right w:val="nil"/>
            </w:tcBorders>
            <w:vAlign w:val="center"/>
          </w:tcPr>
          <w:p w14:paraId="0000045C">
            <w:pPr>
              <w:spacing w:after="0"/>
            </w:pPr>
            <w:r>
              <w:rPr>
                <w:rtl w:val="0"/>
              </w:rPr>
              <w:t>2,94,625</w:t>
            </w:r>
          </w:p>
        </w:tc>
        <w:tc>
          <w:tcPr>
            <w:tcBorders>
              <w:top w:val="nil"/>
              <w:left w:val="nil"/>
              <w:bottom w:val="nil"/>
              <w:right w:val="nil"/>
            </w:tcBorders>
            <w:vAlign w:val="center"/>
          </w:tcPr>
          <w:p w14:paraId="0000045D">
            <w:pPr>
              <w:spacing w:after="0"/>
            </w:pPr>
            <w:r>
              <w:rPr>
                <w:rtl w:val="0"/>
              </w:rPr>
              <w:t>5,301 ÷ 294,625</w:t>
            </w:r>
          </w:p>
        </w:tc>
        <w:tc>
          <w:tcPr>
            <w:tcBorders>
              <w:top w:val="nil"/>
              <w:left w:val="nil"/>
              <w:bottom w:val="nil"/>
              <w:right w:val="nil"/>
            </w:tcBorders>
            <w:vAlign w:val="center"/>
          </w:tcPr>
          <w:p w14:paraId="0000045E">
            <w:pPr>
              <w:spacing w:after="0"/>
              <w:rPr>
                <w:b/>
                <w:bCs/>
              </w:rPr>
            </w:pPr>
            <w:r>
              <w:rPr>
                <w:b/>
                <w:bCs/>
                <w:rtl w:val="0"/>
              </w:rPr>
              <w:t>1.80%</w:t>
            </w:r>
          </w:p>
        </w:tc>
        <w:tc>
          <w:tcPr>
            <w:tcBorders>
              <w:top w:val="nil"/>
              <w:left w:val="nil"/>
              <w:bottom w:val="nil"/>
              <w:right w:val="nil"/>
            </w:tcBorders>
            <w:vAlign w:val="bottom"/>
          </w:tcPr>
          <w:p w14:paraId="0000045F">
            <w:pPr>
              <w:spacing w:after="0"/>
              <w:rPr>
                <w:b/>
                <w:bCs/>
              </w:rPr>
            </w:pPr>
          </w:p>
        </w:tc>
      </w:tr>
      <w:tr w14:paraId="7BE856ED">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60">
            <w:pPr>
              <w:spacing w:after="0"/>
            </w:pPr>
            <w:r>
              <w:rPr>
                <w:rtl w:val="0"/>
              </w:rPr>
              <w:t>2020</w:t>
            </w:r>
          </w:p>
        </w:tc>
        <w:tc>
          <w:tcPr>
            <w:tcBorders>
              <w:top w:val="nil"/>
              <w:left w:val="nil"/>
              <w:bottom w:val="nil"/>
              <w:right w:val="nil"/>
            </w:tcBorders>
            <w:vAlign w:val="center"/>
          </w:tcPr>
          <w:p w14:paraId="00000461">
            <w:pPr>
              <w:spacing w:after="0"/>
            </w:pPr>
            <w:r>
              <w:rPr>
                <w:rtl w:val="0"/>
              </w:rPr>
              <w:t>38,572</w:t>
            </w:r>
          </w:p>
        </w:tc>
        <w:tc>
          <w:tcPr>
            <w:tcBorders>
              <w:top w:val="nil"/>
              <w:left w:val="nil"/>
              <w:bottom w:val="nil"/>
              <w:right w:val="nil"/>
            </w:tcBorders>
            <w:vAlign w:val="center"/>
          </w:tcPr>
          <w:p w14:paraId="00000462">
            <w:pPr>
              <w:spacing w:after="0"/>
            </w:pPr>
            <w:r>
              <w:rPr>
                <w:rtl w:val="0"/>
              </w:rPr>
              <w:t>3,13,301</w:t>
            </w:r>
          </w:p>
        </w:tc>
        <w:tc>
          <w:tcPr>
            <w:tcBorders>
              <w:top w:val="nil"/>
              <w:left w:val="nil"/>
              <w:bottom w:val="nil"/>
              <w:right w:val="nil"/>
            </w:tcBorders>
            <w:vAlign w:val="center"/>
          </w:tcPr>
          <w:p w14:paraId="00000463">
            <w:pPr>
              <w:spacing w:after="0"/>
            </w:pPr>
            <w:r>
              <w:rPr>
                <w:rtl w:val="0"/>
              </w:rPr>
              <w:t>38,572 ÷ 313,301</w:t>
            </w:r>
          </w:p>
        </w:tc>
        <w:tc>
          <w:tcPr>
            <w:tcBorders>
              <w:top w:val="nil"/>
              <w:left w:val="nil"/>
              <w:bottom w:val="nil"/>
              <w:right w:val="nil"/>
            </w:tcBorders>
            <w:vAlign w:val="center"/>
          </w:tcPr>
          <w:p w14:paraId="00000464">
            <w:pPr>
              <w:spacing w:after="0"/>
              <w:rPr>
                <w:b/>
                <w:bCs/>
              </w:rPr>
            </w:pPr>
            <w:r>
              <w:rPr>
                <w:b/>
                <w:bCs/>
                <w:rtl w:val="0"/>
              </w:rPr>
              <w:t>12.30%</w:t>
            </w:r>
          </w:p>
        </w:tc>
        <w:tc>
          <w:tcPr>
            <w:tcBorders>
              <w:top w:val="nil"/>
              <w:left w:val="nil"/>
              <w:bottom w:val="nil"/>
              <w:right w:val="nil"/>
            </w:tcBorders>
            <w:vAlign w:val="bottom"/>
          </w:tcPr>
          <w:p w14:paraId="00000465">
            <w:pPr>
              <w:spacing w:after="0"/>
              <w:rPr>
                <w:b/>
                <w:bCs/>
              </w:rPr>
            </w:pPr>
          </w:p>
        </w:tc>
      </w:tr>
      <w:tr w14:paraId="2204FA9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66">
            <w:pPr>
              <w:spacing w:after="0"/>
            </w:pPr>
          </w:p>
        </w:tc>
        <w:tc>
          <w:tcPr>
            <w:tcBorders>
              <w:top w:val="nil"/>
              <w:left w:val="nil"/>
              <w:bottom w:val="nil"/>
              <w:right w:val="nil"/>
            </w:tcBorders>
            <w:vAlign w:val="bottom"/>
          </w:tcPr>
          <w:p w14:paraId="00000467">
            <w:pPr>
              <w:spacing w:after="0"/>
            </w:pPr>
          </w:p>
        </w:tc>
        <w:tc>
          <w:tcPr>
            <w:tcBorders>
              <w:top w:val="nil"/>
              <w:left w:val="nil"/>
              <w:bottom w:val="nil"/>
              <w:right w:val="nil"/>
            </w:tcBorders>
            <w:vAlign w:val="bottom"/>
          </w:tcPr>
          <w:p w14:paraId="00000468">
            <w:pPr>
              <w:spacing w:after="0"/>
            </w:pPr>
          </w:p>
        </w:tc>
        <w:tc>
          <w:tcPr>
            <w:tcBorders>
              <w:top w:val="nil"/>
              <w:left w:val="nil"/>
              <w:bottom w:val="nil"/>
              <w:right w:val="nil"/>
            </w:tcBorders>
            <w:vAlign w:val="bottom"/>
          </w:tcPr>
          <w:p w14:paraId="00000469">
            <w:pPr>
              <w:spacing w:after="0"/>
            </w:pPr>
          </w:p>
        </w:tc>
        <w:tc>
          <w:tcPr>
            <w:tcBorders>
              <w:top w:val="nil"/>
              <w:left w:val="nil"/>
              <w:bottom w:val="nil"/>
              <w:right w:val="nil"/>
            </w:tcBorders>
            <w:vAlign w:val="bottom"/>
          </w:tcPr>
          <w:p w14:paraId="0000046A">
            <w:pPr>
              <w:spacing w:after="0"/>
            </w:pPr>
          </w:p>
        </w:tc>
        <w:tc>
          <w:tcPr>
            <w:tcBorders>
              <w:top w:val="nil"/>
              <w:left w:val="nil"/>
              <w:bottom w:val="nil"/>
              <w:right w:val="nil"/>
            </w:tcBorders>
            <w:vAlign w:val="bottom"/>
          </w:tcPr>
          <w:p w14:paraId="0000046B">
            <w:pPr>
              <w:spacing w:after="0"/>
            </w:pPr>
          </w:p>
        </w:tc>
      </w:tr>
      <w:tr w14:paraId="15648BB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6C">
            <w:pPr>
              <w:spacing w:after="0"/>
            </w:pPr>
          </w:p>
        </w:tc>
        <w:tc>
          <w:tcPr>
            <w:tcBorders>
              <w:top w:val="nil"/>
              <w:left w:val="nil"/>
              <w:bottom w:val="nil"/>
              <w:right w:val="nil"/>
            </w:tcBorders>
            <w:vAlign w:val="bottom"/>
          </w:tcPr>
          <w:p w14:paraId="0000046D">
            <w:pPr>
              <w:spacing w:after="0"/>
            </w:pPr>
          </w:p>
        </w:tc>
        <w:tc>
          <w:tcPr>
            <w:tcBorders>
              <w:top w:val="nil"/>
              <w:left w:val="nil"/>
              <w:bottom w:val="nil"/>
              <w:right w:val="nil"/>
            </w:tcBorders>
            <w:vAlign w:val="bottom"/>
          </w:tcPr>
          <w:p w14:paraId="0000046E">
            <w:pPr>
              <w:spacing w:after="0"/>
            </w:pPr>
          </w:p>
        </w:tc>
        <w:tc>
          <w:tcPr>
            <w:tcBorders>
              <w:top w:val="nil"/>
              <w:left w:val="nil"/>
              <w:bottom w:val="nil"/>
              <w:right w:val="nil"/>
            </w:tcBorders>
            <w:vAlign w:val="bottom"/>
          </w:tcPr>
          <w:p w14:paraId="0000046F">
            <w:pPr>
              <w:spacing w:after="0"/>
            </w:pPr>
          </w:p>
        </w:tc>
        <w:tc>
          <w:tcPr>
            <w:tcBorders>
              <w:top w:val="nil"/>
              <w:left w:val="nil"/>
              <w:bottom w:val="nil"/>
              <w:right w:val="nil"/>
            </w:tcBorders>
            <w:vAlign w:val="bottom"/>
          </w:tcPr>
          <w:p w14:paraId="00000470">
            <w:pPr>
              <w:spacing w:after="0"/>
            </w:pPr>
          </w:p>
        </w:tc>
        <w:tc>
          <w:tcPr>
            <w:tcBorders>
              <w:top w:val="nil"/>
              <w:left w:val="nil"/>
              <w:bottom w:val="nil"/>
              <w:right w:val="nil"/>
            </w:tcBorders>
            <w:vAlign w:val="bottom"/>
          </w:tcPr>
          <w:p w14:paraId="00000471">
            <w:pPr>
              <w:spacing w:after="0"/>
            </w:pPr>
          </w:p>
        </w:tc>
      </w:tr>
      <w:tr w14:paraId="33561E02">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472">
            <w:pPr>
              <w:spacing w:after="0"/>
              <w:rPr>
                <w:b/>
                <w:bCs/>
              </w:rPr>
            </w:pPr>
            <w:r>
              <w:rPr>
                <w:b/>
                <w:bCs/>
                <w:rtl w:val="0"/>
              </w:rPr>
              <w:t>(b) Earnings per Share (EPS)</w:t>
            </w:r>
          </w:p>
        </w:tc>
        <w:tc>
          <w:tcPr>
            <w:tcBorders>
              <w:top w:val="nil"/>
              <w:left w:val="nil"/>
              <w:bottom w:val="nil"/>
              <w:right w:val="nil"/>
            </w:tcBorders>
            <w:vAlign w:val="bottom"/>
          </w:tcPr>
          <w:p w14:paraId="00000474">
            <w:pPr>
              <w:spacing w:after="0"/>
              <w:rPr>
                <w:b/>
                <w:bCs/>
              </w:rPr>
            </w:pPr>
          </w:p>
        </w:tc>
        <w:tc>
          <w:tcPr>
            <w:tcBorders>
              <w:top w:val="nil"/>
              <w:left w:val="nil"/>
              <w:bottom w:val="nil"/>
              <w:right w:val="nil"/>
            </w:tcBorders>
            <w:vAlign w:val="bottom"/>
          </w:tcPr>
          <w:p w14:paraId="00000475">
            <w:pPr>
              <w:spacing w:after="0"/>
            </w:pPr>
          </w:p>
        </w:tc>
        <w:tc>
          <w:tcPr>
            <w:tcBorders>
              <w:top w:val="nil"/>
              <w:left w:val="nil"/>
              <w:bottom w:val="nil"/>
              <w:right w:val="nil"/>
            </w:tcBorders>
            <w:vAlign w:val="bottom"/>
          </w:tcPr>
          <w:p w14:paraId="00000476">
            <w:pPr>
              <w:spacing w:after="0"/>
            </w:pPr>
          </w:p>
        </w:tc>
        <w:tc>
          <w:tcPr>
            <w:tcBorders>
              <w:top w:val="nil"/>
              <w:left w:val="nil"/>
              <w:bottom w:val="nil"/>
              <w:right w:val="nil"/>
            </w:tcBorders>
            <w:vAlign w:val="bottom"/>
          </w:tcPr>
          <w:p w14:paraId="00000477">
            <w:pPr>
              <w:spacing w:after="0"/>
            </w:pPr>
          </w:p>
        </w:tc>
      </w:tr>
      <w:tr w14:paraId="592CF57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78">
            <w:pPr>
              <w:spacing w:after="0"/>
            </w:pPr>
          </w:p>
        </w:tc>
        <w:tc>
          <w:tcPr>
            <w:tcBorders>
              <w:top w:val="nil"/>
              <w:left w:val="nil"/>
              <w:bottom w:val="nil"/>
              <w:right w:val="nil"/>
            </w:tcBorders>
            <w:vAlign w:val="bottom"/>
          </w:tcPr>
          <w:p w14:paraId="00000479">
            <w:pPr>
              <w:spacing w:after="0"/>
            </w:pPr>
          </w:p>
        </w:tc>
        <w:tc>
          <w:tcPr>
            <w:tcBorders>
              <w:top w:val="nil"/>
              <w:left w:val="nil"/>
              <w:bottom w:val="nil"/>
              <w:right w:val="nil"/>
            </w:tcBorders>
            <w:vAlign w:val="bottom"/>
          </w:tcPr>
          <w:p w14:paraId="0000047A">
            <w:pPr>
              <w:spacing w:after="0"/>
            </w:pPr>
          </w:p>
        </w:tc>
        <w:tc>
          <w:tcPr>
            <w:tcBorders>
              <w:top w:val="nil"/>
              <w:left w:val="nil"/>
              <w:bottom w:val="nil"/>
              <w:right w:val="nil"/>
            </w:tcBorders>
            <w:vAlign w:val="bottom"/>
          </w:tcPr>
          <w:p w14:paraId="0000047B">
            <w:pPr>
              <w:spacing w:after="0"/>
            </w:pPr>
          </w:p>
        </w:tc>
        <w:tc>
          <w:tcPr>
            <w:tcBorders>
              <w:top w:val="nil"/>
              <w:left w:val="nil"/>
              <w:bottom w:val="nil"/>
              <w:right w:val="nil"/>
            </w:tcBorders>
            <w:vAlign w:val="bottom"/>
          </w:tcPr>
          <w:p w14:paraId="0000047C">
            <w:pPr>
              <w:spacing w:after="0"/>
            </w:pPr>
          </w:p>
        </w:tc>
        <w:tc>
          <w:tcPr>
            <w:tcBorders>
              <w:top w:val="nil"/>
              <w:left w:val="nil"/>
              <w:bottom w:val="nil"/>
              <w:right w:val="nil"/>
            </w:tcBorders>
            <w:vAlign w:val="bottom"/>
          </w:tcPr>
          <w:p w14:paraId="0000047D">
            <w:pPr>
              <w:spacing w:after="0"/>
            </w:pPr>
          </w:p>
        </w:tc>
      </w:tr>
      <w:tr w14:paraId="38B71B23">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47E">
            <w:pPr>
              <w:spacing w:after="0"/>
              <w:rPr>
                <w:i/>
                <w:iCs/>
              </w:rPr>
            </w:pPr>
            <w:r>
              <w:rPr>
                <w:i/>
                <w:iCs/>
                <w:rtl w:val="0"/>
              </w:rPr>
              <w:t>(from income statement)</w:t>
            </w:r>
          </w:p>
        </w:tc>
        <w:tc>
          <w:tcPr>
            <w:tcBorders>
              <w:top w:val="nil"/>
              <w:left w:val="nil"/>
              <w:bottom w:val="nil"/>
              <w:right w:val="nil"/>
            </w:tcBorders>
            <w:vAlign w:val="bottom"/>
          </w:tcPr>
          <w:p w14:paraId="00000480">
            <w:pPr>
              <w:spacing w:after="0"/>
              <w:rPr>
                <w:i/>
                <w:iCs/>
              </w:rPr>
            </w:pPr>
          </w:p>
        </w:tc>
        <w:tc>
          <w:tcPr>
            <w:tcBorders>
              <w:top w:val="nil"/>
              <w:left w:val="nil"/>
              <w:bottom w:val="nil"/>
              <w:right w:val="nil"/>
            </w:tcBorders>
            <w:vAlign w:val="bottom"/>
          </w:tcPr>
          <w:p w14:paraId="00000481">
            <w:pPr>
              <w:spacing w:after="0"/>
            </w:pPr>
          </w:p>
        </w:tc>
        <w:tc>
          <w:tcPr>
            <w:tcBorders>
              <w:top w:val="nil"/>
              <w:left w:val="nil"/>
              <w:bottom w:val="nil"/>
              <w:right w:val="nil"/>
            </w:tcBorders>
            <w:vAlign w:val="bottom"/>
          </w:tcPr>
          <w:p w14:paraId="00000482">
            <w:pPr>
              <w:spacing w:after="0"/>
            </w:pPr>
          </w:p>
        </w:tc>
        <w:tc>
          <w:tcPr>
            <w:tcBorders>
              <w:top w:val="nil"/>
              <w:left w:val="nil"/>
              <w:bottom w:val="nil"/>
              <w:right w:val="nil"/>
            </w:tcBorders>
            <w:vAlign w:val="bottom"/>
          </w:tcPr>
          <w:p w14:paraId="00000483">
            <w:pPr>
              <w:spacing w:after="0"/>
            </w:pPr>
          </w:p>
        </w:tc>
      </w:tr>
      <w:tr w14:paraId="35B1265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84">
            <w:pPr>
              <w:spacing w:after="0"/>
            </w:pPr>
          </w:p>
        </w:tc>
        <w:tc>
          <w:tcPr>
            <w:tcBorders>
              <w:top w:val="nil"/>
              <w:left w:val="nil"/>
              <w:bottom w:val="nil"/>
              <w:right w:val="nil"/>
            </w:tcBorders>
            <w:vAlign w:val="bottom"/>
          </w:tcPr>
          <w:p w14:paraId="00000485">
            <w:pPr>
              <w:spacing w:after="0"/>
            </w:pPr>
          </w:p>
        </w:tc>
        <w:tc>
          <w:tcPr>
            <w:tcBorders>
              <w:top w:val="nil"/>
              <w:left w:val="nil"/>
              <w:bottom w:val="nil"/>
              <w:right w:val="nil"/>
            </w:tcBorders>
            <w:vAlign w:val="bottom"/>
          </w:tcPr>
          <w:p w14:paraId="00000486">
            <w:pPr>
              <w:spacing w:after="0"/>
            </w:pPr>
          </w:p>
        </w:tc>
        <w:tc>
          <w:tcPr>
            <w:tcBorders>
              <w:top w:val="nil"/>
              <w:left w:val="nil"/>
              <w:bottom w:val="nil"/>
              <w:right w:val="nil"/>
            </w:tcBorders>
            <w:vAlign w:val="bottom"/>
          </w:tcPr>
          <w:p w14:paraId="00000487">
            <w:pPr>
              <w:spacing w:after="0"/>
            </w:pPr>
          </w:p>
        </w:tc>
        <w:tc>
          <w:tcPr>
            <w:tcBorders>
              <w:top w:val="nil"/>
              <w:left w:val="nil"/>
              <w:bottom w:val="nil"/>
              <w:right w:val="nil"/>
            </w:tcBorders>
            <w:vAlign w:val="bottom"/>
          </w:tcPr>
          <w:p w14:paraId="00000488">
            <w:pPr>
              <w:spacing w:after="0"/>
            </w:pPr>
          </w:p>
        </w:tc>
        <w:tc>
          <w:tcPr>
            <w:tcBorders>
              <w:top w:val="nil"/>
              <w:left w:val="nil"/>
              <w:bottom w:val="nil"/>
              <w:right w:val="nil"/>
            </w:tcBorders>
            <w:vAlign w:val="bottom"/>
          </w:tcPr>
          <w:p w14:paraId="00000489">
            <w:pPr>
              <w:spacing w:after="0"/>
            </w:pPr>
          </w:p>
        </w:tc>
      </w:tr>
      <w:tr w14:paraId="716FF530">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8A">
            <w:pPr>
              <w:spacing w:after="0"/>
              <w:rPr>
                <w:b/>
                <w:bCs/>
              </w:rPr>
            </w:pPr>
            <w:r>
              <w:rPr>
                <w:b/>
                <w:bCs/>
                <w:rtl w:val="0"/>
              </w:rPr>
              <w:t>Year</w:t>
            </w:r>
          </w:p>
        </w:tc>
        <w:tc>
          <w:tcPr>
            <w:tcBorders>
              <w:top w:val="nil"/>
              <w:left w:val="nil"/>
              <w:bottom w:val="nil"/>
              <w:right w:val="nil"/>
            </w:tcBorders>
            <w:vAlign w:val="center"/>
          </w:tcPr>
          <w:p w14:paraId="0000048B">
            <w:pPr>
              <w:spacing w:after="0"/>
              <w:rPr>
                <w:b/>
                <w:bCs/>
              </w:rPr>
            </w:pPr>
            <w:r>
              <w:rPr>
                <w:b/>
                <w:bCs/>
                <w:rtl w:val="0"/>
              </w:rPr>
              <w:t>EPS (£)</w:t>
            </w:r>
          </w:p>
        </w:tc>
        <w:tc>
          <w:tcPr>
            <w:tcBorders>
              <w:top w:val="nil"/>
              <w:left w:val="nil"/>
              <w:bottom w:val="nil"/>
              <w:right w:val="nil"/>
            </w:tcBorders>
            <w:vAlign w:val="bottom"/>
          </w:tcPr>
          <w:p w14:paraId="0000048C">
            <w:pPr>
              <w:spacing w:after="0"/>
              <w:rPr>
                <w:b/>
                <w:bCs/>
              </w:rPr>
            </w:pPr>
          </w:p>
        </w:tc>
        <w:tc>
          <w:tcPr>
            <w:tcBorders>
              <w:top w:val="nil"/>
              <w:left w:val="nil"/>
              <w:bottom w:val="nil"/>
              <w:right w:val="nil"/>
            </w:tcBorders>
            <w:vAlign w:val="bottom"/>
          </w:tcPr>
          <w:p w14:paraId="0000048D">
            <w:pPr>
              <w:spacing w:after="0"/>
            </w:pPr>
          </w:p>
        </w:tc>
        <w:tc>
          <w:tcPr>
            <w:tcBorders>
              <w:top w:val="nil"/>
              <w:left w:val="nil"/>
              <w:bottom w:val="nil"/>
              <w:right w:val="nil"/>
            </w:tcBorders>
            <w:vAlign w:val="bottom"/>
          </w:tcPr>
          <w:p w14:paraId="0000048E">
            <w:pPr>
              <w:spacing w:after="0"/>
            </w:pPr>
          </w:p>
        </w:tc>
        <w:tc>
          <w:tcPr>
            <w:tcBorders>
              <w:top w:val="nil"/>
              <w:left w:val="nil"/>
              <w:bottom w:val="nil"/>
              <w:right w:val="nil"/>
            </w:tcBorders>
            <w:vAlign w:val="bottom"/>
          </w:tcPr>
          <w:p w14:paraId="0000048F">
            <w:pPr>
              <w:spacing w:after="0"/>
            </w:pPr>
          </w:p>
        </w:tc>
      </w:tr>
      <w:tr w14:paraId="37323D44">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90">
            <w:pPr>
              <w:spacing w:after="0"/>
            </w:pPr>
            <w:r>
              <w:rPr>
                <w:rtl w:val="0"/>
              </w:rPr>
              <w:t>2024</w:t>
            </w:r>
          </w:p>
        </w:tc>
        <w:tc>
          <w:tcPr>
            <w:tcBorders>
              <w:top w:val="nil"/>
              <w:left w:val="nil"/>
              <w:bottom w:val="nil"/>
              <w:right w:val="nil"/>
            </w:tcBorders>
            <w:vAlign w:val="center"/>
          </w:tcPr>
          <w:p w14:paraId="00000491">
            <w:pPr>
              <w:spacing w:after="0"/>
              <w:rPr>
                <w:b/>
                <w:bCs/>
              </w:rPr>
            </w:pPr>
            <w:r>
              <w:rPr>
                <w:b/>
                <w:bCs/>
                <w:rtl w:val="0"/>
              </w:rPr>
              <w:t>–1.85</w:t>
            </w:r>
          </w:p>
        </w:tc>
        <w:tc>
          <w:tcPr>
            <w:tcBorders>
              <w:top w:val="nil"/>
              <w:left w:val="nil"/>
              <w:bottom w:val="nil"/>
              <w:right w:val="nil"/>
            </w:tcBorders>
            <w:vAlign w:val="bottom"/>
          </w:tcPr>
          <w:p w14:paraId="00000492">
            <w:pPr>
              <w:spacing w:after="0"/>
              <w:rPr>
                <w:b/>
                <w:bCs/>
              </w:rPr>
            </w:pPr>
          </w:p>
        </w:tc>
        <w:tc>
          <w:tcPr>
            <w:tcBorders>
              <w:top w:val="nil"/>
              <w:left w:val="nil"/>
              <w:bottom w:val="nil"/>
              <w:right w:val="nil"/>
            </w:tcBorders>
            <w:vAlign w:val="bottom"/>
          </w:tcPr>
          <w:p w14:paraId="00000493">
            <w:pPr>
              <w:spacing w:after="0"/>
            </w:pPr>
          </w:p>
        </w:tc>
        <w:tc>
          <w:tcPr>
            <w:tcBorders>
              <w:top w:val="nil"/>
              <w:left w:val="nil"/>
              <w:bottom w:val="nil"/>
              <w:right w:val="nil"/>
            </w:tcBorders>
            <w:vAlign w:val="bottom"/>
          </w:tcPr>
          <w:p w14:paraId="00000494">
            <w:pPr>
              <w:spacing w:after="0"/>
            </w:pPr>
          </w:p>
        </w:tc>
        <w:tc>
          <w:tcPr>
            <w:tcBorders>
              <w:top w:val="nil"/>
              <w:left w:val="nil"/>
              <w:bottom w:val="nil"/>
              <w:right w:val="nil"/>
            </w:tcBorders>
            <w:vAlign w:val="bottom"/>
          </w:tcPr>
          <w:p w14:paraId="00000495">
            <w:pPr>
              <w:spacing w:after="0"/>
            </w:pPr>
          </w:p>
        </w:tc>
      </w:tr>
      <w:tr w14:paraId="20EA30E5">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96">
            <w:pPr>
              <w:spacing w:after="0"/>
            </w:pPr>
            <w:r>
              <w:rPr>
                <w:rtl w:val="0"/>
              </w:rPr>
              <w:t>2023</w:t>
            </w:r>
          </w:p>
        </w:tc>
        <w:tc>
          <w:tcPr>
            <w:tcBorders>
              <w:top w:val="nil"/>
              <w:left w:val="nil"/>
              <w:bottom w:val="nil"/>
              <w:right w:val="nil"/>
            </w:tcBorders>
            <w:vAlign w:val="center"/>
          </w:tcPr>
          <w:p w14:paraId="00000497">
            <w:pPr>
              <w:spacing w:after="0"/>
              <w:rPr>
                <w:b/>
                <w:bCs/>
              </w:rPr>
            </w:pPr>
            <w:r>
              <w:rPr>
                <w:b/>
                <w:bCs/>
                <w:rtl w:val="0"/>
              </w:rPr>
              <w:t>–7.64</w:t>
            </w:r>
          </w:p>
        </w:tc>
        <w:tc>
          <w:tcPr>
            <w:tcBorders>
              <w:top w:val="nil"/>
              <w:left w:val="nil"/>
              <w:bottom w:val="nil"/>
              <w:right w:val="nil"/>
            </w:tcBorders>
            <w:vAlign w:val="bottom"/>
          </w:tcPr>
          <w:p w14:paraId="00000498">
            <w:pPr>
              <w:spacing w:after="0"/>
              <w:rPr>
                <w:b/>
                <w:bCs/>
              </w:rPr>
            </w:pPr>
          </w:p>
        </w:tc>
        <w:tc>
          <w:tcPr>
            <w:tcBorders>
              <w:top w:val="nil"/>
              <w:left w:val="nil"/>
              <w:bottom w:val="nil"/>
              <w:right w:val="nil"/>
            </w:tcBorders>
            <w:vAlign w:val="bottom"/>
          </w:tcPr>
          <w:p w14:paraId="00000499">
            <w:pPr>
              <w:spacing w:after="0"/>
            </w:pPr>
          </w:p>
        </w:tc>
        <w:tc>
          <w:tcPr>
            <w:tcBorders>
              <w:top w:val="nil"/>
              <w:left w:val="nil"/>
              <w:bottom w:val="nil"/>
              <w:right w:val="nil"/>
            </w:tcBorders>
            <w:vAlign w:val="bottom"/>
          </w:tcPr>
          <w:p w14:paraId="0000049A">
            <w:pPr>
              <w:spacing w:after="0"/>
            </w:pPr>
          </w:p>
        </w:tc>
        <w:tc>
          <w:tcPr>
            <w:tcBorders>
              <w:top w:val="nil"/>
              <w:left w:val="nil"/>
              <w:bottom w:val="nil"/>
              <w:right w:val="nil"/>
            </w:tcBorders>
            <w:vAlign w:val="bottom"/>
          </w:tcPr>
          <w:p w14:paraId="0000049B">
            <w:pPr>
              <w:spacing w:after="0"/>
            </w:pPr>
          </w:p>
        </w:tc>
      </w:tr>
      <w:tr w14:paraId="7C562B0E">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9C">
            <w:pPr>
              <w:spacing w:after="0"/>
            </w:pPr>
            <w:r>
              <w:rPr>
                <w:rtl w:val="0"/>
              </w:rPr>
              <w:t>2022</w:t>
            </w:r>
          </w:p>
        </w:tc>
        <w:tc>
          <w:tcPr>
            <w:tcBorders>
              <w:top w:val="nil"/>
              <w:left w:val="nil"/>
              <w:bottom w:val="nil"/>
              <w:right w:val="nil"/>
            </w:tcBorders>
            <w:vAlign w:val="center"/>
          </w:tcPr>
          <w:p w14:paraId="0000049D">
            <w:pPr>
              <w:spacing w:after="0"/>
              <w:rPr>
                <w:b/>
                <w:bCs/>
              </w:rPr>
            </w:pPr>
            <w:r>
              <w:rPr>
                <w:b/>
                <w:bCs/>
                <w:rtl w:val="0"/>
              </w:rPr>
              <w:t>0.03</w:t>
            </w:r>
          </w:p>
        </w:tc>
        <w:tc>
          <w:tcPr>
            <w:tcBorders>
              <w:top w:val="nil"/>
              <w:left w:val="nil"/>
              <w:bottom w:val="nil"/>
              <w:right w:val="nil"/>
            </w:tcBorders>
            <w:vAlign w:val="bottom"/>
          </w:tcPr>
          <w:p w14:paraId="0000049E">
            <w:pPr>
              <w:spacing w:after="0"/>
              <w:rPr>
                <w:b/>
                <w:bCs/>
              </w:rPr>
            </w:pPr>
          </w:p>
        </w:tc>
        <w:tc>
          <w:tcPr>
            <w:tcBorders>
              <w:top w:val="nil"/>
              <w:left w:val="nil"/>
              <w:bottom w:val="nil"/>
              <w:right w:val="nil"/>
            </w:tcBorders>
            <w:vAlign w:val="bottom"/>
          </w:tcPr>
          <w:p w14:paraId="0000049F">
            <w:pPr>
              <w:spacing w:after="0"/>
            </w:pPr>
          </w:p>
        </w:tc>
        <w:tc>
          <w:tcPr>
            <w:tcBorders>
              <w:top w:val="nil"/>
              <w:left w:val="nil"/>
              <w:bottom w:val="nil"/>
              <w:right w:val="nil"/>
            </w:tcBorders>
            <w:vAlign w:val="bottom"/>
          </w:tcPr>
          <w:p w14:paraId="000004A0">
            <w:pPr>
              <w:spacing w:after="0"/>
            </w:pPr>
          </w:p>
        </w:tc>
        <w:tc>
          <w:tcPr>
            <w:tcBorders>
              <w:top w:val="nil"/>
              <w:left w:val="nil"/>
              <w:bottom w:val="nil"/>
              <w:right w:val="nil"/>
            </w:tcBorders>
            <w:vAlign w:val="bottom"/>
          </w:tcPr>
          <w:p w14:paraId="000004A1">
            <w:pPr>
              <w:spacing w:after="0"/>
            </w:pPr>
          </w:p>
        </w:tc>
      </w:tr>
      <w:tr w14:paraId="4ABBB958">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A2">
            <w:pPr>
              <w:spacing w:after="0"/>
            </w:pPr>
            <w:r>
              <w:rPr>
                <w:rtl w:val="0"/>
              </w:rPr>
              <w:t>2021</w:t>
            </w:r>
          </w:p>
        </w:tc>
        <w:tc>
          <w:tcPr>
            <w:tcBorders>
              <w:top w:val="nil"/>
              <w:left w:val="nil"/>
              <w:bottom w:val="nil"/>
              <w:right w:val="nil"/>
            </w:tcBorders>
            <w:vAlign w:val="center"/>
          </w:tcPr>
          <w:p w14:paraId="000004A3">
            <w:pPr>
              <w:spacing w:after="0"/>
              <w:rPr>
                <w:b/>
                <w:bCs/>
              </w:rPr>
            </w:pPr>
            <w:r>
              <w:rPr>
                <w:b/>
                <w:bCs/>
                <w:rtl w:val="0"/>
              </w:rPr>
              <w:t>0.39</w:t>
            </w:r>
          </w:p>
        </w:tc>
        <w:tc>
          <w:tcPr>
            <w:tcBorders>
              <w:top w:val="nil"/>
              <w:left w:val="nil"/>
              <w:bottom w:val="nil"/>
              <w:right w:val="nil"/>
            </w:tcBorders>
            <w:vAlign w:val="bottom"/>
          </w:tcPr>
          <w:p w14:paraId="000004A4">
            <w:pPr>
              <w:spacing w:after="0"/>
              <w:rPr>
                <w:b/>
                <w:bCs/>
              </w:rPr>
            </w:pPr>
          </w:p>
        </w:tc>
        <w:tc>
          <w:tcPr>
            <w:tcBorders>
              <w:top w:val="nil"/>
              <w:left w:val="nil"/>
              <w:bottom w:val="nil"/>
              <w:right w:val="nil"/>
            </w:tcBorders>
            <w:vAlign w:val="bottom"/>
          </w:tcPr>
          <w:p w14:paraId="000004A5">
            <w:pPr>
              <w:spacing w:after="0"/>
            </w:pPr>
          </w:p>
        </w:tc>
        <w:tc>
          <w:tcPr>
            <w:tcBorders>
              <w:top w:val="nil"/>
              <w:left w:val="nil"/>
              <w:bottom w:val="nil"/>
              <w:right w:val="nil"/>
            </w:tcBorders>
            <w:vAlign w:val="bottom"/>
          </w:tcPr>
          <w:p w14:paraId="000004A6">
            <w:pPr>
              <w:spacing w:after="0"/>
            </w:pPr>
          </w:p>
        </w:tc>
        <w:tc>
          <w:tcPr>
            <w:tcBorders>
              <w:top w:val="nil"/>
              <w:left w:val="nil"/>
              <w:bottom w:val="nil"/>
              <w:right w:val="nil"/>
            </w:tcBorders>
            <w:vAlign w:val="bottom"/>
          </w:tcPr>
          <w:p w14:paraId="000004A7">
            <w:pPr>
              <w:spacing w:after="0"/>
            </w:pPr>
          </w:p>
        </w:tc>
      </w:tr>
      <w:tr w14:paraId="36128F63">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4A8">
            <w:pPr>
              <w:spacing w:after="0"/>
            </w:pPr>
            <w:r>
              <w:rPr>
                <w:rtl w:val="0"/>
              </w:rPr>
              <w:t>2020</w:t>
            </w:r>
          </w:p>
        </w:tc>
        <w:tc>
          <w:tcPr>
            <w:tcBorders>
              <w:top w:val="nil"/>
              <w:left w:val="nil"/>
              <w:bottom w:val="nil"/>
              <w:right w:val="nil"/>
            </w:tcBorders>
            <w:vAlign w:val="center"/>
          </w:tcPr>
          <w:p w14:paraId="000004A9">
            <w:pPr>
              <w:spacing w:after="0"/>
              <w:rPr>
                <w:b/>
                <w:bCs/>
              </w:rPr>
            </w:pPr>
            <w:r>
              <w:rPr>
                <w:b/>
                <w:bCs/>
                <w:rtl w:val="0"/>
              </w:rPr>
              <w:t>2.78</w:t>
            </w:r>
          </w:p>
        </w:tc>
        <w:tc>
          <w:tcPr>
            <w:tcBorders>
              <w:top w:val="nil"/>
              <w:left w:val="nil"/>
              <w:bottom w:val="nil"/>
              <w:right w:val="nil"/>
            </w:tcBorders>
            <w:vAlign w:val="bottom"/>
          </w:tcPr>
          <w:p w14:paraId="000004AA">
            <w:pPr>
              <w:spacing w:after="0"/>
              <w:rPr>
                <w:b/>
                <w:bCs/>
              </w:rPr>
            </w:pPr>
          </w:p>
        </w:tc>
        <w:tc>
          <w:tcPr>
            <w:tcBorders>
              <w:top w:val="nil"/>
              <w:left w:val="nil"/>
              <w:bottom w:val="nil"/>
              <w:right w:val="nil"/>
            </w:tcBorders>
            <w:vAlign w:val="bottom"/>
          </w:tcPr>
          <w:p w14:paraId="000004AB">
            <w:pPr>
              <w:spacing w:after="0"/>
            </w:pPr>
          </w:p>
        </w:tc>
        <w:tc>
          <w:tcPr>
            <w:tcBorders>
              <w:top w:val="nil"/>
              <w:left w:val="nil"/>
              <w:bottom w:val="nil"/>
              <w:right w:val="nil"/>
            </w:tcBorders>
            <w:vAlign w:val="bottom"/>
          </w:tcPr>
          <w:p w14:paraId="000004AC">
            <w:pPr>
              <w:spacing w:after="0"/>
            </w:pPr>
          </w:p>
        </w:tc>
        <w:tc>
          <w:tcPr>
            <w:tcBorders>
              <w:top w:val="nil"/>
              <w:left w:val="nil"/>
              <w:bottom w:val="nil"/>
              <w:right w:val="nil"/>
            </w:tcBorders>
            <w:vAlign w:val="bottom"/>
          </w:tcPr>
          <w:p w14:paraId="000004AD">
            <w:pPr>
              <w:spacing w:after="0"/>
            </w:pPr>
          </w:p>
        </w:tc>
      </w:tr>
      <w:tr w14:paraId="5A255F3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AE">
            <w:pPr>
              <w:spacing w:after="0"/>
            </w:pPr>
          </w:p>
        </w:tc>
        <w:tc>
          <w:tcPr>
            <w:tcBorders>
              <w:top w:val="nil"/>
              <w:left w:val="nil"/>
              <w:bottom w:val="nil"/>
              <w:right w:val="nil"/>
            </w:tcBorders>
            <w:vAlign w:val="bottom"/>
          </w:tcPr>
          <w:p w14:paraId="000004AF">
            <w:pPr>
              <w:spacing w:after="0"/>
            </w:pPr>
          </w:p>
        </w:tc>
        <w:tc>
          <w:tcPr>
            <w:tcBorders>
              <w:top w:val="nil"/>
              <w:left w:val="nil"/>
              <w:bottom w:val="nil"/>
              <w:right w:val="nil"/>
            </w:tcBorders>
            <w:vAlign w:val="bottom"/>
          </w:tcPr>
          <w:p w14:paraId="000004B0">
            <w:pPr>
              <w:spacing w:after="0"/>
            </w:pPr>
          </w:p>
        </w:tc>
        <w:tc>
          <w:tcPr>
            <w:tcBorders>
              <w:top w:val="nil"/>
              <w:left w:val="nil"/>
              <w:bottom w:val="nil"/>
              <w:right w:val="nil"/>
            </w:tcBorders>
            <w:vAlign w:val="bottom"/>
          </w:tcPr>
          <w:p w14:paraId="000004B1">
            <w:pPr>
              <w:spacing w:after="0"/>
            </w:pPr>
          </w:p>
        </w:tc>
        <w:tc>
          <w:tcPr>
            <w:tcBorders>
              <w:top w:val="nil"/>
              <w:left w:val="nil"/>
              <w:bottom w:val="nil"/>
              <w:right w:val="nil"/>
            </w:tcBorders>
            <w:vAlign w:val="bottom"/>
          </w:tcPr>
          <w:p w14:paraId="000004B2">
            <w:pPr>
              <w:spacing w:after="0"/>
            </w:pPr>
          </w:p>
        </w:tc>
        <w:tc>
          <w:tcPr>
            <w:tcBorders>
              <w:top w:val="nil"/>
              <w:left w:val="nil"/>
              <w:bottom w:val="nil"/>
              <w:right w:val="nil"/>
            </w:tcBorders>
            <w:vAlign w:val="bottom"/>
          </w:tcPr>
          <w:p w14:paraId="000004B3">
            <w:pPr>
              <w:spacing w:after="0"/>
            </w:pPr>
          </w:p>
        </w:tc>
      </w:tr>
      <w:tr w14:paraId="5CF757E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B4">
            <w:pPr>
              <w:spacing w:after="0"/>
            </w:pPr>
          </w:p>
        </w:tc>
        <w:tc>
          <w:tcPr>
            <w:tcBorders>
              <w:top w:val="nil"/>
              <w:left w:val="nil"/>
              <w:bottom w:val="nil"/>
              <w:right w:val="nil"/>
            </w:tcBorders>
            <w:vAlign w:val="bottom"/>
          </w:tcPr>
          <w:p w14:paraId="000004B5">
            <w:pPr>
              <w:spacing w:after="0"/>
            </w:pPr>
          </w:p>
        </w:tc>
        <w:tc>
          <w:tcPr>
            <w:tcBorders>
              <w:top w:val="nil"/>
              <w:left w:val="nil"/>
              <w:bottom w:val="nil"/>
              <w:right w:val="nil"/>
            </w:tcBorders>
            <w:vAlign w:val="bottom"/>
          </w:tcPr>
          <w:p w14:paraId="000004B6">
            <w:pPr>
              <w:spacing w:after="0"/>
            </w:pPr>
          </w:p>
        </w:tc>
        <w:tc>
          <w:tcPr>
            <w:tcBorders>
              <w:top w:val="nil"/>
              <w:left w:val="nil"/>
              <w:bottom w:val="nil"/>
              <w:right w:val="nil"/>
            </w:tcBorders>
            <w:vAlign w:val="bottom"/>
          </w:tcPr>
          <w:p w14:paraId="000004B7">
            <w:pPr>
              <w:spacing w:after="0"/>
            </w:pPr>
          </w:p>
        </w:tc>
        <w:tc>
          <w:tcPr>
            <w:tcBorders>
              <w:top w:val="nil"/>
              <w:left w:val="nil"/>
              <w:bottom w:val="nil"/>
              <w:right w:val="nil"/>
            </w:tcBorders>
            <w:vAlign w:val="bottom"/>
          </w:tcPr>
          <w:p w14:paraId="000004B8">
            <w:pPr>
              <w:spacing w:after="0"/>
            </w:pPr>
          </w:p>
        </w:tc>
        <w:tc>
          <w:tcPr>
            <w:tcBorders>
              <w:top w:val="nil"/>
              <w:left w:val="nil"/>
              <w:bottom w:val="nil"/>
              <w:right w:val="nil"/>
            </w:tcBorders>
            <w:vAlign w:val="bottom"/>
          </w:tcPr>
          <w:p w14:paraId="000004B9">
            <w:pPr>
              <w:spacing w:after="0"/>
            </w:pPr>
          </w:p>
        </w:tc>
      </w:tr>
      <w:tr w14:paraId="25721EAB">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4BA">
            <w:pPr>
              <w:spacing w:after="0"/>
              <w:rPr>
                <w:b/>
                <w:bCs/>
              </w:rPr>
            </w:pPr>
            <w:r>
              <w:rPr>
                <w:rFonts w:ascii="Andika" w:hAnsi="Andika" w:eastAsia="Andika" w:cs="Andika"/>
                <w:b/>
                <w:bCs/>
                <w:rtl w:val="0"/>
              </w:rPr>
              <w:t>3️⃣ Cash Flow Ratios</w:t>
            </w:r>
          </w:p>
        </w:tc>
        <w:tc>
          <w:tcPr>
            <w:tcBorders>
              <w:top w:val="nil"/>
              <w:left w:val="nil"/>
              <w:bottom w:val="nil"/>
              <w:right w:val="nil"/>
            </w:tcBorders>
            <w:vAlign w:val="bottom"/>
          </w:tcPr>
          <w:p w14:paraId="000004BC">
            <w:pPr>
              <w:spacing w:after="0"/>
              <w:rPr>
                <w:b/>
                <w:bCs/>
              </w:rPr>
            </w:pPr>
          </w:p>
        </w:tc>
        <w:tc>
          <w:tcPr>
            <w:tcBorders>
              <w:top w:val="nil"/>
              <w:left w:val="nil"/>
              <w:bottom w:val="nil"/>
              <w:right w:val="nil"/>
            </w:tcBorders>
            <w:vAlign w:val="bottom"/>
          </w:tcPr>
          <w:p w14:paraId="000004BD">
            <w:pPr>
              <w:spacing w:after="0"/>
            </w:pPr>
          </w:p>
        </w:tc>
        <w:tc>
          <w:tcPr>
            <w:tcBorders>
              <w:top w:val="nil"/>
              <w:left w:val="nil"/>
              <w:bottom w:val="nil"/>
              <w:right w:val="nil"/>
            </w:tcBorders>
            <w:vAlign w:val="bottom"/>
          </w:tcPr>
          <w:p w14:paraId="000004BE">
            <w:pPr>
              <w:spacing w:after="0"/>
            </w:pPr>
          </w:p>
        </w:tc>
        <w:tc>
          <w:tcPr>
            <w:tcBorders>
              <w:top w:val="nil"/>
              <w:left w:val="nil"/>
              <w:bottom w:val="nil"/>
              <w:right w:val="nil"/>
            </w:tcBorders>
            <w:vAlign w:val="bottom"/>
          </w:tcPr>
          <w:p w14:paraId="000004BF">
            <w:pPr>
              <w:spacing w:after="0"/>
            </w:pPr>
          </w:p>
        </w:tc>
      </w:tr>
      <w:tr w14:paraId="54E0C07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C0">
            <w:pPr>
              <w:spacing w:after="0"/>
            </w:pPr>
          </w:p>
        </w:tc>
        <w:tc>
          <w:tcPr>
            <w:tcBorders>
              <w:top w:val="nil"/>
              <w:left w:val="nil"/>
              <w:bottom w:val="nil"/>
              <w:right w:val="nil"/>
            </w:tcBorders>
            <w:vAlign w:val="bottom"/>
          </w:tcPr>
          <w:p w14:paraId="000004C1">
            <w:pPr>
              <w:spacing w:after="0"/>
            </w:pPr>
          </w:p>
        </w:tc>
        <w:tc>
          <w:tcPr>
            <w:tcBorders>
              <w:top w:val="nil"/>
              <w:left w:val="nil"/>
              <w:bottom w:val="nil"/>
              <w:right w:val="nil"/>
            </w:tcBorders>
            <w:vAlign w:val="bottom"/>
          </w:tcPr>
          <w:p w14:paraId="000004C2">
            <w:pPr>
              <w:spacing w:after="0"/>
            </w:pPr>
          </w:p>
        </w:tc>
        <w:tc>
          <w:tcPr>
            <w:tcBorders>
              <w:top w:val="nil"/>
              <w:left w:val="nil"/>
              <w:bottom w:val="nil"/>
              <w:right w:val="nil"/>
            </w:tcBorders>
            <w:vAlign w:val="bottom"/>
          </w:tcPr>
          <w:p w14:paraId="000004C3">
            <w:pPr>
              <w:spacing w:after="0"/>
            </w:pPr>
          </w:p>
        </w:tc>
        <w:tc>
          <w:tcPr>
            <w:tcBorders>
              <w:top w:val="nil"/>
              <w:left w:val="nil"/>
              <w:bottom w:val="nil"/>
              <w:right w:val="nil"/>
            </w:tcBorders>
            <w:vAlign w:val="bottom"/>
          </w:tcPr>
          <w:p w14:paraId="000004C4">
            <w:pPr>
              <w:spacing w:after="0"/>
            </w:pPr>
          </w:p>
        </w:tc>
        <w:tc>
          <w:tcPr>
            <w:tcBorders>
              <w:top w:val="nil"/>
              <w:left w:val="nil"/>
              <w:bottom w:val="nil"/>
              <w:right w:val="nil"/>
            </w:tcBorders>
            <w:vAlign w:val="bottom"/>
          </w:tcPr>
          <w:p w14:paraId="000004C5">
            <w:pPr>
              <w:spacing w:after="0"/>
            </w:pPr>
          </w:p>
        </w:tc>
      </w:tr>
      <w:tr w14:paraId="658C686A">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4C6">
            <w:pPr>
              <w:spacing w:after="0"/>
              <w:rPr>
                <w:b/>
                <w:bCs/>
              </w:rPr>
            </w:pPr>
            <w:r>
              <w:rPr>
                <w:b/>
                <w:bCs/>
                <w:rtl w:val="0"/>
              </w:rPr>
              <w:t>(a) Operating Cash Flow Ratio</w:t>
            </w:r>
          </w:p>
        </w:tc>
        <w:tc>
          <w:tcPr>
            <w:tcBorders>
              <w:top w:val="nil"/>
              <w:left w:val="nil"/>
              <w:bottom w:val="nil"/>
              <w:right w:val="nil"/>
            </w:tcBorders>
            <w:vAlign w:val="bottom"/>
          </w:tcPr>
          <w:p w14:paraId="000004C8">
            <w:pPr>
              <w:spacing w:after="0"/>
              <w:rPr>
                <w:b/>
                <w:bCs/>
              </w:rPr>
            </w:pPr>
          </w:p>
        </w:tc>
        <w:tc>
          <w:tcPr>
            <w:tcBorders>
              <w:top w:val="nil"/>
              <w:left w:val="nil"/>
              <w:bottom w:val="nil"/>
              <w:right w:val="nil"/>
            </w:tcBorders>
            <w:vAlign w:val="bottom"/>
          </w:tcPr>
          <w:p w14:paraId="000004C9">
            <w:pPr>
              <w:spacing w:after="0"/>
            </w:pPr>
          </w:p>
        </w:tc>
        <w:tc>
          <w:tcPr>
            <w:tcBorders>
              <w:top w:val="nil"/>
              <w:left w:val="nil"/>
              <w:bottom w:val="nil"/>
              <w:right w:val="nil"/>
            </w:tcBorders>
            <w:vAlign w:val="bottom"/>
          </w:tcPr>
          <w:p w14:paraId="000004CA">
            <w:pPr>
              <w:spacing w:after="0"/>
            </w:pPr>
          </w:p>
        </w:tc>
        <w:tc>
          <w:tcPr>
            <w:tcBorders>
              <w:top w:val="nil"/>
              <w:left w:val="nil"/>
              <w:bottom w:val="nil"/>
              <w:right w:val="nil"/>
            </w:tcBorders>
            <w:vAlign w:val="bottom"/>
          </w:tcPr>
          <w:p w14:paraId="000004CB">
            <w:pPr>
              <w:spacing w:after="0"/>
            </w:pPr>
          </w:p>
        </w:tc>
      </w:tr>
      <w:tr w14:paraId="03FA948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CC">
            <w:pPr>
              <w:spacing w:after="0"/>
            </w:pPr>
          </w:p>
        </w:tc>
        <w:tc>
          <w:tcPr>
            <w:tcBorders>
              <w:top w:val="nil"/>
              <w:left w:val="nil"/>
              <w:bottom w:val="nil"/>
              <w:right w:val="nil"/>
            </w:tcBorders>
            <w:vAlign w:val="bottom"/>
          </w:tcPr>
          <w:p w14:paraId="000004CD">
            <w:pPr>
              <w:spacing w:after="0"/>
            </w:pPr>
          </w:p>
        </w:tc>
        <w:tc>
          <w:tcPr>
            <w:tcBorders>
              <w:top w:val="nil"/>
              <w:left w:val="nil"/>
              <w:bottom w:val="nil"/>
              <w:right w:val="nil"/>
            </w:tcBorders>
            <w:vAlign w:val="bottom"/>
          </w:tcPr>
          <w:p w14:paraId="000004CE">
            <w:pPr>
              <w:spacing w:after="0"/>
            </w:pPr>
          </w:p>
        </w:tc>
        <w:tc>
          <w:tcPr>
            <w:tcBorders>
              <w:top w:val="nil"/>
              <w:left w:val="nil"/>
              <w:bottom w:val="nil"/>
              <w:right w:val="nil"/>
            </w:tcBorders>
            <w:vAlign w:val="bottom"/>
          </w:tcPr>
          <w:p w14:paraId="000004CF">
            <w:pPr>
              <w:spacing w:after="0"/>
            </w:pPr>
          </w:p>
        </w:tc>
        <w:tc>
          <w:tcPr>
            <w:tcBorders>
              <w:top w:val="nil"/>
              <w:left w:val="nil"/>
              <w:bottom w:val="nil"/>
              <w:right w:val="nil"/>
            </w:tcBorders>
            <w:vAlign w:val="bottom"/>
          </w:tcPr>
          <w:p w14:paraId="000004D0">
            <w:pPr>
              <w:spacing w:after="0"/>
            </w:pPr>
          </w:p>
        </w:tc>
        <w:tc>
          <w:tcPr>
            <w:tcBorders>
              <w:top w:val="nil"/>
              <w:left w:val="nil"/>
              <w:bottom w:val="nil"/>
              <w:right w:val="nil"/>
            </w:tcBorders>
            <w:vAlign w:val="bottom"/>
          </w:tcPr>
          <w:p w14:paraId="000004D1">
            <w:pPr>
              <w:spacing w:after="0"/>
            </w:pPr>
          </w:p>
        </w:tc>
      </w:tr>
      <w:tr w14:paraId="1C55BDA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D2">
            <w:pPr>
              <w:spacing w:after="0"/>
              <w:rPr>
                <w:b/>
                <w:bCs/>
              </w:rPr>
            </w:pPr>
            <w:r>
              <w:rPr>
                <w:b/>
                <w:bCs/>
                <w:rtl w:val="0"/>
              </w:rPr>
              <w:t>Formula:</w:t>
            </w:r>
          </w:p>
        </w:tc>
        <w:tc>
          <w:tcPr>
            <w:tcBorders>
              <w:top w:val="nil"/>
              <w:left w:val="nil"/>
              <w:bottom w:val="nil"/>
              <w:right w:val="nil"/>
            </w:tcBorders>
            <w:vAlign w:val="bottom"/>
          </w:tcPr>
          <w:p w14:paraId="000004D3">
            <w:pPr>
              <w:spacing w:after="0"/>
              <w:rPr>
                <w:b/>
                <w:bCs/>
              </w:rPr>
            </w:pPr>
          </w:p>
        </w:tc>
        <w:tc>
          <w:tcPr>
            <w:tcBorders>
              <w:top w:val="nil"/>
              <w:left w:val="nil"/>
              <w:bottom w:val="nil"/>
              <w:right w:val="nil"/>
            </w:tcBorders>
            <w:vAlign w:val="bottom"/>
          </w:tcPr>
          <w:p w14:paraId="000004D4">
            <w:pPr>
              <w:spacing w:after="0"/>
            </w:pPr>
          </w:p>
        </w:tc>
        <w:tc>
          <w:tcPr>
            <w:tcBorders>
              <w:top w:val="nil"/>
              <w:left w:val="nil"/>
              <w:bottom w:val="nil"/>
              <w:right w:val="nil"/>
            </w:tcBorders>
            <w:vAlign w:val="bottom"/>
          </w:tcPr>
          <w:p w14:paraId="000004D5">
            <w:pPr>
              <w:spacing w:after="0"/>
            </w:pPr>
          </w:p>
        </w:tc>
        <w:tc>
          <w:tcPr>
            <w:tcBorders>
              <w:top w:val="nil"/>
              <w:left w:val="nil"/>
              <w:bottom w:val="nil"/>
              <w:right w:val="nil"/>
            </w:tcBorders>
            <w:vAlign w:val="bottom"/>
          </w:tcPr>
          <w:p w14:paraId="000004D6">
            <w:pPr>
              <w:spacing w:after="0"/>
            </w:pPr>
          </w:p>
        </w:tc>
        <w:tc>
          <w:tcPr>
            <w:tcBorders>
              <w:top w:val="nil"/>
              <w:left w:val="nil"/>
              <w:bottom w:val="nil"/>
              <w:right w:val="nil"/>
            </w:tcBorders>
            <w:vAlign w:val="bottom"/>
          </w:tcPr>
          <w:p w14:paraId="000004D7">
            <w:pPr>
              <w:spacing w:after="0"/>
            </w:pPr>
          </w:p>
        </w:tc>
      </w:tr>
      <w:tr w14:paraId="23E9C6CE">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4D8">
            <w:pPr>
              <w:spacing w:after="0"/>
            </w:pPr>
            <w:r>
              <w:rPr>
                <w:rtl w:val="0"/>
              </w:rPr>
              <w:t>Operating Cash Flow ÷ Current Liabilities</w:t>
            </w:r>
          </w:p>
        </w:tc>
        <w:tc>
          <w:tcPr>
            <w:tcBorders>
              <w:top w:val="nil"/>
              <w:left w:val="nil"/>
              <w:bottom w:val="nil"/>
              <w:right w:val="nil"/>
            </w:tcBorders>
            <w:vAlign w:val="bottom"/>
          </w:tcPr>
          <w:p w14:paraId="000004DB">
            <w:pPr>
              <w:spacing w:after="0"/>
            </w:pPr>
          </w:p>
        </w:tc>
        <w:tc>
          <w:tcPr>
            <w:tcBorders>
              <w:top w:val="nil"/>
              <w:left w:val="nil"/>
              <w:bottom w:val="nil"/>
              <w:right w:val="nil"/>
            </w:tcBorders>
            <w:vAlign w:val="bottom"/>
          </w:tcPr>
          <w:p w14:paraId="000004DC">
            <w:pPr>
              <w:spacing w:after="0"/>
            </w:pPr>
          </w:p>
        </w:tc>
        <w:tc>
          <w:tcPr>
            <w:tcBorders>
              <w:top w:val="nil"/>
              <w:left w:val="nil"/>
              <w:bottom w:val="nil"/>
              <w:right w:val="nil"/>
            </w:tcBorders>
            <w:vAlign w:val="bottom"/>
          </w:tcPr>
          <w:p w14:paraId="000004DD">
            <w:pPr>
              <w:spacing w:after="0"/>
            </w:pPr>
          </w:p>
        </w:tc>
      </w:tr>
      <w:tr w14:paraId="2DBD768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4DE">
            <w:pPr>
              <w:spacing w:after="0"/>
            </w:pPr>
          </w:p>
        </w:tc>
        <w:tc>
          <w:tcPr>
            <w:tcBorders>
              <w:top w:val="nil"/>
              <w:left w:val="nil"/>
              <w:bottom w:val="nil"/>
              <w:right w:val="nil"/>
            </w:tcBorders>
            <w:vAlign w:val="bottom"/>
          </w:tcPr>
          <w:p w14:paraId="000004DF">
            <w:pPr>
              <w:spacing w:after="0"/>
            </w:pPr>
          </w:p>
        </w:tc>
        <w:tc>
          <w:tcPr>
            <w:tcBorders>
              <w:top w:val="nil"/>
              <w:left w:val="nil"/>
              <w:bottom w:val="nil"/>
              <w:right w:val="nil"/>
            </w:tcBorders>
            <w:vAlign w:val="bottom"/>
          </w:tcPr>
          <w:p w14:paraId="000004E0">
            <w:pPr>
              <w:spacing w:after="0"/>
            </w:pPr>
          </w:p>
        </w:tc>
        <w:tc>
          <w:tcPr>
            <w:tcBorders>
              <w:top w:val="nil"/>
              <w:left w:val="nil"/>
              <w:bottom w:val="nil"/>
              <w:right w:val="nil"/>
            </w:tcBorders>
            <w:vAlign w:val="bottom"/>
          </w:tcPr>
          <w:p w14:paraId="000004E1">
            <w:pPr>
              <w:spacing w:after="0"/>
            </w:pPr>
          </w:p>
        </w:tc>
        <w:tc>
          <w:tcPr>
            <w:tcBorders>
              <w:top w:val="nil"/>
              <w:left w:val="nil"/>
              <w:bottom w:val="nil"/>
              <w:right w:val="nil"/>
            </w:tcBorders>
            <w:vAlign w:val="bottom"/>
          </w:tcPr>
          <w:p w14:paraId="000004E2">
            <w:pPr>
              <w:spacing w:after="0"/>
            </w:pPr>
          </w:p>
        </w:tc>
        <w:tc>
          <w:tcPr>
            <w:tcBorders>
              <w:top w:val="nil"/>
              <w:left w:val="nil"/>
              <w:bottom w:val="nil"/>
              <w:right w:val="nil"/>
            </w:tcBorders>
            <w:vAlign w:val="bottom"/>
          </w:tcPr>
          <w:p w14:paraId="000004E3">
            <w:pPr>
              <w:spacing w:after="0"/>
            </w:pPr>
          </w:p>
        </w:tc>
      </w:tr>
      <w:tr w14:paraId="438AAF1E">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E4">
            <w:pPr>
              <w:spacing w:after="0"/>
              <w:rPr>
                <w:b/>
                <w:bCs/>
              </w:rPr>
            </w:pPr>
            <w:r>
              <w:rPr>
                <w:b/>
                <w:bCs/>
                <w:rtl w:val="0"/>
              </w:rPr>
              <w:t>Year</w:t>
            </w:r>
          </w:p>
        </w:tc>
        <w:tc>
          <w:tcPr>
            <w:tcBorders>
              <w:top w:val="nil"/>
              <w:left w:val="nil"/>
              <w:bottom w:val="nil"/>
              <w:right w:val="nil"/>
            </w:tcBorders>
            <w:vAlign w:val="center"/>
          </w:tcPr>
          <w:p w14:paraId="000004E5">
            <w:pPr>
              <w:spacing w:after="0"/>
              <w:rPr>
                <w:b/>
                <w:bCs/>
              </w:rPr>
            </w:pPr>
            <w:r>
              <w:rPr>
                <w:b/>
                <w:bCs/>
                <w:rtl w:val="0"/>
              </w:rPr>
              <w:t>Operating Cash Flow</w:t>
            </w:r>
          </w:p>
        </w:tc>
        <w:tc>
          <w:tcPr>
            <w:tcBorders>
              <w:top w:val="nil"/>
              <w:left w:val="nil"/>
              <w:bottom w:val="nil"/>
              <w:right w:val="nil"/>
            </w:tcBorders>
            <w:vAlign w:val="center"/>
          </w:tcPr>
          <w:p w14:paraId="000004E6">
            <w:pPr>
              <w:spacing w:after="0"/>
              <w:rPr>
                <w:b/>
                <w:bCs/>
              </w:rPr>
            </w:pPr>
            <w:r>
              <w:rPr>
                <w:b/>
                <w:bCs/>
                <w:rtl w:val="0"/>
              </w:rPr>
              <w:t>Current Liabilities</w:t>
            </w:r>
          </w:p>
        </w:tc>
        <w:tc>
          <w:tcPr>
            <w:tcBorders>
              <w:top w:val="nil"/>
              <w:left w:val="nil"/>
              <w:bottom w:val="nil"/>
              <w:right w:val="nil"/>
            </w:tcBorders>
            <w:vAlign w:val="center"/>
          </w:tcPr>
          <w:p w14:paraId="000004E7">
            <w:pPr>
              <w:spacing w:after="0"/>
              <w:rPr>
                <w:b/>
                <w:bCs/>
              </w:rPr>
            </w:pPr>
            <w:r>
              <w:rPr>
                <w:b/>
                <w:bCs/>
                <w:rtl w:val="0"/>
              </w:rPr>
              <w:t>Calculation</w:t>
            </w:r>
          </w:p>
        </w:tc>
        <w:tc>
          <w:tcPr>
            <w:tcBorders>
              <w:top w:val="nil"/>
              <w:left w:val="nil"/>
              <w:bottom w:val="nil"/>
              <w:right w:val="nil"/>
            </w:tcBorders>
            <w:vAlign w:val="center"/>
          </w:tcPr>
          <w:p w14:paraId="000004E8">
            <w:pPr>
              <w:spacing w:after="0"/>
              <w:rPr>
                <w:b/>
                <w:bCs/>
              </w:rPr>
            </w:pPr>
            <w:r>
              <w:rPr>
                <w:b/>
                <w:bCs/>
                <w:rtl w:val="0"/>
              </w:rPr>
              <w:t>OCF Ratio</w:t>
            </w:r>
          </w:p>
        </w:tc>
        <w:tc>
          <w:tcPr>
            <w:tcBorders>
              <w:top w:val="nil"/>
              <w:left w:val="nil"/>
              <w:bottom w:val="nil"/>
              <w:right w:val="nil"/>
            </w:tcBorders>
            <w:vAlign w:val="bottom"/>
          </w:tcPr>
          <w:p w14:paraId="000004E9">
            <w:pPr>
              <w:spacing w:after="0"/>
              <w:rPr>
                <w:b/>
                <w:bCs/>
              </w:rPr>
            </w:pPr>
          </w:p>
        </w:tc>
      </w:tr>
      <w:tr w14:paraId="2D1A56D5">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EA">
            <w:pPr>
              <w:spacing w:after="0"/>
            </w:pPr>
            <w:r>
              <w:rPr>
                <w:rtl w:val="0"/>
              </w:rPr>
              <w:t>2024</w:t>
            </w:r>
          </w:p>
        </w:tc>
        <w:tc>
          <w:tcPr>
            <w:tcBorders>
              <w:top w:val="nil"/>
              <w:left w:val="nil"/>
              <w:bottom w:val="nil"/>
              <w:right w:val="nil"/>
            </w:tcBorders>
            <w:vAlign w:val="center"/>
          </w:tcPr>
          <w:p w14:paraId="000004EB">
            <w:pPr>
              <w:spacing w:after="0"/>
            </w:pPr>
            <w:r>
              <w:rPr>
                <w:rtl w:val="0"/>
              </w:rPr>
              <w:t>14,822</w:t>
            </w:r>
          </w:p>
        </w:tc>
        <w:tc>
          <w:tcPr>
            <w:tcBorders>
              <w:top w:val="nil"/>
              <w:left w:val="nil"/>
              <w:bottom w:val="nil"/>
              <w:right w:val="nil"/>
            </w:tcBorders>
            <w:vAlign w:val="center"/>
          </w:tcPr>
          <w:p w14:paraId="000004EC">
            <w:pPr>
              <w:spacing w:after="0"/>
            </w:pPr>
            <w:r>
              <w:rPr>
                <w:rtl w:val="0"/>
              </w:rPr>
              <w:t>1,58,291</w:t>
            </w:r>
          </w:p>
        </w:tc>
        <w:tc>
          <w:tcPr>
            <w:tcBorders>
              <w:top w:val="nil"/>
              <w:left w:val="nil"/>
              <w:bottom w:val="nil"/>
              <w:right w:val="nil"/>
            </w:tcBorders>
            <w:vAlign w:val="center"/>
          </w:tcPr>
          <w:p w14:paraId="000004ED">
            <w:pPr>
              <w:spacing w:after="0"/>
            </w:pPr>
            <w:r>
              <w:rPr>
                <w:rtl w:val="0"/>
              </w:rPr>
              <w:t>14,822 ÷ 158,291</w:t>
            </w:r>
          </w:p>
        </w:tc>
        <w:tc>
          <w:tcPr>
            <w:tcBorders>
              <w:top w:val="nil"/>
              <w:left w:val="nil"/>
              <w:bottom w:val="nil"/>
              <w:right w:val="nil"/>
            </w:tcBorders>
            <w:vAlign w:val="center"/>
          </w:tcPr>
          <w:p w14:paraId="000004EE">
            <w:pPr>
              <w:spacing w:after="0"/>
              <w:rPr>
                <w:b/>
                <w:bCs/>
              </w:rPr>
            </w:pPr>
            <w:r>
              <w:rPr>
                <w:b/>
                <w:bCs/>
                <w:rtl w:val="0"/>
              </w:rPr>
              <w:t>0.09</w:t>
            </w:r>
          </w:p>
        </w:tc>
        <w:tc>
          <w:tcPr>
            <w:tcBorders>
              <w:top w:val="nil"/>
              <w:left w:val="nil"/>
              <w:bottom w:val="nil"/>
              <w:right w:val="nil"/>
            </w:tcBorders>
            <w:vAlign w:val="bottom"/>
          </w:tcPr>
          <w:p w14:paraId="000004EF">
            <w:pPr>
              <w:spacing w:after="0"/>
              <w:rPr>
                <w:b/>
                <w:bCs/>
              </w:rPr>
            </w:pPr>
          </w:p>
        </w:tc>
      </w:tr>
      <w:tr w14:paraId="20693119">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F0">
            <w:pPr>
              <w:spacing w:after="0"/>
            </w:pPr>
            <w:r>
              <w:rPr>
                <w:rtl w:val="0"/>
              </w:rPr>
              <w:t>2023</w:t>
            </w:r>
          </w:p>
        </w:tc>
        <w:tc>
          <w:tcPr>
            <w:tcBorders>
              <w:top w:val="nil"/>
              <w:left w:val="nil"/>
              <w:bottom w:val="nil"/>
              <w:right w:val="nil"/>
            </w:tcBorders>
            <w:vAlign w:val="center"/>
          </w:tcPr>
          <w:p w14:paraId="000004F1">
            <w:pPr>
              <w:spacing w:after="0"/>
            </w:pPr>
            <w:r>
              <w:rPr>
                <w:rtl w:val="0"/>
              </w:rPr>
              <w:t>25,190</w:t>
            </w:r>
          </w:p>
        </w:tc>
        <w:tc>
          <w:tcPr>
            <w:tcBorders>
              <w:top w:val="nil"/>
              <w:left w:val="nil"/>
              <w:bottom w:val="nil"/>
              <w:right w:val="nil"/>
            </w:tcBorders>
            <w:vAlign w:val="center"/>
          </w:tcPr>
          <w:p w14:paraId="000004F2">
            <w:pPr>
              <w:spacing w:after="0"/>
            </w:pPr>
            <w:r>
              <w:rPr>
                <w:rtl w:val="0"/>
              </w:rPr>
              <w:t>1,61,148</w:t>
            </w:r>
          </w:p>
        </w:tc>
        <w:tc>
          <w:tcPr>
            <w:tcBorders>
              <w:top w:val="nil"/>
              <w:left w:val="nil"/>
              <w:bottom w:val="nil"/>
              <w:right w:val="nil"/>
            </w:tcBorders>
            <w:vAlign w:val="center"/>
          </w:tcPr>
          <w:p w14:paraId="000004F3">
            <w:pPr>
              <w:spacing w:after="0"/>
            </w:pPr>
            <w:r>
              <w:rPr>
                <w:rtl w:val="0"/>
              </w:rPr>
              <w:t>25,190 ÷ 161,148</w:t>
            </w:r>
          </w:p>
        </w:tc>
        <w:tc>
          <w:tcPr>
            <w:tcBorders>
              <w:top w:val="nil"/>
              <w:left w:val="nil"/>
              <w:bottom w:val="nil"/>
              <w:right w:val="nil"/>
            </w:tcBorders>
            <w:vAlign w:val="center"/>
          </w:tcPr>
          <w:p w14:paraId="000004F4">
            <w:pPr>
              <w:spacing w:after="0"/>
              <w:rPr>
                <w:b/>
                <w:bCs/>
              </w:rPr>
            </w:pPr>
            <w:r>
              <w:rPr>
                <w:b/>
                <w:bCs/>
                <w:rtl w:val="0"/>
              </w:rPr>
              <w:t>0.16</w:t>
            </w:r>
          </w:p>
        </w:tc>
        <w:tc>
          <w:tcPr>
            <w:tcBorders>
              <w:top w:val="nil"/>
              <w:left w:val="nil"/>
              <w:bottom w:val="nil"/>
              <w:right w:val="nil"/>
            </w:tcBorders>
            <w:vAlign w:val="bottom"/>
          </w:tcPr>
          <w:p w14:paraId="000004F5">
            <w:pPr>
              <w:spacing w:after="0"/>
              <w:rPr>
                <w:b/>
                <w:bCs/>
              </w:rPr>
            </w:pPr>
          </w:p>
        </w:tc>
      </w:tr>
      <w:tr w14:paraId="5BDBCD6B">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F6">
            <w:pPr>
              <w:spacing w:after="0"/>
            </w:pPr>
            <w:r>
              <w:rPr>
                <w:rtl w:val="0"/>
              </w:rPr>
              <w:t>2022</w:t>
            </w:r>
          </w:p>
        </w:tc>
        <w:tc>
          <w:tcPr>
            <w:tcBorders>
              <w:top w:val="nil"/>
              <w:left w:val="nil"/>
              <w:bottom w:val="nil"/>
              <w:right w:val="nil"/>
            </w:tcBorders>
            <w:vAlign w:val="center"/>
          </w:tcPr>
          <w:p w14:paraId="000004F7">
            <w:pPr>
              <w:spacing w:after="0"/>
            </w:pPr>
            <w:r>
              <w:rPr>
                <w:rtl w:val="0"/>
              </w:rPr>
              <w:t>10,926</w:t>
            </w:r>
          </w:p>
        </w:tc>
        <w:tc>
          <w:tcPr>
            <w:tcBorders>
              <w:top w:val="nil"/>
              <w:left w:val="nil"/>
              <w:bottom w:val="nil"/>
              <w:right w:val="nil"/>
            </w:tcBorders>
            <w:vAlign w:val="center"/>
          </w:tcPr>
          <w:p w14:paraId="000004F8">
            <w:pPr>
              <w:spacing w:after="0"/>
            </w:pPr>
            <w:r>
              <w:rPr>
                <w:rtl w:val="0"/>
              </w:rPr>
              <w:t>2,16,473</w:t>
            </w:r>
          </w:p>
        </w:tc>
        <w:tc>
          <w:tcPr>
            <w:tcBorders>
              <w:top w:val="nil"/>
              <w:left w:val="nil"/>
              <w:bottom w:val="nil"/>
              <w:right w:val="nil"/>
            </w:tcBorders>
            <w:vAlign w:val="center"/>
          </w:tcPr>
          <w:p w14:paraId="000004F9">
            <w:pPr>
              <w:spacing w:after="0"/>
            </w:pPr>
            <w:r>
              <w:rPr>
                <w:rtl w:val="0"/>
              </w:rPr>
              <w:t>10,926 ÷ 216,473</w:t>
            </w:r>
          </w:p>
        </w:tc>
        <w:tc>
          <w:tcPr>
            <w:tcBorders>
              <w:top w:val="nil"/>
              <w:left w:val="nil"/>
              <w:bottom w:val="nil"/>
              <w:right w:val="nil"/>
            </w:tcBorders>
            <w:vAlign w:val="center"/>
          </w:tcPr>
          <w:p w14:paraId="000004FA">
            <w:pPr>
              <w:spacing w:after="0"/>
              <w:rPr>
                <w:b/>
                <w:bCs/>
              </w:rPr>
            </w:pPr>
            <w:r>
              <w:rPr>
                <w:b/>
                <w:bCs/>
                <w:rtl w:val="0"/>
              </w:rPr>
              <w:t>0.05</w:t>
            </w:r>
          </w:p>
        </w:tc>
        <w:tc>
          <w:tcPr>
            <w:tcBorders>
              <w:top w:val="nil"/>
              <w:left w:val="nil"/>
              <w:bottom w:val="nil"/>
              <w:right w:val="nil"/>
            </w:tcBorders>
            <w:vAlign w:val="bottom"/>
          </w:tcPr>
          <w:p w14:paraId="000004FB">
            <w:pPr>
              <w:spacing w:after="0"/>
              <w:rPr>
                <w:b/>
                <w:bCs/>
              </w:rPr>
            </w:pPr>
          </w:p>
        </w:tc>
      </w:tr>
      <w:tr w14:paraId="09B6AED1">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4FC">
            <w:pPr>
              <w:spacing w:after="0"/>
            </w:pPr>
            <w:r>
              <w:rPr>
                <w:rtl w:val="0"/>
              </w:rPr>
              <w:t>2021</w:t>
            </w:r>
          </w:p>
        </w:tc>
        <w:tc>
          <w:tcPr>
            <w:tcBorders>
              <w:top w:val="nil"/>
              <w:left w:val="nil"/>
              <w:bottom w:val="nil"/>
              <w:right w:val="nil"/>
            </w:tcBorders>
            <w:vAlign w:val="center"/>
          </w:tcPr>
          <w:p w14:paraId="000004FD">
            <w:pPr>
              <w:spacing w:after="0"/>
            </w:pPr>
            <w:r>
              <w:rPr>
                <w:rtl w:val="0"/>
              </w:rPr>
              <w:t>40,283</w:t>
            </w:r>
          </w:p>
        </w:tc>
        <w:tc>
          <w:tcPr>
            <w:tcBorders>
              <w:top w:val="nil"/>
              <w:left w:val="nil"/>
              <w:bottom w:val="nil"/>
              <w:right w:val="nil"/>
            </w:tcBorders>
            <w:vAlign w:val="center"/>
          </w:tcPr>
          <w:p w14:paraId="000004FE">
            <w:pPr>
              <w:spacing w:after="0"/>
            </w:pPr>
            <w:r>
              <w:rPr>
                <w:rtl w:val="0"/>
              </w:rPr>
              <w:t>2,16,787</w:t>
            </w:r>
          </w:p>
        </w:tc>
        <w:tc>
          <w:tcPr>
            <w:tcBorders>
              <w:top w:val="nil"/>
              <w:left w:val="nil"/>
              <w:bottom w:val="nil"/>
              <w:right w:val="nil"/>
            </w:tcBorders>
            <w:vAlign w:val="center"/>
          </w:tcPr>
          <w:p w14:paraId="000004FF">
            <w:pPr>
              <w:spacing w:after="0"/>
            </w:pPr>
            <w:r>
              <w:rPr>
                <w:rtl w:val="0"/>
              </w:rPr>
              <w:t>40,283 ÷ 216,787</w:t>
            </w:r>
          </w:p>
        </w:tc>
        <w:tc>
          <w:tcPr>
            <w:tcBorders>
              <w:top w:val="nil"/>
              <w:left w:val="nil"/>
              <w:bottom w:val="nil"/>
              <w:right w:val="nil"/>
            </w:tcBorders>
            <w:vAlign w:val="center"/>
          </w:tcPr>
          <w:p w14:paraId="00000500">
            <w:pPr>
              <w:spacing w:after="0"/>
              <w:rPr>
                <w:b/>
                <w:bCs/>
              </w:rPr>
            </w:pPr>
            <w:r>
              <w:rPr>
                <w:b/>
                <w:bCs/>
                <w:rtl w:val="0"/>
              </w:rPr>
              <w:t>0.19</w:t>
            </w:r>
          </w:p>
        </w:tc>
        <w:tc>
          <w:tcPr>
            <w:tcBorders>
              <w:top w:val="nil"/>
              <w:left w:val="nil"/>
              <w:bottom w:val="nil"/>
              <w:right w:val="nil"/>
            </w:tcBorders>
            <w:vAlign w:val="bottom"/>
          </w:tcPr>
          <w:p w14:paraId="00000501">
            <w:pPr>
              <w:spacing w:after="0"/>
              <w:rPr>
                <w:b/>
                <w:bCs/>
              </w:rPr>
            </w:pPr>
          </w:p>
        </w:tc>
      </w:tr>
      <w:tr w14:paraId="29BEF890">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02">
            <w:pPr>
              <w:spacing w:after="0"/>
            </w:pPr>
            <w:r>
              <w:rPr>
                <w:rtl w:val="0"/>
              </w:rPr>
              <w:t>2020</w:t>
            </w:r>
          </w:p>
        </w:tc>
        <w:tc>
          <w:tcPr>
            <w:tcBorders>
              <w:top w:val="nil"/>
              <w:left w:val="nil"/>
              <w:bottom w:val="nil"/>
              <w:right w:val="nil"/>
            </w:tcBorders>
            <w:vAlign w:val="center"/>
          </w:tcPr>
          <w:p w14:paraId="00000503">
            <w:pPr>
              <w:spacing w:after="0"/>
            </w:pPr>
            <w:r>
              <w:rPr>
                <w:rtl w:val="0"/>
              </w:rPr>
              <w:t>73,392</w:t>
            </w:r>
          </w:p>
        </w:tc>
        <w:tc>
          <w:tcPr>
            <w:tcBorders>
              <w:top w:val="nil"/>
              <w:left w:val="nil"/>
              <w:bottom w:val="nil"/>
              <w:right w:val="nil"/>
            </w:tcBorders>
            <w:vAlign w:val="center"/>
          </w:tcPr>
          <w:p w14:paraId="00000504">
            <w:pPr>
              <w:spacing w:after="0"/>
            </w:pPr>
            <w:r>
              <w:rPr>
                <w:rtl w:val="0"/>
              </w:rPr>
              <w:t>1,79,510</w:t>
            </w:r>
          </w:p>
        </w:tc>
        <w:tc>
          <w:tcPr>
            <w:tcBorders>
              <w:top w:val="nil"/>
              <w:left w:val="nil"/>
              <w:bottom w:val="nil"/>
              <w:right w:val="nil"/>
            </w:tcBorders>
            <w:vAlign w:val="center"/>
          </w:tcPr>
          <w:p w14:paraId="00000505">
            <w:pPr>
              <w:spacing w:after="0"/>
            </w:pPr>
            <w:r>
              <w:rPr>
                <w:rtl w:val="0"/>
              </w:rPr>
              <w:t>73,392 ÷ 179,510</w:t>
            </w:r>
          </w:p>
        </w:tc>
        <w:tc>
          <w:tcPr>
            <w:tcBorders>
              <w:top w:val="nil"/>
              <w:left w:val="nil"/>
              <w:bottom w:val="nil"/>
              <w:right w:val="nil"/>
            </w:tcBorders>
            <w:vAlign w:val="center"/>
          </w:tcPr>
          <w:p w14:paraId="00000506">
            <w:pPr>
              <w:spacing w:after="0"/>
              <w:rPr>
                <w:b/>
                <w:bCs/>
              </w:rPr>
            </w:pPr>
            <w:r>
              <w:rPr>
                <w:b/>
                <w:bCs/>
                <w:rtl w:val="0"/>
              </w:rPr>
              <w:t>0.41</w:t>
            </w:r>
          </w:p>
        </w:tc>
        <w:tc>
          <w:tcPr>
            <w:tcBorders>
              <w:top w:val="nil"/>
              <w:left w:val="nil"/>
              <w:bottom w:val="nil"/>
              <w:right w:val="nil"/>
            </w:tcBorders>
            <w:vAlign w:val="bottom"/>
          </w:tcPr>
          <w:p w14:paraId="00000507">
            <w:pPr>
              <w:spacing w:after="0"/>
              <w:rPr>
                <w:b/>
                <w:bCs/>
              </w:rPr>
            </w:pPr>
          </w:p>
        </w:tc>
      </w:tr>
      <w:tr w14:paraId="6D8B6D0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08">
            <w:pPr>
              <w:spacing w:after="0"/>
            </w:pPr>
          </w:p>
        </w:tc>
        <w:tc>
          <w:tcPr>
            <w:tcBorders>
              <w:top w:val="nil"/>
              <w:left w:val="nil"/>
              <w:bottom w:val="nil"/>
              <w:right w:val="nil"/>
            </w:tcBorders>
            <w:vAlign w:val="bottom"/>
          </w:tcPr>
          <w:p w14:paraId="00000509">
            <w:pPr>
              <w:spacing w:after="0"/>
            </w:pPr>
          </w:p>
        </w:tc>
        <w:tc>
          <w:tcPr>
            <w:tcBorders>
              <w:top w:val="nil"/>
              <w:left w:val="nil"/>
              <w:bottom w:val="nil"/>
              <w:right w:val="nil"/>
            </w:tcBorders>
            <w:vAlign w:val="bottom"/>
          </w:tcPr>
          <w:p w14:paraId="0000050A">
            <w:pPr>
              <w:spacing w:after="0"/>
            </w:pPr>
          </w:p>
        </w:tc>
        <w:tc>
          <w:tcPr>
            <w:tcBorders>
              <w:top w:val="nil"/>
              <w:left w:val="nil"/>
              <w:bottom w:val="nil"/>
              <w:right w:val="nil"/>
            </w:tcBorders>
            <w:vAlign w:val="bottom"/>
          </w:tcPr>
          <w:p w14:paraId="0000050B">
            <w:pPr>
              <w:spacing w:after="0"/>
            </w:pPr>
          </w:p>
        </w:tc>
        <w:tc>
          <w:tcPr>
            <w:tcBorders>
              <w:top w:val="nil"/>
              <w:left w:val="nil"/>
              <w:bottom w:val="nil"/>
              <w:right w:val="nil"/>
            </w:tcBorders>
            <w:vAlign w:val="bottom"/>
          </w:tcPr>
          <w:p w14:paraId="0000050C">
            <w:pPr>
              <w:spacing w:after="0"/>
            </w:pPr>
          </w:p>
        </w:tc>
        <w:tc>
          <w:tcPr>
            <w:tcBorders>
              <w:top w:val="nil"/>
              <w:left w:val="nil"/>
              <w:bottom w:val="nil"/>
              <w:right w:val="nil"/>
            </w:tcBorders>
            <w:vAlign w:val="bottom"/>
          </w:tcPr>
          <w:p w14:paraId="0000050D">
            <w:pPr>
              <w:spacing w:after="0"/>
            </w:pPr>
          </w:p>
        </w:tc>
      </w:tr>
      <w:tr w14:paraId="0477A78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0E">
            <w:pPr>
              <w:spacing w:after="0"/>
            </w:pPr>
          </w:p>
        </w:tc>
        <w:tc>
          <w:tcPr>
            <w:tcBorders>
              <w:top w:val="nil"/>
              <w:left w:val="nil"/>
              <w:bottom w:val="nil"/>
              <w:right w:val="nil"/>
            </w:tcBorders>
            <w:vAlign w:val="bottom"/>
          </w:tcPr>
          <w:p w14:paraId="0000050F">
            <w:pPr>
              <w:spacing w:after="0"/>
            </w:pPr>
          </w:p>
        </w:tc>
        <w:tc>
          <w:tcPr>
            <w:tcBorders>
              <w:top w:val="nil"/>
              <w:left w:val="nil"/>
              <w:bottom w:val="nil"/>
              <w:right w:val="nil"/>
            </w:tcBorders>
            <w:vAlign w:val="bottom"/>
          </w:tcPr>
          <w:p w14:paraId="00000510">
            <w:pPr>
              <w:spacing w:after="0"/>
            </w:pPr>
          </w:p>
        </w:tc>
        <w:tc>
          <w:tcPr>
            <w:tcBorders>
              <w:top w:val="nil"/>
              <w:left w:val="nil"/>
              <w:bottom w:val="nil"/>
              <w:right w:val="nil"/>
            </w:tcBorders>
            <w:vAlign w:val="bottom"/>
          </w:tcPr>
          <w:p w14:paraId="00000511">
            <w:pPr>
              <w:spacing w:after="0"/>
            </w:pPr>
          </w:p>
        </w:tc>
        <w:tc>
          <w:tcPr>
            <w:tcBorders>
              <w:top w:val="nil"/>
              <w:left w:val="nil"/>
              <w:bottom w:val="nil"/>
              <w:right w:val="nil"/>
            </w:tcBorders>
            <w:vAlign w:val="bottom"/>
          </w:tcPr>
          <w:p w14:paraId="00000512">
            <w:pPr>
              <w:spacing w:after="0"/>
            </w:pPr>
          </w:p>
        </w:tc>
        <w:tc>
          <w:tcPr>
            <w:tcBorders>
              <w:top w:val="nil"/>
              <w:left w:val="nil"/>
              <w:bottom w:val="nil"/>
              <w:right w:val="nil"/>
            </w:tcBorders>
            <w:vAlign w:val="bottom"/>
          </w:tcPr>
          <w:p w14:paraId="00000513">
            <w:pPr>
              <w:spacing w:after="0"/>
            </w:pPr>
          </w:p>
        </w:tc>
      </w:tr>
      <w:tr w14:paraId="617A4878">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514">
            <w:pPr>
              <w:spacing w:after="0"/>
              <w:rPr>
                <w:b/>
                <w:bCs/>
              </w:rPr>
            </w:pPr>
            <w:r>
              <w:rPr>
                <w:b/>
                <w:bCs/>
                <w:rtl w:val="0"/>
              </w:rPr>
              <w:t>(b) Free Cash Flow (FCF)</w:t>
            </w:r>
          </w:p>
        </w:tc>
        <w:tc>
          <w:tcPr>
            <w:tcBorders>
              <w:top w:val="nil"/>
              <w:left w:val="nil"/>
              <w:bottom w:val="nil"/>
              <w:right w:val="nil"/>
            </w:tcBorders>
            <w:vAlign w:val="bottom"/>
          </w:tcPr>
          <w:p w14:paraId="00000516">
            <w:pPr>
              <w:spacing w:after="0"/>
              <w:rPr>
                <w:b/>
                <w:bCs/>
              </w:rPr>
            </w:pPr>
          </w:p>
        </w:tc>
        <w:tc>
          <w:tcPr>
            <w:tcBorders>
              <w:top w:val="nil"/>
              <w:left w:val="nil"/>
              <w:bottom w:val="nil"/>
              <w:right w:val="nil"/>
            </w:tcBorders>
            <w:vAlign w:val="bottom"/>
          </w:tcPr>
          <w:p w14:paraId="00000517">
            <w:pPr>
              <w:spacing w:after="0"/>
            </w:pPr>
          </w:p>
        </w:tc>
        <w:tc>
          <w:tcPr>
            <w:tcBorders>
              <w:top w:val="nil"/>
              <w:left w:val="nil"/>
              <w:bottom w:val="nil"/>
              <w:right w:val="nil"/>
            </w:tcBorders>
            <w:vAlign w:val="bottom"/>
          </w:tcPr>
          <w:p w14:paraId="00000518">
            <w:pPr>
              <w:spacing w:after="0"/>
            </w:pPr>
          </w:p>
        </w:tc>
        <w:tc>
          <w:tcPr>
            <w:tcBorders>
              <w:top w:val="nil"/>
              <w:left w:val="nil"/>
              <w:bottom w:val="nil"/>
              <w:right w:val="nil"/>
            </w:tcBorders>
            <w:vAlign w:val="bottom"/>
          </w:tcPr>
          <w:p w14:paraId="00000519">
            <w:pPr>
              <w:spacing w:after="0"/>
            </w:pPr>
          </w:p>
        </w:tc>
      </w:tr>
      <w:tr w14:paraId="10AB57D1">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1A">
            <w:pPr>
              <w:spacing w:after="0"/>
            </w:pPr>
          </w:p>
        </w:tc>
        <w:tc>
          <w:tcPr>
            <w:tcBorders>
              <w:top w:val="nil"/>
              <w:left w:val="nil"/>
              <w:bottom w:val="nil"/>
              <w:right w:val="nil"/>
            </w:tcBorders>
            <w:vAlign w:val="bottom"/>
          </w:tcPr>
          <w:p w14:paraId="0000051B">
            <w:pPr>
              <w:spacing w:after="0"/>
            </w:pPr>
          </w:p>
        </w:tc>
        <w:tc>
          <w:tcPr>
            <w:tcBorders>
              <w:top w:val="nil"/>
              <w:left w:val="nil"/>
              <w:bottom w:val="nil"/>
              <w:right w:val="nil"/>
            </w:tcBorders>
            <w:vAlign w:val="bottom"/>
          </w:tcPr>
          <w:p w14:paraId="0000051C">
            <w:pPr>
              <w:spacing w:after="0"/>
            </w:pPr>
          </w:p>
        </w:tc>
        <w:tc>
          <w:tcPr>
            <w:tcBorders>
              <w:top w:val="nil"/>
              <w:left w:val="nil"/>
              <w:bottom w:val="nil"/>
              <w:right w:val="nil"/>
            </w:tcBorders>
            <w:vAlign w:val="bottom"/>
          </w:tcPr>
          <w:p w14:paraId="0000051D">
            <w:pPr>
              <w:spacing w:after="0"/>
            </w:pPr>
          </w:p>
        </w:tc>
        <w:tc>
          <w:tcPr>
            <w:tcBorders>
              <w:top w:val="nil"/>
              <w:left w:val="nil"/>
              <w:bottom w:val="nil"/>
              <w:right w:val="nil"/>
            </w:tcBorders>
            <w:vAlign w:val="bottom"/>
          </w:tcPr>
          <w:p w14:paraId="0000051E">
            <w:pPr>
              <w:spacing w:after="0"/>
            </w:pPr>
          </w:p>
        </w:tc>
        <w:tc>
          <w:tcPr>
            <w:tcBorders>
              <w:top w:val="nil"/>
              <w:left w:val="nil"/>
              <w:bottom w:val="nil"/>
              <w:right w:val="nil"/>
            </w:tcBorders>
            <w:vAlign w:val="bottom"/>
          </w:tcPr>
          <w:p w14:paraId="0000051F">
            <w:pPr>
              <w:spacing w:after="0"/>
            </w:pPr>
          </w:p>
        </w:tc>
      </w:tr>
      <w:tr w14:paraId="5911C817">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20">
            <w:pPr>
              <w:spacing w:after="0"/>
              <w:rPr>
                <w:b/>
                <w:bCs/>
              </w:rPr>
            </w:pPr>
            <w:r>
              <w:rPr>
                <w:b/>
                <w:bCs/>
                <w:rtl w:val="0"/>
              </w:rPr>
              <w:t>Formula:</w:t>
            </w:r>
          </w:p>
        </w:tc>
        <w:tc>
          <w:tcPr>
            <w:tcBorders>
              <w:top w:val="nil"/>
              <w:left w:val="nil"/>
              <w:bottom w:val="nil"/>
              <w:right w:val="nil"/>
            </w:tcBorders>
            <w:vAlign w:val="bottom"/>
          </w:tcPr>
          <w:p w14:paraId="00000521">
            <w:pPr>
              <w:spacing w:after="0"/>
              <w:rPr>
                <w:b/>
                <w:bCs/>
              </w:rPr>
            </w:pPr>
          </w:p>
        </w:tc>
        <w:tc>
          <w:tcPr>
            <w:tcBorders>
              <w:top w:val="nil"/>
              <w:left w:val="nil"/>
              <w:bottom w:val="nil"/>
              <w:right w:val="nil"/>
            </w:tcBorders>
            <w:vAlign w:val="bottom"/>
          </w:tcPr>
          <w:p w14:paraId="00000522">
            <w:pPr>
              <w:spacing w:after="0"/>
            </w:pPr>
          </w:p>
        </w:tc>
        <w:tc>
          <w:tcPr>
            <w:tcBorders>
              <w:top w:val="nil"/>
              <w:left w:val="nil"/>
              <w:bottom w:val="nil"/>
              <w:right w:val="nil"/>
            </w:tcBorders>
            <w:vAlign w:val="bottom"/>
          </w:tcPr>
          <w:p w14:paraId="00000523">
            <w:pPr>
              <w:spacing w:after="0"/>
            </w:pPr>
          </w:p>
        </w:tc>
        <w:tc>
          <w:tcPr>
            <w:tcBorders>
              <w:top w:val="nil"/>
              <w:left w:val="nil"/>
              <w:bottom w:val="nil"/>
              <w:right w:val="nil"/>
            </w:tcBorders>
            <w:vAlign w:val="bottom"/>
          </w:tcPr>
          <w:p w14:paraId="00000524">
            <w:pPr>
              <w:spacing w:after="0"/>
            </w:pPr>
          </w:p>
        </w:tc>
        <w:tc>
          <w:tcPr>
            <w:tcBorders>
              <w:top w:val="nil"/>
              <w:left w:val="nil"/>
              <w:bottom w:val="nil"/>
              <w:right w:val="nil"/>
            </w:tcBorders>
            <w:vAlign w:val="bottom"/>
          </w:tcPr>
          <w:p w14:paraId="00000525">
            <w:pPr>
              <w:spacing w:after="0"/>
            </w:pPr>
          </w:p>
        </w:tc>
      </w:tr>
      <w:tr w14:paraId="1DE4BB7B">
        <w:tblPrEx>
          <w:tblCellMar>
            <w:top w:w="0" w:type="dxa"/>
            <w:left w:w="115" w:type="dxa"/>
            <w:bottom w:w="0" w:type="dxa"/>
            <w:right w:w="115" w:type="dxa"/>
          </w:tblCellMar>
        </w:tblPrEx>
        <w:trPr>
          <w:trHeight w:val="288" w:hRule="atLeast"/>
        </w:trPr>
        <w:tc>
          <w:tcPr>
            <w:gridSpan w:val="4"/>
            <w:tcBorders>
              <w:top w:val="nil"/>
              <w:left w:val="nil"/>
              <w:bottom w:val="nil"/>
              <w:right w:val="nil"/>
            </w:tcBorders>
            <w:vAlign w:val="bottom"/>
          </w:tcPr>
          <w:p w14:paraId="00000526">
            <w:pPr>
              <w:spacing w:after="0"/>
            </w:pPr>
            <w:r>
              <w:rPr>
                <w:rFonts w:ascii="Gungsuh" w:hAnsi="Gungsuh" w:eastAsia="Gungsuh" w:cs="Gungsuh"/>
                <w:rtl w:val="0"/>
              </w:rPr>
              <w:t>Operating Cash Flow − Capital Expenditure (PPE only)</w:t>
            </w:r>
          </w:p>
        </w:tc>
        <w:tc>
          <w:tcPr>
            <w:tcBorders>
              <w:top w:val="nil"/>
              <w:left w:val="nil"/>
              <w:bottom w:val="nil"/>
              <w:right w:val="nil"/>
            </w:tcBorders>
            <w:vAlign w:val="bottom"/>
          </w:tcPr>
          <w:p w14:paraId="0000052A">
            <w:pPr>
              <w:spacing w:after="0"/>
            </w:pPr>
          </w:p>
        </w:tc>
        <w:tc>
          <w:tcPr>
            <w:tcBorders>
              <w:top w:val="nil"/>
              <w:left w:val="nil"/>
              <w:bottom w:val="nil"/>
              <w:right w:val="nil"/>
            </w:tcBorders>
            <w:vAlign w:val="bottom"/>
          </w:tcPr>
          <w:p w14:paraId="0000052B">
            <w:pPr>
              <w:spacing w:after="0"/>
            </w:pPr>
          </w:p>
        </w:tc>
      </w:tr>
      <w:tr w14:paraId="4F0CFF0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2C">
            <w:pPr>
              <w:spacing w:after="0"/>
            </w:pPr>
          </w:p>
        </w:tc>
        <w:tc>
          <w:tcPr>
            <w:tcBorders>
              <w:top w:val="nil"/>
              <w:left w:val="nil"/>
              <w:bottom w:val="nil"/>
              <w:right w:val="nil"/>
            </w:tcBorders>
            <w:vAlign w:val="bottom"/>
          </w:tcPr>
          <w:p w14:paraId="0000052D">
            <w:pPr>
              <w:spacing w:after="0"/>
            </w:pPr>
          </w:p>
        </w:tc>
        <w:tc>
          <w:tcPr>
            <w:tcBorders>
              <w:top w:val="nil"/>
              <w:left w:val="nil"/>
              <w:bottom w:val="nil"/>
              <w:right w:val="nil"/>
            </w:tcBorders>
            <w:vAlign w:val="bottom"/>
          </w:tcPr>
          <w:p w14:paraId="0000052E">
            <w:pPr>
              <w:spacing w:after="0"/>
            </w:pPr>
          </w:p>
        </w:tc>
        <w:tc>
          <w:tcPr>
            <w:tcBorders>
              <w:top w:val="nil"/>
              <w:left w:val="nil"/>
              <w:bottom w:val="nil"/>
              <w:right w:val="nil"/>
            </w:tcBorders>
            <w:vAlign w:val="bottom"/>
          </w:tcPr>
          <w:p w14:paraId="0000052F">
            <w:pPr>
              <w:spacing w:after="0"/>
            </w:pPr>
          </w:p>
        </w:tc>
        <w:tc>
          <w:tcPr>
            <w:tcBorders>
              <w:top w:val="nil"/>
              <w:left w:val="nil"/>
              <w:bottom w:val="nil"/>
              <w:right w:val="nil"/>
            </w:tcBorders>
            <w:vAlign w:val="bottom"/>
          </w:tcPr>
          <w:p w14:paraId="00000530">
            <w:pPr>
              <w:spacing w:after="0"/>
            </w:pPr>
          </w:p>
        </w:tc>
        <w:tc>
          <w:tcPr>
            <w:tcBorders>
              <w:top w:val="nil"/>
              <w:left w:val="nil"/>
              <w:bottom w:val="nil"/>
              <w:right w:val="nil"/>
            </w:tcBorders>
            <w:vAlign w:val="bottom"/>
          </w:tcPr>
          <w:p w14:paraId="00000531">
            <w:pPr>
              <w:spacing w:after="0"/>
            </w:pPr>
          </w:p>
        </w:tc>
      </w:tr>
      <w:tr w14:paraId="3E14F163">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32">
            <w:pPr>
              <w:spacing w:after="0"/>
              <w:rPr>
                <w:b/>
                <w:bCs/>
              </w:rPr>
            </w:pPr>
            <w:r>
              <w:rPr>
                <w:b/>
                <w:bCs/>
                <w:rtl w:val="0"/>
              </w:rPr>
              <w:t>Year</w:t>
            </w:r>
          </w:p>
        </w:tc>
        <w:tc>
          <w:tcPr>
            <w:tcBorders>
              <w:top w:val="nil"/>
              <w:left w:val="nil"/>
              <w:bottom w:val="nil"/>
              <w:right w:val="nil"/>
            </w:tcBorders>
            <w:vAlign w:val="center"/>
          </w:tcPr>
          <w:p w14:paraId="00000533">
            <w:pPr>
              <w:spacing w:after="0"/>
              <w:rPr>
                <w:b/>
                <w:bCs/>
              </w:rPr>
            </w:pPr>
            <w:r>
              <w:rPr>
                <w:b/>
                <w:bCs/>
                <w:rtl w:val="0"/>
              </w:rPr>
              <w:t>OCF</w:t>
            </w:r>
          </w:p>
        </w:tc>
        <w:tc>
          <w:tcPr>
            <w:tcBorders>
              <w:top w:val="nil"/>
              <w:left w:val="nil"/>
              <w:bottom w:val="nil"/>
              <w:right w:val="nil"/>
            </w:tcBorders>
            <w:vAlign w:val="center"/>
          </w:tcPr>
          <w:p w14:paraId="00000534">
            <w:pPr>
              <w:spacing w:after="0"/>
              <w:rPr>
                <w:b/>
                <w:bCs/>
              </w:rPr>
            </w:pPr>
            <w:r>
              <w:rPr>
                <w:b/>
                <w:bCs/>
                <w:rtl w:val="0"/>
              </w:rPr>
              <w:t>Capex</w:t>
            </w:r>
          </w:p>
        </w:tc>
        <w:tc>
          <w:tcPr>
            <w:tcBorders>
              <w:top w:val="nil"/>
              <w:left w:val="nil"/>
              <w:bottom w:val="nil"/>
              <w:right w:val="nil"/>
            </w:tcBorders>
            <w:vAlign w:val="center"/>
          </w:tcPr>
          <w:p w14:paraId="00000535">
            <w:pPr>
              <w:spacing w:after="0"/>
              <w:rPr>
                <w:b/>
                <w:bCs/>
              </w:rPr>
            </w:pPr>
            <w:r>
              <w:rPr>
                <w:b/>
                <w:bCs/>
                <w:rtl w:val="0"/>
              </w:rPr>
              <w:t>Calculation</w:t>
            </w:r>
          </w:p>
        </w:tc>
        <w:tc>
          <w:tcPr>
            <w:tcBorders>
              <w:top w:val="nil"/>
              <w:left w:val="nil"/>
              <w:bottom w:val="nil"/>
              <w:right w:val="nil"/>
            </w:tcBorders>
            <w:vAlign w:val="center"/>
          </w:tcPr>
          <w:p w14:paraId="00000536">
            <w:pPr>
              <w:spacing w:after="0"/>
              <w:rPr>
                <w:b/>
                <w:bCs/>
              </w:rPr>
            </w:pPr>
            <w:r>
              <w:rPr>
                <w:b/>
                <w:bCs/>
                <w:rtl w:val="0"/>
              </w:rPr>
              <w:t>Free Cash Flow</w:t>
            </w:r>
          </w:p>
        </w:tc>
        <w:tc>
          <w:tcPr>
            <w:tcBorders>
              <w:top w:val="nil"/>
              <w:left w:val="nil"/>
              <w:bottom w:val="nil"/>
              <w:right w:val="nil"/>
            </w:tcBorders>
            <w:vAlign w:val="bottom"/>
          </w:tcPr>
          <w:p w14:paraId="00000537">
            <w:pPr>
              <w:spacing w:after="0"/>
              <w:rPr>
                <w:b/>
                <w:bCs/>
              </w:rPr>
            </w:pPr>
          </w:p>
        </w:tc>
      </w:tr>
      <w:tr w14:paraId="34A69AA6">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38">
            <w:pPr>
              <w:spacing w:after="0"/>
            </w:pPr>
            <w:r>
              <w:rPr>
                <w:rtl w:val="0"/>
              </w:rPr>
              <w:t>2024</w:t>
            </w:r>
          </w:p>
        </w:tc>
        <w:tc>
          <w:tcPr>
            <w:tcBorders>
              <w:top w:val="nil"/>
              <w:left w:val="nil"/>
              <w:bottom w:val="nil"/>
              <w:right w:val="nil"/>
            </w:tcBorders>
            <w:vAlign w:val="center"/>
          </w:tcPr>
          <w:p w14:paraId="00000539">
            <w:pPr>
              <w:spacing w:after="0"/>
            </w:pPr>
            <w:r>
              <w:rPr>
                <w:rtl w:val="0"/>
              </w:rPr>
              <w:t>14,822</w:t>
            </w:r>
          </w:p>
        </w:tc>
        <w:tc>
          <w:tcPr>
            <w:tcBorders>
              <w:top w:val="nil"/>
              <w:left w:val="nil"/>
              <w:bottom w:val="nil"/>
              <w:right w:val="nil"/>
            </w:tcBorders>
            <w:vAlign w:val="center"/>
          </w:tcPr>
          <w:p w14:paraId="0000053A">
            <w:pPr>
              <w:spacing w:after="0"/>
            </w:pPr>
            <w:r>
              <w:rPr>
                <w:rtl w:val="0"/>
              </w:rPr>
              <w:t>4,572</w:t>
            </w:r>
          </w:p>
        </w:tc>
        <w:tc>
          <w:tcPr>
            <w:tcBorders>
              <w:top w:val="nil"/>
              <w:left w:val="nil"/>
              <w:bottom w:val="nil"/>
              <w:right w:val="nil"/>
            </w:tcBorders>
            <w:vAlign w:val="center"/>
          </w:tcPr>
          <w:p w14:paraId="0000053B">
            <w:pPr>
              <w:spacing w:after="0"/>
            </w:pPr>
            <w:r>
              <w:rPr>
                <w:rFonts w:ascii="Gungsuh" w:hAnsi="Gungsuh" w:eastAsia="Gungsuh" w:cs="Gungsuh"/>
                <w:rtl w:val="0"/>
              </w:rPr>
              <w:t>14,822 − 4,572</w:t>
            </w:r>
          </w:p>
        </w:tc>
        <w:tc>
          <w:tcPr>
            <w:tcBorders>
              <w:top w:val="nil"/>
              <w:left w:val="nil"/>
              <w:bottom w:val="nil"/>
              <w:right w:val="nil"/>
            </w:tcBorders>
            <w:vAlign w:val="center"/>
          </w:tcPr>
          <w:p w14:paraId="0000053C">
            <w:pPr>
              <w:spacing w:after="0"/>
              <w:rPr>
                <w:b/>
                <w:bCs/>
              </w:rPr>
            </w:pPr>
            <w:r>
              <w:rPr>
                <w:b/>
                <w:bCs/>
                <w:rtl w:val="0"/>
              </w:rPr>
              <w:t>10,250</w:t>
            </w:r>
          </w:p>
        </w:tc>
        <w:tc>
          <w:tcPr>
            <w:tcBorders>
              <w:top w:val="nil"/>
              <w:left w:val="nil"/>
              <w:bottom w:val="nil"/>
              <w:right w:val="nil"/>
            </w:tcBorders>
            <w:vAlign w:val="bottom"/>
          </w:tcPr>
          <w:p w14:paraId="0000053D">
            <w:pPr>
              <w:spacing w:after="0"/>
              <w:rPr>
                <w:b/>
                <w:bCs/>
              </w:rPr>
            </w:pPr>
          </w:p>
        </w:tc>
      </w:tr>
      <w:tr w14:paraId="3EFE91FA">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3E">
            <w:pPr>
              <w:spacing w:after="0"/>
            </w:pPr>
            <w:r>
              <w:rPr>
                <w:rtl w:val="0"/>
              </w:rPr>
              <w:t>2023</w:t>
            </w:r>
          </w:p>
        </w:tc>
        <w:tc>
          <w:tcPr>
            <w:tcBorders>
              <w:top w:val="nil"/>
              <w:left w:val="nil"/>
              <w:bottom w:val="nil"/>
              <w:right w:val="nil"/>
            </w:tcBorders>
            <w:vAlign w:val="center"/>
          </w:tcPr>
          <w:p w14:paraId="0000053F">
            <w:pPr>
              <w:spacing w:after="0"/>
            </w:pPr>
            <w:r>
              <w:rPr>
                <w:rtl w:val="0"/>
              </w:rPr>
              <w:t>25,190</w:t>
            </w:r>
          </w:p>
        </w:tc>
        <w:tc>
          <w:tcPr>
            <w:tcBorders>
              <w:top w:val="nil"/>
              <w:left w:val="nil"/>
              <w:bottom w:val="nil"/>
              <w:right w:val="nil"/>
            </w:tcBorders>
            <w:vAlign w:val="center"/>
          </w:tcPr>
          <w:p w14:paraId="00000540">
            <w:pPr>
              <w:spacing w:after="0"/>
            </w:pPr>
            <w:r>
              <w:rPr>
                <w:rtl w:val="0"/>
              </w:rPr>
              <w:t>8,116</w:t>
            </w:r>
          </w:p>
        </w:tc>
        <w:tc>
          <w:tcPr>
            <w:tcBorders>
              <w:top w:val="nil"/>
              <w:left w:val="nil"/>
              <w:bottom w:val="nil"/>
              <w:right w:val="nil"/>
            </w:tcBorders>
            <w:vAlign w:val="center"/>
          </w:tcPr>
          <w:p w14:paraId="00000541">
            <w:pPr>
              <w:spacing w:after="0"/>
            </w:pPr>
            <w:r>
              <w:rPr>
                <w:rFonts w:ascii="Gungsuh" w:hAnsi="Gungsuh" w:eastAsia="Gungsuh" w:cs="Gungsuh"/>
                <w:rtl w:val="0"/>
              </w:rPr>
              <w:t>25,190 − 8,116</w:t>
            </w:r>
          </w:p>
        </w:tc>
        <w:tc>
          <w:tcPr>
            <w:tcBorders>
              <w:top w:val="nil"/>
              <w:left w:val="nil"/>
              <w:bottom w:val="nil"/>
              <w:right w:val="nil"/>
            </w:tcBorders>
            <w:vAlign w:val="center"/>
          </w:tcPr>
          <w:p w14:paraId="00000542">
            <w:pPr>
              <w:spacing w:after="0"/>
              <w:rPr>
                <w:b/>
                <w:bCs/>
              </w:rPr>
            </w:pPr>
            <w:r>
              <w:rPr>
                <w:b/>
                <w:bCs/>
                <w:rtl w:val="0"/>
              </w:rPr>
              <w:t>17,074</w:t>
            </w:r>
          </w:p>
        </w:tc>
        <w:tc>
          <w:tcPr>
            <w:tcBorders>
              <w:top w:val="nil"/>
              <w:left w:val="nil"/>
              <w:bottom w:val="nil"/>
              <w:right w:val="nil"/>
            </w:tcBorders>
            <w:vAlign w:val="bottom"/>
          </w:tcPr>
          <w:p w14:paraId="00000543">
            <w:pPr>
              <w:spacing w:after="0"/>
              <w:rPr>
                <w:b/>
                <w:bCs/>
              </w:rPr>
            </w:pPr>
          </w:p>
        </w:tc>
      </w:tr>
      <w:tr w14:paraId="5EED0938">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44">
            <w:pPr>
              <w:spacing w:after="0"/>
            </w:pPr>
            <w:r>
              <w:rPr>
                <w:rtl w:val="0"/>
              </w:rPr>
              <w:t>2022</w:t>
            </w:r>
          </w:p>
        </w:tc>
        <w:tc>
          <w:tcPr>
            <w:tcBorders>
              <w:top w:val="nil"/>
              <w:left w:val="nil"/>
              <w:bottom w:val="nil"/>
              <w:right w:val="nil"/>
            </w:tcBorders>
            <w:vAlign w:val="center"/>
          </w:tcPr>
          <w:p w14:paraId="00000545">
            <w:pPr>
              <w:spacing w:after="0"/>
            </w:pPr>
            <w:r>
              <w:rPr>
                <w:rtl w:val="0"/>
              </w:rPr>
              <w:t>10,926</w:t>
            </w:r>
          </w:p>
        </w:tc>
        <w:tc>
          <w:tcPr>
            <w:tcBorders>
              <w:top w:val="nil"/>
              <w:left w:val="nil"/>
              <w:bottom w:val="nil"/>
              <w:right w:val="nil"/>
            </w:tcBorders>
            <w:vAlign w:val="center"/>
          </w:tcPr>
          <w:p w14:paraId="00000546">
            <w:pPr>
              <w:spacing w:after="0"/>
            </w:pPr>
            <w:r>
              <w:rPr>
                <w:rtl w:val="0"/>
              </w:rPr>
              <w:t>14,006</w:t>
            </w:r>
          </w:p>
        </w:tc>
        <w:tc>
          <w:tcPr>
            <w:tcBorders>
              <w:top w:val="nil"/>
              <w:left w:val="nil"/>
              <w:bottom w:val="nil"/>
              <w:right w:val="nil"/>
            </w:tcBorders>
            <w:vAlign w:val="center"/>
          </w:tcPr>
          <w:p w14:paraId="00000547">
            <w:pPr>
              <w:spacing w:after="0"/>
            </w:pPr>
            <w:r>
              <w:rPr>
                <w:rFonts w:ascii="Gungsuh" w:hAnsi="Gungsuh" w:eastAsia="Gungsuh" w:cs="Gungsuh"/>
                <w:rtl w:val="0"/>
              </w:rPr>
              <w:t>10,926 − 14,006</w:t>
            </w:r>
          </w:p>
        </w:tc>
        <w:tc>
          <w:tcPr>
            <w:tcBorders>
              <w:top w:val="nil"/>
              <w:left w:val="nil"/>
              <w:bottom w:val="nil"/>
              <w:right w:val="nil"/>
            </w:tcBorders>
            <w:vAlign w:val="center"/>
          </w:tcPr>
          <w:p w14:paraId="00000548">
            <w:pPr>
              <w:spacing w:after="0"/>
              <w:rPr>
                <w:b/>
                <w:bCs/>
              </w:rPr>
            </w:pPr>
            <w:r>
              <w:rPr>
                <w:b/>
                <w:bCs/>
                <w:rtl w:val="0"/>
              </w:rPr>
              <w:t>-3,080</w:t>
            </w:r>
          </w:p>
        </w:tc>
        <w:tc>
          <w:tcPr>
            <w:tcBorders>
              <w:top w:val="nil"/>
              <w:left w:val="nil"/>
              <w:bottom w:val="nil"/>
              <w:right w:val="nil"/>
            </w:tcBorders>
            <w:vAlign w:val="bottom"/>
          </w:tcPr>
          <w:p w14:paraId="00000549">
            <w:pPr>
              <w:spacing w:after="0"/>
              <w:rPr>
                <w:b/>
                <w:bCs/>
              </w:rPr>
            </w:pPr>
          </w:p>
        </w:tc>
      </w:tr>
      <w:tr w14:paraId="368C704F">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4A">
            <w:pPr>
              <w:spacing w:after="0"/>
            </w:pPr>
            <w:r>
              <w:rPr>
                <w:rtl w:val="0"/>
              </w:rPr>
              <w:t>2021</w:t>
            </w:r>
          </w:p>
        </w:tc>
        <w:tc>
          <w:tcPr>
            <w:tcBorders>
              <w:top w:val="nil"/>
              <w:left w:val="nil"/>
              <w:bottom w:val="nil"/>
              <w:right w:val="nil"/>
            </w:tcBorders>
            <w:vAlign w:val="center"/>
          </w:tcPr>
          <w:p w14:paraId="0000054B">
            <w:pPr>
              <w:spacing w:after="0"/>
            </w:pPr>
            <w:r>
              <w:rPr>
                <w:rtl w:val="0"/>
              </w:rPr>
              <w:t>40,283</w:t>
            </w:r>
          </w:p>
        </w:tc>
        <w:tc>
          <w:tcPr>
            <w:tcBorders>
              <w:top w:val="nil"/>
              <w:left w:val="nil"/>
              <w:bottom w:val="nil"/>
              <w:right w:val="nil"/>
            </w:tcBorders>
            <w:vAlign w:val="center"/>
          </w:tcPr>
          <w:p w14:paraId="0000054C">
            <w:pPr>
              <w:spacing w:after="0"/>
            </w:pPr>
            <w:r>
              <w:rPr>
                <w:rtl w:val="0"/>
              </w:rPr>
              <w:t>12,586</w:t>
            </w:r>
          </w:p>
        </w:tc>
        <w:tc>
          <w:tcPr>
            <w:tcBorders>
              <w:top w:val="nil"/>
              <w:left w:val="nil"/>
              <w:bottom w:val="nil"/>
              <w:right w:val="nil"/>
            </w:tcBorders>
            <w:vAlign w:val="center"/>
          </w:tcPr>
          <w:p w14:paraId="0000054D">
            <w:pPr>
              <w:spacing w:after="0"/>
            </w:pPr>
            <w:r>
              <w:rPr>
                <w:rFonts w:ascii="Gungsuh" w:hAnsi="Gungsuh" w:eastAsia="Gungsuh" w:cs="Gungsuh"/>
                <w:rtl w:val="0"/>
              </w:rPr>
              <w:t>40,283 − 12,586</w:t>
            </w:r>
          </w:p>
        </w:tc>
        <w:tc>
          <w:tcPr>
            <w:tcBorders>
              <w:top w:val="nil"/>
              <w:left w:val="nil"/>
              <w:bottom w:val="nil"/>
              <w:right w:val="nil"/>
            </w:tcBorders>
            <w:vAlign w:val="center"/>
          </w:tcPr>
          <w:p w14:paraId="0000054E">
            <w:pPr>
              <w:spacing w:after="0"/>
              <w:rPr>
                <w:b/>
                <w:bCs/>
              </w:rPr>
            </w:pPr>
            <w:r>
              <w:rPr>
                <w:b/>
                <w:bCs/>
                <w:rtl w:val="0"/>
              </w:rPr>
              <w:t>27,697</w:t>
            </w:r>
          </w:p>
        </w:tc>
        <w:tc>
          <w:tcPr>
            <w:tcBorders>
              <w:top w:val="nil"/>
              <w:left w:val="nil"/>
              <w:bottom w:val="nil"/>
              <w:right w:val="nil"/>
            </w:tcBorders>
            <w:vAlign w:val="bottom"/>
          </w:tcPr>
          <w:p w14:paraId="0000054F">
            <w:pPr>
              <w:spacing w:after="0"/>
              <w:rPr>
                <w:b/>
                <w:bCs/>
              </w:rPr>
            </w:pPr>
          </w:p>
        </w:tc>
      </w:tr>
      <w:tr w14:paraId="5E9AC3F8">
        <w:tblPrEx>
          <w:tblCellMar>
            <w:top w:w="0" w:type="dxa"/>
            <w:left w:w="115" w:type="dxa"/>
            <w:bottom w:w="0" w:type="dxa"/>
            <w:right w:w="115" w:type="dxa"/>
          </w:tblCellMar>
        </w:tblPrEx>
        <w:trPr>
          <w:trHeight w:val="480" w:hRule="atLeast"/>
        </w:trPr>
        <w:tc>
          <w:tcPr>
            <w:tcBorders>
              <w:top w:val="nil"/>
              <w:left w:val="nil"/>
              <w:bottom w:val="nil"/>
              <w:right w:val="nil"/>
            </w:tcBorders>
            <w:vAlign w:val="center"/>
          </w:tcPr>
          <w:p w14:paraId="00000550">
            <w:pPr>
              <w:spacing w:after="0"/>
            </w:pPr>
            <w:r>
              <w:rPr>
                <w:rtl w:val="0"/>
              </w:rPr>
              <w:t>2020</w:t>
            </w:r>
          </w:p>
        </w:tc>
        <w:tc>
          <w:tcPr>
            <w:tcBorders>
              <w:top w:val="nil"/>
              <w:left w:val="nil"/>
              <w:bottom w:val="nil"/>
              <w:right w:val="nil"/>
            </w:tcBorders>
            <w:vAlign w:val="center"/>
          </w:tcPr>
          <w:p w14:paraId="00000551">
            <w:pPr>
              <w:spacing w:after="0"/>
            </w:pPr>
            <w:r>
              <w:rPr>
                <w:rtl w:val="0"/>
              </w:rPr>
              <w:t>73,392</w:t>
            </w:r>
          </w:p>
        </w:tc>
        <w:tc>
          <w:tcPr>
            <w:tcBorders>
              <w:top w:val="nil"/>
              <w:left w:val="nil"/>
              <w:bottom w:val="nil"/>
              <w:right w:val="nil"/>
            </w:tcBorders>
            <w:vAlign w:val="center"/>
          </w:tcPr>
          <w:p w14:paraId="00000552">
            <w:pPr>
              <w:spacing w:after="0"/>
            </w:pPr>
            <w:r>
              <w:rPr>
                <w:rtl w:val="0"/>
              </w:rPr>
              <w:t>16,862</w:t>
            </w:r>
          </w:p>
        </w:tc>
        <w:tc>
          <w:tcPr>
            <w:tcBorders>
              <w:top w:val="nil"/>
              <w:left w:val="nil"/>
              <w:bottom w:val="nil"/>
              <w:right w:val="nil"/>
            </w:tcBorders>
            <w:vAlign w:val="center"/>
          </w:tcPr>
          <w:p w14:paraId="00000553">
            <w:pPr>
              <w:spacing w:after="0"/>
            </w:pPr>
            <w:r>
              <w:rPr>
                <w:rFonts w:ascii="Gungsuh" w:hAnsi="Gungsuh" w:eastAsia="Gungsuh" w:cs="Gungsuh"/>
                <w:rtl w:val="0"/>
              </w:rPr>
              <w:t>73,392 − 16,862</w:t>
            </w:r>
          </w:p>
        </w:tc>
        <w:tc>
          <w:tcPr>
            <w:tcBorders>
              <w:top w:val="nil"/>
              <w:left w:val="nil"/>
              <w:bottom w:val="nil"/>
              <w:right w:val="nil"/>
            </w:tcBorders>
            <w:vAlign w:val="center"/>
          </w:tcPr>
          <w:p w14:paraId="00000554">
            <w:pPr>
              <w:spacing w:after="0"/>
              <w:rPr>
                <w:b/>
                <w:bCs/>
              </w:rPr>
            </w:pPr>
            <w:r>
              <w:rPr>
                <w:b/>
                <w:bCs/>
                <w:rtl w:val="0"/>
              </w:rPr>
              <w:t>56,530</w:t>
            </w:r>
          </w:p>
        </w:tc>
        <w:tc>
          <w:tcPr>
            <w:tcBorders>
              <w:top w:val="nil"/>
              <w:left w:val="nil"/>
              <w:bottom w:val="nil"/>
              <w:right w:val="nil"/>
            </w:tcBorders>
            <w:vAlign w:val="bottom"/>
          </w:tcPr>
          <w:p w14:paraId="00000555">
            <w:pPr>
              <w:spacing w:after="0"/>
              <w:rPr>
                <w:b/>
                <w:bCs/>
              </w:rPr>
            </w:pPr>
          </w:p>
        </w:tc>
      </w:tr>
      <w:tr w14:paraId="6D960BF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556">
            <w:pPr>
              <w:spacing w:after="0"/>
            </w:pPr>
          </w:p>
        </w:tc>
        <w:tc>
          <w:tcPr>
            <w:tcBorders>
              <w:top w:val="nil"/>
              <w:left w:val="nil"/>
              <w:bottom w:val="nil"/>
              <w:right w:val="nil"/>
            </w:tcBorders>
            <w:vAlign w:val="bottom"/>
          </w:tcPr>
          <w:p w14:paraId="00000557">
            <w:pPr>
              <w:spacing w:after="0"/>
            </w:pPr>
          </w:p>
        </w:tc>
        <w:tc>
          <w:tcPr>
            <w:tcBorders>
              <w:top w:val="nil"/>
              <w:left w:val="nil"/>
              <w:bottom w:val="nil"/>
              <w:right w:val="nil"/>
            </w:tcBorders>
            <w:vAlign w:val="bottom"/>
          </w:tcPr>
          <w:p w14:paraId="00000558">
            <w:pPr>
              <w:spacing w:after="0"/>
            </w:pPr>
          </w:p>
        </w:tc>
        <w:tc>
          <w:tcPr>
            <w:tcBorders>
              <w:top w:val="nil"/>
              <w:left w:val="nil"/>
              <w:bottom w:val="nil"/>
              <w:right w:val="nil"/>
            </w:tcBorders>
            <w:vAlign w:val="bottom"/>
          </w:tcPr>
          <w:p w14:paraId="00000559">
            <w:pPr>
              <w:spacing w:after="0"/>
            </w:pPr>
          </w:p>
        </w:tc>
        <w:tc>
          <w:tcPr>
            <w:tcBorders>
              <w:top w:val="nil"/>
              <w:left w:val="nil"/>
              <w:bottom w:val="nil"/>
              <w:right w:val="nil"/>
            </w:tcBorders>
            <w:vAlign w:val="bottom"/>
          </w:tcPr>
          <w:p w14:paraId="0000055A">
            <w:pPr>
              <w:spacing w:after="0"/>
            </w:pPr>
          </w:p>
        </w:tc>
        <w:tc>
          <w:tcPr>
            <w:tcBorders>
              <w:top w:val="nil"/>
              <w:left w:val="nil"/>
              <w:bottom w:val="nil"/>
              <w:right w:val="nil"/>
            </w:tcBorders>
            <w:vAlign w:val="bottom"/>
          </w:tcPr>
          <w:p w14:paraId="0000055B">
            <w:pPr>
              <w:spacing w:after="0"/>
            </w:pPr>
          </w:p>
        </w:tc>
      </w:tr>
    </w:tbl>
    <w:p w14:paraId="0000055C">
      <w:pPr>
        <w:rPr>
          <w:b/>
          <w:bCs/>
          <w:i/>
          <w:iCs/>
          <w:u w:val="single"/>
        </w:rPr>
      </w:pPr>
    </w:p>
    <w:p w14:paraId="0000055D">
      <w:pPr>
        <w:pStyle w:val="3"/>
      </w:pPr>
      <w:bookmarkStart w:id="36" w:name="_41d7fm2fd4q3" w:colFirst="0" w:colLast="0"/>
      <w:bookmarkEnd w:id="36"/>
      <w:r>
        <w:rPr>
          <w:rtl w:val="0"/>
        </w:rPr>
        <w:t>Appendix E</w:t>
      </w:r>
    </w:p>
    <w:tbl>
      <w:tblPr>
        <w:tblStyle w:val="21"/>
        <w:tblW w:w="9026" w:type="dxa"/>
        <w:tblInd w:w="0" w:type="dxa"/>
        <w:tblLayout w:type="fixed"/>
        <w:tblCellMar>
          <w:top w:w="0" w:type="dxa"/>
          <w:left w:w="115" w:type="dxa"/>
          <w:bottom w:w="0" w:type="dxa"/>
          <w:right w:w="115" w:type="dxa"/>
        </w:tblCellMar>
      </w:tblPr>
      <w:tblGrid>
        <w:gridCol w:w="2729"/>
        <w:gridCol w:w="698"/>
        <w:gridCol w:w="698"/>
        <w:gridCol w:w="699"/>
        <w:gridCol w:w="351"/>
        <w:gridCol w:w="323"/>
        <w:gridCol w:w="323"/>
        <w:gridCol w:w="323"/>
        <w:gridCol w:w="286"/>
        <w:gridCol w:w="286"/>
        <w:gridCol w:w="286"/>
        <w:gridCol w:w="286"/>
        <w:gridCol w:w="286"/>
        <w:gridCol w:w="242"/>
        <w:gridCol w:w="242"/>
        <w:gridCol w:w="242"/>
        <w:gridCol w:w="242"/>
        <w:gridCol w:w="242"/>
        <w:gridCol w:w="242"/>
      </w:tblGrid>
      <w:tr w14:paraId="54FA081F">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bottom"/>
          </w:tcPr>
          <w:p w14:paraId="0000055E">
            <w:pPr>
              <w:spacing w:after="0"/>
              <w:rPr>
                <w:b/>
                <w:bCs/>
              </w:rPr>
            </w:pPr>
            <w:r>
              <w:rPr>
                <w:b/>
                <w:bCs/>
                <w:rtl w:val="0"/>
              </w:rPr>
              <w:t>Z = 1.2A + 1.4B + 3.3C + 0.6D + 1.0E</w:t>
            </w:r>
          </w:p>
        </w:tc>
        <w:tc>
          <w:tcPr>
            <w:tcBorders>
              <w:top w:val="nil"/>
              <w:left w:val="nil"/>
              <w:bottom w:val="nil"/>
              <w:right w:val="nil"/>
            </w:tcBorders>
            <w:vAlign w:val="bottom"/>
          </w:tcPr>
          <w:p w14:paraId="00000562">
            <w:pPr>
              <w:spacing w:after="0"/>
              <w:rPr>
                <w:b/>
                <w:bCs/>
              </w:rPr>
            </w:pPr>
          </w:p>
        </w:tc>
        <w:tc>
          <w:tcPr>
            <w:tcBorders>
              <w:top w:val="nil"/>
              <w:left w:val="nil"/>
              <w:bottom w:val="nil"/>
              <w:right w:val="nil"/>
            </w:tcBorders>
            <w:vAlign w:val="bottom"/>
          </w:tcPr>
          <w:p w14:paraId="00000563">
            <w:pPr>
              <w:spacing w:after="0"/>
            </w:pPr>
          </w:p>
        </w:tc>
        <w:tc>
          <w:tcPr>
            <w:tcBorders>
              <w:top w:val="nil"/>
              <w:left w:val="nil"/>
              <w:bottom w:val="nil"/>
              <w:right w:val="nil"/>
            </w:tcBorders>
            <w:vAlign w:val="bottom"/>
          </w:tcPr>
          <w:p w14:paraId="00000564">
            <w:pPr>
              <w:spacing w:after="0"/>
            </w:pPr>
          </w:p>
        </w:tc>
        <w:tc>
          <w:tcPr>
            <w:tcBorders>
              <w:top w:val="nil"/>
              <w:left w:val="nil"/>
              <w:bottom w:val="nil"/>
              <w:right w:val="nil"/>
            </w:tcBorders>
            <w:vAlign w:val="bottom"/>
          </w:tcPr>
          <w:p w14:paraId="00000565">
            <w:pPr>
              <w:spacing w:after="0"/>
            </w:pPr>
          </w:p>
        </w:tc>
        <w:tc>
          <w:tcPr>
            <w:tcBorders>
              <w:top w:val="nil"/>
              <w:left w:val="nil"/>
              <w:bottom w:val="nil"/>
              <w:right w:val="nil"/>
            </w:tcBorders>
            <w:vAlign w:val="bottom"/>
          </w:tcPr>
          <w:p w14:paraId="00000566">
            <w:pPr>
              <w:spacing w:after="0"/>
            </w:pPr>
          </w:p>
        </w:tc>
        <w:tc>
          <w:tcPr>
            <w:tcBorders>
              <w:top w:val="nil"/>
              <w:left w:val="nil"/>
              <w:bottom w:val="nil"/>
              <w:right w:val="nil"/>
            </w:tcBorders>
            <w:vAlign w:val="bottom"/>
          </w:tcPr>
          <w:p w14:paraId="00000567">
            <w:pPr>
              <w:spacing w:after="0"/>
            </w:pPr>
          </w:p>
        </w:tc>
        <w:tc>
          <w:tcPr>
            <w:tcBorders>
              <w:top w:val="nil"/>
              <w:left w:val="nil"/>
              <w:bottom w:val="nil"/>
              <w:right w:val="nil"/>
            </w:tcBorders>
            <w:vAlign w:val="bottom"/>
          </w:tcPr>
          <w:p w14:paraId="00000568">
            <w:pPr>
              <w:spacing w:after="0"/>
            </w:pPr>
          </w:p>
        </w:tc>
        <w:tc>
          <w:tcPr>
            <w:tcBorders>
              <w:top w:val="nil"/>
              <w:left w:val="nil"/>
              <w:bottom w:val="nil"/>
              <w:right w:val="nil"/>
            </w:tcBorders>
            <w:vAlign w:val="bottom"/>
          </w:tcPr>
          <w:p w14:paraId="00000569">
            <w:pPr>
              <w:spacing w:after="0"/>
            </w:pPr>
          </w:p>
        </w:tc>
        <w:tc>
          <w:tcPr>
            <w:tcBorders>
              <w:top w:val="nil"/>
              <w:left w:val="nil"/>
              <w:bottom w:val="nil"/>
              <w:right w:val="nil"/>
            </w:tcBorders>
            <w:vAlign w:val="bottom"/>
          </w:tcPr>
          <w:p w14:paraId="0000056A">
            <w:pPr>
              <w:spacing w:after="0"/>
            </w:pPr>
          </w:p>
        </w:tc>
        <w:tc>
          <w:tcPr>
            <w:tcBorders>
              <w:top w:val="nil"/>
              <w:left w:val="nil"/>
              <w:bottom w:val="nil"/>
              <w:right w:val="nil"/>
            </w:tcBorders>
            <w:vAlign w:val="bottom"/>
          </w:tcPr>
          <w:p w14:paraId="0000056B">
            <w:pPr>
              <w:spacing w:after="0"/>
            </w:pPr>
          </w:p>
        </w:tc>
        <w:tc>
          <w:tcPr>
            <w:tcBorders>
              <w:top w:val="nil"/>
              <w:left w:val="nil"/>
              <w:bottom w:val="nil"/>
              <w:right w:val="nil"/>
            </w:tcBorders>
            <w:vAlign w:val="bottom"/>
          </w:tcPr>
          <w:p w14:paraId="0000056C">
            <w:pPr>
              <w:spacing w:after="0"/>
            </w:pPr>
          </w:p>
        </w:tc>
        <w:tc>
          <w:tcPr>
            <w:tcBorders>
              <w:top w:val="nil"/>
              <w:left w:val="nil"/>
              <w:bottom w:val="nil"/>
              <w:right w:val="nil"/>
            </w:tcBorders>
            <w:vAlign w:val="bottom"/>
          </w:tcPr>
          <w:p w14:paraId="0000056D">
            <w:pPr>
              <w:spacing w:after="0"/>
            </w:pPr>
          </w:p>
        </w:tc>
        <w:tc>
          <w:tcPr>
            <w:tcBorders>
              <w:top w:val="nil"/>
              <w:left w:val="nil"/>
              <w:bottom w:val="nil"/>
              <w:right w:val="nil"/>
            </w:tcBorders>
            <w:vAlign w:val="bottom"/>
          </w:tcPr>
          <w:p w14:paraId="0000056E">
            <w:pPr>
              <w:spacing w:after="0"/>
            </w:pPr>
          </w:p>
        </w:tc>
        <w:tc>
          <w:tcPr>
            <w:tcBorders>
              <w:top w:val="nil"/>
              <w:left w:val="nil"/>
              <w:bottom w:val="nil"/>
              <w:right w:val="nil"/>
            </w:tcBorders>
            <w:vAlign w:val="bottom"/>
          </w:tcPr>
          <w:p w14:paraId="0000056F">
            <w:pPr>
              <w:spacing w:after="0"/>
            </w:pPr>
          </w:p>
        </w:tc>
        <w:tc>
          <w:tcPr>
            <w:tcBorders>
              <w:top w:val="nil"/>
              <w:left w:val="nil"/>
              <w:bottom w:val="nil"/>
              <w:right w:val="nil"/>
            </w:tcBorders>
            <w:vAlign w:val="bottom"/>
          </w:tcPr>
          <w:p w14:paraId="00000570">
            <w:pPr>
              <w:spacing w:after="0"/>
            </w:pPr>
          </w:p>
        </w:tc>
      </w:tr>
      <w:tr w14:paraId="687E20FC">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571">
            <w:pPr>
              <w:spacing w:after="0"/>
            </w:pPr>
          </w:p>
        </w:tc>
        <w:tc>
          <w:tcPr>
            <w:tcBorders>
              <w:top w:val="nil"/>
              <w:left w:val="nil"/>
              <w:bottom w:val="nil"/>
              <w:right w:val="nil"/>
            </w:tcBorders>
            <w:vAlign w:val="bottom"/>
          </w:tcPr>
          <w:p w14:paraId="00000572">
            <w:pPr>
              <w:spacing w:after="0"/>
            </w:pPr>
          </w:p>
        </w:tc>
        <w:tc>
          <w:tcPr>
            <w:tcBorders>
              <w:top w:val="nil"/>
              <w:left w:val="nil"/>
              <w:bottom w:val="nil"/>
              <w:right w:val="nil"/>
            </w:tcBorders>
            <w:vAlign w:val="bottom"/>
          </w:tcPr>
          <w:p w14:paraId="00000573">
            <w:pPr>
              <w:spacing w:after="0"/>
            </w:pPr>
          </w:p>
        </w:tc>
        <w:tc>
          <w:tcPr>
            <w:tcBorders>
              <w:top w:val="nil"/>
              <w:left w:val="nil"/>
              <w:bottom w:val="nil"/>
              <w:right w:val="nil"/>
            </w:tcBorders>
            <w:vAlign w:val="bottom"/>
          </w:tcPr>
          <w:p w14:paraId="00000574">
            <w:pPr>
              <w:spacing w:after="0"/>
            </w:pPr>
          </w:p>
        </w:tc>
        <w:tc>
          <w:tcPr>
            <w:tcBorders>
              <w:top w:val="nil"/>
              <w:left w:val="nil"/>
              <w:bottom w:val="nil"/>
              <w:right w:val="nil"/>
            </w:tcBorders>
            <w:vAlign w:val="bottom"/>
          </w:tcPr>
          <w:p w14:paraId="00000575">
            <w:pPr>
              <w:spacing w:after="0"/>
            </w:pPr>
          </w:p>
        </w:tc>
        <w:tc>
          <w:tcPr>
            <w:tcBorders>
              <w:top w:val="nil"/>
              <w:left w:val="nil"/>
              <w:bottom w:val="nil"/>
              <w:right w:val="nil"/>
            </w:tcBorders>
            <w:vAlign w:val="bottom"/>
          </w:tcPr>
          <w:p w14:paraId="00000576">
            <w:pPr>
              <w:spacing w:after="0"/>
            </w:pPr>
          </w:p>
        </w:tc>
        <w:tc>
          <w:tcPr>
            <w:tcBorders>
              <w:top w:val="nil"/>
              <w:left w:val="nil"/>
              <w:bottom w:val="nil"/>
              <w:right w:val="nil"/>
            </w:tcBorders>
            <w:vAlign w:val="bottom"/>
          </w:tcPr>
          <w:p w14:paraId="00000577">
            <w:pPr>
              <w:spacing w:after="0"/>
            </w:pPr>
          </w:p>
        </w:tc>
        <w:tc>
          <w:tcPr>
            <w:tcBorders>
              <w:top w:val="nil"/>
              <w:left w:val="nil"/>
              <w:bottom w:val="nil"/>
              <w:right w:val="nil"/>
            </w:tcBorders>
            <w:vAlign w:val="bottom"/>
          </w:tcPr>
          <w:p w14:paraId="00000578">
            <w:pPr>
              <w:spacing w:after="0"/>
            </w:pPr>
          </w:p>
        </w:tc>
        <w:tc>
          <w:tcPr>
            <w:tcBorders>
              <w:top w:val="nil"/>
              <w:left w:val="nil"/>
              <w:bottom w:val="nil"/>
              <w:right w:val="nil"/>
            </w:tcBorders>
            <w:vAlign w:val="bottom"/>
          </w:tcPr>
          <w:p w14:paraId="00000579">
            <w:pPr>
              <w:spacing w:after="0"/>
            </w:pPr>
          </w:p>
        </w:tc>
        <w:tc>
          <w:tcPr>
            <w:tcBorders>
              <w:top w:val="nil"/>
              <w:left w:val="nil"/>
              <w:bottom w:val="nil"/>
              <w:right w:val="nil"/>
            </w:tcBorders>
            <w:vAlign w:val="bottom"/>
          </w:tcPr>
          <w:p w14:paraId="0000057A">
            <w:pPr>
              <w:spacing w:after="0"/>
            </w:pPr>
          </w:p>
        </w:tc>
        <w:tc>
          <w:tcPr>
            <w:tcBorders>
              <w:top w:val="nil"/>
              <w:left w:val="nil"/>
              <w:bottom w:val="nil"/>
              <w:right w:val="nil"/>
            </w:tcBorders>
            <w:vAlign w:val="bottom"/>
          </w:tcPr>
          <w:p w14:paraId="0000057B">
            <w:pPr>
              <w:spacing w:after="0"/>
            </w:pPr>
          </w:p>
        </w:tc>
        <w:tc>
          <w:tcPr>
            <w:tcBorders>
              <w:top w:val="nil"/>
              <w:left w:val="nil"/>
              <w:bottom w:val="nil"/>
              <w:right w:val="nil"/>
            </w:tcBorders>
            <w:vAlign w:val="bottom"/>
          </w:tcPr>
          <w:p w14:paraId="0000057C">
            <w:pPr>
              <w:spacing w:after="0"/>
            </w:pPr>
          </w:p>
        </w:tc>
        <w:tc>
          <w:tcPr>
            <w:tcBorders>
              <w:top w:val="nil"/>
              <w:left w:val="nil"/>
              <w:bottom w:val="nil"/>
              <w:right w:val="nil"/>
            </w:tcBorders>
            <w:vAlign w:val="bottom"/>
          </w:tcPr>
          <w:p w14:paraId="0000057D">
            <w:pPr>
              <w:spacing w:after="0"/>
            </w:pPr>
          </w:p>
        </w:tc>
        <w:tc>
          <w:tcPr>
            <w:tcBorders>
              <w:top w:val="nil"/>
              <w:left w:val="nil"/>
              <w:bottom w:val="nil"/>
              <w:right w:val="nil"/>
            </w:tcBorders>
            <w:vAlign w:val="bottom"/>
          </w:tcPr>
          <w:p w14:paraId="0000057E">
            <w:pPr>
              <w:spacing w:after="0"/>
            </w:pPr>
          </w:p>
        </w:tc>
        <w:tc>
          <w:tcPr>
            <w:tcBorders>
              <w:top w:val="nil"/>
              <w:left w:val="nil"/>
              <w:bottom w:val="nil"/>
              <w:right w:val="nil"/>
            </w:tcBorders>
            <w:vAlign w:val="bottom"/>
          </w:tcPr>
          <w:p w14:paraId="0000057F">
            <w:pPr>
              <w:spacing w:after="0"/>
            </w:pPr>
          </w:p>
        </w:tc>
        <w:tc>
          <w:tcPr>
            <w:tcBorders>
              <w:top w:val="nil"/>
              <w:left w:val="nil"/>
              <w:bottom w:val="nil"/>
              <w:right w:val="nil"/>
            </w:tcBorders>
            <w:vAlign w:val="bottom"/>
          </w:tcPr>
          <w:p w14:paraId="00000580">
            <w:pPr>
              <w:spacing w:after="0"/>
            </w:pPr>
          </w:p>
        </w:tc>
        <w:tc>
          <w:tcPr>
            <w:tcBorders>
              <w:top w:val="nil"/>
              <w:left w:val="nil"/>
              <w:bottom w:val="nil"/>
              <w:right w:val="nil"/>
            </w:tcBorders>
            <w:vAlign w:val="bottom"/>
          </w:tcPr>
          <w:p w14:paraId="00000581">
            <w:pPr>
              <w:spacing w:after="0"/>
            </w:pPr>
          </w:p>
        </w:tc>
        <w:tc>
          <w:tcPr>
            <w:tcBorders>
              <w:top w:val="nil"/>
              <w:left w:val="nil"/>
              <w:bottom w:val="nil"/>
              <w:right w:val="nil"/>
            </w:tcBorders>
            <w:vAlign w:val="bottom"/>
          </w:tcPr>
          <w:p w14:paraId="00000582">
            <w:pPr>
              <w:spacing w:after="0"/>
            </w:pPr>
          </w:p>
        </w:tc>
        <w:tc>
          <w:tcPr>
            <w:tcBorders>
              <w:top w:val="nil"/>
              <w:left w:val="nil"/>
              <w:bottom w:val="nil"/>
              <w:right w:val="nil"/>
            </w:tcBorders>
            <w:vAlign w:val="bottom"/>
          </w:tcPr>
          <w:p w14:paraId="00000583">
            <w:pPr>
              <w:spacing w:after="0"/>
            </w:pPr>
          </w:p>
        </w:tc>
      </w:tr>
      <w:tr w14:paraId="3ACDAA5F">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584">
            <w:pPr>
              <w:spacing w:after="0"/>
            </w:pPr>
            <w:r>
              <w:rPr>
                <w:rtl w:val="0"/>
              </w:rPr>
              <w:t>Where:</w:t>
            </w:r>
          </w:p>
        </w:tc>
        <w:tc>
          <w:tcPr>
            <w:tcBorders>
              <w:top w:val="nil"/>
              <w:left w:val="nil"/>
              <w:bottom w:val="nil"/>
              <w:right w:val="nil"/>
            </w:tcBorders>
            <w:vAlign w:val="bottom"/>
          </w:tcPr>
          <w:p w14:paraId="00000585">
            <w:pPr>
              <w:spacing w:after="0"/>
            </w:pPr>
          </w:p>
        </w:tc>
        <w:tc>
          <w:tcPr>
            <w:tcBorders>
              <w:top w:val="nil"/>
              <w:left w:val="nil"/>
              <w:bottom w:val="nil"/>
              <w:right w:val="nil"/>
            </w:tcBorders>
            <w:vAlign w:val="bottom"/>
          </w:tcPr>
          <w:p w14:paraId="00000586">
            <w:pPr>
              <w:spacing w:after="0"/>
            </w:pPr>
          </w:p>
        </w:tc>
        <w:tc>
          <w:tcPr>
            <w:tcBorders>
              <w:top w:val="nil"/>
              <w:left w:val="nil"/>
              <w:bottom w:val="nil"/>
              <w:right w:val="nil"/>
            </w:tcBorders>
            <w:vAlign w:val="bottom"/>
          </w:tcPr>
          <w:p w14:paraId="00000587">
            <w:pPr>
              <w:spacing w:after="0"/>
            </w:pPr>
          </w:p>
        </w:tc>
        <w:tc>
          <w:tcPr>
            <w:tcBorders>
              <w:top w:val="nil"/>
              <w:left w:val="nil"/>
              <w:bottom w:val="nil"/>
              <w:right w:val="nil"/>
            </w:tcBorders>
            <w:vAlign w:val="bottom"/>
          </w:tcPr>
          <w:p w14:paraId="00000588">
            <w:pPr>
              <w:spacing w:after="0"/>
            </w:pPr>
          </w:p>
        </w:tc>
        <w:tc>
          <w:tcPr>
            <w:tcBorders>
              <w:top w:val="nil"/>
              <w:left w:val="nil"/>
              <w:bottom w:val="nil"/>
              <w:right w:val="nil"/>
            </w:tcBorders>
            <w:vAlign w:val="bottom"/>
          </w:tcPr>
          <w:p w14:paraId="00000589">
            <w:pPr>
              <w:spacing w:after="0"/>
            </w:pPr>
          </w:p>
        </w:tc>
        <w:tc>
          <w:tcPr>
            <w:tcBorders>
              <w:top w:val="nil"/>
              <w:left w:val="nil"/>
              <w:bottom w:val="nil"/>
              <w:right w:val="nil"/>
            </w:tcBorders>
            <w:vAlign w:val="bottom"/>
          </w:tcPr>
          <w:p w14:paraId="0000058A">
            <w:pPr>
              <w:spacing w:after="0"/>
            </w:pPr>
          </w:p>
        </w:tc>
        <w:tc>
          <w:tcPr>
            <w:tcBorders>
              <w:top w:val="nil"/>
              <w:left w:val="nil"/>
              <w:bottom w:val="nil"/>
              <w:right w:val="nil"/>
            </w:tcBorders>
            <w:vAlign w:val="bottom"/>
          </w:tcPr>
          <w:p w14:paraId="0000058B">
            <w:pPr>
              <w:spacing w:after="0"/>
            </w:pPr>
          </w:p>
        </w:tc>
        <w:tc>
          <w:tcPr>
            <w:tcBorders>
              <w:top w:val="nil"/>
              <w:left w:val="nil"/>
              <w:bottom w:val="nil"/>
              <w:right w:val="nil"/>
            </w:tcBorders>
            <w:vAlign w:val="bottom"/>
          </w:tcPr>
          <w:p w14:paraId="0000058C">
            <w:pPr>
              <w:spacing w:after="0"/>
            </w:pPr>
          </w:p>
        </w:tc>
        <w:tc>
          <w:tcPr>
            <w:tcBorders>
              <w:top w:val="nil"/>
              <w:left w:val="nil"/>
              <w:bottom w:val="nil"/>
              <w:right w:val="nil"/>
            </w:tcBorders>
            <w:vAlign w:val="bottom"/>
          </w:tcPr>
          <w:p w14:paraId="0000058D">
            <w:pPr>
              <w:spacing w:after="0"/>
            </w:pPr>
          </w:p>
        </w:tc>
        <w:tc>
          <w:tcPr>
            <w:tcBorders>
              <w:top w:val="nil"/>
              <w:left w:val="nil"/>
              <w:bottom w:val="nil"/>
              <w:right w:val="nil"/>
            </w:tcBorders>
            <w:vAlign w:val="bottom"/>
          </w:tcPr>
          <w:p w14:paraId="0000058E">
            <w:pPr>
              <w:spacing w:after="0"/>
            </w:pPr>
          </w:p>
        </w:tc>
        <w:tc>
          <w:tcPr>
            <w:tcBorders>
              <w:top w:val="nil"/>
              <w:left w:val="nil"/>
              <w:bottom w:val="nil"/>
              <w:right w:val="nil"/>
            </w:tcBorders>
            <w:vAlign w:val="bottom"/>
          </w:tcPr>
          <w:p w14:paraId="0000058F">
            <w:pPr>
              <w:spacing w:after="0"/>
            </w:pPr>
          </w:p>
        </w:tc>
        <w:tc>
          <w:tcPr>
            <w:tcBorders>
              <w:top w:val="nil"/>
              <w:left w:val="nil"/>
              <w:bottom w:val="nil"/>
              <w:right w:val="nil"/>
            </w:tcBorders>
            <w:vAlign w:val="bottom"/>
          </w:tcPr>
          <w:p w14:paraId="00000590">
            <w:pPr>
              <w:spacing w:after="0"/>
            </w:pPr>
          </w:p>
        </w:tc>
        <w:tc>
          <w:tcPr>
            <w:tcBorders>
              <w:top w:val="nil"/>
              <w:left w:val="nil"/>
              <w:bottom w:val="nil"/>
              <w:right w:val="nil"/>
            </w:tcBorders>
            <w:vAlign w:val="bottom"/>
          </w:tcPr>
          <w:p w14:paraId="00000591">
            <w:pPr>
              <w:spacing w:after="0"/>
            </w:pPr>
          </w:p>
        </w:tc>
        <w:tc>
          <w:tcPr>
            <w:tcBorders>
              <w:top w:val="nil"/>
              <w:left w:val="nil"/>
              <w:bottom w:val="nil"/>
              <w:right w:val="nil"/>
            </w:tcBorders>
            <w:vAlign w:val="bottom"/>
          </w:tcPr>
          <w:p w14:paraId="00000592">
            <w:pPr>
              <w:spacing w:after="0"/>
            </w:pPr>
          </w:p>
        </w:tc>
        <w:tc>
          <w:tcPr>
            <w:tcBorders>
              <w:top w:val="nil"/>
              <w:left w:val="nil"/>
              <w:bottom w:val="nil"/>
              <w:right w:val="nil"/>
            </w:tcBorders>
            <w:vAlign w:val="bottom"/>
          </w:tcPr>
          <w:p w14:paraId="00000593">
            <w:pPr>
              <w:spacing w:after="0"/>
            </w:pPr>
          </w:p>
        </w:tc>
        <w:tc>
          <w:tcPr>
            <w:tcBorders>
              <w:top w:val="nil"/>
              <w:left w:val="nil"/>
              <w:bottom w:val="nil"/>
              <w:right w:val="nil"/>
            </w:tcBorders>
            <w:vAlign w:val="bottom"/>
          </w:tcPr>
          <w:p w14:paraId="00000594">
            <w:pPr>
              <w:spacing w:after="0"/>
            </w:pPr>
          </w:p>
        </w:tc>
        <w:tc>
          <w:tcPr>
            <w:tcBorders>
              <w:top w:val="nil"/>
              <w:left w:val="nil"/>
              <w:bottom w:val="nil"/>
              <w:right w:val="nil"/>
            </w:tcBorders>
            <w:vAlign w:val="bottom"/>
          </w:tcPr>
          <w:p w14:paraId="00000595">
            <w:pPr>
              <w:spacing w:after="0"/>
            </w:pPr>
          </w:p>
        </w:tc>
        <w:tc>
          <w:tcPr>
            <w:tcBorders>
              <w:top w:val="nil"/>
              <w:left w:val="nil"/>
              <w:bottom w:val="nil"/>
              <w:right w:val="nil"/>
            </w:tcBorders>
            <w:vAlign w:val="bottom"/>
          </w:tcPr>
          <w:p w14:paraId="00000596">
            <w:pPr>
              <w:spacing w:after="0"/>
            </w:pPr>
          </w:p>
        </w:tc>
      </w:tr>
      <w:tr w14:paraId="1B017ACD">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597">
            <w:pPr>
              <w:spacing w:after="0"/>
            </w:pPr>
          </w:p>
        </w:tc>
        <w:tc>
          <w:tcPr>
            <w:tcBorders>
              <w:top w:val="nil"/>
              <w:left w:val="nil"/>
              <w:bottom w:val="nil"/>
              <w:right w:val="nil"/>
            </w:tcBorders>
            <w:vAlign w:val="bottom"/>
          </w:tcPr>
          <w:p w14:paraId="00000598">
            <w:pPr>
              <w:spacing w:after="0"/>
              <w:ind w:firstLine="240"/>
            </w:pPr>
          </w:p>
        </w:tc>
        <w:tc>
          <w:tcPr>
            <w:tcBorders>
              <w:top w:val="nil"/>
              <w:left w:val="nil"/>
              <w:bottom w:val="nil"/>
              <w:right w:val="nil"/>
            </w:tcBorders>
            <w:vAlign w:val="bottom"/>
          </w:tcPr>
          <w:p w14:paraId="00000599">
            <w:pPr>
              <w:spacing w:after="0"/>
            </w:pPr>
          </w:p>
        </w:tc>
        <w:tc>
          <w:tcPr>
            <w:tcBorders>
              <w:top w:val="nil"/>
              <w:left w:val="nil"/>
              <w:bottom w:val="nil"/>
              <w:right w:val="nil"/>
            </w:tcBorders>
            <w:vAlign w:val="bottom"/>
          </w:tcPr>
          <w:p w14:paraId="0000059A">
            <w:pPr>
              <w:spacing w:after="0"/>
            </w:pPr>
          </w:p>
        </w:tc>
        <w:tc>
          <w:tcPr>
            <w:tcBorders>
              <w:top w:val="nil"/>
              <w:left w:val="nil"/>
              <w:bottom w:val="nil"/>
              <w:right w:val="nil"/>
            </w:tcBorders>
            <w:vAlign w:val="bottom"/>
          </w:tcPr>
          <w:p w14:paraId="0000059B">
            <w:pPr>
              <w:spacing w:after="0"/>
            </w:pPr>
          </w:p>
        </w:tc>
        <w:tc>
          <w:tcPr>
            <w:tcBorders>
              <w:top w:val="nil"/>
              <w:left w:val="nil"/>
              <w:bottom w:val="nil"/>
              <w:right w:val="nil"/>
            </w:tcBorders>
            <w:vAlign w:val="bottom"/>
          </w:tcPr>
          <w:p w14:paraId="0000059C">
            <w:pPr>
              <w:spacing w:after="0"/>
            </w:pPr>
          </w:p>
        </w:tc>
        <w:tc>
          <w:tcPr>
            <w:tcBorders>
              <w:top w:val="nil"/>
              <w:left w:val="nil"/>
              <w:bottom w:val="nil"/>
              <w:right w:val="nil"/>
            </w:tcBorders>
            <w:vAlign w:val="bottom"/>
          </w:tcPr>
          <w:p w14:paraId="0000059D">
            <w:pPr>
              <w:spacing w:after="0"/>
            </w:pPr>
          </w:p>
        </w:tc>
        <w:tc>
          <w:tcPr>
            <w:tcBorders>
              <w:top w:val="nil"/>
              <w:left w:val="nil"/>
              <w:bottom w:val="nil"/>
              <w:right w:val="nil"/>
            </w:tcBorders>
            <w:vAlign w:val="bottom"/>
          </w:tcPr>
          <w:p w14:paraId="0000059E">
            <w:pPr>
              <w:spacing w:after="0"/>
            </w:pPr>
          </w:p>
        </w:tc>
        <w:tc>
          <w:tcPr>
            <w:tcBorders>
              <w:top w:val="nil"/>
              <w:left w:val="nil"/>
              <w:bottom w:val="nil"/>
              <w:right w:val="nil"/>
            </w:tcBorders>
            <w:vAlign w:val="bottom"/>
          </w:tcPr>
          <w:p w14:paraId="0000059F">
            <w:pPr>
              <w:spacing w:after="0"/>
            </w:pPr>
          </w:p>
        </w:tc>
        <w:tc>
          <w:tcPr>
            <w:tcBorders>
              <w:top w:val="nil"/>
              <w:left w:val="nil"/>
              <w:bottom w:val="nil"/>
              <w:right w:val="nil"/>
            </w:tcBorders>
            <w:vAlign w:val="bottom"/>
          </w:tcPr>
          <w:p w14:paraId="000005A0">
            <w:pPr>
              <w:spacing w:after="0"/>
            </w:pPr>
          </w:p>
        </w:tc>
        <w:tc>
          <w:tcPr>
            <w:tcBorders>
              <w:top w:val="nil"/>
              <w:left w:val="nil"/>
              <w:bottom w:val="nil"/>
              <w:right w:val="nil"/>
            </w:tcBorders>
            <w:vAlign w:val="bottom"/>
          </w:tcPr>
          <w:p w14:paraId="000005A1">
            <w:pPr>
              <w:spacing w:after="0"/>
            </w:pPr>
          </w:p>
        </w:tc>
        <w:tc>
          <w:tcPr>
            <w:tcBorders>
              <w:top w:val="nil"/>
              <w:left w:val="nil"/>
              <w:bottom w:val="nil"/>
              <w:right w:val="nil"/>
            </w:tcBorders>
            <w:vAlign w:val="bottom"/>
          </w:tcPr>
          <w:p w14:paraId="000005A2">
            <w:pPr>
              <w:spacing w:after="0"/>
            </w:pPr>
          </w:p>
        </w:tc>
        <w:tc>
          <w:tcPr>
            <w:tcBorders>
              <w:top w:val="nil"/>
              <w:left w:val="nil"/>
              <w:bottom w:val="nil"/>
              <w:right w:val="nil"/>
            </w:tcBorders>
            <w:vAlign w:val="bottom"/>
          </w:tcPr>
          <w:p w14:paraId="000005A3">
            <w:pPr>
              <w:spacing w:after="0"/>
            </w:pPr>
          </w:p>
        </w:tc>
        <w:tc>
          <w:tcPr>
            <w:tcBorders>
              <w:top w:val="nil"/>
              <w:left w:val="nil"/>
              <w:bottom w:val="nil"/>
              <w:right w:val="nil"/>
            </w:tcBorders>
            <w:vAlign w:val="bottom"/>
          </w:tcPr>
          <w:p w14:paraId="000005A4">
            <w:pPr>
              <w:spacing w:after="0"/>
            </w:pPr>
          </w:p>
        </w:tc>
        <w:tc>
          <w:tcPr>
            <w:tcBorders>
              <w:top w:val="nil"/>
              <w:left w:val="nil"/>
              <w:bottom w:val="nil"/>
              <w:right w:val="nil"/>
            </w:tcBorders>
            <w:vAlign w:val="bottom"/>
          </w:tcPr>
          <w:p w14:paraId="000005A5">
            <w:pPr>
              <w:spacing w:after="0"/>
            </w:pPr>
          </w:p>
        </w:tc>
        <w:tc>
          <w:tcPr>
            <w:tcBorders>
              <w:top w:val="nil"/>
              <w:left w:val="nil"/>
              <w:bottom w:val="nil"/>
              <w:right w:val="nil"/>
            </w:tcBorders>
            <w:vAlign w:val="bottom"/>
          </w:tcPr>
          <w:p w14:paraId="000005A6">
            <w:pPr>
              <w:spacing w:after="0"/>
            </w:pPr>
          </w:p>
        </w:tc>
        <w:tc>
          <w:tcPr>
            <w:tcBorders>
              <w:top w:val="nil"/>
              <w:left w:val="nil"/>
              <w:bottom w:val="nil"/>
              <w:right w:val="nil"/>
            </w:tcBorders>
            <w:vAlign w:val="bottom"/>
          </w:tcPr>
          <w:p w14:paraId="000005A7">
            <w:pPr>
              <w:spacing w:after="0"/>
            </w:pPr>
          </w:p>
        </w:tc>
        <w:tc>
          <w:tcPr>
            <w:tcBorders>
              <w:top w:val="nil"/>
              <w:left w:val="nil"/>
              <w:bottom w:val="nil"/>
              <w:right w:val="nil"/>
            </w:tcBorders>
            <w:vAlign w:val="bottom"/>
          </w:tcPr>
          <w:p w14:paraId="000005A8">
            <w:pPr>
              <w:spacing w:after="0"/>
            </w:pPr>
          </w:p>
        </w:tc>
        <w:tc>
          <w:tcPr>
            <w:tcBorders>
              <w:top w:val="nil"/>
              <w:left w:val="nil"/>
              <w:bottom w:val="nil"/>
              <w:right w:val="nil"/>
            </w:tcBorders>
            <w:vAlign w:val="bottom"/>
          </w:tcPr>
          <w:p w14:paraId="000005A9">
            <w:pPr>
              <w:spacing w:after="0"/>
            </w:pPr>
          </w:p>
        </w:tc>
      </w:tr>
      <w:tr w14:paraId="6BE7C4E5">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center"/>
          </w:tcPr>
          <w:p w14:paraId="000005AA">
            <w:pPr>
              <w:spacing w:after="0"/>
              <w:ind w:firstLine="241"/>
              <w:rPr>
                <w:b/>
                <w:bCs/>
              </w:rPr>
            </w:pPr>
            <w:r>
              <w:rPr>
                <w:b/>
                <w:bCs/>
                <w:rtl w:val="0"/>
              </w:rPr>
              <w:t>A</w:t>
            </w:r>
            <w:r>
              <w:rPr>
                <w:rtl w:val="0"/>
              </w:rPr>
              <w:t xml:space="preserve"> = Working Capital / Total Assets = 0.2604</w:t>
            </w:r>
          </w:p>
        </w:tc>
        <w:tc>
          <w:tcPr>
            <w:tcBorders>
              <w:top w:val="nil"/>
              <w:left w:val="nil"/>
              <w:bottom w:val="nil"/>
              <w:right w:val="nil"/>
            </w:tcBorders>
            <w:vAlign w:val="bottom"/>
          </w:tcPr>
          <w:p w14:paraId="000005AE">
            <w:pPr>
              <w:spacing w:after="0"/>
              <w:ind w:firstLine="241"/>
              <w:rPr>
                <w:b/>
                <w:bCs/>
              </w:rPr>
            </w:pPr>
          </w:p>
        </w:tc>
        <w:tc>
          <w:tcPr>
            <w:tcBorders>
              <w:top w:val="nil"/>
              <w:left w:val="nil"/>
              <w:bottom w:val="nil"/>
              <w:right w:val="nil"/>
            </w:tcBorders>
            <w:vAlign w:val="bottom"/>
          </w:tcPr>
          <w:p w14:paraId="000005AF">
            <w:pPr>
              <w:spacing w:after="0"/>
            </w:pPr>
          </w:p>
        </w:tc>
        <w:tc>
          <w:tcPr>
            <w:tcBorders>
              <w:top w:val="nil"/>
              <w:left w:val="nil"/>
              <w:bottom w:val="nil"/>
              <w:right w:val="nil"/>
            </w:tcBorders>
            <w:vAlign w:val="bottom"/>
          </w:tcPr>
          <w:p w14:paraId="000005B0">
            <w:pPr>
              <w:spacing w:after="0"/>
            </w:pPr>
          </w:p>
        </w:tc>
        <w:tc>
          <w:tcPr>
            <w:tcBorders>
              <w:top w:val="nil"/>
              <w:left w:val="nil"/>
              <w:bottom w:val="nil"/>
              <w:right w:val="nil"/>
            </w:tcBorders>
            <w:vAlign w:val="bottom"/>
          </w:tcPr>
          <w:p w14:paraId="000005B1">
            <w:pPr>
              <w:spacing w:after="0"/>
            </w:pPr>
          </w:p>
        </w:tc>
        <w:tc>
          <w:tcPr>
            <w:tcBorders>
              <w:top w:val="nil"/>
              <w:left w:val="nil"/>
              <w:bottom w:val="nil"/>
              <w:right w:val="nil"/>
            </w:tcBorders>
            <w:vAlign w:val="bottom"/>
          </w:tcPr>
          <w:p w14:paraId="000005B2">
            <w:pPr>
              <w:spacing w:after="0"/>
            </w:pPr>
          </w:p>
        </w:tc>
        <w:tc>
          <w:tcPr>
            <w:tcBorders>
              <w:top w:val="nil"/>
              <w:left w:val="nil"/>
              <w:bottom w:val="nil"/>
              <w:right w:val="nil"/>
            </w:tcBorders>
            <w:vAlign w:val="bottom"/>
          </w:tcPr>
          <w:p w14:paraId="000005B3">
            <w:pPr>
              <w:spacing w:after="0"/>
            </w:pPr>
          </w:p>
        </w:tc>
        <w:tc>
          <w:tcPr>
            <w:tcBorders>
              <w:top w:val="nil"/>
              <w:left w:val="nil"/>
              <w:bottom w:val="nil"/>
              <w:right w:val="nil"/>
            </w:tcBorders>
            <w:vAlign w:val="bottom"/>
          </w:tcPr>
          <w:p w14:paraId="000005B4">
            <w:pPr>
              <w:spacing w:after="0"/>
            </w:pPr>
          </w:p>
        </w:tc>
        <w:tc>
          <w:tcPr>
            <w:tcBorders>
              <w:top w:val="nil"/>
              <w:left w:val="nil"/>
              <w:bottom w:val="nil"/>
              <w:right w:val="nil"/>
            </w:tcBorders>
            <w:vAlign w:val="bottom"/>
          </w:tcPr>
          <w:p w14:paraId="000005B5">
            <w:pPr>
              <w:spacing w:after="0"/>
            </w:pPr>
          </w:p>
        </w:tc>
        <w:tc>
          <w:tcPr>
            <w:tcBorders>
              <w:top w:val="nil"/>
              <w:left w:val="nil"/>
              <w:bottom w:val="nil"/>
              <w:right w:val="nil"/>
            </w:tcBorders>
            <w:vAlign w:val="bottom"/>
          </w:tcPr>
          <w:p w14:paraId="000005B6">
            <w:pPr>
              <w:spacing w:after="0"/>
            </w:pPr>
          </w:p>
        </w:tc>
        <w:tc>
          <w:tcPr>
            <w:tcBorders>
              <w:top w:val="nil"/>
              <w:left w:val="nil"/>
              <w:bottom w:val="nil"/>
              <w:right w:val="nil"/>
            </w:tcBorders>
            <w:vAlign w:val="bottom"/>
          </w:tcPr>
          <w:p w14:paraId="000005B7">
            <w:pPr>
              <w:spacing w:after="0"/>
            </w:pPr>
          </w:p>
        </w:tc>
        <w:tc>
          <w:tcPr>
            <w:tcBorders>
              <w:top w:val="nil"/>
              <w:left w:val="nil"/>
              <w:bottom w:val="nil"/>
              <w:right w:val="nil"/>
            </w:tcBorders>
            <w:vAlign w:val="bottom"/>
          </w:tcPr>
          <w:p w14:paraId="000005B8">
            <w:pPr>
              <w:spacing w:after="0"/>
            </w:pPr>
          </w:p>
        </w:tc>
        <w:tc>
          <w:tcPr>
            <w:tcBorders>
              <w:top w:val="nil"/>
              <w:left w:val="nil"/>
              <w:bottom w:val="nil"/>
              <w:right w:val="nil"/>
            </w:tcBorders>
            <w:vAlign w:val="bottom"/>
          </w:tcPr>
          <w:p w14:paraId="000005B9">
            <w:pPr>
              <w:spacing w:after="0"/>
            </w:pPr>
          </w:p>
        </w:tc>
        <w:tc>
          <w:tcPr>
            <w:tcBorders>
              <w:top w:val="nil"/>
              <w:left w:val="nil"/>
              <w:bottom w:val="nil"/>
              <w:right w:val="nil"/>
            </w:tcBorders>
            <w:vAlign w:val="bottom"/>
          </w:tcPr>
          <w:p w14:paraId="000005BA">
            <w:pPr>
              <w:spacing w:after="0"/>
            </w:pPr>
          </w:p>
        </w:tc>
        <w:tc>
          <w:tcPr>
            <w:tcBorders>
              <w:top w:val="nil"/>
              <w:left w:val="nil"/>
              <w:bottom w:val="nil"/>
              <w:right w:val="nil"/>
            </w:tcBorders>
            <w:vAlign w:val="bottom"/>
          </w:tcPr>
          <w:p w14:paraId="000005BB">
            <w:pPr>
              <w:spacing w:after="0"/>
            </w:pPr>
          </w:p>
        </w:tc>
        <w:tc>
          <w:tcPr>
            <w:tcBorders>
              <w:top w:val="nil"/>
              <w:left w:val="nil"/>
              <w:bottom w:val="nil"/>
              <w:right w:val="nil"/>
            </w:tcBorders>
            <w:vAlign w:val="bottom"/>
          </w:tcPr>
          <w:p w14:paraId="000005BC">
            <w:pPr>
              <w:spacing w:after="0"/>
            </w:pPr>
          </w:p>
        </w:tc>
      </w:tr>
      <w:tr w14:paraId="300006BC">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5BD">
            <w:pPr>
              <w:spacing w:after="0"/>
            </w:pPr>
          </w:p>
        </w:tc>
        <w:tc>
          <w:tcPr>
            <w:tcBorders>
              <w:top w:val="nil"/>
              <w:left w:val="nil"/>
              <w:bottom w:val="nil"/>
              <w:right w:val="nil"/>
            </w:tcBorders>
            <w:vAlign w:val="bottom"/>
          </w:tcPr>
          <w:p w14:paraId="000005BE">
            <w:pPr>
              <w:spacing w:after="0"/>
              <w:ind w:firstLine="240"/>
            </w:pPr>
          </w:p>
        </w:tc>
        <w:tc>
          <w:tcPr>
            <w:tcBorders>
              <w:top w:val="nil"/>
              <w:left w:val="nil"/>
              <w:bottom w:val="nil"/>
              <w:right w:val="nil"/>
            </w:tcBorders>
            <w:vAlign w:val="bottom"/>
          </w:tcPr>
          <w:p w14:paraId="000005BF">
            <w:pPr>
              <w:spacing w:after="0"/>
            </w:pPr>
          </w:p>
        </w:tc>
        <w:tc>
          <w:tcPr>
            <w:tcBorders>
              <w:top w:val="nil"/>
              <w:left w:val="nil"/>
              <w:bottom w:val="nil"/>
              <w:right w:val="nil"/>
            </w:tcBorders>
            <w:vAlign w:val="bottom"/>
          </w:tcPr>
          <w:p w14:paraId="000005C0">
            <w:pPr>
              <w:spacing w:after="0"/>
            </w:pPr>
          </w:p>
        </w:tc>
        <w:tc>
          <w:tcPr>
            <w:tcBorders>
              <w:top w:val="nil"/>
              <w:left w:val="nil"/>
              <w:bottom w:val="nil"/>
              <w:right w:val="nil"/>
            </w:tcBorders>
            <w:vAlign w:val="bottom"/>
          </w:tcPr>
          <w:p w14:paraId="000005C1">
            <w:pPr>
              <w:spacing w:after="0"/>
            </w:pPr>
          </w:p>
        </w:tc>
        <w:tc>
          <w:tcPr>
            <w:tcBorders>
              <w:top w:val="nil"/>
              <w:left w:val="nil"/>
              <w:bottom w:val="nil"/>
              <w:right w:val="nil"/>
            </w:tcBorders>
            <w:vAlign w:val="bottom"/>
          </w:tcPr>
          <w:p w14:paraId="000005C2">
            <w:pPr>
              <w:spacing w:after="0"/>
            </w:pPr>
          </w:p>
        </w:tc>
        <w:tc>
          <w:tcPr>
            <w:tcBorders>
              <w:top w:val="nil"/>
              <w:left w:val="nil"/>
              <w:bottom w:val="nil"/>
              <w:right w:val="nil"/>
            </w:tcBorders>
            <w:vAlign w:val="bottom"/>
          </w:tcPr>
          <w:p w14:paraId="000005C3">
            <w:pPr>
              <w:spacing w:after="0"/>
            </w:pPr>
          </w:p>
        </w:tc>
        <w:tc>
          <w:tcPr>
            <w:tcBorders>
              <w:top w:val="nil"/>
              <w:left w:val="nil"/>
              <w:bottom w:val="nil"/>
              <w:right w:val="nil"/>
            </w:tcBorders>
            <w:vAlign w:val="bottom"/>
          </w:tcPr>
          <w:p w14:paraId="000005C4">
            <w:pPr>
              <w:spacing w:after="0"/>
            </w:pPr>
          </w:p>
        </w:tc>
        <w:tc>
          <w:tcPr>
            <w:tcBorders>
              <w:top w:val="nil"/>
              <w:left w:val="nil"/>
              <w:bottom w:val="nil"/>
              <w:right w:val="nil"/>
            </w:tcBorders>
            <w:vAlign w:val="bottom"/>
          </w:tcPr>
          <w:p w14:paraId="000005C5">
            <w:pPr>
              <w:spacing w:after="0"/>
            </w:pPr>
          </w:p>
        </w:tc>
        <w:tc>
          <w:tcPr>
            <w:tcBorders>
              <w:top w:val="nil"/>
              <w:left w:val="nil"/>
              <w:bottom w:val="nil"/>
              <w:right w:val="nil"/>
            </w:tcBorders>
            <w:vAlign w:val="bottom"/>
          </w:tcPr>
          <w:p w14:paraId="000005C6">
            <w:pPr>
              <w:spacing w:after="0"/>
            </w:pPr>
          </w:p>
        </w:tc>
        <w:tc>
          <w:tcPr>
            <w:tcBorders>
              <w:top w:val="nil"/>
              <w:left w:val="nil"/>
              <w:bottom w:val="nil"/>
              <w:right w:val="nil"/>
            </w:tcBorders>
            <w:vAlign w:val="bottom"/>
          </w:tcPr>
          <w:p w14:paraId="000005C7">
            <w:pPr>
              <w:spacing w:after="0"/>
            </w:pPr>
          </w:p>
        </w:tc>
        <w:tc>
          <w:tcPr>
            <w:tcBorders>
              <w:top w:val="nil"/>
              <w:left w:val="nil"/>
              <w:bottom w:val="nil"/>
              <w:right w:val="nil"/>
            </w:tcBorders>
            <w:vAlign w:val="bottom"/>
          </w:tcPr>
          <w:p w14:paraId="000005C8">
            <w:pPr>
              <w:spacing w:after="0"/>
            </w:pPr>
          </w:p>
        </w:tc>
        <w:tc>
          <w:tcPr>
            <w:tcBorders>
              <w:top w:val="nil"/>
              <w:left w:val="nil"/>
              <w:bottom w:val="nil"/>
              <w:right w:val="nil"/>
            </w:tcBorders>
            <w:vAlign w:val="bottom"/>
          </w:tcPr>
          <w:p w14:paraId="000005C9">
            <w:pPr>
              <w:spacing w:after="0"/>
            </w:pPr>
          </w:p>
        </w:tc>
        <w:tc>
          <w:tcPr>
            <w:tcBorders>
              <w:top w:val="nil"/>
              <w:left w:val="nil"/>
              <w:bottom w:val="nil"/>
              <w:right w:val="nil"/>
            </w:tcBorders>
            <w:vAlign w:val="bottom"/>
          </w:tcPr>
          <w:p w14:paraId="000005CA">
            <w:pPr>
              <w:spacing w:after="0"/>
            </w:pPr>
          </w:p>
        </w:tc>
        <w:tc>
          <w:tcPr>
            <w:tcBorders>
              <w:top w:val="nil"/>
              <w:left w:val="nil"/>
              <w:bottom w:val="nil"/>
              <w:right w:val="nil"/>
            </w:tcBorders>
            <w:vAlign w:val="bottom"/>
          </w:tcPr>
          <w:p w14:paraId="000005CB">
            <w:pPr>
              <w:spacing w:after="0"/>
            </w:pPr>
          </w:p>
        </w:tc>
        <w:tc>
          <w:tcPr>
            <w:tcBorders>
              <w:top w:val="nil"/>
              <w:left w:val="nil"/>
              <w:bottom w:val="nil"/>
              <w:right w:val="nil"/>
            </w:tcBorders>
            <w:vAlign w:val="bottom"/>
          </w:tcPr>
          <w:p w14:paraId="000005CC">
            <w:pPr>
              <w:spacing w:after="0"/>
            </w:pPr>
          </w:p>
        </w:tc>
        <w:tc>
          <w:tcPr>
            <w:tcBorders>
              <w:top w:val="nil"/>
              <w:left w:val="nil"/>
              <w:bottom w:val="nil"/>
              <w:right w:val="nil"/>
            </w:tcBorders>
            <w:vAlign w:val="bottom"/>
          </w:tcPr>
          <w:p w14:paraId="000005CD">
            <w:pPr>
              <w:spacing w:after="0"/>
            </w:pPr>
          </w:p>
        </w:tc>
        <w:tc>
          <w:tcPr>
            <w:tcBorders>
              <w:top w:val="nil"/>
              <w:left w:val="nil"/>
              <w:bottom w:val="nil"/>
              <w:right w:val="nil"/>
            </w:tcBorders>
            <w:vAlign w:val="bottom"/>
          </w:tcPr>
          <w:p w14:paraId="000005CE">
            <w:pPr>
              <w:spacing w:after="0"/>
            </w:pPr>
          </w:p>
        </w:tc>
        <w:tc>
          <w:tcPr>
            <w:tcBorders>
              <w:top w:val="nil"/>
              <w:left w:val="nil"/>
              <w:bottom w:val="nil"/>
              <w:right w:val="nil"/>
            </w:tcBorders>
            <w:vAlign w:val="bottom"/>
          </w:tcPr>
          <w:p w14:paraId="000005CF">
            <w:pPr>
              <w:spacing w:after="0"/>
            </w:pPr>
          </w:p>
        </w:tc>
      </w:tr>
      <w:tr w14:paraId="384F3F79">
        <w:tblPrEx>
          <w:tblCellMar>
            <w:top w:w="0" w:type="dxa"/>
            <w:left w:w="115" w:type="dxa"/>
            <w:bottom w:w="0" w:type="dxa"/>
            <w:right w:w="115" w:type="dxa"/>
          </w:tblCellMar>
        </w:tblPrEx>
        <w:trPr>
          <w:trHeight w:val="276" w:hRule="atLeast"/>
        </w:trPr>
        <w:tc>
          <w:tcPr>
            <w:gridSpan w:val="5"/>
            <w:tcBorders>
              <w:top w:val="nil"/>
              <w:left w:val="nil"/>
              <w:bottom w:val="nil"/>
              <w:right w:val="nil"/>
            </w:tcBorders>
            <w:vAlign w:val="center"/>
          </w:tcPr>
          <w:p w14:paraId="000005D0">
            <w:pPr>
              <w:spacing w:after="0"/>
              <w:ind w:firstLine="241"/>
              <w:rPr>
                <w:b/>
                <w:bCs/>
              </w:rPr>
            </w:pPr>
            <w:r>
              <w:rPr>
                <w:b/>
                <w:bCs/>
                <w:rtl w:val="0"/>
              </w:rPr>
              <w:t>B</w:t>
            </w:r>
            <w:r>
              <w:rPr>
                <w:rtl w:val="0"/>
              </w:rPr>
              <w:t xml:space="preserve"> = Retained Earnings / Total Assets = 0.6446</w:t>
            </w:r>
          </w:p>
        </w:tc>
        <w:tc>
          <w:tcPr>
            <w:tcBorders>
              <w:top w:val="nil"/>
              <w:left w:val="nil"/>
              <w:bottom w:val="nil"/>
              <w:right w:val="nil"/>
            </w:tcBorders>
            <w:vAlign w:val="bottom"/>
          </w:tcPr>
          <w:p w14:paraId="000005D5">
            <w:pPr>
              <w:spacing w:after="0"/>
              <w:ind w:firstLine="241"/>
              <w:rPr>
                <w:b/>
                <w:bCs/>
              </w:rPr>
            </w:pPr>
          </w:p>
        </w:tc>
        <w:tc>
          <w:tcPr>
            <w:tcBorders>
              <w:top w:val="nil"/>
              <w:left w:val="nil"/>
              <w:bottom w:val="nil"/>
              <w:right w:val="nil"/>
            </w:tcBorders>
            <w:vAlign w:val="bottom"/>
          </w:tcPr>
          <w:p w14:paraId="000005D6">
            <w:pPr>
              <w:spacing w:after="0"/>
            </w:pPr>
          </w:p>
        </w:tc>
        <w:tc>
          <w:tcPr>
            <w:tcBorders>
              <w:top w:val="nil"/>
              <w:left w:val="nil"/>
              <w:bottom w:val="nil"/>
              <w:right w:val="nil"/>
            </w:tcBorders>
            <w:vAlign w:val="bottom"/>
          </w:tcPr>
          <w:p w14:paraId="000005D7">
            <w:pPr>
              <w:spacing w:after="0"/>
            </w:pPr>
          </w:p>
        </w:tc>
        <w:tc>
          <w:tcPr>
            <w:tcBorders>
              <w:top w:val="nil"/>
              <w:left w:val="nil"/>
              <w:bottom w:val="nil"/>
              <w:right w:val="nil"/>
            </w:tcBorders>
            <w:vAlign w:val="bottom"/>
          </w:tcPr>
          <w:p w14:paraId="000005D8">
            <w:pPr>
              <w:spacing w:after="0"/>
            </w:pPr>
          </w:p>
        </w:tc>
        <w:tc>
          <w:tcPr>
            <w:tcBorders>
              <w:top w:val="nil"/>
              <w:left w:val="nil"/>
              <w:bottom w:val="nil"/>
              <w:right w:val="nil"/>
            </w:tcBorders>
            <w:vAlign w:val="bottom"/>
          </w:tcPr>
          <w:p w14:paraId="000005D9">
            <w:pPr>
              <w:spacing w:after="0"/>
            </w:pPr>
          </w:p>
        </w:tc>
        <w:tc>
          <w:tcPr>
            <w:tcBorders>
              <w:top w:val="nil"/>
              <w:left w:val="nil"/>
              <w:bottom w:val="nil"/>
              <w:right w:val="nil"/>
            </w:tcBorders>
            <w:vAlign w:val="bottom"/>
          </w:tcPr>
          <w:p w14:paraId="000005DA">
            <w:pPr>
              <w:spacing w:after="0"/>
            </w:pPr>
          </w:p>
        </w:tc>
        <w:tc>
          <w:tcPr>
            <w:tcBorders>
              <w:top w:val="nil"/>
              <w:left w:val="nil"/>
              <w:bottom w:val="nil"/>
              <w:right w:val="nil"/>
            </w:tcBorders>
            <w:vAlign w:val="bottom"/>
          </w:tcPr>
          <w:p w14:paraId="000005DB">
            <w:pPr>
              <w:spacing w:after="0"/>
            </w:pPr>
          </w:p>
        </w:tc>
        <w:tc>
          <w:tcPr>
            <w:tcBorders>
              <w:top w:val="nil"/>
              <w:left w:val="nil"/>
              <w:bottom w:val="nil"/>
              <w:right w:val="nil"/>
            </w:tcBorders>
            <w:vAlign w:val="bottom"/>
          </w:tcPr>
          <w:p w14:paraId="000005DC">
            <w:pPr>
              <w:spacing w:after="0"/>
            </w:pPr>
          </w:p>
        </w:tc>
        <w:tc>
          <w:tcPr>
            <w:tcBorders>
              <w:top w:val="nil"/>
              <w:left w:val="nil"/>
              <w:bottom w:val="nil"/>
              <w:right w:val="nil"/>
            </w:tcBorders>
            <w:vAlign w:val="bottom"/>
          </w:tcPr>
          <w:p w14:paraId="000005DD">
            <w:pPr>
              <w:spacing w:after="0"/>
            </w:pPr>
          </w:p>
        </w:tc>
        <w:tc>
          <w:tcPr>
            <w:tcBorders>
              <w:top w:val="nil"/>
              <w:left w:val="nil"/>
              <w:bottom w:val="nil"/>
              <w:right w:val="nil"/>
            </w:tcBorders>
            <w:vAlign w:val="bottom"/>
          </w:tcPr>
          <w:p w14:paraId="000005DE">
            <w:pPr>
              <w:spacing w:after="0"/>
            </w:pPr>
          </w:p>
        </w:tc>
        <w:tc>
          <w:tcPr>
            <w:tcBorders>
              <w:top w:val="nil"/>
              <w:left w:val="nil"/>
              <w:bottom w:val="nil"/>
              <w:right w:val="nil"/>
            </w:tcBorders>
            <w:vAlign w:val="bottom"/>
          </w:tcPr>
          <w:p w14:paraId="000005DF">
            <w:pPr>
              <w:spacing w:after="0"/>
            </w:pPr>
          </w:p>
        </w:tc>
        <w:tc>
          <w:tcPr>
            <w:tcBorders>
              <w:top w:val="nil"/>
              <w:left w:val="nil"/>
              <w:bottom w:val="nil"/>
              <w:right w:val="nil"/>
            </w:tcBorders>
            <w:vAlign w:val="bottom"/>
          </w:tcPr>
          <w:p w14:paraId="000005E0">
            <w:pPr>
              <w:spacing w:after="0"/>
            </w:pPr>
          </w:p>
        </w:tc>
        <w:tc>
          <w:tcPr>
            <w:tcBorders>
              <w:top w:val="nil"/>
              <w:left w:val="nil"/>
              <w:bottom w:val="nil"/>
              <w:right w:val="nil"/>
            </w:tcBorders>
            <w:vAlign w:val="bottom"/>
          </w:tcPr>
          <w:p w14:paraId="000005E1">
            <w:pPr>
              <w:spacing w:after="0"/>
            </w:pPr>
          </w:p>
        </w:tc>
        <w:tc>
          <w:tcPr>
            <w:tcBorders>
              <w:top w:val="nil"/>
              <w:left w:val="nil"/>
              <w:bottom w:val="nil"/>
              <w:right w:val="nil"/>
            </w:tcBorders>
            <w:vAlign w:val="bottom"/>
          </w:tcPr>
          <w:p w14:paraId="000005E2">
            <w:pPr>
              <w:spacing w:after="0"/>
            </w:pPr>
          </w:p>
        </w:tc>
      </w:tr>
      <w:tr w14:paraId="0D1978AB">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5E3">
            <w:pPr>
              <w:spacing w:after="0"/>
            </w:pPr>
          </w:p>
        </w:tc>
        <w:tc>
          <w:tcPr>
            <w:tcBorders>
              <w:top w:val="nil"/>
              <w:left w:val="nil"/>
              <w:bottom w:val="nil"/>
              <w:right w:val="nil"/>
            </w:tcBorders>
            <w:vAlign w:val="bottom"/>
          </w:tcPr>
          <w:p w14:paraId="000005E4">
            <w:pPr>
              <w:spacing w:after="0"/>
              <w:ind w:firstLine="240"/>
            </w:pPr>
          </w:p>
        </w:tc>
        <w:tc>
          <w:tcPr>
            <w:tcBorders>
              <w:top w:val="nil"/>
              <w:left w:val="nil"/>
              <w:bottom w:val="nil"/>
              <w:right w:val="nil"/>
            </w:tcBorders>
            <w:vAlign w:val="bottom"/>
          </w:tcPr>
          <w:p w14:paraId="000005E5">
            <w:pPr>
              <w:spacing w:after="0"/>
            </w:pPr>
          </w:p>
        </w:tc>
        <w:tc>
          <w:tcPr>
            <w:tcBorders>
              <w:top w:val="nil"/>
              <w:left w:val="nil"/>
              <w:bottom w:val="nil"/>
              <w:right w:val="nil"/>
            </w:tcBorders>
            <w:vAlign w:val="bottom"/>
          </w:tcPr>
          <w:p w14:paraId="000005E6">
            <w:pPr>
              <w:spacing w:after="0"/>
            </w:pPr>
          </w:p>
        </w:tc>
        <w:tc>
          <w:tcPr>
            <w:tcBorders>
              <w:top w:val="nil"/>
              <w:left w:val="nil"/>
              <w:bottom w:val="nil"/>
              <w:right w:val="nil"/>
            </w:tcBorders>
            <w:vAlign w:val="bottom"/>
          </w:tcPr>
          <w:p w14:paraId="000005E7">
            <w:pPr>
              <w:spacing w:after="0"/>
            </w:pPr>
          </w:p>
        </w:tc>
        <w:tc>
          <w:tcPr>
            <w:tcBorders>
              <w:top w:val="nil"/>
              <w:left w:val="nil"/>
              <w:bottom w:val="nil"/>
              <w:right w:val="nil"/>
            </w:tcBorders>
            <w:vAlign w:val="bottom"/>
          </w:tcPr>
          <w:p w14:paraId="000005E8">
            <w:pPr>
              <w:spacing w:after="0"/>
            </w:pPr>
          </w:p>
        </w:tc>
        <w:tc>
          <w:tcPr>
            <w:tcBorders>
              <w:top w:val="nil"/>
              <w:left w:val="nil"/>
              <w:bottom w:val="nil"/>
              <w:right w:val="nil"/>
            </w:tcBorders>
            <w:vAlign w:val="bottom"/>
          </w:tcPr>
          <w:p w14:paraId="000005E9">
            <w:pPr>
              <w:spacing w:after="0"/>
            </w:pPr>
          </w:p>
        </w:tc>
        <w:tc>
          <w:tcPr>
            <w:tcBorders>
              <w:top w:val="nil"/>
              <w:left w:val="nil"/>
              <w:bottom w:val="nil"/>
              <w:right w:val="nil"/>
            </w:tcBorders>
            <w:vAlign w:val="bottom"/>
          </w:tcPr>
          <w:p w14:paraId="000005EA">
            <w:pPr>
              <w:spacing w:after="0"/>
            </w:pPr>
          </w:p>
        </w:tc>
        <w:tc>
          <w:tcPr>
            <w:tcBorders>
              <w:top w:val="nil"/>
              <w:left w:val="nil"/>
              <w:bottom w:val="nil"/>
              <w:right w:val="nil"/>
            </w:tcBorders>
            <w:vAlign w:val="bottom"/>
          </w:tcPr>
          <w:p w14:paraId="000005EB">
            <w:pPr>
              <w:spacing w:after="0"/>
            </w:pPr>
          </w:p>
        </w:tc>
        <w:tc>
          <w:tcPr>
            <w:tcBorders>
              <w:top w:val="nil"/>
              <w:left w:val="nil"/>
              <w:bottom w:val="nil"/>
              <w:right w:val="nil"/>
            </w:tcBorders>
            <w:vAlign w:val="bottom"/>
          </w:tcPr>
          <w:p w14:paraId="000005EC">
            <w:pPr>
              <w:spacing w:after="0"/>
            </w:pPr>
          </w:p>
        </w:tc>
        <w:tc>
          <w:tcPr>
            <w:tcBorders>
              <w:top w:val="nil"/>
              <w:left w:val="nil"/>
              <w:bottom w:val="nil"/>
              <w:right w:val="nil"/>
            </w:tcBorders>
            <w:vAlign w:val="bottom"/>
          </w:tcPr>
          <w:p w14:paraId="000005ED">
            <w:pPr>
              <w:spacing w:after="0"/>
            </w:pPr>
          </w:p>
        </w:tc>
        <w:tc>
          <w:tcPr>
            <w:tcBorders>
              <w:top w:val="nil"/>
              <w:left w:val="nil"/>
              <w:bottom w:val="nil"/>
              <w:right w:val="nil"/>
            </w:tcBorders>
            <w:vAlign w:val="bottom"/>
          </w:tcPr>
          <w:p w14:paraId="000005EE">
            <w:pPr>
              <w:spacing w:after="0"/>
            </w:pPr>
          </w:p>
        </w:tc>
        <w:tc>
          <w:tcPr>
            <w:tcBorders>
              <w:top w:val="nil"/>
              <w:left w:val="nil"/>
              <w:bottom w:val="nil"/>
              <w:right w:val="nil"/>
            </w:tcBorders>
            <w:vAlign w:val="bottom"/>
          </w:tcPr>
          <w:p w14:paraId="000005EF">
            <w:pPr>
              <w:spacing w:after="0"/>
            </w:pPr>
          </w:p>
        </w:tc>
        <w:tc>
          <w:tcPr>
            <w:tcBorders>
              <w:top w:val="nil"/>
              <w:left w:val="nil"/>
              <w:bottom w:val="nil"/>
              <w:right w:val="nil"/>
            </w:tcBorders>
            <w:vAlign w:val="bottom"/>
          </w:tcPr>
          <w:p w14:paraId="000005F0">
            <w:pPr>
              <w:spacing w:after="0"/>
            </w:pPr>
          </w:p>
        </w:tc>
        <w:tc>
          <w:tcPr>
            <w:tcBorders>
              <w:top w:val="nil"/>
              <w:left w:val="nil"/>
              <w:bottom w:val="nil"/>
              <w:right w:val="nil"/>
            </w:tcBorders>
            <w:vAlign w:val="bottom"/>
          </w:tcPr>
          <w:p w14:paraId="000005F1">
            <w:pPr>
              <w:spacing w:after="0"/>
            </w:pPr>
          </w:p>
        </w:tc>
        <w:tc>
          <w:tcPr>
            <w:tcBorders>
              <w:top w:val="nil"/>
              <w:left w:val="nil"/>
              <w:bottom w:val="nil"/>
              <w:right w:val="nil"/>
            </w:tcBorders>
            <w:vAlign w:val="bottom"/>
          </w:tcPr>
          <w:p w14:paraId="000005F2">
            <w:pPr>
              <w:spacing w:after="0"/>
            </w:pPr>
          </w:p>
        </w:tc>
        <w:tc>
          <w:tcPr>
            <w:tcBorders>
              <w:top w:val="nil"/>
              <w:left w:val="nil"/>
              <w:bottom w:val="nil"/>
              <w:right w:val="nil"/>
            </w:tcBorders>
            <w:vAlign w:val="bottom"/>
          </w:tcPr>
          <w:p w14:paraId="000005F3">
            <w:pPr>
              <w:spacing w:after="0"/>
            </w:pPr>
          </w:p>
        </w:tc>
        <w:tc>
          <w:tcPr>
            <w:tcBorders>
              <w:top w:val="nil"/>
              <w:left w:val="nil"/>
              <w:bottom w:val="nil"/>
              <w:right w:val="nil"/>
            </w:tcBorders>
            <w:vAlign w:val="bottom"/>
          </w:tcPr>
          <w:p w14:paraId="000005F4">
            <w:pPr>
              <w:spacing w:after="0"/>
            </w:pPr>
          </w:p>
        </w:tc>
        <w:tc>
          <w:tcPr>
            <w:tcBorders>
              <w:top w:val="nil"/>
              <w:left w:val="nil"/>
              <w:bottom w:val="nil"/>
              <w:right w:val="nil"/>
            </w:tcBorders>
            <w:vAlign w:val="bottom"/>
          </w:tcPr>
          <w:p w14:paraId="000005F5">
            <w:pPr>
              <w:spacing w:after="0"/>
            </w:pPr>
          </w:p>
        </w:tc>
      </w:tr>
      <w:tr w14:paraId="5186DC8C">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center"/>
          </w:tcPr>
          <w:p w14:paraId="000005F6">
            <w:pPr>
              <w:spacing w:after="0"/>
              <w:ind w:firstLine="241"/>
              <w:rPr>
                <w:b/>
                <w:bCs/>
              </w:rPr>
            </w:pPr>
            <w:r>
              <w:rPr>
                <w:b/>
                <w:bCs/>
                <w:rtl w:val="0"/>
              </w:rPr>
              <w:t>C</w:t>
            </w:r>
            <w:r>
              <w:rPr>
                <w:rtl w:val="0"/>
              </w:rPr>
              <w:t xml:space="preserve"> = EBIT / Total Assets = –0.0473</w:t>
            </w:r>
          </w:p>
        </w:tc>
        <w:tc>
          <w:tcPr>
            <w:tcBorders>
              <w:top w:val="nil"/>
              <w:left w:val="nil"/>
              <w:bottom w:val="nil"/>
              <w:right w:val="nil"/>
            </w:tcBorders>
            <w:vAlign w:val="bottom"/>
          </w:tcPr>
          <w:p w14:paraId="000005FA">
            <w:pPr>
              <w:spacing w:after="0"/>
              <w:ind w:firstLine="241"/>
              <w:rPr>
                <w:b/>
                <w:bCs/>
              </w:rPr>
            </w:pPr>
          </w:p>
        </w:tc>
        <w:tc>
          <w:tcPr>
            <w:tcBorders>
              <w:top w:val="nil"/>
              <w:left w:val="nil"/>
              <w:bottom w:val="nil"/>
              <w:right w:val="nil"/>
            </w:tcBorders>
            <w:vAlign w:val="bottom"/>
          </w:tcPr>
          <w:p w14:paraId="000005FB">
            <w:pPr>
              <w:spacing w:after="0"/>
            </w:pPr>
          </w:p>
        </w:tc>
        <w:tc>
          <w:tcPr>
            <w:tcBorders>
              <w:top w:val="nil"/>
              <w:left w:val="nil"/>
              <w:bottom w:val="nil"/>
              <w:right w:val="nil"/>
            </w:tcBorders>
            <w:vAlign w:val="bottom"/>
          </w:tcPr>
          <w:p w14:paraId="000005FC">
            <w:pPr>
              <w:spacing w:after="0"/>
            </w:pPr>
          </w:p>
        </w:tc>
        <w:tc>
          <w:tcPr>
            <w:tcBorders>
              <w:top w:val="nil"/>
              <w:left w:val="nil"/>
              <w:bottom w:val="nil"/>
              <w:right w:val="nil"/>
            </w:tcBorders>
            <w:vAlign w:val="bottom"/>
          </w:tcPr>
          <w:p w14:paraId="000005FD">
            <w:pPr>
              <w:spacing w:after="0"/>
            </w:pPr>
          </w:p>
        </w:tc>
        <w:tc>
          <w:tcPr>
            <w:tcBorders>
              <w:top w:val="nil"/>
              <w:left w:val="nil"/>
              <w:bottom w:val="nil"/>
              <w:right w:val="nil"/>
            </w:tcBorders>
            <w:vAlign w:val="bottom"/>
          </w:tcPr>
          <w:p w14:paraId="000005FE">
            <w:pPr>
              <w:spacing w:after="0"/>
            </w:pPr>
          </w:p>
        </w:tc>
        <w:tc>
          <w:tcPr>
            <w:tcBorders>
              <w:top w:val="nil"/>
              <w:left w:val="nil"/>
              <w:bottom w:val="nil"/>
              <w:right w:val="nil"/>
            </w:tcBorders>
            <w:vAlign w:val="bottom"/>
          </w:tcPr>
          <w:p w14:paraId="000005FF">
            <w:pPr>
              <w:spacing w:after="0"/>
            </w:pPr>
          </w:p>
        </w:tc>
        <w:tc>
          <w:tcPr>
            <w:tcBorders>
              <w:top w:val="nil"/>
              <w:left w:val="nil"/>
              <w:bottom w:val="nil"/>
              <w:right w:val="nil"/>
            </w:tcBorders>
            <w:vAlign w:val="bottom"/>
          </w:tcPr>
          <w:p w14:paraId="00000600">
            <w:pPr>
              <w:spacing w:after="0"/>
            </w:pPr>
          </w:p>
        </w:tc>
        <w:tc>
          <w:tcPr>
            <w:tcBorders>
              <w:top w:val="nil"/>
              <w:left w:val="nil"/>
              <w:bottom w:val="nil"/>
              <w:right w:val="nil"/>
            </w:tcBorders>
            <w:vAlign w:val="bottom"/>
          </w:tcPr>
          <w:p w14:paraId="00000601">
            <w:pPr>
              <w:spacing w:after="0"/>
            </w:pPr>
          </w:p>
        </w:tc>
        <w:tc>
          <w:tcPr>
            <w:tcBorders>
              <w:top w:val="nil"/>
              <w:left w:val="nil"/>
              <w:bottom w:val="nil"/>
              <w:right w:val="nil"/>
            </w:tcBorders>
            <w:vAlign w:val="bottom"/>
          </w:tcPr>
          <w:p w14:paraId="00000602">
            <w:pPr>
              <w:spacing w:after="0"/>
            </w:pPr>
          </w:p>
        </w:tc>
        <w:tc>
          <w:tcPr>
            <w:tcBorders>
              <w:top w:val="nil"/>
              <w:left w:val="nil"/>
              <w:bottom w:val="nil"/>
              <w:right w:val="nil"/>
            </w:tcBorders>
            <w:vAlign w:val="bottom"/>
          </w:tcPr>
          <w:p w14:paraId="00000603">
            <w:pPr>
              <w:spacing w:after="0"/>
            </w:pPr>
          </w:p>
        </w:tc>
        <w:tc>
          <w:tcPr>
            <w:tcBorders>
              <w:top w:val="nil"/>
              <w:left w:val="nil"/>
              <w:bottom w:val="nil"/>
              <w:right w:val="nil"/>
            </w:tcBorders>
            <w:vAlign w:val="bottom"/>
          </w:tcPr>
          <w:p w14:paraId="00000604">
            <w:pPr>
              <w:spacing w:after="0"/>
            </w:pPr>
          </w:p>
        </w:tc>
        <w:tc>
          <w:tcPr>
            <w:tcBorders>
              <w:top w:val="nil"/>
              <w:left w:val="nil"/>
              <w:bottom w:val="nil"/>
              <w:right w:val="nil"/>
            </w:tcBorders>
            <w:vAlign w:val="bottom"/>
          </w:tcPr>
          <w:p w14:paraId="00000605">
            <w:pPr>
              <w:spacing w:after="0"/>
            </w:pPr>
          </w:p>
        </w:tc>
        <w:tc>
          <w:tcPr>
            <w:tcBorders>
              <w:top w:val="nil"/>
              <w:left w:val="nil"/>
              <w:bottom w:val="nil"/>
              <w:right w:val="nil"/>
            </w:tcBorders>
            <w:vAlign w:val="bottom"/>
          </w:tcPr>
          <w:p w14:paraId="00000606">
            <w:pPr>
              <w:spacing w:after="0"/>
            </w:pPr>
          </w:p>
        </w:tc>
        <w:tc>
          <w:tcPr>
            <w:tcBorders>
              <w:top w:val="nil"/>
              <w:left w:val="nil"/>
              <w:bottom w:val="nil"/>
              <w:right w:val="nil"/>
            </w:tcBorders>
            <w:vAlign w:val="bottom"/>
          </w:tcPr>
          <w:p w14:paraId="00000607">
            <w:pPr>
              <w:spacing w:after="0"/>
            </w:pPr>
          </w:p>
        </w:tc>
        <w:tc>
          <w:tcPr>
            <w:tcBorders>
              <w:top w:val="nil"/>
              <w:left w:val="nil"/>
              <w:bottom w:val="nil"/>
              <w:right w:val="nil"/>
            </w:tcBorders>
            <w:vAlign w:val="bottom"/>
          </w:tcPr>
          <w:p w14:paraId="00000608">
            <w:pPr>
              <w:spacing w:after="0"/>
            </w:pPr>
          </w:p>
        </w:tc>
      </w:tr>
      <w:tr w14:paraId="01B8D555">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609">
            <w:pPr>
              <w:spacing w:after="0"/>
            </w:pPr>
          </w:p>
        </w:tc>
        <w:tc>
          <w:tcPr>
            <w:tcBorders>
              <w:top w:val="nil"/>
              <w:left w:val="nil"/>
              <w:bottom w:val="nil"/>
              <w:right w:val="nil"/>
            </w:tcBorders>
            <w:vAlign w:val="bottom"/>
          </w:tcPr>
          <w:p w14:paraId="0000060A">
            <w:pPr>
              <w:spacing w:after="0"/>
              <w:ind w:firstLine="240"/>
            </w:pPr>
          </w:p>
        </w:tc>
        <w:tc>
          <w:tcPr>
            <w:tcBorders>
              <w:top w:val="nil"/>
              <w:left w:val="nil"/>
              <w:bottom w:val="nil"/>
              <w:right w:val="nil"/>
            </w:tcBorders>
            <w:vAlign w:val="bottom"/>
          </w:tcPr>
          <w:p w14:paraId="0000060B">
            <w:pPr>
              <w:spacing w:after="0"/>
            </w:pPr>
          </w:p>
        </w:tc>
        <w:tc>
          <w:tcPr>
            <w:tcBorders>
              <w:top w:val="nil"/>
              <w:left w:val="nil"/>
              <w:bottom w:val="nil"/>
              <w:right w:val="nil"/>
            </w:tcBorders>
            <w:vAlign w:val="bottom"/>
          </w:tcPr>
          <w:p w14:paraId="0000060C">
            <w:pPr>
              <w:spacing w:after="0"/>
            </w:pPr>
          </w:p>
        </w:tc>
        <w:tc>
          <w:tcPr>
            <w:tcBorders>
              <w:top w:val="nil"/>
              <w:left w:val="nil"/>
              <w:bottom w:val="nil"/>
              <w:right w:val="nil"/>
            </w:tcBorders>
            <w:vAlign w:val="bottom"/>
          </w:tcPr>
          <w:p w14:paraId="0000060D">
            <w:pPr>
              <w:spacing w:after="0"/>
            </w:pPr>
          </w:p>
        </w:tc>
        <w:tc>
          <w:tcPr>
            <w:tcBorders>
              <w:top w:val="nil"/>
              <w:left w:val="nil"/>
              <w:bottom w:val="nil"/>
              <w:right w:val="nil"/>
            </w:tcBorders>
            <w:vAlign w:val="bottom"/>
          </w:tcPr>
          <w:p w14:paraId="0000060E">
            <w:pPr>
              <w:spacing w:after="0"/>
            </w:pPr>
          </w:p>
        </w:tc>
        <w:tc>
          <w:tcPr>
            <w:tcBorders>
              <w:top w:val="nil"/>
              <w:left w:val="nil"/>
              <w:bottom w:val="nil"/>
              <w:right w:val="nil"/>
            </w:tcBorders>
            <w:vAlign w:val="bottom"/>
          </w:tcPr>
          <w:p w14:paraId="0000060F">
            <w:pPr>
              <w:spacing w:after="0"/>
            </w:pPr>
          </w:p>
        </w:tc>
        <w:tc>
          <w:tcPr>
            <w:tcBorders>
              <w:top w:val="nil"/>
              <w:left w:val="nil"/>
              <w:bottom w:val="nil"/>
              <w:right w:val="nil"/>
            </w:tcBorders>
            <w:vAlign w:val="bottom"/>
          </w:tcPr>
          <w:p w14:paraId="00000610">
            <w:pPr>
              <w:spacing w:after="0"/>
            </w:pPr>
          </w:p>
        </w:tc>
        <w:tc>
          <w:tcPr>
            <w:tcBorders>
              <w:top w:val="nil"/>
              <w:left w:val="nil"/>
              <w:bottom w:val="nil"/>
              <w:right w:val="nil"/>
            </w:tcBorders>
            <w:vAlign w:val="bottom"/>
          </w:tcPr>
          <w:p w14:paraId="00000611">
            <w:pPr>
              <w:spacing w:after="0"/>
            </w:pPr>
          </w:p>
        </w:tc>
        <w:tc>
          <w:tcPr>
            <w:tcBorders>
              <w:top w:val="nil"/>
              <w:left w:val="nil"/>
              <w:bottom w:val="nil"/>
              <w:right w:val="nil"/>
            </w:tcBorders>
            <w:vAlign w:val="bottom"/>
          </w:tcPr>
          <w:p w14:paraId="00000612">
            <w:pPr>
              <w:spacing w:after="0"/>
            </w:pPr>
          </w:p>
        </w:tc>
        <w:tc>
          <w:tcPr>
            <w:tcBorders>
              <w:top w:val="nil"/>
              <w:left w:val="nil"/>
              <w:bottom w:val="nil"/>
              <w:right w:val="nil"/>
            </w:tcBorders>
            <w:vAlign w:val="bottom"/>
          </w:tcPr>
          <w:p w14:paraId="00000613">
            <w:pPr>
              <w:spacing w:after="0"/>
            </w:pPr>
          </w:p>
        </w:tc>
        <w:tc>
          <w:tcPr>
            <w:tcBorders>
              <w:top w:val="nil"/>
              <w:left w:val="nil"/>
              <w:bottom w:val="nil"/>
              <w:right w:val="nil"/>
            </w:tcBorders>
            <w:vAlign w:val="bottom"/>
          </w:tcPr>
          <w:p w14:paraId="00000614">
            <w:pPr>
              <w:spacing w:after="0"/>
            </w:pPr>
          </w:p>
        </w:tc>
        <w:tc>
          <w:tcPr>
            <w:tcBorders>
              <w:top w:val="nil"/>
              <w:left w:val="nil"/>
              <w:bottom w:val="nil"/>
              <w:right w:val="nil"/>
            </w:tcBorders>
            <w:vAlign w:val="bottom"/>
          </w:tcPr>
          <w:p w14:paraId="00000615">
            <w:pPr>
              <w:spacing w:after="0"/>
            </w:pPr>
          </w:p>
        </w:tc>
        <w:tc>
          <w:tcPr>
            <w:tcBorders>
              <w:top w:val="nil"/>
              <w:left w:val="nil"/>
              <w:bottom w:val="nil"/>
              <w:right w:val="nil"/>
            </w:tcBorders>
            <w:vAlign w:val="bottom"/>
          </w:tcPr>
          <w:p w14:paraId="00000616">
            <w:pPr>
              <w:spacing w:after="0"/>
            </w:pPr>
          </w:p>
        </w:tc>
        <w:tc>
          <w:tcPr>
            <w:tcBorders>
              <w:top w:val="nil"/>
              <w:left w:val="nil"/>
              <w:bottom w:val="nil"/>
              <w:right w:val="nil"/>
            </w:tcBorders>
            <w:vAlign w:val="bottom"/>
          </w:tcPr>
          <w:p w14:paraId="00000617">
            <w:pPr>
              <w:spacing w:after="0"/>
            </w:pPr>
          </w:p>
        </w:tc>
        <w:tc>
          <w:tcPr>
            <w:tcBorders>
              <w:top w:val="nil"/>
              <w:left w:val="nil"/>
              <w:bottom w:val="nil"/>
              <w:right w:val="nil"/>
            </w:tcBorders>
            <w:vAlign w:val="bottom"/>
          </w:tcPr>
          <w:p w14:paraId="00000618">
            <w:pPr>
              <w:spacing w:after="0"/>
            </w:pPr>
          </w:p>
        </w:tc>
        <w:tc>
          <w:tcPr>
            <w:tcBorders>
              <w:top w:val="nil"/>
              <w:left w:val="nil"/>
              <w:bottom w:val="nil"/>
              <w:right w:val="nil"/>
            </w:tcBorders>
            <w:vAlign w:val="bottom"/>
          </w:tcPr>
          <w:p w14:paraId="00000619">
            <w:pPr>
              <w:spacing w:after="0"/>
            </w:pPr>
          </w:p>
        </w:tc>
        <w:tc>
          <w:tcPr>
            <w:tcBorders>
              <w:top w:val="nil"/>
              <w:left w:val="nil"/>
              <w:bottom w:val="nil"/>
              <w:right w:val="nil"/>
            </w:tcBorders>
            <w:vAlign w:val="bottom"/>
          </w:tcPr>
          <w:p w14:paraId="0000061A">
            <w:pPr>
              <w:spacing w:after="0"/>
            </w:pPr>
          </w:p>
        </w:tc>
        <w:tc>
          <w:tcPr>
            <w:tcBorders>
              <w:top w:val="nil"/>
              <w:left w:val="nil"/>
              <w:bottom w:val="nil"/>
              <w:right w:val="nil"/>
            </w:tcBorders>
            <w:vAlign w:val="bottom"/>
          </w:tcPr>
          <w:p w14:paraId="0000061B">
            <w:pPr>
              <w:spacing w:after="0"/>
            </w:pPr>
          </w:p>
        </w:tc>
      </w:tr>
      <w:tr w14:paraId="6CE65E13">
        <w:tblPrEx>
          <w:tblCellMar>
            <w:top w:w="0" w:type="dxa"/>
            <w:left w:w="115" w:type="dxa"/>
            <w:bottom w:w="0" w:type="dxa"/>
            <w:right w:w="115" w:type="dxa"/>
          </w:tblCellMar>
        </w:tblPrEx>
        <w:trPr>
          <w:trHeight w:val="276" w:hRule="atLeast"/>
        </w:trPr>
        <w:tc>
          <w:tcPr>
            <w:gridSpan w:val="5"/>
            <w:tcBorders>
              <w:top w:val="nil"/>
              <w:left w:val="nil"/>
              <w:bottom w:val="nil"/>
              <w:right w:val="nil"/>
            </w:tcBorders>
            <w:vAlign w:val="center"/>
          </w:tcPr>
          <w:p w14:paraId="0000061C">
            <w:pPr>
              <w:spacing w:after="0"/>
              <w:ind w:firstLine="241"/>
              <w:rPr>
                <w:b/>
                <w:bCs/>
              </w:rPr>
            </w:pPr>
            <w:r>
              <w:rPr>
                <w:b/>
                <w:bCs/>
                <w:rtl w:val="0"/>
              </w:rPr>
              <w:t>D</w:t>
            </w:r>
            <w:r>
              <w:rPr>
                <w:rtl w:val="0"/>
              </w:rPr>
              <w:t xml:space="preserve"> = Market Value of Equity / Total Liabilities = 0.8993</w:t>
            </w:r>
          </w:p>
        </w:tc>
        <w:tc>
          <w:tcPr>
            <w:tcBorders>
              <w:top w:val="nil"/>
              <w:left w:val="nil"/>
              <w:bottom w:val="nil"/>
              <w:right w:val="nil"/>
            </w:tcBorders>
            <w:vAlign w:val="bottom"/>
          </w:tcPr>
          <w:p w14:paraId="00000621">
            <w:pPr>
              <w:spacing w:after="0"/>
              <w:ind w:firstLine="241"/>
              <w:rPr>
                <w:b/>
                <w:bCs/>
              </w:rPr>
            </w:pPr>
          </w:p>
        </w:tc>
        <w:tc>
          <w:tcPr>
            <w:tcBorders>
              <w:top w:val="nil"/>
              <w:left w:val="nil"/>
              <w:bottom w:val="nil"/>
              <w:right w:val="nil"/>
            </w:tcBorders>
            <w:vAlign w:val="bottom"/>
          </w:tcPr>
          <w:p w14:paraId="00000622">
            <w:pPr>
              <w:spacing w:after="0"/>
            </w:pPr>
          </w:p>
        </w:tc>
        <w:tc>
          <w:tcPr>
            <w:tcBorders>
              <w:top w:val="nil"/>
              <w:left w:val="nil"/>
              <w:bottom w:val="nil"/>
              <w:right w:val="nil"/>
            </w:tcBorders>
            <w:vAlign w:val="bottom"/>
          </w:tcPr>
          <w:p w14:paraId="00000623">
            <w:pPr>
              <w:spacing w:after="0"/>
            </w:pPr>
          </w:p>
        </w:tc>
        <w:tc>
          <w:tcPr>
            <w:tcBorders>
              <w:top w:val="nil"/>
              <w:left w:val="nil"/>
              <w:bottom w:val="nil"/>
              <w:right w:val="nil"/>
            </w:tcBorders>
            <w:vAlign w:val="bottom"/>
          </w:tcPr>
          <w:p w14:paraId="00000624">
            <w:pPr>
              <w:spacing w:after="0"/>
            </w:pPr>
          </w:p>
        </w:tc>
        <w:tc>
          <w:tcPr>
            <w:tcBorders>
              <w:top w:val="nil"/>
              <w:left w:val="nil"/>
              <w:bottom w:val="nil"/>
              <w:right w:val="nil"/>
            </w:tcBorders>
            <w:vAlign w:val="bottom"/>
          </w:tcPr>
          <w:p w14:paraId="00000625">
            <w:pPr>
              <w:spacing w:after="0"/>
            </w:pPr>
          </w:p>
        </w:tc>
        <w:tc>
          <w:tcPr>
            <w:tcBorders>
              <w:top w:val="nil"/>
              <w:left w:val="nil"/>
              <w:bottom w:val="nil"/>
              <w:right w:val="nil"/>
            </w:tcBorders>
            <w:vAlign w:val="bottom"/>
          </w:tcPr>
          <w:p w14:paraId="00000626">
            <w:pPr>
              <w:spacing w:after="0"/>
            </w:pPr>
          </w:p>
        </w:tc>
        <w:tc>
          <w:tcPr>
            <w:tcBorders>
              <w:top w:val="nil"/>
              <w:left w:val="nil"/>
              <w:bottom w:val="nil"/>
              <w:right w:val="nil"/>
            </w:tcBorders>
            <w:vAlign w:val="bottom"/>
          </w:tcPr>
          <w:p w14:paraId="00000627">
            <w:pPr>
              <w:spacing w:after="0"/>
            </w:pPr>
          </w:p>
        </w:tc>
        <w:tc>
          <w:tcPr>
            <w:tcBorders>
              <w:top w:val="nil"/>
              <w:left w:val="nil"/>
              <w:bottom w:val="nil"/>
              <w:right w:val="nil"/>
            </w:tcBorders>
            <w:vAlign w:val="bottom"/>
          </w:tcPr>
          <w:p w14:paraId="00000628">
            <w:pPr>
              <w:spacing w:after="0"/>
            </w:pPr>
          </w:p>
        </w:tc>
        <w:tc>
          <w:tcPr>
            <w:tcBorders>
              <w:top w:val="nil"/>
              <w:left w:val="nil"/>
              <w:bottom w:val="nil"/>
              <w:right w:val="nil"/>
            </w:tcBorders>
            <w:vAlign w:val="bottom"/>
          </w:tcPr>
          <w:p w14:paraId="00000629">
            <w:pPr>
              <w:spacing w:after="0"/>
            </w:pPr>
          </w:p>
        </w:tc>
        <w:tc>
          <w:tcPr>
            <w:tcBorders>
              <w:top w:val="nil"/>
              <w:left w:val="nil"/>
              <w:bottom w:val="nil"/>
              <w:right w:val="nil"/>
            </w:tcBorders>
            <w:vAlign w:val="bottom"/>
          </w:tcPr>
          <w:p w14:paraId="0000062A">
            <w:pPr>
              <w:spacing w:after="0"/>
            </w:pPr>
          </w:p>
        </w:tc>
        <w:tc>
          <w:tcPr>
            <w:tcBorders>
              <w:top w:val="nil"/>
              <w:left w:val="nil"/>
              <w:bottom w:val="nil"/>
              <w:right w:val="nil"/>
            </w:tcBorders>
            <w:vAlign w:val="bottom"/>
          </w:tcPr>
          <w:p w14:paraId="0000062B">
            <w:pPr>
              <w:spacing w:after="0"/>
            </w:pPr>
          </w:p>
        </w:tc>
        <w:tc>
          <w:tcPr>
            <w:tcBorders>
              <w:top w:val="nil"/>
              <w:left w:val="nil"/>
              <w:bottom w:val="nil"/>
              <w:right w:val="nil"/>
            </w:tcBorders>
            <w:vAlign w:val="bottom"/>
          </w:tcPr>
          <w:p w14:paraId="0000062C">
            <w:pPr>
              <w:spacing w:after="0"/>
            </w:pPr>
          </w:p>
        </w:tc>
        <w:tc>
          <w:tcPr>
            <w:tcBorders>
              <w:top w:val="nil"/>
              <w:left w:val="nil"/>
              <w:bottom w:val="nil"/>
              <w:right w:val="nil"/>
            </w:tcBorders>
            <w:vAlign w:val="bottom"/>
          </w:tcPr>
          <w:p w14:paraId="0000062D">
            <w:pPr>
              <w:spacing w:after="0"/>
            </w:pPr>
          </w:p>
        </w:tc>
        <w:tc>
          <w:tcPr>
            <w:tcBorders>
              <w:top w:val="nil"/>
              <w:left w:val="nil"/>
              <w:bottom w:val="nil"/>
              <w:right w:val="nil"/>
            </w:tcBorders>
            <w:vAlign w:val="bottom"/>
          </w:tcPr>
          <w:p w14:paraId="0000062E">
            <w:pPr>
              <w:spacing w:after="0"/>
            </w:pPr>
          </w:p>
        </w:tc>
      </w:tr>
      <w:tr w14:paraId="5F0B440F">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62F">
            <w:pPr>
              <w:spacing w:after="0"/>
            </w:pPr>
          </w:p>
        </w:tc>
        <w:tc>
          <w:tcPr>
            <w:tcBorders>
              <w:top w:val="nil"/>
              <w:left w:val="nil"/>
              <w:bottom w:val="nil"/>
              <w:right w:val="nil"/>
            </w:tcBorders>
            <w:vAlign w:val="bottom"/>
          </w:tcPr>
          <w:p w14:paraId="00000630">
            <w:pPr>
              <w:spacing w:after="0"/>
              <w:ind w:firstLine="240"/>
            </w:pPr>
          </w:p>
        </w:tc>
        <w:tc>
          <w:tcPr>
            <w:tcBorders>
              <w:top w:val="nil"/>
              <w:left w:val="nil"/>
              <w:bottom w:val="nil"/>
              <w:right w:val="nil"/>
            </w:tcBorders>
            <w:vAlign w:val="bottom"/>
          </w:tcPr>
          <w:p w14:paraId="00000631">
            <w:pPr>
              <w:spacing w:after="0"/>
            </w:pPr>
          </w:p>
        </w:tc>
        <w:tc>
          <w:tcPr>
            <w:tcBorders>
              <w:top w:val="nil"/>
              <w:left w:val="nil"/>
              <w:bottom w:val="nil"/>
              <w:right w:val="nil"/>
            </w:tcBorders>
            <w:vAlign w:val="bottom"/>
          </w:tcPr>
          <w:p w14:paraId="00000632">
            <w:pPr>
              <w:spacing w:after="0"/>
            </w:pPr>
          </w:p>
        </w:tc>
        <w:tc>
          <w:tcPr>
            <w:tcBorders>
              <w:top w:val="nil"/>
              <w:left w:val="nil"/>
              <w:bottom w:val="nil"/>
              <w:right w:val="nil"/>
            </w:tcBorders>
            <w:vAlign w:val="bottom"/>
          </w:tcPr>
          <w:p w14:paraId="00000633">
            <w:pPr>
              <w:spacing w:after="0"/>
            </w:pPr>
          </w:p>
        </w:tc>
        <w:tc>
          <w:tcPr>
            <w:tcBorders>
              <w:top w:val="nil"/>
              <w:left w:val="nil"/>
              <w:bottom w:val="nil"/>
              <w:right w:val="nil"/>
            </w:tcBorders>
            <w:vAlign w:val="bottom"/>
          </w:tcPr>
          <w:p w14:paraId="00000634">
            <w:pPr>
              <w:spacing w:after="0"/>
            </w:pPr>
          </w:p>
        </w:tc>
        <w:tc>
          <w:tcPr>
            <w:tcBorders>
              <w:top w:val="nil"/>
              <w:left w:val="nil"/>
              <w:bottom w:val="nil"/>
              <w:right w:val="nil"/>
            </w:tcBorders>
            <w:vAlign w:val="bottom"/>
          </w:tcPr>
          <w:p w14:paraId="00000635">
            <w:pPr>
              <w:spacing w:after="0"/>
            </w:pPr>
          </w:p>
        </w:tc>
        <w:tc>
          <w:tcPr>
            <w:tcBorders>
              <w:top w:val="nil"/>
              <w:left w:val="nil"/>
              <w:bottom w:val="nil"/>
              <w:right w:val="nil"/>
            </w:tcBorders>
            <w:vAlign w:val="bottom"/>
          </w:tcPr>
          <w:p w14:paraId="00000636">
            <w:pPr>
              <w:spacing w:after="0"/>
            </w:pPr>
          </w:p>
        </w:tc>
        <w:tc>
          <w:tcPr>
            <w:tcBorders>
              <w:top w:val="nil"/>
              <w:left w:val="nil"/>
              <w:bottom w:val="nil"/>
              <w:right w:val="nil"/>
            </w:tcBorders>
            <w:vAlign w:val="bottom"/>
          </w:tcPr>
          <w:p w14:paraId="00000637">
            <w:pPr>
              <w:spacing w:after="0"/>
            </w:pPr>
          </w:p>
        </w:tc>
        <w:tc>
          <w:tcPr>
            <w:tcBorders>
              <w:top w:val="nil"/>
              <w:left w:val="nil"/>
              <w:bottom w:val="nil"/>
              <w:right w:val="nil"/>
            </w:tcBorders>
            <w:vAlign w:val="bottom"/>
          </w:tcPr>
          <w:p w14:paraId="00000638">
            <w:pPr>
              <w:spacing w:after="0"/>
            </w:pPr>
          </w:p>
        </w:tc>
        <w:tc>
          <w:tcPr>
            <w:tcBorders>
              <w:top w:val="nil"/>
              <w:left w:val="nil"/>
              <w:bottom w:val="nil"/>
              <w:right w:val="nil"/>
            </w:tcBorders>
            <w:vAlign w:val="bottom"/>
          </w:tcPr>
          <w:p w14:paraId="00000639">
            <w:pPr>
              <w:spacing w:after="0"/>
            </w:pPr>
          </w:p>
        </w:tc>
        <w:tc>
          <w:tcPr>
            <w:tcBorders>
              <w:top w:val="nil"/>
              <w:left w:val="nil"/>
              <w:bottom w:val="nil"/>
              <w:right w:val="nil"/>
            </w:tcBorders>
            <w:vAlign w:val="bottom"/>
          </w:tcPr>
          <w:p w14:paraId="0000063A">
            <w:pPr>
              <w:spacing w:after="0"/>
            </w:pPr>
          </w:p>
        </w:tc>
        <w:tc>
          <w:tcPr>
            <w:tcBorders>
              <w:top w:val="nil"/>
              <w:left w:val="nil"/>
              <w:bottom w:val="nil"/>
              <w:right w:val="nil"/>
            </w:tcBorders>
            <w:vAlign w:val="bottom"/>
          </w:tcPr>
          <w:p w14:paraId="0000063B">
            <w:pPr>
              <w:spacing w:after="0"/>
            </w:pPr>
          </w:p>
        </w:tc>
        <w:tc>
          <w:tcPr>
            <w:tcBorders>
              <w:top w:val="nil"/>
              <w:left w:val="nil"/>
              <w:bottom w:val="nil"/>
              <w:right w:val="nil"/>
            </w:tcBorders>
            <w:vAlign w:val="bottom"/>
          </w:tcPr>
          <w:p w14:paraId="0000063C">
            <w:pPr>
              <w:spacing w:after="0"/>
            </w:pPr>
          </w:p>
        </w:tc>
        <w:tc>
          <w:tcPr>
            <w:tcBorders>
              <w:top w:val="nil"/>
              <w:left w:val="nil"/>
              <w:bottom w:val="nil"/>
              <w:right w:val="nil"/>
            </w:tcBorders>
            <w:vAlign w:val="bottom"/>
          </w:tcPr>
          <w:p w14:paraId="0000063D">
            <w:pPr>
              <w:spacing w:after="0"/>
            </w:pPr>
          </w:p>
        </w:tc>
        <w:tc>
          <w:tcPr>
            <w:tcBorders>
              <w:top w:val="nil"/>
              <w:left w:val="nil"/>
              <w:bottom w:val="nil"/>
              <w:right w:val="nil"/>
            </w:tcBorders>
            <w:vAlign w:val="bottom"/>
          </w:tcPr>
          <w:p w14:paraId="0000063E">
            <w:pPr>
              <w:spacing w:after="0"/>
            </w:pPr>
          </w:p>
        </w:tc>
        <w:tc>
          <w:tcPr>
            <w:tcBorders>
              <w:top w:val="nil"/>
              <w:left w:val="nil"/>
              <w:bottom w:val="nil"/>
              <w:right w:val="nil"/>
            </w:tcBorders>
            <w:vAlign w:val="bottom"/>
          </w:tcPr>
          <w:p w14:paraId="0000063F">
            <w:pPr>
              <w:spacing w:after="0"/>
            </w:pPr>
          </w:p>
        </w:tc>
        <w:tc>
          <w:tcPr>
            <w:tcBorders>
              <w:top w:val="nil"/>
              <w:left w:val="nil"/>
              <w:bottom w:val="nil"/>
              <w:right w:val="nil"/>
            </w:tcBorders>
            <w:vAlign w:val="bottom"/>
          </w:tcPr>
          <w:p w14:paraId="00000640">
            <w:pPr>
              <w:spacing w:after="0"/>
            </w:pPr>
          </w:p>
        </w:tc>
        <w:tc>
          <w:tcPr>
            <w:tcBorders>
              <w:top w:val="nil"/>
              <w:left w:val="nil"/>
              <w:bottom w:val="nil"/>
              <w:right w:val="nil"/>
            </w:tcBorders>
            <w:vAlign w:val="bottom"/>
          </w:tcPr>
          <w:p w14:paraId="00000641">
            <w:pPr>
              <w:spacing w:after="0"/>
            </w:pPr>
          </w:p>
        </w:tc>
      </w:tr>
      <w:tr w14:paraId="079CEEAA">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center"/>
          </w:tcPr>
          <w:p w14:paraId="00000642">
            <w:pPr>
              <w:spacing w:after="0"/>
              <w:ind w:firstLine="241"/>
              <w:rPr>
                <w:b/>
                <w:bCs/>
              </w:rPr>
            </w:pPr>
            <w:r>
              <w:rPr>
                <w:b/>
                <w:bCs/>
                <w:rtl w:val="0"/>
              </w:rPr>
              <w:t>E</w:t>
            </w:r>
            <w:r>
              <w:rPr>
                <w:rtl w:val="0"/>
              </w:rPr>
              <w:t xml:space="preserve"> = Sales / Total Assets = 1.2212</w:t>
            </w:r>
          </w:p>
        </w:tc>
        <w:tc>
          <w:tcPr>
            <w:tcBorders>
              <w:top w:val="nil"/>
              <w:left w:val="nil"/>
              <w:bottom w:val="nil"/>
              <w:right w:val="nil"/>
            </w:tcBorders>
            <w:vAlign w:val="bottom"/>
          </w:tcPr>
          <w:p w14:paraId="00000646">
            <w:pPr>
              <w:spacing w:after="0"/>
              <w:ind w:firstLine="241"/>
              <w:rPr>
                <w:b/>
                <w:bCs/>
              </w:rPr>
            </w:pPr>
          </w:p>
        </w:tc>
        <w:tc>
          <w:tcPr>
            <w:tcBorders>
              <w:top w:val="nil"/>
              <w:left w:val="nil"/>
              <w:bottom w:val="nil"/>
              <w:right w:val="nil"/>
            </w:tcBorders>
            <w:vAlign w:val="bottom"/>
          </w:tcPr>
          <w:p w14:paraId="00000647">
            <w:pPr>
              <w:spacing w:after="0"/>
            </w:pPr>
          </w:p>
        </w:tc>
        <w:tc>
          <w:tcPr>
            <w:tcBorders>
              <w:top w:val="nil"/>
              <w:left w:val="nil"/>
              <w:bottom w:val="nil"/>
              <w:right w:val="nil"/>
            </w:tcBorders>
            <w:vAlign w:val="bottom"/>
          </w:tcPr>
          <w:p w14:paraId="00000648">
            <w:pPr>
              <w:spacing w:after="0"/>
            </w:pPr>
          </w:p>
        </w:tc>
        <w:tc>
          <w:tcPr>
            <w:tcBorders>
              <w:top w:val="nil"/>
              <w:left w:val="nil"/>
              <w:bottom w:val="nil"/>
              <w:right w:val="nil"/>
            </w:tcBorders>
            <w:vAlign w:val="bottom"/>
          </w:tcPr>
          <w:p w14:paraId="00000649">
            <w:pPr>
              <w:spacing w:after="0"/>
            </w:pPr>
          </w:p>
        </w:tc>
        <w:tc>
          <w:tcPr>
            <w:tcBorders>
              <w:top w:val="nil"/>
              <w:left w:val="nil"/>
              <w:bottom w:val="nil"/>
              <w:right w:val="nil"/>
            </w:tcBorders>
            <w:vAlign w:val="bottom"/>
          </w:tcPr>
          <w:p w14:paraId="0000064A">
            <w:pPr>
              <w:spacing w:after="0"/>
            </w:pPr>
          </w:p>
        </w:tc>
        <w:tc>
          <w:tcPr>
            <w:tcBorders>
              <w:top w:val="nil"/>
              <w:left w:val="nil"/>
              <w:bottom w:val="nil"/>
              <w:right w:val="nil"/>
            </w:tcBorders>
            <w:vAlign w:val="bottom"/>
          </w:tcPr>
          <w:p w14:paraId="0000064B">
            <w:pPr>
              <w:spacing w:after="0"/>
            </w:pPr>
          </w:p>
        </w:tc>
        <w:tc>
          <w:tcPr>
            <w:tcBorders>
              <w:top w:val="nil"/>
              <w:left w:val="nil"/>
              <w:bottom w:val="nil"/>
              <w:right w:val="nil"/>
            </w:tcBorders>
            <w:vAlign w:val="bottom"/>
          </w:tcPr>
          <w:p w14:paraId="0000064C">
            <w:pPr>
              <w:spacing w:after="0"/>
            </w:pPr>
          </w:p>
        </w:tc>
        <w:tc>
          <w:tcPr>
            <w:tcBorders>
              <w:top w:val="nil"/>
              <w:left w:val="nil"/>
              <w:bottom w:val="nil"/>
              <w:right w:val="nil"/>
            </w:tcBorders>
            <w:vAlign w:val="bottom"/>
          </w:tcPr>
          <w:p w14:paraId="0000064D">
            <w:pPr>
              <w:spacing w:after="0"/>
            </w:pPr>
          </w:p>
        </w:tc>
        <w:tc>
          <w:tcPr>
            <w:tcBorders>
              <w:top w:val="nil"/>
              <w:left w:val="nil"/>
              <w:bottom w:val="nil"/>
              <w:right w:val="nil"/>
            </w:tcBorders>
            <w:vAlign w:val="bottom"/>
          </w:tcPr>
          <w:p w14:paraId="0000064E">
            <w:pPr>
              <w:spacing w:after="0"/>
            </w:pPr>
          </w:p>
        </w:tc>
        <w:tc>
          <w:tcPr>
            <w:tcBorders>
              <w:top w:val="nil"/>
              <w:left w:val="nil"/>
              <w:bottom w:val="nil"/>
              <w:right w:val="nil"/>
            </w:tcBorders>
            <w:vAlign w:val="bottom"/>
          </w:tcPr>
          <w:p w14:paraId="0000064F">
            <w:pPr>
              <w:spacing w:after="0"/>
            </w:pPr>
          </w:p>
        </w:tc>
        <w:tc>
          <w:tcPr>
            <w:tcBorders>
              <w:top w:val="nil"/>
              <w:left w:val="nil"/>
              <w:bottom w:val="nil"/>
              <w:right w:val="nil"/>
            </w:tcBorders>
            <w:vAlign w:val="bottom"/>
          </w:tcPr>
          <w:p w14:paraId="00000650">
            <w:pPr>
              <w:spacing w:after="0"/>
            </w:pPr>
          </w:p>
        </w:tc>
        <w:tc>
          <w:tcPr>
            <w:tcBorders>
              <w:top w:val="nil"/>
              <w:left w:val="nil"/>
              <w:bottom w:val="nil"/>
              <w:right w:val="nil"/>
            </w:tcBorders>
            <w:vAlign w:val="bottom"/>
          </w:tcPr>
          <w:p w14:paraId="00000651">
            <w:pPr>
              <w:spacing w:after="0"/>
            </w:pPr>
          </w:p>
        </w:tc>
        <w:tc>
          <w:tcPr>
            <w:tcBorders>
              <w:top w:val="nil"/>
              <w:left w:val="nil"/>
              <w:bottom w:val="nil"/>
              <w:right w:val="nil"/>
            </w:tcBorders>
            <w:vAlign w:val="bottom"/>
          </w:tcPr>
          <w:p w14:paraId="00000652">
            <w:pPr>
              <w:spacing w:after="0"/>
            </w:pPr>
          </w:p>
        </w:tc>
        <w:tc>
          <w:tcPr>
            <w:tcBorders>
              <w:top w:val="nil"/>
              <w:left w:val="nil"/>
              <w:bottom w:val="nil"/>
              <w:right w:val="nil"/>
            </w:tcBorders>
            <w:vAlign w:val="bottom"/>
          </w:tcPr>
          <w:p w14:paraId="00000653">
            <w:pPr>
              <w:spacing w:after="0"/>
            </w:pPr>
          </w:p>
        </w:tc>
        <w:tc>
          <w:tcPr>
            <w:tcBorders>
              <w:top w:val="nil"/>
              <w:left w:val="nil"/>
              <w:bottom w:val="nil"/>
              <w:right w:val="nil"/>
            </w:tcBorders>
            <w:vAlign w:val="bottom"/>
          </w:tcPr>
          <w:p w14:paraId="00000654">
            <w:pPr>
              <w:spacing w:after="0"/>
            </w:pPr>
          </w:p>
        </w:tc>
      </w:tr>
      <w:tr w14:paraId="295DC09A">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55">
            <w:pPr>
              <w:spacing w:after="0"/>
            </w:pPr>
          </w:p>
        </w:tc>
        <w:tc>
          <w:tcPr>
            <w:tcBorders>
              <w:top w:val="nil"/>
              <w:left w:val="nil"/>
              <w:bottom w:val="nil"/>
              <w:right w:val="nil"/>
            </w:tcBorders>
            <w:vAlign w:val="bottom"/>
          </w:tcPr>
          <w:p w14:paraId="00000656">
            <w:pPr>
              <w:spacing w:after="0"/>
            </w:pPr>
          </w:p>
        </w:tc>
        <w:tc>
          <w:tcPr>
            <w:tcBorders>
              <w:top w:val="nil"/>
              <w:left w:val="nil"/>
              <w:bottom w:val="nil"/>
              <w:right w:val="nil"/>
            </w:tcBorders>
            <w:vAlign w:val="bottom"/>
          </w:tcPr>
          <w:p w14:paraId="00000657">
            <w:pPr>
              <w:spacing w:after="0"/>
            </w:pPr>
          </w:p>
        </w:tc>
        <w:tc>
          <w:tcPr>
            <w:tcBorders>
              <w:top w:val="nil"/>
              <w:left w:val="nil"/>
              <w:bottom w:val="nil"/>
              <w:right w:val="nil"/>
            </w:tcBorders>
            <w:vAlign w:val="bottom"/>
          </w:tcPr>
          <w:p w14:paraId="00000658">
            <w:pPr>
              <w:spacing w:after="0"/>
            </w:pPr>
          </w:p>
        </w:tc>
        <w:tc>
          <w:tcPr>
            <w:tcBorders>
              <w:top w:val="nil"/>
              <w:left w:val="nil"/>
              <w:bottom w:val="nil"/>
              <w:right w:val="nil"/>
            </w:tcBorders>
            <w:vAlign w:val="bottom"/>
          </w:tcPr>
          <w:p w14:paraId="00000659">
            <w:pPr>
              <w:spacing w:after="0"/>
            </w:pPr>
          </w:p>
        </w:tc>
        <w:tc>
          <w:tcPr>
            <w:tcBorders>
              <w:top w:val="nil"/>
              <w:left w:val="nil"/>
              <w:bottom w:val="nil"/>
              <w:right w:val="nil"/>
            </w:tcBorders>
            <w:vAlign w:val="bottom"/>
          </w:tcPr>
          <w:p w14:paraId="0000065A">
            <w:pPr>
              <w:spacing w:after="0"/>
            </w:pPr>
          </w:p>
        </w:tc>
        <w:tc>
          <w:tcPr>
            <w:tcBorders>
              <w:top w:val="nil"/>
              <w:left w:val="nil"/>
              <w:bottom w:val="nil"/>
              <w:right w:val="nil"/>
            </w:tcBorders>
            <w:vAlign w:val="bottom"/>
          </w:tcPr>
          <w:p w14:paraId="0000065B">
            <w:pPr>
              <w:spacing w:after="0"/>
            </w:pPr>
          </w:p>
        </w:tc>
        <w:tc>
          <w:tcPr>
            <w:tcBorders>
              <w:top w:val="nil"/>
              <w:left w:val="nil"/>
              <w:bottom w:val="nil"/>
              <w:right w:val="nil"/>
            </w:tcBorders>
            <w:vAlign w:val="bottom"/>
          </w:tcPr>
          <w:p w14:paraId="0000065C">
            <w:pPr>
              <w:spacing w:after="0"/>
            </w:pPr>
          </w:p>
        </w:tc>
        <w:tc>
          <w:tcPr>
            <w:tcBorders>
              <w:top w:val="nil"/>
              <w:left w:val="nil"/>
              <w:bottom w:val="nil"/>
              <w:right w:val="nil"/>
            </w:tcBorders>
            <w:vAlign w:val="bottom"/>
          </w:tcPr>
          <w:p w14:paraId="0000065D">
            <w:pPr>
              <w:spacing w:after="0"/>
            </w:pPr>
          </w:p>
        </w:tc>
        <w:tc>
          <w:tcPr>
            <w:tcBorders>
              <w:top w:val="nil"/>
              <w:left w:val="nil"/>
              <w:bottom w:val="nil"/>
              <w:right w:val="nil"/>
            </w:tcBorders>
            <w:vAlign w:val="bottom"/>
          </w:tcPr>
          <w:p w14:paraId="0000065E">
            <w:pPr>
              <w:spacing w:after="0"/>
            </w:pPr>
          </w:p>
        </w:tc>
        <w:tc>
          <w:tcPr>
            <w:tcBorders>
              <w:top w:val="nil"/>
              <w:left w:val="nil"/>
              <w:bottom w:val="nil"/>
              <w:right w:val="nil"/>
            </w:tcBorders>
            <w:vAlign w:val="bottom"/>
          </w:tcPr>
          <w:p w14:paraId="0000065F">
            <w:pPr>
              <w:spacing w:after="0"/>
            </w:pPr>
          </w:p>
        </w:tc>
        <w:tc>
          <w:tcPr>
            <w:tcBorders>
              <w:top w:val="nil"/>
              <w:left w:val="nil"/>
              <w:bottom w:val="nil"/>
              <w:right w:val="nil"/>
            </w:tcBorders>
            <w:vAlign w:val="bottom"/>
          </w:tcPr>
          <w:p w14:paraId="00000660">
            <w:pPr>
              <w:spacing w:after="0"/>
            </w:pPr>
          </w:p>
        </w:tc>
        <w:tc>
          <w:tcPr>
            <w:tcBorders>
              <w:top w:val="nil"/>
              <w:left w:val="nil"/>
              <w:bottom w:val="nil"/>
              <w:right w:val="nil"/>
            </w:tcBorders>
            <w:vAlign w:val="bottom"/>
          </w:tcPr>
          <w:p w14:paraId="00000661">
            <w:pPr>
              <w:spacing w:after="0"/>
            </w:pPr>
          </w:p>
        </w:tc>
        <w:tc>
          <w:tcPr>
            <w:tcBorders>
              <w:top w:val="nil"/>
              <w:left w:val="nil"/>
              <w:bottom w:val="nil"/>
              <w:right w:val="nil"/>
            </w:tcBorders>
            <w:vAlign w:val="bottom"/>
          </w:tcPr>
          <w:p w14:paraId="00000662">
            <w:pPr>
              <w:spacing w:after="0"/>
            </w:pPr>
          </w:p>
        </w:tc>
        <w:tc>
          <w:tcPr>
            <w:tcBorders>
              <w:top w:val="nil"/>
              <w:left w:val="nil"/>
              <w:bottom w:val="nil"/>
              <w:right w:val="nil"/>
            </w:tcBorders>
            <w:vAlign w:val="bottom"/>
          </w:tcPr>
          <w:p w14:paraId="00000663">
            <w:pPr>
              <w:spacing w:after="0"/>
            </w:pPr>
          </w:p>
        </w:tc>
        <w:tc>
          <w:tcPr>
            <w:tcBorders>
              <w:top w:val="nil"/>
              <w:left w:val="nil"/>
              <w:bottom w:val="nil"/>
              <w:right w:val="nil"/>
            </w:tcBorders>
            <w:vAlign w:val="bottom"/>
          </w:tcPr>
          <w:p w14:paraId="00000664">
            <w:pPr>
              <w:spacing w:after="0"/>
            </w:pPr>
          </w:p>
        </w:tc>
        <w:tc>
          <w:tcPr>
            <w:tcBorders>
              <w:top w:val="nil"/>
              <w:left w:val="nil"/>
              <w:bottom w:val="nil"/>
              <w:right w:val="nil"/>
            </w:tcBorders>
            <w:vAlign w:val="bottom"/>
          </w:tcPr>
          <w:p w14:paraId="00000665">
            <w:pPr>
              <w:spacing w:after="0"/>
            </w:pPr>
          </w:p>
        </w:tc>
        <w:tc>
          <w:tcPr>
            <w:tcBorders>
              <w:top w:val="nil"/>
              <w:left w:val="nil"/>
              <w:bottom w:val="nil"/>
              <w:right w:val="nil"/>
            </w:tcBorders>
            <w:vAlign w:val="bottom"/>
          </w:tcPr>
          <w:p w14:paraId="00000666">
            <w:pPr>
              <w:spacing w:after="0"/>
            </w:pPr>
          </w:p>
        </w:tc>
        <w:tc>
          <w:tcPr>
            <w:tcBorders>
              <w:top w:val="nil"/>
              <w:left w:val="nil"/>
              <w:bottom w:val="nil"/>
              <w:right w:val="nil"/>
            </w:tcBorders>
            <w:vAlign w:val="bottom"/>
          </w:tcPr>
          <w:p w14:paraId="00000667">
            <w:pPr>
              <w:spacing w:after="0"/>
            </w:pPr>
          </w:p>
        </w:tc>
      </w:tr>
      <w:tr w14:paraId="51261E73">
        <w:tblPrEx>
          <w:tblCellMar>
            <w:top w:w="0" w:type="dxa"/>
            <w:left w:w="115" w:type="dxa"/>
            <w:bottom w:w="0" w:type="dxa"/>
            <w:right w:w="115" w:type="dxa"/>
          </w:tblCellMar>
        </w:tblPrEx>
        <w:trPr>
          <w:trHeight w:val="276" w:hRule="atLeast"/>
        </w:trPr>
        <w:tc>
          <w:tcPr>
            <w:gridSpan w:val="3"/>
            <w:tcBorders>
              <w:top w:val="nil"/>
              <w:left w:val="nil"/>
              <w:bottom w:val="nil"/>
              <w:right w:val="nil"/>
            </w:tcBorders>
            <w:vAlign w:val="bottom"/>
          </w:tcPr>
          <w:p w14:paraId="00000668">
            <w:pPr>
              <w:spacing w:after="0"/>
            </w:pPr>
            <w:r>
              <w:rPr>
                <w:rtl w:val="0"/>
              </w:rPr>
              <w:t>Your computed result:</w:t>
            </w:r>
          </w:p>
        </w:tc>
        <w:tc>
          <w:tcPr>
            <w:tcBorders>
              <w:top w:val="nil"/>
              <w:left w:val="nil"/>
              <w:bottom w:val="nil"/>
              <w:right w:val="nil"/>
            </w:tcBorders>
            <w:vAlign w:val="bottom"/>
          </w:tcPr>
          <w:p w14:paraId="0000066B">
            <w:pPr>
              <w:spacing w:after="0"/>
            </w:pPr>
          </w:p>
        </w:tc>
        <w:tc>
          <w:tcPr>
            <w:tcBorders>
              <w:top w:val="nil"/>
              <w:left w:val="nil"/>
              <w:bottom w:val="nil"/>
              <w:right w:val="nil"/>
            </w:tcBorders>
            <w:vAlign w:val="bottom"/>
          </w:tcPr>
          <w:p w14:paraId="0000066C">
            <w:pPr>
              <w:spacing w:after="0"/>
            </w:pPr>
          </w:p>
        </w:tc>
        <w:tc>
          <w:tcPr>
            <w:tcBorders>
              <w:top w:val="nil"/>
              <w:left w:val="nil"/>
              <w:bottom w:val="nil"/>
              <w:right w:val="nil"/>
            </w:tcBorders>
            <w:vAlign w:val="bottom"/>
          </w:tcPr>
          <w:p w14:paraId="0000066D">
            <w:pPr>
              <w:spacing w:after="0"/>
            </w:pPr>
          </w:p>
        </w:tc>
        <w:tc>
          <w:tcPr>
            <w:tcBorders>
              <w:top w:val="nil"/>
              <w:left w:val="nil"/>
              <w:bottom w:val="nil"/>
              <w:right w:val="nil"/>
            </w:tcBorders>
            <w:vAlign w:val="bottom"/>
          </w:tcPr>
          <w:p w14:paraId="0000066E">
            <w:pPr>
              <w:spacing w:after="0"/>
            </w:pPr>
          </w:p>
        </w:tc>
        <w:tc>
          <w:tcPr>
            <w:tcBorders>
              <w:top w:val="nil"/>
              <w:left w:val="nil"/>
              <w:bottom w:val="nil"/>
              <w:right w:val="nil"/>
            </w:tcBorders>
            <w:vAlign w:val="bottom"/>
          </w:tcPr>
          <w:p w14:paraId="0000066F">
            <w:pPr>
              <w:spacing w:after="0"/>
            </w:pPr>
          </w:p>
        </w:tc>
        <w:tc>
          <w:tcPr>
            <w:tcBorders>
              <w:top w:val="nil"/>
              <w:left w:val="nil"/>
              <w:bottom w:val="nil"/>
              <w:right w:val="nil"/>
            </w:tcBorders>
            <w:vAlign w:val="bottom"/>
          </w:tcPr>
          <w:p w14:paraId="00000670">
            <w:pPr>
              <w:spacing w:after="0"/>
            </w:pPr>
          </w:p>
        </w:tc>
        <w:tc>
          <w:tcPr>
            <w:tcBorders>
              <w:top w:val="nil"/>
              <w:left w:val="nil"/>
              <w:bottom w:val="nil"/>
              <w:right w:val="nil"/>
            </w:tcBorders>
            <w:vAlign w:val="bottom"/>
          </w:tcPr>
          <w:p w14:paraId="00000671">
            <w:pPr>
              <w:spacing w:after="0"/>
            </w:pPr>
          </w:p>
        </w:tc>
        <w:tc>
          <w:tcPr>
            <w:tcBorders>
              <w:top w:val="nil"/>
              <w:left w:val="nil"/>
              <w:bottom w:val="nil"/>
              <w:right w:val="nil"/>
            </w:tcBorders>
            <w:vAlign w:val="bottom"/>
          </w:tcPr>
          <w:p w14:paraId="00000672">
            <w:pPr>
              <w:spacing w:after="0"/>
            </w:pPr>
          </w:p>
        </w:tc>
        <w:tc>
          <w:tcPr>
            <w:tcBorders>
              <w:top w:val="nil"/>
              <w:left w:val="nil"/>
              <w:bottom w:val="nil"/>
              <w:right w:val="nil"/>
            </w:tcBorders>
            <w:vAlign w:val="bottom"/>
          </w:tcPr>
          <w:p w14:paraId="00000673">
            <w:pPr>
              <w:spacing w:after="0"/>
            </w:pPr>
          </w:p>
        </w:tc>
        <w:tc>
          <w:tcPr>
            <w:tcBorders>
              <w:top w:val="nil"/>
              <w:left w:val="nil"/>
              <w:bottom w:val="nil"/>
              <w:right w:val="nil"/>
            </w:tcBorders>
            <w:vAlign w:val="bottom"/>
          </w:tcPr>
          <w:p w14:paraId="00000674">
            <w:pPr>
              <w:spacing w:after="0"/>
            </w:pPr>
          </w:p>
        </w:tc>
        <w:tc>
          <w:tcPr>
            <w:tcBorders>
              <w:top w:val="nil"/>
              <w:left w:val="nil"/>
              <w:bottom w:val="nil"/>
              <w:right w:val="nil"/>
            </w:tcBorders>
            <w:vAlign w:val="bottom"/>
          </w:tcPr>
          <w:p w14:paraId="00000675">
            <w:pPr>
              <w:spacing w:after="0"/>
            </w:pPr>
          </w:p>
        </w:tc>
        <w:tc>
          <w:tcPr>
            <w:tcBorders>
              <w:top w:val="nil"/>
              <w:left w:val="nil"/>
              <w:bottom w:val="nil"/>
              <w:right w:val="nil"/>
            </w:tcBorders>
            <w:vAlign w:val="bottom"/>
          </w:tcPr>
          <w:p w14:paraId="00000676">
            <w:pPr>
              <w:spacing w:after="0"/>
            </w:pPr>
          </w:p>
        </w:tc>
        <w:tc>
          <w:tcPr>
            <w:tcBorders>
              <w:top w:val="nil"/>
              <w:left w:val="nil"/>
              <w:bottom w:val="nil"/>
              <w:right w:val="nil"/>
            </w:tcBorders>
            <w:vAlign w:val="bottom"/>
          </w:tcPr>
          <w:p w14:paraId="00000677">
            <w:pPr>
              <w:spacing w:after="0"/>
            </w:pPr>
          </w:p>
        </w:tc>
        <w:tc>
          <w:tcPr>
            <w:tcBorders>
              <w:top w:val="nil"/>
              <w:left w:val="nil"/>
              <w:bottom w:val="nil"/>
              <w:right w:val="nil"/>
            </w:tcBorders>
            <w:vAlign w:val="bottom"/>
          </w:tcPr>
          <w:p w14:paraId="00000678">
            <w:pPr>
              <w:spacing w:after="0"/>
            </w:pPr>
          </w:p>
        </w:tc>
        <w:tc>
          <w:tcPr>
            <w:tcBorders>
              <w:top w:val="nil"/>
              <w:left w:val="nil"/>
              <w:bottom w:val="nil"/>
              <w:right w:val="nil"/>
            </w:tcBorders>
            <w:vAlign w:val="bottom"/>
          </w:tcPr>
          <w:p w14:paraId="00000679">
            <w:pPr>
              <w:spacing w:after="0"/>
            </w:pPr>
          </w:p>
        </w:tc>
        <w:tc>
          <w:tcPr>
            <w:tcBorders>
              <w:top w:val="nil"/>
              <w:left w:val="nil"/>
              <w:bottom w:val="nil"/>
              <w:right w:val="nil"/>
            </w:tcBorders>
            <w:vAlign w:val="bottom"/>
          </w:tcPr>
          <w:p w14:paraId="0000067A">
            <w:pPr>
              <w:spacing w:after="0"/>
            </w:pPr>
          </w:p>
        </w:tc>
      </w:tr>
      <w:tr w14:paraId="01B33F80">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7B">
            <w:pPr>
              <w:spacing w:after="0"/>
            </w:pPr>
          </w:p>
        </w:tc>
        <w:tc>
          <w:tcPr>
            <w:tcBorders>
              <w:top w:val="nil"/>
              <w:left w:val="nil"/>
              <w:bottom w:val="nil"/>
              <w:right w:val="nil"/>
            </w:tcBorders>
            <w:vAlign w:val="bottom"/>
          </w:tcPr>
          <w:p w14:paraId="0000067C">
            <w:pPr>
              <w:spacing w:after="0"/>
            </w:pPr>
          </w:p>
        </w:tc>
        <w:tc>
          <w:tcPr>
            <w:tcBorders>
              <w:top w:val="nil"/>
              <w:left w:val="nil"/>
              <w:bottom w:val="nil"/>
              <w:right w:val="nil"/>
            </w:tcBorders>
            <w:vAlign w:val="bottom"/>
          </w:tcPr>
          <w:p w14:paraId="0000067D">
            <w:pPr>
              <w:spacing w:after="0"/>
            </w:pPr>
          </w:p>
        </w:tc>
        <w:tc>
          <w:tcPr>
            <w:tcBorders>
              <w:top w:val="nil"/>
              <w:left w:val="nil"/>
              <w:bottom w:val="nil"/>
              <w:right w:val="nil"/>
            </w:tcBorders>
            <w:vAlign w:val="bottom"/>
          </w:tcPr>
          <w:p w14:paraId="0000067E">
            <w:pPr>
              <w:spacing w:after="0"/>
            </w:pPr>
          </w:p>
        </w:tc>
        <w:tc>
          <w:tcPr>
            <w:tcBorders>
              <w:top w:val="nil"/>
              <w:left w:val="nil"/>
              <w:bottom w:val="nil"/>
              <w:right w:val="nil"/>
            </w:tcBorders>
            <w:vAlign w:val="bottom"/>
          </w:tcPr>
          <w:p w14:paraId="0000067F">
            <w:pPr>
              <w:spacing w:after="0"/>
            </w:pPr>
          </w:p>
        </w:tc>
        <w:tc>
          <w:tcPr>
            <w:tcBorders>
              <w:top w:val="nil"/>
              <w:left w:val="nil"/>
              <w:bottom w:val="nil"/>
              <w:right w:val="nil"/>
            </w:tcBorders>
            <w:vAlign w:val="bottom"/>
          </w:tcPr>
          <w:p w14:paraId="00000680">
            <w:pPr>
              <w:spacing w:after="0"/>
            </w:pPr>
          </w:p>
        </w:tc>
        <w:tc>
          <w:tcPr>
            <w:tcBorders>
              <w:top w:val="nil"/>
              <w:left w:val="nil"/>
              <w:bottom w:val="nil"/>
              <w:right w:val="nil"/>
            </w:tcBorders>
            <w:vAlign w:val="bottom"/>
          </w:tcPr>
          <w:p w14:paraId="00000681">
            <w:pPr>
              <w:spacing w:after="0"/>
            </w:pPr>
          </w:p>
        </w:tc>
        <w:tc>
          <w:tcPr>
            <w:tcBorders>
              <w:top w:val="nil"/>
              <w:left w:val="nil"/>
              <w:bottom w:val="nil"/>
              <w:right w:val="nil"/>
            </w:tcBorders>
            <w:vAlign w:val="bottom"/>
          </w:tcPr>
          <w:p w14:paraId="00000682">
            <w:pPr>
              <w:spacing w:after="0"/>
            </w:pPr>
          </w:p>
        </w:tc>
        <w:tc>
          <w:tcPr>
            <w:tcBorders>
              <w:top w:val="nil"/>
              <w:left w:val="nil"/>
              <w:bottom w:val="nil"/>
              <w:right w:val="nil"/>
            </w:tcBorders>
            <w:vAlign w:val="bottom"/>
          </w:tcPr>
          <w:p w14:paraId="00000683">
            <w:pPr>
              <w:spacing w:after="0"/>
            </w:pPr>
          </w:p>
        </w:tc>
        <w:tc>
          <w:tcPr>
            <w:tcBorders>
              <w:top w:val="nil"/>
              <w:left w:val="nil"/>
              <w:bottom w:val="nil"/>
              <w:right w:val="nil"/>
            </w:tcBorders>
            <w:vAlign w:val="bottom"/>
          </w:tcPr>
          <w:p w14:paraId="00000684">
            <w:pPr>
              <w:spacing w:after="0"/>
            </w:pPr>
          </w:p>
        </w:tc>
        <w:tc>
          <w:tcPr>
            <w:tcBorders>
              <w:top w:val="nil"/>
              <w:left w:val="nil"/>
              <w:bottom w:val="nil"/>
              <w:right w:val="nil"/>
            </w:tcBorders>
            <w:vAlign w:val="bottom"/>
          </w:tcPr>
          <w:p w14:paraId="00000685">
            <w:pPr>
              <w:spacing w:after="0"/>
            </w:pPr>
          </w:p>
        </w:tc>
        <w:tc>
          <w:tcPr>
            <w:tcBorders>
              <w:top w:val="nil"/>
              <w:left w:val="nil"/>
              <w:bottom w:val="nil"/>
              <w:right w:val="nil"/>
            </w:tcBorders>
            <w:vAlign w:val="bottom"/>
          </w:tcPr>
          <w:p w14:paraId="00000686">
            <w:pPr>
              <w:spacing w:after="0"/>
            </w:pPr>
          </w:p>
        </w:tc>
        <w:tc>
          <w:tcPr>
            <w:tcBorders>
              <w:top w:val="nil"/>
              <w:left w:val="nil"/>
              <w:bottom w:val="nil"/>
              <w:right w:val="nil"/>
            </w:tcBorders>
            <w:vAlign w:val="bottom"/>
          </w:tcPr>
          <w:p w14:paraId="00000687">
            <w:pPr>
              <w:spacing w:after="0"/>
            </w:pPr>
          </w:p>
        </w:tc>
        <w:tc>
          <w:tcPr>
            <w:tcBorders>
              <w:top w:val="nil"/>
              <w:left w:val="nil"/>
              <w:bottom w:val="nil"/>
              <w:right w:val="nil"/>
            </w:tcBorders>
            <w:vAlign w:val="bottom"/>
          </w:tcPr>
          <w:p w14:paraId="00000688">
            <w:pPr>
              <w:spacing w:after="0"/>
            </w:pPr>
          </w:p>
        </w:tc>
        <w:tc>
          <w:tcPr>
            <w:tcBorders>
              <w:top w:val="nil"/>
              <w:left w:val="nil"/>
              <w:bottom w:val="nil"/>
              <w:right w:val="nil"/>
            </w:tcBorders>
            <w:vAlign w:val="bottom"/>
          </w:tcPr>
          <w:p w14:paraId="00000689">
            <w:pPr>
              <w:spacing w:after="0"/>
            </w:pPr>
          </w:p>
        </w:tc>
        <w:tc>
          <w:tcPr>
            <w:tcBorders>
              <w:top w:val="nil"/>
              <w:left w:val="nil"/>
              <w:bottom w:val="nil"/>
              <w:right w:val="nil"/>
            </w:tcBorders>
            <w:vAlign w:val="bottom"/>
          </w:tcPr>
          <w:p w14:paraId="0000068A">
            <w:pPr>
              <w:spacing w:after="0"/>
            </w:pPr>
          </w:p>
        </w:tc>
        <w:tc>
          <w:tcPr>
            <w:tcBorders>
              <w:top w:val="nil"/>
              <w:left w:val="nil"/>
              <w:bottom w:val="nil"/>
              <w:right w:val="nil"/>
            </w:tcBorders>
            <w:vAlign w:val="bottom"/>
          </w:tcPr>
          <w:p w14:paraId="0000068B">
            <w:pPr>
              <w:spacing w:after="0"/>
            </w:pPr>
          </w:p>
        </w:tc>
        <w:tc>
          <w:tcPr>
            <w:tcBorders>
              <w:top w:val="nil"/>
              <w:left w:val="nil"/>
              <w:bottom w:val="nil"/>
              <w:right w:val="nil"/>
            </w:tcBorders>
            <w:vAlign w:val="bottom"/>
          </w:tcPr>
          <w:p w14:paraId="0000068C">
            <w:pPr>
              <w:spacing w:after="0"/>
            </w:pPr>
          </w:p>
        </w:tc>
        <w:tc>
          <w:tcPr>
            <w:tcBorders>
              <w:top w:val="nil"/>
              <w:left w:val="nil"/>
              <w:bottom w:val="nil"/>
              <w:right w:val="nil"/>
            </w:tcBorders>
            <w:vAlign w:val="bottom"/>
          </w:tcPr>
          <w:p w14:paraId="0000068D">
            <w:pPr>
              <w:spacing w:after="0"/>
            </w:pPr>
          </w:p>
        </w:tc>
      </w:tr>
      <w:tr w14:paraId="07561D02">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8E">
            <w:pPr>
              <w:spacing w:after="0"/>
              <w:rPr>
                <w:b/>
                <w:bCs/>
              </w:rPr>
            </w:pPr>
            <w:r>
              <w:rPr>
                <w:b/>
                <w:bCs/>
                <w:rtl w:val="0"/>
              </w:rPr>
              <w:t>Z = 2.82</w:t>
            </w:r>
          </w:p>
        </w:tc>
        <w:tc>
          <w:tcPr>
            <w:tcBorders>
              <w:top w:val="nil"/>
              <w:left w:val="nil"/>
              <w:bottom w:val="nil"/>
              <w:right w:val="nil"/>
            </w:tcBorders>
            <w:vAlign w:val="bottom"/>
          </w:tcPr>
          <w:p w14:paraId="0000068F">
            <w:pPr>
              <w:spacing w:after="0"/>
              <w:rPr>
                <w:b/>
                <w:bCs/>
              </w:rPr>
            </w:pPr>
          </w:p>
        </w:tc>
        <w:tc>
          <w:tcPr>
            <w:tcBorders>
              <w:top w:val="nil"/>
              <w:left w:val="nil"/>
              <w:bottom w:val="nil"/>
              <w:right w:val="nil"/>
            </w:tcBorders>
            <w:vAlign w:val="bottom"/>
          </w:tcPr>
          <w:p w14:paraId="00000690">
            <w:pPr>
              <w:spacing w:after="0"/>
            </w:pPr>
          </w:p>
        </w:tc>
        <w:tc>
          <w:tcPr>
            <w:tcBorders>
              <w:top w:val="nil"/>
              <w:left w:val="nil"/>
              <w:bottom w:val="nil"/>
              <w:right w:val="nil"/>
            </w:tcBorders>
            <w:vAlign w:val="bottom"/>
          </w:tcPr>
          <w:p w14:paraId="00000691">
            <w:pPr>
              <w:spacing w:after="0"/>
            </w:pPr>
          </w:p>
        </w:tc>
        <w:tc>
          <w:tcPr>
            <w:tcBorders>
              <w:top w:val="nil"/>
              <w:left w:val="nil"/>
              <w:bottom w:val="nil"/>
              <w:right w:val="nil"/>
            </w:tcBorders>
            <w:vAlign w:val="bottom"/>
          </w:tcPr>
          <w:p w14:paraId="00000692">
            <w:pPr>
              <w:spacing w:after="0"/>
            </w:pPr>
          </w:p>
        </w:tc>
        <w:tc>
          <w:tcPr>
            <w:tcBorders>
              <w:top w:val="nil"/>
              <w:left w:val="nil"/>
              <w:bottom w:val="nil"/>
              <w:right w:val="nil"/>
            </w:tcBorders>
            <w:vAlign w:val="bottom"/>
          </w:tcPr>
          <w:p w14:paraId="00000693">
            <w:pPr>
              <w:spacing w:after="0"/>
            </w:pPr>
          </w:p>
        </w:tc>
        <w:tc>
          <w:tcPr>
            <w:tcBorders>
              <w:top w:val="nil"/>
              <w:left w:val="nil"/>
              <w:bottom w:val="nil"/>
              <w:right w:val="nil"/>
            </w:tcBorders>
            <w:vAlign w:val="bottom"/>
          </w:tcPr>
          <w:p w14:paraId="00000694">
            <w:pPr>
              <w:spacing w:after="0"/>
            </w:pPr>
          </w:p>
        </w:tc>
        <w:tc>
          <w:tcPr>
            <w:tcBorders>
              <w:top w:val="nil"/>
              <w:left w:val="nil"/>
              <w:bottom w:val="nil"/>
              <w:right w:val="nil"/>
            </w:tcBorders>
            <w:vAlign w:val="bottom"/>
          </w:tcPr>
          <w:p w14:paraId="00000695">
            <w:pPr>
              <w:spacing w:after="0"/>
            </w:pPr>
          </w:p>
        </w:tc>
        <w:tc>
          <w:tcPr>
            <w:tcBorders>
              <w:top w:val="nil"/>
              <w:left w:val="nil"/>
              <w:bottom w:val="nil"/>
              <w:right w:val="nil"/>
            </w:tcBorders>
            <w:vAlign w:val="bottom"/>
          </w:tcPr>
          <w:p w14:paraId="00000696">
            <w:pPr>
              <w:spacing w:after="0"/>
            </w:pPr>
          </w:p>
        </w:tc>
        <w:tc>
          <w:tcPr>
            <w:tcBorders>
              <w:top w:val="nil"/>
              <w:left w:val="nil"/>
              <w:bottom w:val="nil"/>
              <w:right w:val="nil"/>
            </w:tcBorders>
            <w:vAlign w:val="bottom"/>
          </w:tcPr>
          <w:p w14:paraId="00000697">
            <w:pPr>
              <w:spacing w:after="0"/>
            </w:pPr>
          </w:p>
        </w:tc>
        <w:tc>
          <w:tcPr>
            <w:tcBorders>
              <w:top w:val="nil"/>
              <w:left w:val="nil"/>
              <w:bottom w:val="nil"/>
              <w:right w:val="nil"/>
            </w:tcBorders>
            <w:vAlign w:val="bottom"/>
          </w:tcPr>
          <w:p w14:paraId="00000698">
            <w:pPr>
              <w:spacing w:after="0"/>
            </w:pPr>
          </w:p>
        </w:tc>
        <w:tc>
          <w:tcPr>
            <w:tcBorders>
              <w:top w:val="nil"/>
              <w:left w:val="nil"/>
              <w:bottom w:val="nil"/>
              <w:right w:val="nil"/>
            </w:tcBorders>
            <w:vAlign w:val="bottom"/>
          </w:tcPr>
          <w:p w14:paraId="00000699">
            <w:pPr>
              <w:spacing w:after="0"/>
            </w:pPr>
          </w:p>
        </w:tc>
        <w:tc>
          <w:tcPr>
            <w:tcBorders>
              <w:top w:val="nil"/>
              <w:left w:val="nil"/>
              <w:bottom w:val="nil"/>
              <w:right w:val="nil"/>
            </w:tcBorders>
            <w:vAlign w:val="bottom"/>
          </w:tcPr>
          <w:p w14:paraId="0000069A">
            <w:pPr>
              <w:spacing w:after="0"/>
            </w:pPr>
          </w:p>
        </w:tc>
        <w:tc>
          <w:tcPr>
            <w:tcBorders>
              <w:top w:val="nil"/>
              <w:left w:val="nil"/>
              <w:bottom w:val="nil"/>
              <w:right w:val="nil"/>
            </w:tcBorders>
            <w:vAlign w:val="bottom"/>
          </w:tcPr>
          <w:p w14:paraId="0000069B">
            <w:pPr>
              <w:spacing w:after="0"/>
            </w:pPr>
          </w:p>
        </w:tc>
        <w:tc>
          <w:tcPr>
            <w:tcBorders>
              <w:top w:val="nil"/>
              <w:left w:val="nil"/>
              <w:bottom w:val="nil"/>
              <w:right w:val="nil"/>
            </w:tcBorders>
            <w:vAlign w:val="bottom"/>
          </w:tcPr>
          <w:p w14:paraId="0000069C">
            <w:pPr>
              <w:spacing w:after="0"/>
            </w:pPr>
          </w:p>
        </w:tc>
        <w:tc>
          <w:tcPr>
            <w:tcBorders>
              <w:top w:val="nil"/>
              <w:left w:val="nil"/>
              <w:bottom w:val="nil"/>
              <w:right w:val="nil"/>
            </w:tcBorders>
            <w:vAlign w:val="bottom"/>
          </w:tcPr>
          <w:p w14:paraId="0000069D">
            <w:pPr>
              <w:spacing w:after="0"/>
            </w:pPr>
          </w:p>
        </w:tc>
        <w:tc>
          <w:tcPr>
            <w:tcBorders>
              <w:top w:val="nil"/>
              <w:left w:val="nil"/>
              <w:bottom w:val="nil"/>
              <w:right w:val="nil"/>
            </w:tcBorders>
            <w:vAlign w:val="bottom"/>
          </w:tcPr>
          <w:p w14:paraId="0000069E">
            <w:pPr>
              <w:spacing w:after="0"/>
            </w:pPr>
          </w:p>
        </w:tc>
        <w:tc>
          <w:tcPr>
            <w:tcBorders>
              <w:top w:val="nil"/>
              <w:left w:val="nil"/>
              <w:bottom w:val="nil"/>
              <w:right w:val="nil"/>
            </w:tcBorders>
            <w:vAlign w:val="bottom"/>
          </w:tcPr>
          <w:p w14:paraId="0000069F">
            <w:pPr>
              <w:spacing w:after="0"/>
            </w:pPr>
          </w:p>
        </w:tc>
        <w:tc>
          <w:tcPr>
            <w:tcBorders>
              <w:top w:val="nil"/>
              <w:left w:val="nil"/>
              <w:bottom w:val="nil"/>
              <w:right w:val="nil"/>
            </w:tcBorders>
            <w:vAlign w:val="bottom"/>
          </w:tcPr>
          <w:p w14:paraId="000006A0">
            <w:pPr>
              <w:spacing w:after="0"/>
            </w:pPr>
          </w:p>
        </w:tc>
      </w:tr>
      <w:tr w14:paraId="7B80FD34">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A1">
            <w:pPr>
              <w:spacing w:after="0"/>
            </w:pPr>
          </w:p>
        </w:tc>
        <w:tc>
          <w:tcPr>
            <w:tcBorders>
              <w:top w:val="nil"/>
              <w:left w:val="nil"/>
              <w:bottom w:val="nil"/>
              <w:right w:val="nil"/>
            </w:tcBorders>
            <w:vAlign w:val="bottom"/>
          </w:tcPr>
          <w:p w14:paraId="000006A2">
            <w:pPr>
              <w:spacing w:after="0"/>
            </w:pPr>
          </w:p>
        </w:tc>
        <w:tc>
          <w:tcPr>
            <w:tcBorders>
              <w:top w:val="nil"/>
              <w:left w:val="nil"/>
              <w:bottom w:val="nil"/>
              <w:right w:val="nil"/>
            </w:tcBorders>
            <w:vAlign w:val="bottom"/>
          </w:tcPr>
          <w:p w14:paraId="000006A3">
            <w:pPr>
              <w:spacing w:after="0"/>
            </w:pPr>
          </w:p>
        </w:tc>
        <w:tc>
          <w:tcPr>
            <w:tcBorders>
              <w:top w:val="nil"/>
              <w:left w:val="nil"/>
              <w:bottom w:val="nil"/>
              <w:right w:val="nil"/>
            </w:tcBorders>
            <w:vAlign w:val="bottom"/>
          </w:tcPr>
          <w:p w14:paraId="000006A4">
            <w:pPr>
              <w:spacing w:after="0"/>
            </w:pPr>
          </w:p>
        </w:tc>
        <w:tc>
          <w:tcPr>
            <w:tcBorders>
              <w:top w:val="nil"/>
              <w:left w:val="nil"/>
              <w:bottom w:val="nil"/>
              <w:right w:val="nil"/>
            </w:tcBorders>
            <w:vAlign w:val="bottom"/>
          </w:tcPr>
          <w:p w14:paraId="000006A5">
            <w:pPr>
              <w:spacing w:after="0"/>
            </w:pPr>
          </w:p>
        </w:tc>
        <w:tc>
          <w:tcPr>
            <w:tcBorders>
              <w:top w:val="nil"/>
              <w:left w:val="nil"/>
              <w:bottom w:val="nil"/>
              <w:right w:val="nil"/>
            </w:tcBorders>
            <w:vAlign w:val="bottom"/>
          </w:tcPr>
          <w:p w14:paraId="000006A6">
            <w:pPr>
              <w:spacing w:after="0"/>
            </w:pPr>
          </w:p>
        </w:tc>
        <w:tc>
          <w:tcPr>
            <w:tcBorders>
              <w:top w:val="nil"/>
              <w:left w:val="nil"/>
              <w:bottom w:val="nil"/>
              <w:right w:val="nil"/>
            </w:tcBorders>
            <w:vAlign w:val="bottom"/>
          </w:tcPr>
          <w:p w14:paraId="000006A7">
            <w:pPr>
              <w:spacing w:after="0"/>
            </w:pPr>
          </w:p>
        </w:tc>
        <w:tc>
          <w:tcPr>
            <w:tcBorders>
              <w:top w:val="nil"/>
              <w:left w:val="nil"/>
              <w:bottom w:val="nil"/>
              <w:right w:val="nil"/>
            </w:tcBorders>
            <w:vAlign w:val="bottom"/>
          </w:tcPr>
          <w:p w14:paraId="000006A8">
            <w:pPr>
              <w:spacing w:after="0"/>
            </w:pPr>
          </w:p>
        </w:tc>
        <w:tc>
          <w:tcPr>
            <w:tcBorders>
              <w:top w:val="nil"/>
              <w:left w:val="nil"/>
              <w:bottom w:val="nil"/>
              <w:right w:val="nil"/>
            </w:tcBorders>
            <w:vAlign w:val="bottom"/>
          </w:tcPr>
          <w:p w14:paraId="000006A9">
            <w:pPr>
              <w:spacing w:after="0"/>
            </w:pPr>
          </w:p>
        </w:tc>
        <w:tc>
          <w:tcPr>
            <w:tcBorders>
              <w:top w:val="nil"/>
              <w:left w:val="nil"/>
              <w:bottom w:val="nil"/>
              <w:right w:val="nil"/>
            </w:tcBorders>
            <w:vAlign w:val="bottom"/>
          </w:tcPr>
          <w:p w14:paraId="000006AA">
            <w:pPr>
              <w:spacing w:after="0"/>
            </w:pPr>
          </w:p>
        </w:tc>
        <w:tc>
          <w:tcPr>
            <w:tcBorders>
              <w:top w:val="nil"/>
              <w:left w:val="nil"/>
              <w:bottom w:val="nil"/>
              <w:right w:val="nil"/>
            </w:tcBorders>
            <w:vAlign w:val="bottom"/>
          </w:tcPr>
          <w:p w14:paraId="000006AB">
            <w:pPr>
              <w:spacing w:after="0"/>
            </w:pPr>
          </w:p>
        </w:tc>
        <w:tc>
          <w:tcPr>
            <w:tcBorders>
              <w:top w:val="nil"/>
              <w:left w:val="nil"/>
              <w:bottom w:val="nil"/>
              <w:right w:val="nil"/>
            </w:tcBorders>
            <w:vAlign w:val="bottom"/>
          </w:tcPr>
          <w:p w14:paraId="000006AC">
            <w:pPr>
              <w:spacing w:after="0"/>
            </w:pPr>
          </w:p>
        </w:tc>
        <w:tc>
          <w:tcPr>
            <w:tcBorders>
              <w:top w:val="nil"/>
              <w:left w:val="nil"/>
              <w:bottom w:val="nil"/>
              <w:right w:val="nil"/>
            </w:tcBorders>
            <w:vAlign w:val="bottom"/>
          </w:tcPr>
          <w:p w14:paraId="000006AD">
            <w:pPr>
              <w:spacing w:after="0"/>
            </w:pPr>
          </w:p>
        </w:tc>
        <w:tc>
          <w:tcPr>
            <w:tcBorders>
              <w:top w:val="nil"/>
              <w:left w:val="nil"/>
              <w:bottom w:val="nil"/>
              <w:right w:val="nil"/>
            </w:tcBorders>
            <w:vAlign w:val="bottom"/>
          </w:tcPr>
          <w:p w14:paraId="000006AE">
            <w:pPr>
              <w:spacing w:after="0"/>
            </w:pPr>
          </w:p>
        </w:tc>
        <w:tc>
          <w:tcPr>
            <w:tcBorders>
              <w:top w:val="nil"/>
              <w:left w:val="nil"/>
              <w:bottom w:val="nil"/>
              <w:right w:val="nil"/>
            </w:tcBorders>
            <w:vAlign w:val="bottom"/>
          </w:tcPr>
          <w:p w14:paraId="000006AF">
            <w:pPr>
              <w:spacing w:after="0"/>
            </w:pPr>
          </w:p>
        </w:tc>
        <w:tc>
          <w:tcPr>
            <w:tcBorders>
              <w:top w:val="nil"/>
              <w:left w:val="nil"/>
              <w:bottom w:val="nil"/>
              <w:right w:val="nil"/>
            </w:tcBorders>
            <w:vAlign w:val="bottom"/>
          </w:tcPr>
          <w:p w14:paraId="000006B0">
            <w:pPr>
              <w:spacing w:after="0"/>
            </w:pPr>
          </w:p>
        </w:tc>
        <w:tc>
          <w:tcPr>
            <w:tcBorders>
              <w:top w:val="nil"/>
              <w:left w:val="nil"/>
              <w:bottom w:val="nil"/>
              <w:right w:val="nil"/>
            </w:tcBorders>
            <w:vAlign w:val="bottom"/>
          </w:tcPr>
          <w:p w14:paraId="000006B1">
            <w:pPr>
              <w:spacing w:after="0"/>
            </w:pPr>
          </w:p>
        </w:tc>
        <w:tc>
          <w:tcPr>
            <w:tcBorders>
              <w:top w:val="nil"/>
              <w:left w:val="nil"/>
              <w:bottom w:val="nil"/>
              <w:right w:val="nil"/>
            </w:tcBorders>
            <w:vAlign w:val="bottom"/>
          </w:tcPr>
          <w:p w14:paraId="000006B2">
            <w:pPr>
              <w:spacing w:after="0"/>
            </w:pPr>
          </w:p>
        </w:tc>
        <w:tc>
          <w:tcPr>
            <w:tcBorders>
              <w:top w:val="nil"/>
              <w:left w:val="nil"/>
              <w:bottom w:val="nil"/>
              <w:right w:val="nil"/>
            </w:tcBorders>
            <w:vAlign w:val="bottom"/>
          </w:tcPr>
          <w:p w14:paraId="000006B3">
            <w:pPr>
              <w:spacing w:after="0"/>
            </w:pPr>
          </w:p>
        </w:tc>
      </w:tr>
      <w:tr w14:paraId="2FCE4B75">
        <w:tblPrEx>
          <w:tblCellMar>
            <w:top w:w="0" w:type="dxa"/>
            <w:left w:w="115" w:type="dxa"/>
            <w:bottom w:w="0" w:type="dxa"/>
            <w:right w:w="115" w:type="dxa"/>
          </w:tblCellMar>
        </w:tblPrEx>
        <w:trPr>
          <w:trHeight w:val="276" w:hRule="atLeast"/>
        </w:trPr>
        <w:tc>
          <w:tcPr>
            <w:gridSpan w:val="5"/>
            <w:tcBorders>
              <w:top w:val="nil"/>
              <w:left w:val="nil"/>
              <w:bottom w:val="nil"/>
              <w:right w:val="nil"/>
            </w:tcBorders>
            <w:vAlign w:val="bottom"/>
          </w:tcPr>
          <w:p w14:paraId="000006B4">
            <w:pPr>
              <w:spacing w:after="0"/>
            </w:pPr>
            <w:r>
              <w:rPr>
                <w:rtl w:val="0"/>
              </w:rPr>
              <w:t xml:space="preserve">Mathematically and conceptually, this is </w:t>
            </w:r>
            <w:r>
              <w:rPr>
                <w:b/>
                <w:bCs/>
                <w:rtl w:val="0"/>
              </w:rPr>
              <w:t>sound</w:t>
            </w:r>
            <w:r>
              <w:rPr>
                <w:rtl w:val="0"/>
              </w:rPr>
              <w:t>.</w:t>
            </w:r>
          </w:p>
        </w:tc>
        <w:tc>
          <w:tcPr>
            <w:tcBorders>
              <w:top w:val="nil"/>
              <w:left w:val="nil"/>
              <w:bottom w:val="nil"/>
              <w:right w:val="nil"/>
            </w:tcBorders>
            <w:vAlign w:val="bottom"/>
          </w:tcPr>
          <w:p w14:paraId="000006B9">
            <w:pPr>
              <w:spacing w:after="0"/>
            </w:pPr>
          </w:p>
        </w:tc>
        <w:tc>
          <w:tcPr>
            <w:tcBorders>
              <w:top w:val="nil"/>
              <w:left w:val="nil"/>
              <w:bottom w:val="nil"/>
              <w:right w:val="nil"/>
            </w:tcBorders>
            <w:vAlign w:val="bottom"/>
          </w:tcPr>
          <w:p w14:paraId="000006BA">
            <w:pPr>
              <w:spacing w:after="0"/>
            </w:pPr>
          </w:p>
        </w:tc>
        <w:tc>
          <w:tcPr>
            <w:tcBorders>
              <w:top w:val="nil"/>
              <w:left w:val="nil"/>
              <w:bottom w:val="nil"/>
              <w:right w:val="nil"/>
            </w:tcBorders>
            <w:vAlign w:val="bottom"/>
          </w:tcPr>
          <w:p w14:paraId="000006BB">
            <w:pPr>
              <w:spacing w:after="0"/>
            </w:pPr>
          </w:p>
        </w:tc>
        <w:tc>
          <w:tcPr>
            <w:tcBorders>
              <w:top w:val="nil"/>
              <w:left w:val="nil"/>
              <w:bottom w:val="nil"/>
              <w:right w:val="nil"/>
            </w:tcBorders>
            <w:vAlign w:val="bottom"/>
          </w:tcPr>
          <w:p w14:paraId="000006BC">
            <w:pPr>
              <w:spacing w:after="0"/>
            </w:pPr>
          </w:p>
        </w:tc>
        <w:tc>
          <w:tcPr>
            <w:tcBorders>
              <w:top w:val="nil"/>
              <w:left w:val="nil"/>
              <w:bottom w:val="nil"/>
              <w:right w:val="nil"/>
            </w:tcBorders>
            <w:vAlign w:val="bottom"/>
          </w:tcPr>
          <w:p w14:paraId="000006BD">
            <w:pPr>
              <w:spacing w:after="0"/>
            </w:pPr>
          </w:p>
        </w:tc>
        <w:tc>
          <w:tcPr>
            <w:tcBorders>
              <w:top w:val="nil"/>
              <w:left w:val="nil"/>
              <w:bottom w:val="nil"/>
              <w:right w:val="nil"/>
            </w:tcBorders>
            <w:vAlign w:val="bottom"/>
          </w:tcPr>
          <w:p w14:paraId="000006BE">
            <w:pPr>
              <w:spacing w:after="0"/>
            </w:pPr>
          </w:p>
        </w:tc>
        <w:tc>
          <w:tcPr>
            <w:tcBorders>
              <w:top w:val="nil"/>
              <w:left w:val="nil"/>
              <w:bottom w:val="nil"/>
              <w:right w:val="nil"/>
            </w:tcBorders>
            <w:vAlign w:val="bottom"/>
          </w:tcPr>
          <w:p w14:paraId="000006BF">
            <w:pPr>
              <w:spacing w:after="0"/>
            </w:pPr>
          </w:p>
        </w:tc>
        <w:tc>
          <w:tcPr>
            <w:tcBorders>
              <w:top w:val="nil"/>
              <w:left w:val="nil"/>
              <w:bottom w:val="nil"/>
              <w:right w:val="nil"/>
            </w:tcBorders>
            <w:vAlign w:val="bottom"/>
          </w:tcPr>
          <w:p w14:paraId="000006C0">
            <w:pPr>
              <w:spacing w:after="0"/>
            </w:pPr>
          </w:p>
        </w:tc>
        <w:tc>
          <w:tcPr>
            <w:tcBorders>
              <w:top w:val="nil"/>
              <w:left w:val="nil"/>
              <w:bottom w:val="nil"/>
              <w:right w:val="nil"/>
            </w:tcBorders>
            <w:vAlign w:val="bottom"/>
          </w:tcPr>
          <w:p w14:paraId="000006C1">
            <w:pPr>
              <w:spacing w:after="0"/>
            </w:pPr>
          </w:p>
        </w:tc>
        <w:tc>
          <w:tcPr>
            <w:tcBorders>
              <w:top w:val="nil"/>
              <w:left w:val="nil"/>
              <w:bottom w:val="nil"/>
              <w:right w:val="nil"/>
            </w:tcBorders>
            <w:vAlign w:val="bottom"/>
          </w:tcPr>
          <w:p w14:paraId="000006C2">
            <w:pPr>
              <w:spacing w:after="0"/>
            </w:pPr>
          </w:p>
        </w:tc>
        <w:tc>
          <w:tcPr>
            <w:tcBorders>
              <w:top w:val="nil"/>
              <w:left w:val="nil"/>
              <w:bottom w:val="nil"/>
              <w:right w:val="nil"/>
            </w:tcBorders>
            <w:vAlign w:val="bottom"/>
          </w:tcPr>
          <w:p w14:paraId="000006C3">
            <w:pPr>
              <w:spacing w:after="0"/>
            </w:pPr>
          </w:p>
        </w:tc>
        <w:tc>
          <w:tcPr>
            <w:tcBorders>
              <w:top w:val="nil"/>
              <w:left w:val="nil"/>
              <w:bottom w:val="nil"/>
              <w:right w:val="nil"/>
            </w:tcBorders>
            <w:vAlign w:val="bottom"/>
          </w:tcPr>
          <w:p w14:paraId="000006C4">
            <w:pPr>
              <w:spacing w:after="0"/>
            </w:pPr>
          </w:p>
        </w:tc>
        <w:tc>
          <w:tcPr>
            <w:tcBorders>
              <w:top w:val="nil"/>
              <w:left w:val="nil"/>
              <w:bottom w:val="nil"/>
              <w:right w:val="nil"/>
            </w:tcBorders>
            <w:vAlign w:val="bottom"/>
          </w:tcPr>
          <w:p w14:paraId="000006C5">
            <w:pPr>
              <w:spacing w:after="0"/>
            </w:pPr>
          </w:p>
        </w:tc>
        <w:tc>
          <w:tcPr>
            <w:tcBorders>
              <w:top w:val="nil"/>
              <w:left w:val="nil"/>
              <w:bottom w:val="nil"/>
              <w:right w:val="nil"/>
            </w:tcBorders>
            <w:vAlign w:val="bottom"/>
          </w:tcPr>
          <w:p w14:paraId="000006C6">
            <w:pPr>
              <w:spacing w:after="0"/>
            </w:pPr>
          </w:p>
        </w:tc>
      </w:tr>
      <w:tr w14:paraId="2B9561AE">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C7">
            <w:pPr>
              <w:spacing w:after="0"/>
            </w:pPr>
          </w:p>
        </w:tc>
        <w:tc>
          <w:tcPr>
            <w:tcBorders>
              <w:top w:val="nil"/>
              <w:left w:val="nil"/>
              <w:bottom w:val="nil"/>
              <w:right w:val="nil"/>
            </w:tcBorders>
            <w:vAlign w:val="bottom"/>
          </w:tcPr>
          <w:p w14:paraId="000006C8">
            <w:pPr>
              <w:spacing w:after="0"/>
            </w:pPr>
          </w:p>
        </w:tc>
        <w:tc>
          <w:tcPr>
            <w:tcBorders>
              <w:top w:val="nil"/>
              <w:left w:val="nil"/>
              <w:bottom w:val="nil"/>
              <w:right w:val="nil"/>
            </w:tcBorders>
            <w:vAlign w:val="bottom"/>
          </w:tcPr>
          <w:p w14:paraId="000006C9">
            <w:pPr>
              <w:spacing w:after="0"/>
            </w:pPr>
          </w:p>
        </w:tc>
        <w:tc>
          <w:tcPr>
            <w:tcBorders>
              <w:top w:val="nil"/>
              <w:left w:val="nil"/>
              <w:bottom w:val="nil"/>
              <w:right w:val="nil"/>
            </w:tcBorders>
            <w:vAlign w:val="bottom"/>
          </w:tcPr>
          <w:p w14:paraId="000006CA">
            <w:pPr>
              <w:spacing w:after="0"/>
            </w:pPr>
          </w:p>
        </w:tc>
        <w:tc>
          <w:tcPr>
            <w:tcBorders>
              <w:top w:val="nil"/>
              <w:left w:val="nil"/>
              <w:bottom w:val="nil"/>
              <w:right w:val="nil"/>
            </w:tcBorders>
            <w:vAlign w:val="bottom"/>
          </w:tcPr>
          <w:p w14:paraId="000006CB">
            <w:pPr>
              <w:spacing w:after="0"/>
            </w:pPr>
          </w:p>
        </w:tc>
        <w:tc>
          <w:tcPr>
            <w:tcBorders>
              <w:top w:val="nil"/>
              <w:left w:val="nil"/>
              <w:bottom w:val="nil"/>
              <w:right w:val="nil"/>
            </w:tcBorders>
            <w:vAlign w:val="bottom"/>
          </w:tcPr>
          <w:p w14:paraId="000006CC">
            <w:pPr>
              <w:spacing w:after="0"/>
            </w:pPr>
          </w:p>
        </w:tc>
        <w:tc>
          <w:tcPr>
            <w:tcBorders>
              <w:top w:val="nil"/>
              <w:left w:val="nil"/>
              <w:bottom w:val="nil"/>
              <w:right w:val="nil"/>
            </w:tcBorders>
            <w:vAlign w:val="bottom"/>
          </w:tcPr>
          <w:p w14:paraId="000006CD">
            <w:pPr>
              <w:spacing w:after="0"/>
            </w:pPr>
          </w:p>
        </w:tc>
        <w:tc>
          <w:tcPr>
            <w:tcBorders>
              <w:top w:val="nil"/>
              <w:left w:val="nil"/>
              <w:bottom w:val="nil"/>
              <w:right w:val="nil"/>
            </w:tcBorders>
            <w:vAlign w:val="bottom"/>
          </w:tcPr>
          <w:p w14:paraId="000006CE">
            <w:pPr>
              <w:spacing w:after="0"/>
            </w:pPr>
          </w:p>
        </w:tc>
        <w:tc>
          <w:tcPr>
            <w:tcBorders>
              <w:top w:val="nil"/>
              <w:left w:val="nil"/>
              <w:bottom w:val="nil"/>
              <w:right w:val="nil"/>
            </w:tcBorders>
            <w:vAlign w:val="bottom"/>
          </w:tcPr>
          <w:p w14:paraId="000006CF">
            <w:pPr>
              <w:spacing w:after="0"/>
            </w:pPr>
          </w:p>
        </w:tc>
        <w:tc>
          <w:tcPr>
            <w:tcBorders>
              <w:top w:val="nil"/>
              <w:left w:val="nil"/>
              <w:bottom w:val="nil"/>
              <w:right w:val="nil"/>
            </w:tcBorders>
            <w:vAlign w:val="bottom"/>
          </w:tcPr>
          <w:p w14:paraId="000006D0">
            <w:pPr>
              <w:spacing w:after="0"/>
            </w:pPr>
          </w:p>
        </w:tc>
        <w:tc>
          <w:tcPr>
            <w:tcBorders>
              <w:top w:val="nil"/>
              <w:left w:val="nil"/>
              <w:bottom w:val="nil"/>
              <w:right w:val="nil"/>
            </w:tcBorders>
            <w:vAlign w:val="bottom"/>
          </w:tcPr>
          <w:p w14:paraId="000006D1">
            <w:pPr>
              <w:spacing w:after="0"/>
            </w:pPr>
          </w:p>
        </w:tc>
        <w:tc>
          <w:tcPr>
            <w:tcBorders>
              <w:top w:val="nil"/>
              <w:left w:val="nil"/>
              <w:bottom w:val="nil"/>
              <w:right w:val="nil"/>
            </w:tcBorders>
            <w:vAlign w:val="bottom"/>
          </w:tcPr>
          <w:p w14:paraId="000006D2">
            <w:pPr>
              <w:spacing w:after="0"/>
            </w:pPr>
          </w:p>
        </w:tc>
        <w:tc>
          <w:tcPr>
            <w:tcBorders>
              <w:top w:val="nil"/>
              <w:left w:val="nil"/>
              <w:bottom w:val="nil"/>
              <w:right w:val="nil"/>
            </w:tcBorders>
            <w:vAlign w:val="bottom"/>
          </w:tcPr>
          <w:p w14:paraId="000006D3">
            <w:pPr>
              <w:spacing w:after="0"/>
            </w:pPr>
          </w:p>
        </w:tc>
        <w:tc>
          <w:tcPr>
            <w:tcBorders>
              <w:top w:val="nil"/>
              <w:left w:val="nil"/>
              <w:bottom w:val="nil"/>
              <w:right w:val="nil"/>
            </w:tcBorders>
            <w:vAlign w:val="bottom"/>
          </w:tcPr>
          <w:p w14:paraId="000006D4">
            <w:pPr>
              <w:spacing w:after="0"/>
            </w:pPr>
          </w:p>
        </w:tc>
        <w:tc>
          <w:tcPr>
            <w:tcBorders>
              <w:top w:val="nil"/>
              <w:left w:val="nil"/>
              <w:bottom w:val="nil"/>
              <w:right w:val="nil"/>
            </w:tcBorders>
            <w:vAlign w:val="bottom"/>
          </w:tcPr>
          <w:p w14:paraId="000006D5">
            <w:pPr>
              <w:spacing w:after="0"/>
            </w:pPr>
          </w:p>
        </w:tc>
        <w:tc>
          <w:tcPr>
            <w:tcBorders>
              <w:top w:val="nil"/>
              <w:left w:val="nil"/>
              <w:bottom w:val="nil"/>
              <w:right w:val="nil"/>
            </w:tcBorders>
            <w:vAlign w:val="bottom"/>
          </w:tcPr>
          <w:p w14:paraId="000006D6">
            <w:pPr>
              <w:spacing w:after="0"/>
            </w:pPr>
          </w:p>
        </w:tc>
        <w:tc>
          <w:tcPr>
            <w:tcBorders>
              <w:top w:val="nil"/>
              <w:left w:val="nil"/>
              <w:bottom w:val="nil"/>
              <w:right w:val="nil"/>
            </w:tcBorders>
            <w:vAlign w:val="bottom"/>
          </w:tcPr>
          <w:p w14:paraId="000006D7">
            <w:pPr>
              <w:spacing w:after="0"/>
            </w:pPr>
          </w:p>
        </w:tc>
        <w:tc>
          <w:tcPr>
            <w:tcBorders>
              <w:top w:val="nil"/>
              <w:left w:val="nil"/>
              <w:bottom w:val="nil"/>
              <w:right w:val="nil"/>
            </w:tcBorders>
            <w:vAlign w:val="bottom"/>
          </w:tcPr>
          <w:p w14:paraId="000006D8">
            <w:pPr>
              <w:spacing w:after="0"/>
            </w:pPr>
          </w:p>
        </w:tc>
        <w:tc>
          <w:tcPr>
            <w:tcBorders>
              <w:top w:val="nil"/>
              <w:left w:val="nil"/>
              <w:bottom w:val="nil"/>
              <w:right w:val="nil"/>
            </w:tcBorders>
            <w:vAlign w:val="bottom"/>
          </w:tcPr>
          <w:p w14:paraId="000006D9">
            <w:pPr>
              <w:spacing w:after="0"/>
            </w:pPr>
          </w:p>
        </w:tc>
      </w:tr>
      <w:tr w14:paraId="621B5576">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DA">
            <w:pPr>
              <w:spacing w:after="0"/>
            </w:pPr>
          </w:p>
        </w:tc>
        <w:tc>
          <w:tcPr>
            <w:tcBorders>
              <w:top w:val="nil"/>
              <w:left w:val="nil"/>
              <w:bottom w:val="nil"/>
              <w:right w:val="nil"/>
            </w:tcBorders>
            <w:vAlign w:val="bottom"/>
          </w:tcPr>
          <w:p w14:paraId="000006DB">
            <w:pPr>
              <w:spacing w:after="0"/>
            </w:pPr>
          </w:p>
        </w:tc>
        <w:tc>
          <w:tcPr>
            <w:tcBorders>
              <w:top w:val="nil"/>
              <w:left w:val="nil"/>
              <w:bottom w:val="nil"/>
              <w:right w:val="nil"/>
            </w:tcBorders>
            <w:vAlign w:val="bottom"/>
          </w:tcPr>
          <w:p w14:paraId="000006DC">
            <w:pPr>
              <w:spacing w:after="0"/>
            </w:pPr>
          </w:p>
        </w:tc>
        <w:tc>
          <w:tcPr>
            <w:tcBorders>
              <w:top w:val="nil"/>
              <w:left w:val="nil"/>
              <w:bottom w:val="nil"/>
              <w:right w:val="nil"/>
            </w:tcBorders>
            <w:vAlign w:val="bottom"/>
          </w:tcPr>
          <w:p w14:paraId="000006DD">
            <w:pPr>
              <w:spacing w:after="0"/>
            </w:pPr>
          </w:p>
        </w:tc>
        <w:tc>
          <w:tcPr>
            <w:tcBorders>
              <w:top w:val="nil"/>
              <w:left w:val="nil"/>
              <w:bottom w:val="nil"/>
              <w:right w:val="nil"/>
            </w:tcBorders>
            <w:vAlign w:val="bottom"/>
          </w:tcPr>
          <w:p w14:paraId="000006DE">
            <w:pPr>
              <w:spacing w:after="0"/>
            </w:pPr>
          </w:p>
        </w:tc>
        <w:tc>
          <w:tcPr>
            <w:tcBorders>
              <w:top w:val="nil"/>
              <w:left w:val="nil"/>
              <w:bottom w:val="nil"/>
              <w:right w:val="nil"/>
            </w:tcBorders>
            <w:vAlign w:val="bottom"/>
          </w:tcPr>
          <w:p w14:paraId="000006DF">
            <w:pPr>
              <w:spacing w:after="0"/>
            </w:pPr>
          </w:p>
        </w:tc>
        <w:tc>
          <w:tcPr>
            <w:tcBorders>
              <w:top w:val="nil"/>
              <w:left w:val="nil"/>
              <w:bottom w:val="nil"/>
              <w:right w:val="nil"/>
            </w:tcBorders>
            <w:vAlign w:val="bottom"/>
          </w:tcPr>
          <w:p w14:paraId="000006E0">
            <w:pPr>
              <w:spacing w:after="0"/>
            </w:pPr>
          </w:p>
        </w:tc>
        <w:tc>
          <w:tcPr>
            <w:tcBorders>
              <w:top w:val="nil"/>
              <w:left w:val="nil"/>
              <w:bottom w:val="nil"/>
              <w:right w:val="nil"/>
            </w:tcBorders>
            <w:vAlign w:val="bottom"/>
          </w:tcPr>
          <w:p w14:paraId="000006E1">
            <w:pPr>
              <w:spacing w:after="0"/>
            </w:pPr>
          </w:p>
        </w:tc>
        <w:tc>
          <w:tcPr>
            <w:tcBorders>
              <w:top w:val="nil"/>
              <w:left w:val="nil"/>
              <w:bottom w:val="nil"/>
              <w:right w:val="nil"/>
            </w:tcBorders>
            <w:vAlign w:val="bottom"/>
          </w:tcPr>
          <w:p w14:paraId="000006E2">
            <w:pPr>
              <w:spacing w:after="0"/>
            </w:pPr>
          </w:p>
        </w:tc>
        <w:tc>
          <w:tcPr>
            <w:tcBorders>
              <w:top w:val="nil"/>
              <w:left w:val="nil"/>
              <w:bottom w:val="nil"/>
              <w:right w:val="nil"/>
            </w:tcBorders>
            <w:vAlign w:val="bottom"/>
          </w:tcPr>
          <w:p w14:paraId="000006E3">
            <w:pPr>
              <w:spacing w:after="0"/>
            </w:pPr>
          </w:p>
        </w:tc>
        <w:tc>
          <w:tcPr>
            <w:tcBorders>
              <w:top w:val="nil"/>
              <w:left w:val="nil"/>
              <w:bottom w:val="nil"/>
              <w:right w:val="nil"/>
            </w:tcBorders>
            <w:vAlign w:val="bottom"/>
          </w:tcPr>
          <w:p w14:paraId="000006E4">
            <w:pPr>
              <w:spacing w:after="0"/>
            </w:pPr>
          </w:p>
        </w:tc>
        <w:tc>
          <w:tcPr>
            <w:tcBorders>
              <w:top w:val="nil"/>
              <w:left w:val="nil"/>
              <w:bottom w:val="nil"/>
              <w:right w:val="nil"/>
            </w:tcBorders>
            <w:vAlign w:val="bottom"/>
          </w:tcPr>
          <w:p w14:paraId="000006E5">
            <w:pPr>
              <w:spacing w:after="0"/>
            </w:pPr>
          </w:p>
        </w:tc>
        <w:tc>
          <w:tcPr>
            <w:tcBorders>
              <w:top w:val="nil"/>
              <w:left w:val="nil"/>
              <w:bottom w:val="nil"/>
              <w:right w:val="nil"/>
            </w:tcBorders>
            <w:vAlign w:val="bottom"/>
          </w:tcPr>
          <w:p w14:paraId="000006E6">
            <w:pPr>
              <w:spacing w:after="0"/>
            </w:pPr>
          </w:p>
        </w:tc>
        <w:tc>
          <w:tcPr>
            <w:tcBorders>
              <w:top w:val="nil"/>
              <w:left w:val="nil"/>
              <w:bottom w:val="nil"/>
              <w:right w:val="nil"/>
            </w:tcBorders>
            <w:vAlign w:val="bottom"/>
          </w:tcPr>
          <w:p w14:paraId="000006E7">
            <w:pPr>
              <w:spacing w:after="0"/>
            </w:pPr>
          </w:p>
        </w:tc>
        <w:tc>
          <w:tcPr>
            <w:tcBorders>
              <w:top w:val="nil"/>
              <w:left w:val="nil"/>
              <w:bottom w:val="nil"/>
              <w:right w:val="nil"/>
            </w:tcBorders>
            <w:vAlign w:val="bottom"/>
          </w:tcPr>
          <w:p w14:paraId="000006E8">
            <w:pPr>
              <w:spacing w:after="0"/>
            </w:pPr>
          </w:p>
        </w:tc>
        <w:tc>
          <w:tcPr>
            <w:tcBorders>
              <w:top w:val="nil"/>
              <w:left w:val="nil"/>
              <w:bottom w:val="nil"/>
              <w:right w:val="nil"/>
            </w:tcBorders>
            <w:vAlign w:val="bottom"/>
          </w:tcPr>
          <w:p w14:paraId="000006E9">
            <w:pPr>
              <w:spacing w:after="0"/>
            </w:pPr>
          </w:p>
        </w:tc>
        <w:tc>
          <w:tcPr>
            <w:tcBorders>
              <w:top w:val="nil"/>
              <w:left w:val="nil"/>
              <w:bottom w:val="nil"/>
              <w:right w:val="nil"/>
            </w:tcBorders>
            <w:vAlign w:val="bottom"/>
          </w:tcPr>
          <w:p w14:paraId="000006EA">
            <w:pPr>
              <w:spacing w:after="0"/>
            </w:pPr>
          </w:p>
        </w:tc>
        <w:tc>
          <w:tcPr>
            <w:tcBorders>
              <w:top w:val="nil"/>
              <w:left w:val="nil"/>
              <w:bottom w:val="nil"/>
              <w:right w:val="nil"/>
            </w:tcBorders>
            <w:vAlign w:val="bottom"/>
          </w:tcPr>
          <w:p w14:paraId="000006EB">
            <w:pPr>
              <w:spacing w:after="0"/>
            </w:pPr>
          </w:p>
        </w:tc>
        <w:tc>
          <w:tcPr>
            <w:tcBorders>
              <w:top w:val="nil"/>
              <w:left w:val="nil"/>
              <w:bottom w:val="nil"/>
              <w:right w:val="nil"/>
            </w:tcBorders>
            <w:vAlign w:val="bottom"/>
          </w:tcPr>
          <w:p w14:paraId="000006EC">
            <w:pPr>
              <w:spacing w:after="0"/>
            </w:pPr>
          </w:p>
        </w:tc>
      </w:tr>
      <w:tr w14:paraId="5695D6BE">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6ED">
            <w:pPr>
              <w:spacing w:after="0"/>
            </w:pPr>
          </w:p>
        </w:tc>
        <w:tc>
          <w:tcPr>
            <w:tcBorders>
              <w:top w:val="nil"/>
              <w:left w:val="nil"/>
              <w:bottom w:val="nil"/>
              <w:right w:val="nil"/>
            </w:tcBorders>
            <w:vAlign w:val="bottom"/>
          </w:tcPr>
          <w:p w14:paraId="000006EE">
            <w:pPr>
              <w:spacing w:after="0"/>
            </w:pPr>
          </w:p>
        </w:tc>
        <w:tc>
          <w:tcPr>
            <w:tcBorders>
              <w:top w:val="nil"/>
              <w:left w:val="nil"/>
              <w:bottom w:val="nil"/>
              <w:right w:val="nil"/>
            </w:tcBorders>
            <w:vAlign w:val="bottom"/>
          </w:tcPr>
          <w:p w14:paraId="000006EF">
            <w:pPr>
              <w:spacing w:after="0"/>
            </w:pPr>
          </w:p>
        </w:tc>
        <w:tc>
          <w:tcPr>
            <w:tcBorders>
              <w:top w:val="nil"/>
              <w:left w:val="nil"/>
              <w:bottom w:val="nil"/>
              <w:right w:val="nil"/>
            </w:tcBorders>
            <w:vAlign w:val="bottom"/>
          </w:tcPr>
          <w:p w14:paraId="000006F0">
            <w:pPr>
              <w:spacing w:after="0"/>
            </w:pPr>
          </w:p>
        </w:tc>
        <w:tc>
          <w:tcPr>
            <w:tcBorders>
              <w:top w:val="nil"/>
              <w:left w:val="nil"/>
              <w:bottom w:val="nil"/>
              <w:right w:val="nil"/>
            </w:tcBorders>
            <w:vAlign w:val="bottom"/>
          </w:tcPr>
          <w:p w14:paraId="000006F1">
            <w:pPr>
              <w:spacing w:after="0"/>
            </w:pPr>
          </w:p>
        </w:tc>
        <w:tc>
          <w:tcPr>
            <w:tcBorders>
              <w:top w:val="nil"/>
              <w:left w:val="nil"/>
              <w:bottom w:val="nil"/>
              <w:right w:val="nil"/>
            </w:tcBorders>
            <w:vAlign w:val="bottom"/>
          </w:tcPr>
          <w:p w14:paraId="000006F2">
            <w:pPr>
              <w:spacing w:after="0"/>
            </w:pPr>
          </w:p>
        </w:tc>
        <w:tc>
          <w:tcPr>
            <w:tcBorders>
              <w:top w:val="nil"/>
              <w:left w:val="nil"/>
              <w:bottom w:val="nil"/>
              <w:right w:val="nil"/>
            </w:tcBorders>
            <w:vAlign w:val="bottom"/>
          </w:tcPr>
          <w:p w14:paraId="000006F3">
            <w:pPr>
              <w:spacing w:after="0"/>
            </w:pPr>
          </w:p>
        </w:tc>
        <w:tc>
          <w:tcPr>
            <w:tcBorders>
              <w:top w:val="nil"/>
              <w:left w:val="nil"/>
              <w:bottom w:val="nil"/>
              <w:right w:val="nil"/>
            </w:tcBorders>
            <w:vAlign w:val="bottom"/>
          </w:tcPr>
          <w:p w14:paraId="000006F4">
            <w:pPr>
              <w:spacing w:after="0"/>
            </w:pPr>
          </w:p>
        </w:tc>
        <w:tc>
          <w:tcPr>
            <w:tcBorders>
              <w:top w:val="nil"/>
              <w:left w:val="nil"/>
              <w:bottom w:val="nil"/>
              <w:right w:val="nil"/>
            </w:tcBorders>
            <w:vAlign w:val="bottom"/>
          </w:tcPr>
          <w:p w14:paraId="000006F5">
            <w:pPr>
              <w:spacing w:after="0"/>
            </w:pPr>
          </w:p>
        </w:tc>
        <w:tc>
          <w:tcPr>
            <w:tcBorders>
              <w:top w:val="nil"/>
              <w:left w:val="nil"/>
              <w:bottom w:val="nil"/>
              <w:right w:val="nil"/>
            </w:tcBorders>
            <w:vAlign w:val="bottom"/>
          </w:tcPr>
          <w:p w14:paraId="000006F6">
            <w:pPr>
              <w:spacing w:after="0"/>
            </w:pPr>
          </w:p>
        </w:tc>
        <w:tc>
          <w:tcPr>
            <w:tcBorders>
              <w:top w:val="nil"/>
              <w:left w:val="nil"/>
              <w:bottom w:val="nil"/>
              <w:right w:val="nil"/>
            </w:tcBorders>
            <w:vAlign w:val="bottom"/>
          </w:tcPr>
          <w:p w14:paraId="000006F7">
            <w:pPr>
              <w:spacing w:after="0"/>
            </w:pPr>
          </w:p>
        </w:tc>
        <w:tc>
          <w:tcPr>
            <w:tcBorders>
              <w:top w:val="nil"/>
              <w:left w:val="nil"/>
              <w:bottom w:val="nil"/>
              <w:right w:val="nil"/>
            </w:tcBorders>
            <w:vAlign w:val="bottom"/>
          </w:tcPr>
          <w:p w14:paraId="000006F8">
            <w:pPr>
              <w:spacing w:after="0"/>
            </w:pPr>
          </w:p>
        </w:tc>
        <w:tc>
          <w:tcPr>
            <w:tcBorders>
              <w:top w:val="nil"/>
              <w:left w:val="nil"/>
              <w:bottom w:val="nil"/>
              <w:right w:val="nil"/>
            </w:tcBorders>
            <w:vAlign w:val="bottom"/>
          </w:tcPr>
          <w:p w14:paraId="000006F9">
            <w:pPr>
              <w:spacing w:after="0"/>
            </w:pPr>
          </w:p>
        </w:tc>
        <w:tc>
          <w:tcPr>
            <w:tcBorders>
              <w:top w:val="nil"/>
              <w:left w:val="nil"/>
              <w:bottom w:val="nil"/>
              <w:right w:val="nil"/>
            </w:tcBorders>
            <w:vAlign w:val="bottom"/>
          </w:tcPr>
          <w:p w14:paraId="000006FA">
            <w:pPr>
              <w:spacing w:after="0"/>
            </w:pPr>
          </w:p>
        </w:tc>
        <w:tc>
          <w:tcPr>
            <w:tcBorders>
              <w:top w:val="nil"/>
              <w:left w:val="nil"/>
              <w:bottom w:val="nil"/>
              <w:right w:val="nil"/>
            </w:tcBorders>
            <w:vAlign w:val="bottom"/>
          </w:tcPr>
          <w:p w14:paraId="000006FB">
            <w:pPr>
              <w:spacing w:after="0"/>
            </w:pPr>
          </w:p>
        </w:tc>
        <w:tc>
          <w:tcPr>
            <w:tcBorders>
              <w:top w:val="nil"/>
              <w:left w:val="nil"/>
              <w:bottom w:val="nil"/>
              <w:right w:val="nil"/>
            </w:tcBorders>
            <w:vAlign w:val="bottom"/>
          </w:tcPr>
          <w:p w14:paraId="000006FC">
            <w:pPr>
              <w:spacing w:after="0"/>
            </w:pPr>
          </w:p>
        </w:tc>
        <w:tc>
          <w:tcPr>
            <w:tcBorders>
              <w:top w:val="nil"/>
              <w:left w:val="nil"/>
              <w:bottom w:val="nil"/>
              <w:right w:val="nil"/>
            </w:tcBorders>
            <w:vAlign w:val="bottom"/>
          </w:tcPr>
          <w:p w14:paraId="000006FD">
            <w:pPr>
              <w:spacing w:after="0"/>
            </w:pPr>
          </w:p>
        </w:tc>
        <w:tc>
          <w:tcPr>
            <w:tcBorders>
              <w:top w:val="nil"/>
              <w:left w:val="nil"/>
              <w:bottom w:val="nil"/>
              <w:right w:val="nil"/>
            </w:tcBorders>
            <w:vAlign w:val="bottom"/>
          </w:tcPr>
          <w:p w14:paraId="000006FE">
            <w:pPr>
              <w:spacing w:after="0"/>
            </w:pPr>
          </w:p>
        </w:tc>
        <w:tc>
          <w:tcPr>
            <w:tcBorders>
              <w:top w:val="nil"/>
              <w:left w:val="nil"/>
              <w:bottom w:val="nil"/>
              <w:right w:val="nil"/>
            </w:tcBorders>
            <w:vAlign w:val="bottom"/>
          </w:tcPr>
          <w:p w14:paraId="000006FF">
            <w:pPr>
              <w:spacing w:after="0"/>
            </w:pPr>
          </w:p>
        </w:tc>
      </w:tr>
      <w:tr w14:paraId="1D995170">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center"/>
          </w:tcPr>
          <w:p w14:paraId="00000700">
            <w:pPr>
              <w:spacing w:after="0"/>
              <w:rPr>
                <w:b/>
                <w:bCs/>
              </w:rPr>
            </w:pPr>
            <w:r>
              <w:rPr>
                <w:b/>
                <w:bCs/>
                <w:rtl w:val="0"/>
              </w:rPr>
              <w:t>2. Interpretation of the Z-Score (Critical)</w:t>
            </w:r>
          </w:p>
        </w:tc>
        <w:tc>
          <w:tcPr>
            <w:tcBorders>
              <w:top w:val="nil"/>
              <w:left w:val="nil"/>
              <w:bottom w:val="nil"/>
              <w:right w:val="nil"/>
            </w:tcBorders>
            <w:vAlign w:val="bottom"/>
          </w:tcPr>
          <w:p w14:paraId="00000704">
            <w:pPr>
              <w:spacing w:after="0"/>
              <w:rPr>
                <w:b/>
                <w:bCs/>
              </w:rPr>
            </w:pPr>
          </w:p>
        </w:tc>
        <w:tc>
          <w:tcPr>
            <w:tcBorders>
              <w:top w:val="nil"/>
              <w:left w:val="nil"/>
              <w:bottom w:val="nil"/>
              <w:right w:val="nil"/>
            </w:tcBorders>
            <w:vAlign w:val="bottom"/>
          </w:tcPr>
          <w:p w14:paraId="00000705">
            <w:pPr>
              <w:spacing w:after="0"/>
            </w:pPr>
          </w:p>
        </w:tc>
        <w:tc>
          <w:tcPr>
            <w:tcBorders>
              <w:top w:val="nil"/>
              <w:left w:val="nil"/>
              <w:bottom w:val="nil"/>
              <w:right w:val="nil"/>
            </w:tcBorders>
            <w:vAlign w:val="bottom"/>
          </w:tcPr>
          <w:p w14:paraId="00000706">
            <w:pPr>
              <w:spacing w:after="0"/>
            </w:pPr>
          </w:p>
        </w:tc>
        <w:tc>
          <w:tcPr>
            <w:tcBorders>
              <w:top w:val="nil"/>
              <w:left w:val="nil"/>
              <w:bottom w:val="nil"/>
              <w:right w:val="nil"/>
            </w:tcBorders>
            <w:vAlign w:val="bottom"/>
          </w:tcPr>
          <w:p w14:paraId="00000707">
            <w:pPr>
              <w:spacing w:after="0"/>
            </w:pPr>
          </w:p>
        </w:tc>
        <w:tc>
          <w:tcPr>
            <w:tcBorders>
              <w:top w:val="nil"/>
              <w:left w:val="nil"/>
              <w:bottom w:val="nil"/>
              <w:right w:val="nil"/>
            </w:tcBorders>
            <w:vAlign w:val="bottom"/>
          </w:tcPr>
          <w:p w14:paraId="00000708">
            <w:pPr>
              <w:spacing w:after="0"/>
            </w:pPr>
          </w:p>
        </w:tc>
        <w:tc>
          <w:tcPr>
            <w:tcBorders>
              <w:top w:val="nil"/>
              <w:left w:val="nil"/>
              <w:bottom w:val="nil"/>
              <w:right w:val="nil"/>
            </w:tcBorders>
            <w:vAlign w:val="bottom"/>
          </w:tcPr>
          <w:p w14:paraId="00000709">
            <w:pPr>
              <w:spacing w:after="0"/>
            </w:pPr>
          </w:p>
        </w:tc>
        <w:tc>
          <w:tcPr>
            <w:tcBorders>
              <w:top w:val="nil"/>
              <w:left w:val="nil"/>
              <w:bottom w:val="nil"/>
              <w:right w:val="nil"/>
            </w:tcBorders>
            <w:vAlign w:val="bottom"/>
          </w:tcPr>
          <w:p w14:paraId="0000070A">
            <w:pPr>
              <w:spacing w:after="0"/>
            </w:pPr>
          </w:p>
        </w:tc>
        <w:tc>
          <w:tcPr>
            <w:tcBorders>
              <w:top w:val="nil"/>
              <w:left w:val="nil"/>
              <w:bottom w:val="nil"/>
              <w:right w:val="nil"/>
            </w:tcBorders>
            <w:vAlign w:val="bottom"/>
          </w:tcPr>
          <w:p w14:paraId="0000070B">
            <w:pPr>
              <w:spacing w:after="0"/>
            </w:pPr>
          </w:p>
        </w:tc>
        <w:tc>
          <w:tcPr>
            <w:tcBorders>
              <w:top w:val="nil"/>
              <w:left w:val="nil"/>
              <w:bottom w:val="nil"/>
              <w:right w:val="nil"/>
            </w:tcBorders>
            <w:vAlign w:val="bottom"/>
          </w:tcPr>
          <w:p w14:paraId="0000070C">
            <w:pPr>
              <w:spacing w:after="0"/>
            </w:pPr>
          </w:p>
        </w:tc>
        <w:tc>
          <w:tcPr>
            <w:tcBorders>
              <w:top w:val="nil"/>
              <w:left w:val="nil"/>
              <w:bottom w:val="nil"/>
              <w:right w:val="nil"/>
            </w:tcBorders>
            <w:vAlign w:val="bottom"/>
          </w:tcPr>
          <w:p w14:paraId="0000070D">
            <w:pPr>
              <w:spacing w:after="0"/>
            </w:pPr>
          </w:p>
        </w:tc>
        <w:tc>
          <w:tcPr>
            <w:tcBorders>
              <w:top w:val="nil"/>
              <w:left w:val="nil"/>
              <w:bottom w:val="nil"/>
              <w:right w:val="nil"/>
            </w:tcBorders>
            <w:vAlign w:val="bottom"/>
          </w:tcPr>
          <w:p w14:paraId="0000070E">
            <w:pPr>
              <w:spacing w:after="0"/>
            </w:pPr>
          </w:p>
        </w:tc>
        <w:tc>
          <w:tcPr>
            <w:tcBorders>
              <w:top w:val="nil"/>
              <w:left w:val="nil"/>
              <w:bottom w:val="nil"/>
              <w:right w:val="nil"/>
            </w:tcBorders>
            <w:vAlign w:val="bottom"/>
          </w:tcPr>
          <w:p w14:paraId="0000070F">
            <w:pPr>
              <w:spacing w:after="0"/>
            </w:pPr>
          </w:p>
        </w:tc>
        <w:tc>
          <w:tcPr>
            <w:tcBorders>
              <w:top w:val="nil"/>
              <w:left w:val="nil"/>
              <w:bottom w:val="nil"/>
              <w:right w:val="nil"/>
            </w:tcBorders>
            <w:vAlign w:val="bottom"/>
          </w:tcPr>
          <w:p w14:paraId="00000710">
            <w:pPr>
              <w:spacing w:after="0"/>
            </w:pPr>
          </w:p>
        </w:tc>
        <w:tc>
          <w:tcPr>
            <w:tcBorders>
              <w:top w:val="nil"/>
              <w:left w:val="nil"/>
              <w:bottom w:val="nil"/>
              <w:right w:val="nil"/>
            </w:tcBorders>
            <w:vAlign w:val="bottom"/>
          </w:tcPr>
          <w:p w14:paraId="00000711">
            <w:pPr>
              <w:spacing w:after="0"/>
            </w:pPr>
          </w:p>
        </w:tc>
        <w:tc>
          <w:tcPr>
            <w:tcBorders>
              <w:top w:val="nil"/>
              <w:left w:val="nil"/>
              <w:bottom w:val="nil"/>
              <w:right w:val="nil"/>
            </w:tcBorders>
            <w:vAlign w:val="bottom"/>
          </w:tcPr>
          <w:p w14:paraId="00000712">
            <w:pPr>
              <w:spacing w:after="0"/>
            </w:pPr>
          </w:p>
        </w:tc>
      </w:tr>
      <w:tr w14:paraId="4EA0765B">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713">
            <w:pPr>
              <w:spacing w:after="0"/>
            </w:pPr>
          </w:p>
        </w:tc>
        <w:tc>
          <w:tcPr>
            <w:tcBorders>
              <w:top w:val="nil"/>
              <w:left w:val="nil"/>
              <w:bottom w:val="nil"/>
              <w:right w:val="nil"/>
            </w:tcBorders>
            <w:vAlign w:val="bottom"/>
          </w:tcPr>
          <w:p w14:paraId="00000714">
            <w:pPr>
              <w:spacing w:after="0"/>
            </w:pPr>
          </w:p>
        </w:tc>
        <w:tc>
          <w:tcPr>
            <w:tcBorders>
              <w:top w:val="nil"/>
              <w:left w:val="nil"/>
              <w:bottom w:val="nil"/>
              <w:right w:val="nil"/>
            </w:tcBorders>
            <w:vAlign w:val="bottom"/>
          </w:tcPr>
          <w:p w14:paraId="00000715">
            <w:pPr>
              <w:spacing w:after="0"/>
            </w:pPr>
          </w:p>
        </w:tc>
        <w:tc>
          <w:tcPr>
            <w:tcBorders>
              <w:top w:val="nil"/>
              <w:left w:val="nil"/>
              <w:bottom w:val="nil"/>
              <w:right w:val="nil"/>
            </w:tcBorders>
            <w:vAlign w:val="bottom"/>
          </w:tcPr>
          <w:p w14:paraId="00000716">
            <w:pPr>
              <w:spacing w:after="0"/>
            </w:pPr>
          </w:p>
        </w:tc>
        <w:tc>
          <w:tcPr>
            <w:tcBorders>
              <w:top w:val="nil"/>
              <w:left w:val="nil"/>
              <w:bottom w:val="nil"/>
              <w:right w:val="nil"/>
            </w:tcBorders>
            <w:vAlign w:val="bottom"/>
          </w:tcPr>
          <w:p w14:paraId="00000717">
            <w:pPr>
              <w:spacing w:after="0"/>
            </w:pPr>
          </w:p>
        </w:tc>
        <w:tc>
          <w:tcPr>
            <w:tcBorders>
              <w:top w:val="nil"/>
              <w:left w:val="nil"/>
              <w:bottom w:val="nil"/>
              <w:right w:val="nil"/>
            </w:tcBorders>
            <w:vAlign w:val="bottom"/>
          </w:tcPr>
          <w:p w14:paraId="00000718">
            <w:pPr>
              <w:spacing w:after="0"/>
            </w:pPr>
          </w:p>
        </w:tc>
        <w:tc>
          <w:tcPr>
            <w:tcBorders>
              <w:top w:val="nil"/>
              <w:left w:val="nil"/>
              <w:bottom w:val="nil"/>
              <w:right w:val="nil"/>
            </w:tcBorders>
            <w:vAlign w:val="bottom"/>
          </w:tcPr>
          <w:p w14:paraId="00000719">
            <w:pPr>
              <w:spacing w:after="0"/>
            </w:pPr>
          </w:p>
        </w:tc>
        <w:tc>
          <w:tcPr>
            <w:tcBorders>
              <w:top w:val="nil"/>
              <w:left w:val="nil"/>
              <w:bottom w:val="nil"/>
              <w:right w:val="nil"/>
            </w:tcBorders>
            <w:vAlign w:val="bottom"/>
          </w:tcPr>
          <w:p w14:paraId="0000071A">
            <w:pPr>
              <w:spacing w:after="0"/>
            </w:pPr>
          </w:p>
        </w:tc>
        <w:tc>
          <w:tcPr>
            <w:tcBorders>
              <w:top w:val="nil"/>
              <w:left w:val="nil"/>
              <w:bottom w:val="nil"/>
              <w:right w:val="nil"/>
            </w:tcBorders>
            <w:vAlign w:val="bottom"/>
          </w:tcPr>
          <w:p w14:paraId="0000071B">
            <w:pPr>
              <w:spacing w:after="0"/>
            </w:pPr>
          </w:p>
        </w:tc>
        <w:tc>
          <w:tcPr>
            <w:tcBorders>
              <w:top w:val="nil"/>
              <w:left w:val="nil"/>
              <w:bottom w:val="nil"/>
              <w:right w:val="nil"/>
            </w:tcBorders>
            <w:vAlign w:val="bottom"/>
          </w:tcPr>
          <w:p w14:paraId="0000071C">
            <w:pPr>
              <w:spacing w:after="0"/>
            </w:pPr>
          </w:p>
        </w:tc>
        <w:tc>
          <w:tcPr>
            <w:tcBorders>
              <w:top w:val="nil"/>
              <w:left w:val="nil"/>
              <w:bottom w:val="nil"/>
              <w:right w:val="nil"/>
            </w:tcBorders>
            <w:vAlign w:val="bottom"/>
          </w:tcPr>
          <w:p w14:paraId="0000071D">
            <w:pPr>
              <w:spacing w:after="0"/>
            </w:pPr>
          </w:p>
        </w:tc>
        <w:tc>
          <w:tcPr>
            <w:tcBorders>
              <w:top w:val="nil"/>
              <w:left w:val="nil"/>
              <w:bottom w:val="nil"/>
              <w:right w:val="nil"/>
            </w:tcBorders>
            <w:vAlign w:val="bottom"/>
          </w:tcPr>
          <w:p w14:paraId="0000071E">
            <w:pPr>
              <w:spacing w:after="0"/>
            </w:pPr>
          </w:p>
        </w:tc>
        <w:tc>
          <w:tcPr>
            <w:tcBorders>
              <w:top w:val="nil"/>
              <w:left w:val="nil"/>
              <w:bottom w:val="nil"/>
              <w:right w:val="nil"/>
            </w:tcBorders>
            <w:vAlign w:val="bottom"/>
          </w:tcPr>
          <w:p w14:paraId="0000071F">
            <w:pPr>
              <w:spacing w:after="0"/>
            </w:pPr>
          </w:p>
        </w:tc>
        <w:tc>
          <w:tcPr>
            <w:tcBorders>
              <w:top w:val="nil"/>
              <w:left w:val="nil"/>
              <w:bottom w:val="nil"/>
              <w:right w:val="nil"/>
            </w:tcBorders>
            <w:vAlign w:val="bottom"/>
          </w:tcPr>
          <w:p w14:paraId="00000720">
            <w:pPr>
              <w:spacing w:after="0"/>
            </w:pPr>
          </w:p>
        </w:tc>
        <w:tc>
          <w:tcPr>
            <w:tcBorders>
              <w:top w:val="nil"/>
              <w:left w:val="nil"/>
              <w:bottom w:val="nil"/>
              <w:right w:val="nil"/>
            </w:tcBorders>
            <w:vAlign w:val="bottom"/>
          </w:tcPr>
          <w:p w14:paraId="00000721">
            <w:pPr>
              <w:spacing w:after="0"/>
            </w:pPr>
          </w:p>
        </w:tc>
        <w:tc>
          <w:tcPr>
            <w:tcBorders>
              <w:top w:val="nil"/>
              <w:left w:val="nil"/>
              <w:bottom w:val="nil"/>
              <w:right w:val="nil"/>
            </w:tcBorders>
            <w:vAlign w:val="bottom"/>
          </w:tcPr>
          <w:p w14:paraId="00000722">
            <w:pPr>
              <w:spacing w:after="0"/>
            </w:pPr>
          </w:p>
        </w:tc>
        <w:tc>
          <w:tcPr>
            <w:tcBorders>
              <w:top w:val="nil"/>
              <w:left w:val="nil"/>
              <w:bottom w:val="nil"/>
              <w:right w:val="nil"/>
            </w:tcBorders>
            <w:vAlign w:val="bottom"/>
          </w:tcPr>
          <w:p w14:paraId="00000723">
            <w:pPr>
              <w:spacing w:after="0"/>
            </w:pPr>
          </w:p>
        </w:tc>
        <w:tc>
          <w:tcPr>
            <w:tcBorders>
              <w:top w:val="nil"/>
              <w:left w:val="nil"/>
              <w:bottom w:val="nil"/>
              <w:right w:val="nil"/>
            </w:tcBorders>
            <w:vAlign w:val="bottom"/>
          </w:tcPr>
          <w:p w14:paraId="00000724">
            <w:pPr>
              <w:spacing w:after="0"/>
            </w:pPr>
          </w:p>
        </w:tc>
        <w:tc>
          <w:tcPr>
            <w:tcBorders>
              <w:top w:val="nil"/>
              <w:left w:val="nil"/>
              <w:bottom w:val="nil"/>
              <w:right w:val="nil"/>
            </w:tcBorders>
            <w:vAlign w:val="bottom"/>
          </w:tcPr>
          <w:p w14:paraId="00000725">
            <w:pPr>
              <w:spacing w:after="0"/>
            </w:pPr>
          </w:p>
        </w:tc>
      </w:tr>
      <w:tr w14:paraId="0019B339">
        <w:tblPrEx>
          <w:tblCellMar>
            <w:top w:w="0" w:type="dxa"/>
            <w:left w:w="115" w:type="dxa"/>
            <w:bottom w:w="0" w:type="dxa"/>
            <w:right w:w="115" w:type="dxa"/>
          </w:tblCellMar>
        </w:tblPrEx>
        <w:trPr>
          <w:trHeight w:val="276" w:hRule="atLeast"/>
        </w:trPr>
        <w:tc>
          <w:tcPr>
            <w:gridSpan w:val="4"/>
            <w:tcBorders>
              <w:top w:val="nil"/>
              <w:left w:val="nil"/>
              <w:bottom w:val="nil"/>
              <w:right w:val="nil"/>
            </w:tcBorders>
            <w:vAlign w:val="bottom"/>
          </w:tcPr>
          <w:p w14:paraId="00000726">
            <w:pPr>
              <w:spacing w:after="0"/>
            </w:pPr>
            <w:r>
              <w:rPr>
                <w:rtl w:val="0"/>
              </w:rPr>
              <w:t>Under Altman’s original thresholds:</w:t>
            </w:r>
          </w:p>
        </w:tc>
        <w:tc>
          <w:tcPr>
            <w:tcBorders>
              <w:top w:val="nil"/>
              <w:left w:val="nil"/>
              <w:bottom w:val="nil"/>
              <w:right w:val="nil"/>
            </w:tcBorders>
            <w:vAlign w:val="bottom"/>
          </w:tcPr>
          <w:p w14:paraId="0000072A">
            <w:pPr>
              <w:spacing w:after="0"/>
            </w:pPr>
          </w:p>
        </w:tc>
        <w:tc>
          <w:tcPr>
            <w:tcBorders>
              <w:top w:val="nil"/>
              <w:left w:val="nil"/>
              <w:bottom w:val="nil"/>
              <w:right w:val="nil"/>
            </w:tcBorders>
            <w:vAlign w:val="bottom"/>
          </w:tcPr>
          <w:p w14:paraId="0000072B">
            <w:pPr>
              <w:spacing w:after="0"/>
            </w:pPr>
          </w:p>
        </w:tc>
        <w:tc>
          <w:tcPr>
            <w:tcBorders>
              <w:top w:val="nil"/>
              <w:left w:val="nil"/>
              <w:bottom w:val="nil"/>
              <w:right w:val="nil"/>
            </w:tcBorders>
            <w:vAlign w:val="bottom"/>
          </w:tcPr>
          <w:p w14:paraId="0000072C">
            <w:pPr>
              <w:spacing w:after="0"/>
            </w:pPr>
          </w:p>
        </w:tc>
        <w:tc>
          <w:tcPr>
            <w:tcBorders>
              <w:top w:val="nil"/>
              <w:left w:val="nil"/>
              <w:bottom w:val="nil"/>
              <w:right w:val="nil"/>
            </w:tcBorders>
            <w:vAlign w:val="bottom"/>
          </w:tcPr>
          <w:p w14:paraId="0000072D">
            <w:pPr>
              <w:spacing w:after="0"/>
            </w:pPr>
          </w:p>
        </w:tc>
        <w:tc>
          <w:tcPr>
            <w:tcBorders>
              <w:top w:val="nil"/>
              <w:left w:val="nil"/>
              <w:bottom w:val="nil"/>
              <w:right w:val="nil"/>
            </w:tcBorders>
            <w:vAlign w:val="bottom"/>
          </w:tcPr>
          <w:p w14:paraId="0000072E">
            <w:pPr>
              <w:spacing w:after="0"/>
            </w:pPr>
          </w:p>
        </w:tc>
        <w:tc>
          <w:tcPr>
            <w:tcBorders>
              <w:top w:val="nil"/>
              <w:left w:val="nil"/>
              <w:bottom w:val="nil"/>
              <w:right w:val="nil"/>
            </w:tcBorders>
            <w:vAlign w:val="bottom"/>
          </w:tcPr>
          <w:p w14:paraId="0000072F">
            <w:pPr>
              <w:spacing w:after="0"/>
            </w:pPr>
          </w:p>
        </w:tc>
        <w:tc>
          <w:tcPr>
            <w:tcBorders>
              <w:top w:val="nil"/>
              <w:left w:val="nil"/>
              <w:bottom w:val="nil"/>
              <w:right w:val="nil"/>
            </w:tcBorders>
            <w:vAlign w:val="bottom"/>
          </w:tcPr>
          <w:p w14:paraId="00000730">
            <w:pPr>
              <w:spacing w:after="0"/>
            </w:pPr>
          </w:p>
        </w:tc>
        <w:tc>
          <w:tcPr>
            <w:tcBorders>
              <w:top w:val="nil"/>
              <w:left w:val="nil"/>
              <w:bottom w:val="nil"/>
              <w:right w:val="nil"/>
            </w:tcBorders>
            <w:vAlign w:val="bottom"/>
          </w:tcPr>
          <w:p w14:paraId="00000731">
            <w:pPr>
              <w:spacing w:after="0"/>
            </w:pPr>
          </w:p>
        </w:tc>
        <w:tc>
          <w:tcPr>
            <w:tcBorders>
              <w:top w:val="nil"/>
              <w:left w:val="nil"/>
              <w:bottom w:val="nil"/>
              <w:right w:val="nil"/>
            </w:tcBorders>
            <w:vAlign w:val="bottom"/>
          </w:tcPr>
          <w:p w14:paraId="00000732">
            <w:pPr>
              <w:spacing w:after="0"/>
            </w:pPr>
          </w:p>
        </w:tc>
        <w:tc>
          <w:tcPr>
            <w:tcBorders>
              <w:top w:val="nil"/>
              <w:left w:val="nil"/>
              <w:bottom w:val="nil"/>
              <w:right w:val="nil"/>
            </w:tcBorders>
            <w:vAlign w:val="bottom"/>
          </w:tcPr>
          <w:p w14:paraId="00000733">
            <w:pPr>
              <w:spacing w:after="0"/>
            </w:pPr>
          </w:p>
        </w:tc>
        <w:tc>
          <w:tcPr>
            <w:tcBorders>
              <w:top w:val="nil"/>
              <w:left w:val="nil"/>
              <w:bottom w:val="nil"/>
              <w:right w:val="nil"/>
            </w:tcBorders>
            <w:vAlign w:val="bottom"/>
          </w:tcPr>
          <w:p w14:paraId="00000734">
            <w:pPr>
              <w:spacing w:after="0"/>
            </w:pPr>
          </w:p>
        </w:tc>
        <w:tc>
          <w:tcPr>
            <w:tcBorders>
              <w:top w:val="nil"/>
              <w:left w:val="nil"/>
              <w:bottom w:val="nil"/>
              <w:right w:val="nil"/>
            </w:tcBorders>
            <w:vAlign w:val="bottom"/>
          </w:tcPr>
          <w:p w14:paraId="00000735">
            <w:pPr>
              <w:spacing w:after="0"/>
            </w:pPr>
          </w:p>
        </w:tc>
        <w:tc>
          <w:tcPr>
            <w:tcBorders>
              <w:top w:val="nil"/>
              <w:left w:val="nil"/>
              <w:bottom w:val="nil"/>
              <w:right w:val="nil"/>
            </w:tcBorders>
            <w:vAlign w:val="bottom"/>
          </w:tcPr>
          <w:p w14:paraId="00000736">
            <w:pPr>
              <w:spacing w:after="0"/>
            </w:pPr>
          </w:p>
        </w:tc>
        <w:tc>
          <w:tcPr>
            <w:tcBorders>
              <w:top w:val="nil"/>
              <w:left w:val="nil"/>
              <w:bottom w:val="nil"/>
              <w:right w:val="nil"/>
            </w:tcBorders>
            <w:vAlign w:val="bottom"/>
          </w:tcPr>
          <w:p w14:paraId="00000737">
            <w:pPr>
              <w:spacing w:after="0"/>
            </w:pPr>
          </w:p>
        </w:tc>
        <w:tc>
          <w:tcPr>
            <w:tcBorders>
              <w:top w:val="nil"/>
              <w:left w:val="nil"/>
              <w:bottom w:val="nil"/>
              <w:right w:val="nil"/>
            </w:tcBorders>
            <w:vAlign w:val="bottom"/>
          </w:tcPr>
          <w:p w14:paraId="00000738">
            <w:pPr>
              <w:spacing w:after="0"/>
            </w:pPr>
          </w:p>
        </w:tc>
      </w:tr>
      <w:tr w14:paraId="38E23D35">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739">
            <w:pPr>
              <w:spacing w:after="0"/>
            </w:pPr>
          </w:p>
        </w:tc>
        <w:tc>
          <w:tcPr>
            <w:tcBorders>
              <w:top w:val="nil"/>
              <w:left w:val="nil"/>
              <w:bottom w:val="nil"/>
              <w:right w:val="nil"/>
            </w:tcBorders>
            <w:vAlign w:val="bottom"/>
          </w:tcPr>
          <w:p w14:paraId="0000073A">
            <w:pPr>
              <w:spacing w:after="0"/>
              <w:ind w:firstLine="240"/>
            </w:pPr>
          </w:p>
        </w:tc>
        <w:tc>
          <w:tcPr>
            <w:tcBorders>
              <w:top w:val="nil"/>
              <w:left w:val="nil"/>
              <w:bottom w:val="nil"/>
              <w:right w:val="nil"/>
            </w:tcBorders>
            <w:vAlign w:val="bottom"/>
          </w:tcPr>
          <w:p w14:paraId="0000073B">
            <w:pPr>
              <w:spacing w:after="0"/>
            </w:pPr>
          </w:p>
        </w:tc>
        <w:tc>
          <w:tcPr>
            <w:tcBorders>
              <w:top w:val="nil"/>
              <w:left w:val="nil"/>
              <w:bottom w:val="nil"/>
              <w:right w:val="nil"/>
            </w:tcBorders>
            <w:vAlign w:val="bottom"/>
          </w:tcPr>
          <w:p w14:paraId="0000073C">
            <w:pPr>
              <w:spacing w:after="0"/>
            </w:pPr>
          </w:p>
        </w:tc>
        <w:tc>
          <w:tcPr>
            <w:tcBorders>
              <w:top w:val="nil"/>
              <w:left w:val="nil"/>
              <w:bottom w:val="nil"/>
              <w:right w:val="nil"/>
            </w:tcBorders>
            <w:vAlign w:val="bottom"/>
          </w:tcPr>
          <w:p w14:paraId="0000073D">
            <w:pPr>
              <w:spacing w:after="0"/>
            </w:pPr>
          </w:p>
        </w:tc>
        <w:tc>
          <w:tcPr>
            <w:tcBorders>
              <w:top w:val="nil"/>
              <w:left w:val="nil"/>
              <w:bottom w:val="nil"/>
              <w:right w:val="nil"/>
            </w:tcBorders>
            <w:vAlign w:val="bottom"/>
          </w:tcPr>
          <w:p w14:paraId="0000073E">
            <w:pPr>
              <w:spacing w:after="0"/>
            </w:pPr>
          </w:p>
        </w:tc>
        <w:tc>
          <w:tcPr>
            <w:tcBorders>
              <w:top w:val="nil"/>
              <w:left w:val="nil"/>
              <w:bottom w:val="nil"/>
              <w:right w:val="nil"/>
            </w:tcBorders>
            <w:vAlign w:val="bottom"/>
          </w:tcPr>
          <w:p w14:paraId="0000073F">
            <w:pPr>
              <w:spacing w:after="0"/>
            </w:pPr>
          </w:p>
        </w:tc>
        <w:tc>
          <w:tcPr>
            <w:tcBorders>
              <w:top w:val="nil"/>
              <w:left w:val="nil"/>
              <w:bottom w:val="nil"/>
              <w:right w:val="nil"/>
            </w:tcBorders>
            <w:vAlign w:val="bottom"/>
          </w:tcPr>
          <w:p w14:paraId="00000740">
            <w:pPr>
              <w:spacing w:after="0"/>
            </w:pPr>
          </w:p>
        </w:tc>
        <w:tc>
          <w:tcPr>
            <w:tcBorders>
              <w:top w:val="nil"/>
              <w:left w:val="nil"/>
              <w:bottom w:val="nil"/>
              <w:right w:val="nil"/>
            </w:tcBorders>
            <w:vAlign w:val="bottom"/>
          </w:tcPr>
          <w:p w14:paraId="00000741">
            <w:pPr>
              <w:spacing w:after="0"/>
            </w:pPr>
          </w:p>
        </w:tc>
        <w:tc>
          <w:tcPr>
            <w:tcBorders>
              <w:top w:val="nil"/>
              <w:left w:val="nil"/>
              <w:bottom w:val="nil"/>
              <w:right w:val="nil"/>
            </w:tcBorders>
            <w:vAlign w:val="bottom"/>
          </w:tcPr>
          <w:p w14:paraId="00000742">
            <w:pPr>
              <w:spacing w:after="0"/>
            </w:pPr>
          </w:p>
        </w:tc>
        <w:tc>
          <w:tcPr>
            <w:tcBorders>
              <w:top w:val="nil"/>
              <w:left w:val="nil"/>
              <w:bottom w:val="nil"/>
              <w:right w:val="nil"/>
            </w:tcBorders>
            <w:vAlign w:val="bottom"/>
          </w:tcPr>
          <w:p w14:paraId="00000743">
            <w:pPr>
              <w:spacing w:after="0"/>
            </w:pPr>
          </w:p>
        </w:tc>
        <w:tc>
          <w:tcPr>
            <w:tcBorders>
              <w:top w:val="nil"/>
              <w:left w:val="nil"/>
              <w:bottom w:val="nil"/>
              <w:right w:val="nil"/>
            </w:tcBorders>
            <w:vAlign w:val="bottom"/>
          </w:tcPr>
          <w:p w14:paraId="00000744">
            <w:pPr>
              <w:spacing w:after="0"/>
            </w:pPr>
          </w:p>
        </w:tc>
        <w:tc>
          <w:tcPr>
            <w:tcBorders>
              <w:top w:val="nil"/>
              <w:left w:val="nil"/>
              <w:bottom w:val="nil"/>
              <w:right w:val="nil"/>
            </w:tcBorders>
            <w:vAlign w:val="bottom"/>
          </w:tcPr>
          <w:p w14:paraId="00000745">
            <w:pPr>
              <w:spacing w:after="0"/>
            </w:pPr>
          </w:p>
        </w:tc>
        <w:tc>
          <w:tcPr>
            <w:tcBorders>
              <w:top w:val="nil"/>
              <w:left w:val="nil"/>
              <w:bottom w:val="nil"/>
              <w:right w:val="nil"/>
            </w:tcBorders>
            <w:vAlign w:val="bottom"/>
          </w:tcPr>
          <w:p w14:paraId="00000746">
            <w:pPr>
              <w:spacing w:after="0"/>
            </w:pPr>
          </w:p>
        </w:tc>
        <w:tc>
          <w:tcPr>
            <w:tcBorders>
              <w:top w:val="nil"/>
              <w:left w:val="nil"/>
              <w:bottom w:val="nil"/>
              <w:right w:val="nil"/>
            </w:tcBorders>
            <w:vAlign w:val="bottom"/>
          </w:tcPr>
          <w:p w14:paraId="00000747">
            <w:pPr>
              <w:spacing w:after="0"/>
            </w:pPr>
          </w:p>
        </w:tc>
        <w:tc>
          <w:tcPr>
            <w:tcBorders>
              <w:top w:val="nil"/>
              <w:left w:val="nil"/>
              <w:bottom w:val="nil"/>
              <w:right w:val="nil"/>
            </w:tcBorders>
            <w:vAlign w:val="bottom"/>
          </w:tcPr>
          <w:p w14:paraId="00000748">
            <w:pPr>
              <w:spacing w:after="0"/>
            </w:pPr>
          </w:p>
        </w:tc>
        <w:tc>
          <w:tcPr>
            <w:tcBorders>
              <w:top w:val="nil"/>
              <w:left w:val="nil"/>
              <w:bottom w:val="nil"/>
              <w:right w:val="nil"/>
            </w:tcBorders>
            <w:vAlign w:val="bottom"/>
          </w:tcPr>
          <w:p w14:paraId="00000749">
            <w:pPr>
              <w:spacing w:after="0"/>
            </w:pPr>
          </w:p>
        </w:tc>
        <w:tc>
          <w:tcPr>
            <w:tcBorders>
              <w:top w:val="nil"/>
              <w:left w:val="nil"/>
              <w:bottom w:val="nil"/>
              <w:right w:val="nil"/>
            </w:tcBorders>
            <w:vAlign w:val="bottom"/>
          </w:tcPr>
          <w:p w14:paraId="0000074A">
            <w:pPr>
              <w:spacing w:after="0"/>
            </w:pPr>
          </w:p>
        </w:tc>
        <w:tc>
          <w:tcPr>
            <w:tcBorders>
              <w:top w:val="nil"/>
              <w:left w:val="nil"/>
              <w:bottom w:val="nil"/>
              <w:right w:val="nil"/>
            </w:tcBorders>
            <w:vAlign w:val="bottom"/>
          </w:tcPr>
          <w:p w14:paraId="0000074B">
            <w:pPr>
              <w:spacing w:after="0"/>
            </w:pPr>
          </w:p>
        </w:tc>
      </w:tr>
      <w:tr w14:paraId="70D1F48F">
        <w:tblPrEx>
          <w:tblCellMar>
            <w:top w:w="0" w:type="dxa"/>
            <w:left w:w="115" w:type="dxa"/>
            <w:bottom w:w="0" w:type="dxa"/>
            <w:right w:w="115" w:type="dxa"/>
          </w:tblCellMar>
        </w:tblPrEx>
        <w:trPr>
          <w:trHeight w:val="276" w:hRule="atLeast"/>
        </w:trPr>
        <w:tc>
          <w:tcPr>
            <w:gridSpan w:val="3"/>
            <w:tcBorders>
              <w:top w:val="nil"/>
              <w:left w:val="nil"/>
              <w:bottom w:val="nil"/>
              <w:right w:val="nil"/>
            </w:tcBorders>
            <w:vAlign w:val="center"/>
          </w:tcPr>
          <w:p w14:paraId="0000074C">
            <w:pPr>
              <w:spacing w:after="0"/>
              <w:ind w:firstLine="241"/>
              <w:rPr>
                <w:b/>
                <w:bCs/>
              </w:rPr>
            </w:pPr>
            <w:r>
              <w:rPr>
                <w:b/>
                <w:bCs/>
                <w:rtl w:val="0"/>
              </w:rPr>
              <w:t>Z &gt; 2.99</w:t>
            </w:r>
            <w:r>
              <w:rPr>
                <w:rFonts w:ascii="Cardo" w:hAnsi="Cardo" w:eastAsia="Cardo" w:cs="Cardo"/>
                <w:rtl w:val="0"/>
              </w:rPr>
              <w:t xml:space="preserve"> → Safe zone</w:t>
            </w:r>
          </w:p>
        </w:tc>
        <w:tc>
          <w:tcPr>
            <w:tcBorders>
              <w:top w:val="nil"/>
              <w:left w:val="nil"/>
              <w:bottom w:val="nil"/>
              <w:right w:val="nil"/>
            </w:tcBorders>
            <w:vAlign w:val="bottom"/>
          </w:tcPr>
          <w:p w14:paraId="0000074F">
            <w:pPr>
              <w:spacing w:after="0"/>
              <w:ind w:firstLine="241"/>
              <w:rPr>
                <w:b/>
                <w:bCs/>
              </w:rPr>
            </w:pPr>
          </w:p>
        </w:tc>
        <w:tc>
          <w:tcPr>
            <w:tcBorders>
              <w:top w:val="nil"/>
              <w:left w:val="nil"/>
              <w:bottom w:val="nil"/>
              <w:right w:val="nil"/>
            </w:tcBorders>
            <w:vAlign w:val="bottom"/>
          </w:tcPr>
          <w:p w14:paraId="00000750">
            <w:pPr>
              <w:spacing w:after="0"/>
            </w:pPr>
          </w:p>
        </w:tc>
        <w:tc>
          <w:tcPr>
            <w:tcBorders>
              <w:top w:val="nil"/>
              <w:left w:val="nil"/>
              <w:bottom w:val="nil"/>
              <w:right w:val="nil"/>
            </w:tcBorders>
            <w:vAlign w:val="bottom"/>
          </w:tcPr>
          <w:p w14:paraId="00000751">
            <w:pPr>
              <w:spacing w:after="0"/>
            </w:pPr>
          </w:p>
        </w:tc>
        <w:tc>
          <w:tcPr>
            <w:tcBorders>
              <w:top w:val="nil"/>
              <w:left w:val="nil"/>
              <w:bottom w:val="nil"/>
              <w:right w:val="nil"/>
            </w:tcBorders>
            <w:vAlign w:val="bottom"/>
          </w:tcPr>
          <w:p w14:paraId="00000752">
            <w:pPr>
              <w:spacing w:after="0"/>
            </w:pPr>
          </w:p>
        </w:tc>
        <w:tc>
          <w:tcPr>
            <w:tcBorders>
              <w:top w:val="nil"/>
              <w:left w:val="nil"/>
              <w:bottom w:val="nil"/>
              <w:right w:val="nil"/>
            </w:tcBorders>
            <w:vAlign w:val="bottom"/>
          </w:tcPr>
          <w:p w14:paraId="00000753">
            <w:pPr>
              <w:spacing w:after="0"/>
            </w:pPr>
          </w:p>
        </w:tc>
        <w:tc>
          <w:tcPr>
            <w:tcBorders>
              <w:top w:val="nil"/>
              <w:left w:val="nil"/>
              <w:bottom w:val="nil"/>
              <w:right w:val="nil"/>
            </w:tcBorders>
            <w:vAlign w:val="bottom"/>
          </w:tcPr>
          <w:p w14:paraId="00000754">
            <w:pPr>
              <w:spacing w:after="0"/>
            </w:pPr>
          </w:p>
        </w:tc>
        <w:tc>
          <w:tcPr>
            <w:tcBorders>
              <w:top w:val="nil"/>
              <w:left w:val="nil"/>
              <w:bottom w:val="nil"/>
              <w:right w:val="nil"/>
            </w:tcBorders>
            <w:vAlign w:val="bottom"/>
          </w:tcPr>
          <w:p w14:paraId="00000755">
            <w:pPr>
              <w:spacing w:after="0"/>
            </w:pPr>
          </w:p>
        </w:tc>
        <w:tc>
          <w:tcPr>
            <w:tcBorders>
              <w:top w:val="nil"/>
              <w:left w:val="nil"/>
              <w:bottom w:val="nil"/>
              <w:right w:val="nil"/>
            </w:tcBorders>
            <w:vAlign w:val="bottom"/>
          </w:tcPr>
          <w:p w14:paraId="00000756">
            <w:pPr>
              <w:spacing w:after="0"/>
            </w:pPr>
          </w:p>
        </w:tc>
        <w:tc>
          <w:tcPr>
            <w:tcBorders>
              <w:top w:val="nil"/>
              <w:left w:val="nil"/>
              <w:bottom w:val="nil"/>
              <w:right w:val="nil"/>
            </w:tcBorders>
            <w:vAlign w:val="bottom"/>
          </w:tcPr>
          <w:p w14:paraId="00000757">
            <w:pPr>
              <w:spacing w:after="0"/>
            </w:pPr>
          </w:p>
        </w:tc>
        <w:tc>
          <w:tcPr>
            <w:tcBorders>
              <w:top w:val="nil"/>
              <w:left w:val="nil"/>
              <w:bottom w:val="nil"/>
              <w:right w:val="nil"/>
            </w:tcBorders>
            <w:vAlign w:val="bottom"/>
          </w:tcPr>
          <w:p w14:paraId="00000758">
            <w:pPr>
              <w:spacing w:after="0"/>
            </w:pPr>
          </w:p>
        </w:tc>
        <w:tc>
          <w:tcPr>
            <w:tcBorders>
              <w:top w:val="nil"/>
              <w:left w:val="nil"/>
              <w:bottom w:val="nil"/>
              <w:right w:val="nil"/>
            </w:tcBorders>
            <w:vAlign w:val="bottom"/>
          </w:tcPr>
          <w:p w14:paraId="00000759">
            <w:pPr>
              <w:spacing w:after="0"/>
            </w:pPr>
          </w:p>
        </w:tc>
        <w:tc>
          <w:tcPr>
            <w:tcBorders>
              <w:top w:val="nil"/>
              <w:left w:val="nil"/>
              <w:bottom w:val="nil"/>
              <w:right w:val="nil"/>
            </w:tcBorders>
            <w:vAlign w:val="bottom"/>
          </w:tcPr>
          <w:p w14:paraId="0000075A">
            <w:pPr>
              <w:spacing w:after="0"/>
            </w:pPr>
          </w:p>
        </w:tc>
        <w:tc>
          <w:tcPr>
            <w:tcBorders>
              <w:top w:val="nil"/>
              <w:left w:val="nil"/>
              <w:bottom w:val="nil"/>
              <w:right w:val="nil"/>
            </w:tcBorders>
            <w:vAlign w:val="bottom"/>
          </w:tcPr>
          <w:p w14:paraId="0000075B">
            <w:pPr>
              <w:spacing w:after="0"/>
            </w:pPr>
          </w:p>
        </w:tc>
        <w:tc>
          <w:tcPr>
            <w:tcBorders>
              <w:top w:val="nil"/>
              <w:left w:val="nil"/>
              <w:bottom w:val="nil"/>
              <w:right w:val="nil"/>
            </w:tcBorders>
            <w:vAlign w:val="bottom"/>
          </w:tcPr>
          <w:p w14:paraId="0000075C">
            <w:pPr>
              <w:spacing w:after="0"/>
            </w:pPr>
          </w:p>
        </w:tc>
        <w:tc>
          <w:tcPr>
            <w:tcBorders>
              <w:top w:val="nil"/>
              <w:left w:val="nil"/>
              <w:bottom w:val="nil"/>
              <w:right w:val="nil"/>
            </w:tcBorders>
            <w:vAlign w:val="bottom"/>
          </w:tcPr>
          <w:p w14:paraId="0000075D">
            <w:pPr>
              <w:spacing w:after="0"/>
            </w:pPr>
          </w:p>
        </w:tc>
        <w:tc>
          <w:tcPr>
            <w:tcBorders>
              <w:top w:val="nil"/>
              <w:left w:val="nil"/>
              <w:bottom w:val="nil"/>
              <w:right w:val="nil"/>
            </w:tcBorders>
            <w:vAlign w:val="bottom"/>
          </w:tcPr>
          <w:p w14:paraId="0000075E">
            <w:pPr>
              <w:spacing w:after="0"/>
            </w:pPr>
          </w:p>
        </w:tc>
      </w:tr>
      <w:tr w14:paraId="0CBE5F9F">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75F">
            <w:pPr>
              <w:spacing w:after="0"/>
            </w:pPr>
          </w:p>
        </w:tc>
        <w:tc>
          <w:tcPr>
            <w:tcBorders>
              <w:top w:val="nil"/>
              <w:left w:val="nil"/>
              <w:bottom w:val="nil"/>
              <w:right w:val="nil"/>
            </w:tcBorders>
            <w:vAlign w:val="bottom"/>
          </w:tcPr>
          <w:p w14:paraId="00000760">
            <w:pPr>
              <w:spacing w:after="0"/>
              <w:ind w:firstLine="240"/>
            </w:pPr>
          </w:p>
        </w:tc>
        <w:tc>
          <w:tcPr>
            <w:tcBorders>
              <w:top w:val="nil"/>
              <w:left w:val="nil"/>
              <w:bottom w:val="nil"/>
              <w:right w:val="nil"/>
            </w:tcBorders>
            <w:vAlign w:val="bottom"/>
          </w:tcPr>
          <w:p w14:paraId="00000761">
            <w:pPr>
              <w:spacing w:after="0"/>
            </w:pPr>
          </w:p>
        </w:tc>
        <w:tc>
          <w:tcPr>
            <w:tcBorders>
              <w:top w:val="nil"/>
              <w:left w:val="nil"/>
              <w:bottom w:val="nil"/>
              <w:right w:val="nil"/>
            </w:tcBorders>
            <w:vAlign w:val="bottom"/>
          </w:tcPr>
          <w:p w14:paraId="00000762">
            <w:pPr>
              <w:spacing w:after="0"/>
            </w:pPr>
          </w:p>
        </w:tc>
        <w:tc>
          <w:tcPr>
            <w:tcBorders>
              <w:top w:val="nil"/>
              <w:left w:val="nil"/>
              <w:bottom w:val="nil"/>
              <w:right w:val="nil"/>
            </w:tcBorders>
            <w:vAlign w:val="bottom"/>
          </w:tcPr>
          <w:p w14:paraId="00000763">
            <w:pPr>
              <w:spacing w:after="0"/>
            </w:pPr>
          </w:p>
        </w:tc>
        <w:tc>
          <w:tcPr>
            <w:tcBorders>
              <w:top w:val="nil"/>
              <w:left w:val="nil"/>
              <w:bottom w:val="nil"/>
              <w:right w:val="nil"/>
            </w:tcBorders>
            <w:vAlign w:val="bottom"/>
          </w:tcPr>
          <w:p w14:paraId="00000764">
            <w:pPr>
              <w:spacing w:after="0"/>
            </w:pPr>
          </w:p>
        </w:tc>
        <w:tc>
          <w:tcPr>
            <w:tcBorders>
              <w:top w:val="nil"/>
              <w:left w:val="nil"/>
              <w:bottom w:val="nil"/>
              <w:right w:val="nil"/>
            </w:tcBorders>
            <w:vAlign w:val="bottom"/>
          </w:tcPr>
          <w:p w14:paraId="00000765">
            <w:pPr>
              <w:spacing w:after="0"/>
            </w:pPr>
          </w:p>
        </w:tc>
        <w:tc>
          <w:tcPr>
            <w:tcBorders>
              <w:top w:val="nil"/>
              <w:left w:val="nil"/>
              <w:bottom w:val="nil"/>
              <w:right w:val="nil"/>
            </w:tcBorders>
            <w:vAlign w:val="bottom"/>
          </w:tcPr>
          <w:p w14:paraId="00000766">
            <w:pPr>
              <w:spacing w:after="0"/>
            </w:pPr>
          </w:p>
        </w:tc>
        <w:tc>
          <w:tcPr>
            <w:tcBorders>
              <w:top w:val="nil"/>
              <w:left w:val="nil"/>
              <w:bottom w:val="nil"/>
              <w:right w:val="nil"/>
            </w:tcBorders>
            <w:vAlign w:val="bottom"/>
          </w:tcPr>
          <w:p w14:paraId="00000767">
            <w:pPr>
              <w:spacing w:after="0"/>
            </w:pPr>
          </w:p>
        </w:tc>
        <w:tc>
          <w:tcPr>
            <w:tcBorders>
              <w:top w:val="nil"/>
              <w:left w:val="nil"/>
              <w:bottom w:val="nil"/>
              <w:right w:val="nil"/>
            </w:tcBorders>
            <w:vAlign w:val="bottom"/>
          </w:tcPr>
          <w:p w14:paraId="00000768">
            <w:pPr>
              <w:spacing w:after="0"/>
            </w:pPr>
          </w:p>
        </w:tc>
        <w:tc>
          <w:tcPr>
            <w:tcBorders>
              <w:top w:val="nil"/>
              <w:left w:val="nil"/>
              <w:bottom w:val="nil"/>
              <w:right w:val="nil"/>
            </w:tcBorders>
            <w:vAlign w:val="bottom"/>
          </w:tcPr>
          <w:p w14:paraId="00000769">
            <w:pPr>
              <w:spacing w:after="0"/>
            </w:pPr>
          </w:p>
        </w:tc>
        <w:tc>
          <w:tcPr>
            <w:tcBorders>
              <w:top w:val="nil"/>
              <w:left w:val="nil"/>
              <w:bottom w:val="nil"/>
              <w:right w:val="nil"/>
            </w:tcBorders>
            <w:vAlign w:val="bottom"/>
          </w:tcPr>
          <w:p w14:paraId="0000076A">
            <w:pPr>
              <w:spacing w:after="0"/>
            </w:pPr>
          </w:p>
        </w:tc>
        <w:tc>
          <w:tcPr>
            <w:tcBorders>
              <w:top w:val="nil"/>
              <w:left w:val="nil"/>
              <w:bottom w:val="nil"/>
              <w:right w:val="nil"/>
            </w:tcBorders>
            <w:vAlign w:val="bottom"/>
          </w:tcPr>
          <w:p w14:paraId="0000076B">
            <w:pPr>
              <w:spacing w:after="0"/>
            </w:pPr>
          </w:p>
        </w:tc>
        <w:tc>
          <w:tcPr>
            <w:tcBorders>
              <w:top w:val="nil"/>
              <w:left w:val="nil"/>
              <w:bottom w:val="nil"/>
              <w:right w:val="nil"/>
            </w:tcBorders>
            <w:vAlign w:val="bottom"/>
          </w:tcPr>
          <w:p w14:paraId="0000076C">
            <w:pPr>
              <w:spacing w:after="0"/>
            </w:pPr>
          </w:p>
        </w:tc>
        <w:tc>
          <w:tcPr>
            <w:tcBorders>
              <w:top w:val="nil"/>
              <w:left w:val="nil"/>
              <w:bottom w:val="nil"/>
              <w:right w:val="nil"/>
            </w:tcBorders>
            <w:vAlign w:val="bottom"/>
          </w:tcPr>
          <w:p w14:paraId="0000076D">
            <w:pPr>
              <w:spacing w:after="0"/>
            </w:pPr>
          </w:p>
        </w:tc>
        <w:tc>
          <w:tcPr>
            <w:tcBorders>
              <w:top w:val="nil"/>
              <w:left w:val="nil"/>
              <w:bottom w:val="nil"/>
              <w:right w:val="nil"/>
            </w:tcBorders>
            <w:vAlign w:val="bottom"/>
          </w:tcPr>
          <w:p w14:paraId="0000076E">
            <w:pPr>
              <w:spacing w:after="0"/>
            </w:pPr>
          </w:p>
        </w:tc>
        <w:tc>
          <w:tcPr>
            <w:tcBorders>
              <w:top w:val="nil"/>
              <w:left w:val="nil"/>
              <w:bottom w:val="nil"/>
              <w:right w:val="nil"/>
            </w:tcBorders>
            <w:vAlign w:val="bottom"/>
          </w:tcPr>
          <w:p w14:paraId="0000076F">
            <w:pPr>
              <w:spacing w:after="0"/>
            </w:pPr>
          </w:p>
        </w:tc>
        <w:tc>
          <w:tcPr>
            <w:tcBorders>
              <w:top w:val="nil"/>
              <w:left w:val="nil"/>
              <w:bottom w:val="nil"/>
              <w:right w:val="nil"/>
            </w:tcBorders>
            <w:vAlign w:val="bottom"/>
          </w:tcPr>
          <w:p w14:paraId="00000770">
            <w:pPr>
              <w:spacing w:after="0"/>
            </w:pPr>
          </w:p>
        </w:tc>
        <w:tc>
          <w:tcPr>
            <w:tcBorders>
              <w:top w:val="nil"/>
              <w:left w:val="nil"/>
              <w:bottom w:val="nil"/>
              <w:right w:val="nil"/>
            </w:tcBorders>
            <w:vAlign w:val="bottom"/>
          </w:tcPr>
          <w:p w14:paraId="00000771">
            <w:pPr>
              <w:spacing w:after="0"/>
            </w:pPr>
          </w:p>
        </w:tc>
      </w:tr>
      <w:tr w14:paraId="1038F3DC">
        <w:tblPrEx>
          <w:tblCellMar>
            <w:top w:w="0" w:type="dxa"/>
            <w:left w:w="115" w:type="dxa"/>
            <w:bottom w:w="0" w:type="dxa"/>
            <w:right w:w="115" w:type="dxa"/>
          </w:tblCellMar>
        </w:tblPrEx>
        <w:trPr>
          <w:trHeight w:val="276" w:hRule="atLeast"/>
        </w:trPr>
        <w:tc>
          <w:tcPr>
            <w:gridSpan w:val="3"/>
            <w:tcBorders>
              <w:top w:val="nil"/>
              <w:left w:val="nil"/>
              <w:bottom w:val="nil"/>
              <w:right w:val="nil"/>
            </w:tcBorders>
            <w:vAlign w:val="center"/>
          </w:tcPr>
          <w:p w14:paraId="00000772">
            <w:pPr>
              <w:spacing w:after="0"/>
              <w:ind w:firstLine="241"/>
              <w:rPr>
                <w:b/>
                <w:bCs/>
              </w:rPr>
            </w:pPr>
            <w:r>
              <w:rPr>
                <w:b/>
                <w:bCs/>
                <w:rtl w:val="0"/>
              </w:rPr>
              <w:t>1.81 &lt; Z &lt; 2.99</w:t>
            </w:r>
            <w:r>
              <w:rPr>
                <w:rFonts w:ascii="Cardo" w:hAnsi="Cardo" w:eastAsia="Cardo" w:cs="Cardo"/>
                <w:rtl w:val="0"/>
              </w:rPr>
              <w:t xml:space="preserve"> → Grey zone</w:t>
            </w:r>
          </w:p>
        </w:tc>
        <w:tc>
          <w:tcPr>
            <w:tcBorders>
              <w:top w:val="nil"/>
              <w:left w:val="nil"/>
              <w:bottom w:val="nil"/>
              <w:right w:val="nil"/>
            </w:tcBorders>
            <w:vAlign w:val="bottom"/>
          </w:tcPr>
          <w:p w14:paraId="00000775">
            <w:pPr>
              <w:spacing w:after="0"/>
              <w:ind w:firstLine="241"/>
              <w:rPr>
                <w:b/>
                <w:bCs/>
              </w:rPr>
            </w:pPr>
          </w:p>
        </w:tc>
        <w:tc>
          <w:tcPr>
            <w:tcBorders>
              <w:top w:val="nil"/>
              <w:left w:val="nil"/>
              <w:bottom w:val="nil"/>
              <w:right w:val="nil"/>
            </w:tcBorders>
            <w:vAlign w:val="bottom"/>
          </w:tcPr>
          <w:p w14:paraId="00000776">
            <w:pPr>
              <w:spacing w:after="0"/>
            </w:pPr>
          </w:p>
        </w:tc>
        <w:tc>
          <w:tcPr>
            <w:tcBorders>
              <w:top w:val="nil"/>
              <w:left w:val="nil"/>
              <w:bottom w:val="nil"/>
              <w:right w:val="nil"/>
            </w:tcBorders>
            <w:vAlign w:val="bottom"/>
          </w:tcPr>
          <w:p w14:paraId="00000777">
            <w:pPr>
              <w:spacing w:after="0"/>
            </w:pPr>
          </w:p>
        </w:tc>
        <w:tc>
          <w:tcPr>
            <w:tcBorders>
              <w:top w:val="nil"/>
              <w:left w:val="nil"/>
              <w:bottom w:val="nil"/>
              <w:right w:val="nil"/>
            </w:tcBorders>
            <w:vAlign w:val="bottom"/>
          </w:tcPr>
          <w:p w14:paraId="00000778">
            <w:pPr>
              <w:spacing w:after="0"/>
            </w:pPr>
          </w:p>
        </w:tc>
        <w:tc>
          <w:tcPr>
            <w:tcBorders>
              <w:top w:val="nil"/>
              <w:left w:val="nil"/>
              <w:bottom w:val="nil"/>
              <w:right w:val="nil"/>
            </w:tcBorders>
            <w:vAlign w:val="bottom"/>
          </w:tcPr>
          <w:p w14:paraId="00000779">
            <w:pPr>
              <w:spacing w:after="0"/>
            </w:pPr>
          </w:p>
        </w:tc>
        <w:tc>
          <w:tcPr>
            <w:tcBorders>
              <w:top w:val="nil"/>
              <w:left w:val="nil"/>
              <w:bottom w:val="nil"/>
              <w:right w:val="nil"/>
            </w:tcBorders>
            <w:vAlign w:val="bottom"/>
          </w:tcPr>
          <w:p w14:paraId="0000077A">
            <w:pPr>
              <w:spacing w:after="0"/>
            </w:pPr>
          </w:p>
        </w:tc>
        <w:tc>
          <w:tcPr>
            <w:tcBorders>
              <w:top w:val="nil"/>
              <w:left w:val="nil"/>
              <w:bottom w:val="nil"/>
              <w:right w:val="nil"/>
            </w:tcBorders>
            <w:vAlign w:val="bottom"/>
          </w:tcPr>
          <w:p w14:paraId="0000077B">
            <w:pPr>
              <w:spacing w:after="0"/>
            </w:pPr>
          </w:p>
        </w:tc>
        <w:tc>
          <w:tcPr>
            <w:tcBorders>
              <w:top w:val="nil"/>
              <w:left w:val="nil"/>
              <w:bottom w:val="nil"/>
              <w:right w:val="nil"/>
            </w:tcBorders>
            <w:vAlign w:val="bottom"/>
          </w:tcPr>
          <w:p w14:paraId="0000077C">
            <w:pPr>
              <w:spacing w:after="0"/>
            </w:pPr>
          </w:p>
        </w:tc>
        <w:tc>
          <w:tcPr>
            <w:tcBorders>
              <w:top w:val="nil"/>
              <w:left w:val="nil"/>
              <w:bottom w:val="nil"/>
              <w:right w:val="nil"/>
            </w:tcBorders>
            <w:vAlign w:val="bottom"/>
          </w:tcPr>
          <w:p w14:paraId="0000077D">
            <w:pPr>
              <w:spacing w:after="0"/>
            </w:pPr>
          </w:p>
        </w:tc>
        <w:tc>
          <w:tcPr>
            <w:tcBorders>
              <w:top w:val="nil"/>
              <w:left w:val="nil"/>
              <w:bottom w:val="nil"/>
              <w:right w:val="nil"/>
            </w:tcBorders>
            <w:vAlign w:val="bottom"/>
          </w:tcPr>
          <w:p w14:paraId="0000077E">
            <w:pPr>
              <w:spacing w:after="0"/>
            </w:pPr>
          </w:p>
        </w:tc>
        <w:tc>
          <w:tcPr>
            <w:tcBorders>
              <w:top w:val="nil"/>
              <w:left w:val="nil"/>
              <w:bottom w:val="nil"/>
              <w:right w:val="nil"/>
            </w:tcBorders>
            <w:vAlign w:val="bottom"/>
          </w:tcPr>
          <w:p w14:paraId="0000077F">
            <w:pPr>
              <w:spacing w:after="0"/>
            </w:pPr>
          </w:p>
        </w:tc>
        <w:tc>
          <w:tcPr>
            <w:tcBorders>
              <w:top w:val="nil"/>
              <w:left w:val="nil"/>
              <w:bottom w:val="nil"/>
              <w:right w:val="nil"/>
            </w:tcBorders>
            <w:vAlign w:val="bottom"/>
          </w:tcPr>
          <w:p w14:paraId="00000780">
            <w:pPr>
              <w:spacing w:after="0"/>
            </w:pPr>
          </w:p>
        </w:tc>
        <w:tc>
          <w:tcPr>
            <w:tcBorders>
              <w:top w:val="nil"/>
              <w:left w:val="nil"/>
              <w:bottom w:val="nil"/>
              <w:right w:val="nil"/>
            </w:tcBorders>
            <w:vAlign w:val="bottom"/>
          </w:tcPr>
          <w:p w14:paraId="00000781">
            <w:pPr>
              <w:spacing w:after="0"/>
            </w:pPr>
          </w:p>
        </w:tc>
        <w:tc>
          <w:tcPr>
            <w:tcBorders>
              <w:top w:val="nil"/>
              <w:left w:val="nil"/>
              <w:bottom w:val="nil"/>
              <w:right w:val="nil"/>
            </w:tcBorders>
            <w:vAlign w:val="bottom"/>
          </w:tcPr>
          <w:p w14:paraId="00000782">
            <w:pPr>
              <w:spacing w:after="0"/>
            </w:pPr>
          </w:p>
        </w:tc>
        <w:tc>
          <w:tcPr>
            <w:tcBorders>
              <w:top w:val="nil"/>
              <w:left w:val="nil"/>
              <w:bottom w:val="nil"/>
              <w:right w:val="nil"/>
            </w:tcBorders>
            <w:vAlign w:val="bottom"/>
          </w:tcPr>
          <w:p w14:paraId="00000783">
            <w:pPr>
              <w:spacing w:after="0"/>
            </w:pPr>
          </w:p>
        </w:tc>
        <w:tc>
          <w:tcPr>
            <w:tcBorders>
              <w:top w:val="nil"/>
              <w:left w:val="nil"/>
              <w:bottom w:val="nil"/>
              <w:right w:val="nil"/>
            </w:tcBorders>
            <w:vAlign w:val="bottom"/>
          </w:tcPr>
          <w:p w14:paraId="00000784">
            <w:pPr>
              <w:spacing w:after="0"/>
            </w:pPr>
          </w:p>
        </w:tc>
      </w:tr>
      <w:tr w14:paraId="753F6C9E">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785">
            <w:pPr>
              <w:spacing w:after="0"/>
            </w:pPr>
          </w:p>
        </w:tc>
        <w:tc>
          <w:tcPr>
            <w:tcBorders>
              <w:top w:val="nil"/>
              <w:left w:val="nil"/>
              <w:bottom w:val="nil"/>
              <w:right w:val="nil"/>
            </w:tcBorders>
            <w:vAlign w:val="bottom"/>
          </w:tcPr>
          <w:p w14:paraId="00000786">
            <w:pPr>
              <w:spacing w:after="0"/>
              <w:ind w:firstLine="240"/>
            </w:pPr>
          </w:p>
        </w:tc>
        <w:tc>
          <w:tcPr>
            <w:tcBorders>
              <w:top w:val="nil"/>
              <w:left w:val="nil"/>
              <w:bottom w:val="nil"/>
              <w:right w:val="nil"/>
            </w:tcBorders>
            <w:vAlign w:val="bottom"/>
          </w:tcPr>
          <w:p w14:paraId="00000787">
            <w:pPr>
              <w:spacing w:after="0"/>
            </w:pPr>
          </w:p>
        </w:tc>
        <w:tc>
          <w:tcPr>
            <w:tcBorders>
              <w:top w:val="nil"/>
              <w:left w:val="nil"/>
              <w:bottom w:val="nil"/>
              <w:right w:val="nil"/>
            </w:tcBorders>
            <w:vAlign w:val="bottom"/>
          </w:tcPr>
          <w:p w14:paraId="00000788">
            <w:pPr>
              <w:spacing w:after="0"/>
            </w:pPr>
          </w:p>
        </w:tc>
        <w:tc>
          <w:tcPr>
            <w:tcBorders>
              <w:top w:val="nil"/>
              <w:left w:val="nil"/>
              <w:bottom w:val="nil"/>
              <w:right w:val="nil"/>
            </w:tcBorders>
            <w:vAlign w:val="bottom"/>
          </w:tcPr>
          <w:p w14:paraId="00000789">
            <w:pPr>
              <w:spacing w:after="0"/>
            </w:pPr>
          </w:p>
        </w:tc>
        <w:tc>
          <w:tcPr>
            <w:tcBorders>
              <w:top w:val="nil"/>
              <w:left w:val="nil"/>
              <w:bottom w:val="nil"/>
              <w:right w:val="nil"/>
            </w:tcBorders>
            <w:vAlign w:val="bottom"/>
          </w:tcPr>
          <w:p w14:paraId="0000078A">
            <w:pPr>
              <w:spacing w:after="0"/>
            </w:pPr>
          </w:p>
        </w:tc>
        <w:tc>
          <w:tcPr>
            <w:tcBorders>
              <w:top w:val="nil"/>
              <w:left w:val="nil"/>
              <w:bottom w:val="nil"/>
              <w:right w:val="nil"/>
            </w:tcBorders>
            <w:vAlign w:val="bottom"/>
          </w:tcPr>
          <w:p w14:paraId="0000078B">
            <w:pPr>
              <w:spacing w:after="0"/>
            </w:pPr>
          </w:p>
        </w:tc>
        <w:tc>
          <w:tcPr>
            <w:tcBorders>
              <w:top w:val="nil"/>
              <w:left w:val="nil"/>
              <w:bottom w:val="nil"/>
              <w:right w:val="nil"/>
            </w:tcBorders>
            <w:vAlign w:val="bottom"/>
          </w:tcPr>
          <w:p w14:paraId="0000078C">
            <w:pPr>
              <w:spacing w:after="0"/>
            </w:pPr>
          </w:p>
        </w:tc>
        <w:tc>
          <w:tcPr>
            <w:tcBorders>
              <w:top w:val="nil"/>
              <w:left w:val="nil"/>
              <w:bottom w:val="nil"/>
              <w:right w:val="nil"/>
            </w:tcBorders>
            <w:vAlign w:val="bottom"/>
          </w:tcPr>
          <w:p w14:paraId="0000078D">
            <w:pPr>
              <w:spacing w:after="0"/>
            </w:pPr>
          </w:p>
        </w:tc>
        <w:tc>
          <w:tcPr>
            <w:tcBorders>
              <w:top w:val="nil"/>
              <w:left w:val="nil"/>
              <w:bottom w:val="nil"/>
              <w:right w:val="nil"/>
            </w:tcBorders>
            <w:vAlign w:val="bottom"/>
          </w:tcPr>
          <w:p w14:paraId="0000078E">
            <w:pPr>
              <w:spacing w:after="0"/>
            </w:pPr>
          </w:p>
        </w:tc>
        <w:tc>
          <w:tcPr>
            <w:tcBorders>
              <w:top w:val="nil"/>
              <w:left w:val="nil"/>
              <w:bottom w:val="nil"/>
              <w:right w:val="nil"/>
            </w:tcBorders>
            <w:vAlign w:val="bottom"/>
          </w:tcPr>
          <w:p w14:paraId="0000078F">
            <w:pPr>
              <w:spacing w:after="0"/>
            </w:pPr>
          </w:p>
        </w:tc>
        <w:tc>
          <w:tcPr>
            <w:tcBorders>
              <w:top w:val="nil"/>
              <w:left w:val="nil"/>
              <w:bottom w:val="nil"/>
              <w:right w:val="nil"/>
            </w:tcBorders>
            <w:vAlign w:val="bottom"/>
          </w:tcPr>
          <w:p w14:paraId="00000790">
            <w:pPr>
              <w:spacing w:after="0"/>
            </w:pPr>
          </w:p>
        </w:tc>
        <w:tc>
          <w:tcPr>
            <w:tcBorders>
              <w:top w:val="nil"/>
              <w:left w:val="nil"/>
              <w:bottom w:val="nil"/>
              <w:right w:val="nil"/>
            </w:tcBorders>
            <w:vAlign w:val="bottom"/>
          </w:tcPr>
          <w:p w14:paraId="00000791">
            <w:pPr>
              <w:spacing w:after="0"/>
            </w:pPr>
          </w:p>
        </w:tc>
        <w:tc>
          <w:tcPr>
            <w:tcBorders>
              <w:top w:val="nil"/>
              <w:left w:val="nil"/>
              <w:bottom w:val="nil"/>
              <w:right w:val="nil"/>
            </w:tcBorders>
            <w:vAlign w:val="bottom"/>
          </w:tcPr>
          <w:p w14:paraId="00000792">
            <w:pPr>
              <w:spacing w:after="0"/>
            </w:pPr>
          </w:p>
        </w:tc>
        <w:tc>
          <w:tcPr>
            <w:tcBorders>
              <w:top w:val="nil"/>
              <w:left w:val="nil"/>
              <w:bottom w:val="nil"/>
              <w:right w:val="nil"/>
            </w:tcBorders>
            <w:vAlign w:val="bottom"/>
          </w:tcPr>
          <w:p w14:paraId="00000793">
            <w:pPr>
              <w:spacing w:after="0"/>
            </w:pPr>
          </w:p>
        </w:tc>
        <w:tc>
          <w:tcPr>
            <w:tcBorders>
              <w:top w:val="nil"/>
              <w:left w:val="nil"/>
              <w:bottom w:val="nil"/>
              <w:right w:val="nil"/>
            </w:tcBorders>
            <w:vAlign w:val="bottom"/>
          </w:tcPr>
          <w:p w14:paraId="00000794">
            <w:pPr>
              <w:spacing w:after="0"/>
            </w:pPr>
          </w:p>
        </w:tc>
        <w:tc>
          <w:tcPr>
            <w:tcBorders>
              <w:top w:val="nil"/>
              <w:left w:val="nil"/>
              <w:bottom w:val="nil"/>
              <w:right w:val="nil"/>
            </w:tcBorders>
            <w:vAlign w:val="bottom"/>
          </w:tcPr>
          <w:p w14:paraId="00000795">
            <w:pPr>
              <w:spacing w:after="0"/>
            </w:pPr>
          </w:p>
        </w:tc>
        <w:tc>
          <w:tcPr>
            <w:tcBorders>
              <w:top w:val="nil"/>
              <w:left w:val="nil"/>
              <w:bottom w:val="nil"/>
              <w:right w:val="nil"/>
            </w:tcBorders>
            <w:vAlign w:val="bottom"/>
          </w:tcPr>
          <w:p w14:paraId="00000796">
            <w:pPr>
              <w:spacing w:after="0"/>
            </w:pPr>
          </w:p>
        </w:tc>
        <w:tc>
          <w:tcPr>
            <w:tcBorders>
              <w:top w:val="nil"/>
              <w:left w:val="nil"/>
              <w:bottom w:val="nil"/>
              <w:right w:val="nil"/>
            </w:tcBorders>
            <w:vAlign w:val="bottom"/>
          </w:tcPr>
          <w:p w14:paraId="00000797">
            <w:pPr>
              <w:spacing w:after="0"/>
            </w:pPr>
          </w:p>
        </w:tc>
      </w:tr>
      <w:tr w14:paraId="19FE1658">
        <w:tblPrEx>
          <w:tblCellMar>
            <w:top w:w="0" w:type="dxa"/>
            <w:left w:w="115" w:type="dxa"/>
            <w:bottom w:w="0" w:type="dxa"/>
            <w:right w:w="115" w:type="dxa"/>
          </w:tblCellMar>
        </w:tblPrEx>
        <w:trPr>
          <w:trHeight w:val="276" w:hRule="atLeast"/>
        </w:trPr>
        <w:tc>
          <w:tcPr>
            <w:gridSpan w:val="3"/>
            <w:tcBorders>
              <w:top w:val="nil"/>
              <w:left w:val="nil"/>
              <w:bottom w:val="nil"/>
              <w:right w:val="nil"/>
            </w:tcBorders>
            <w:vAlign w:val="center"/>
          </w:tcPr>
          <w:p w14:paraId="00000798">
            <w:pPr>
              <w:spacing w:after="0"/>
              <w:ind w:firstLine="241"/>
              <w:rPr>
                <w:b/>
                <w:bCs/>
              </w:rPr>
            </w:pPr>
            <w:r>
              <w:rPr>
                <w:b/>
                <w:bCs/>
                <w:rtl w:val="0"/>
              </w:rPr>
              <w:t>Z &lt; 1.81</w:t>
            </w:r>
            <w:r>
              <w:rPr>
                <w:rFonts w:ascii="Cardo" w:hAnsi="Cardo" w:eastAsia="Cardo" w:cs="Cardo"/>
                <w:rtl w:val="0"/>
              </w:rPr>
              <w:t xml:space="preserve"> → Distress zone</w:t>
            </w:r>
          </w:p>
        </w:tc>
        <w:tc>
          <w:tcPr>
            <w:tcBorders>
              <w:top w:val="nil"/>
              <w:left w:val="nil"/>
              <w:bottom w:val="nil"/>
              <w:right w:val="nil"/>
            </w:tcBorders>
            <w:vAlign w:val="bottom"/>
          </w:tcPr>
          <w:p w14:paraId="0000079B">
            <w:pPr>
              <w:spacing w:after="0"/>
              <w:ind w:firstLine="241"/>
              <w:rPr>
                <w:b/>
                <w:bCs/>
              </w:rPr>
            </w:pPr>
          </w:p>
        </w:tc>
        <w:tc>
          <w:tcPr>
            <w:tcBorders>
              <w:top w:val="nil"/>
              <w:left w:val="nil"/>
              <w:bottom w:val="nil"/>
              <w:right w:val="nil"/>
            </w:tcBorders>
            <w:vAlign w:val="bottom"/>
          </w:tcPr>
          <w:p w14:paraId="0000079C">
            <w:pPr>
              <w:spacing w:after="0"/>
            </w:pPr>
          </w:p>
        </w:tc>
        <w:tc>
          <w:tcPr>
            <w:tcBorders>
              <w:top w:val="nil"/>
              <w:left w:val="nil"/>
              <w:bottom w:val="nil"/>
              <w:right w:val="nil"/>
            </w:tcBorders>
            <w:vAlign w:val="bottom"/>
          </w:tcPr>
          <w:p w14:paraId="0000079D">
            <w:pPr>
              <w:spacing w:after="0"/>
            </w:pPr>
          </w:p>
        </w:tc>
        <w:tc>
          <w:tcPr>
            <w:tcBorders>
              <w:top w:val="nil"/>
              <w:left w:val="nil"/>
              <w:bottom w:val="nil"/>
              <w:right w:val="nil"/>
            </w:tcBorders>
            <w:vAlign w:val="bottom"/>
          </w:tcPr>
          <w:p w14:paraId="0000079E">
            <w:pPr>
              <w:spacing w:after="0"/>
            </w:pPr>
          </w:p>
        </w:tc>
        <w:tc>
          <w:tcPr>
            <w:tcBorders>
              <w:top w:val="nil"/>
              <w:left w:val="nil"/>
              <w:bottom w:val="nil"/>
              <w:right w:val="nil"/>
            </w:tcBorders>
            <w:vAlign w:val="bottom"/>
          </w:tcPr>
          <w:p w14:paraId="0000079F">
            <w:pPr>
              <w:spacing w:after="0"/>
            </w:pPr>
          </w:p>
        </w:tc>
        <w:tc>
          <w:tcPr>
            <w:tcBorders>
              <w:top w:val="nil"/>
              <w:left w:val="nil"/>
              <w:bottom w:val="nil"/>
              <w:right w:val="nil"/>
            </w:tcBorders>
            <w:vAlign w:val="bottom"/>
          </w:tcPr>
          <w:p w14:paraId="000007A0">
            <w:pPr>
              <w:spacing w:after="0"/>
            </w:pPr>
          </w:p>
        </w:tc>
        <w:tc>
          <w:tcPr>
            <w:tcBorders>
              <w:top w:val="nil"/>
              <w:left w:val="nil"/>
              <w:bottom w:val="nil"/>
              <w:right w:val="nil"/>
            </w:tcBorders>
            <w:vAlign w:val="bottom"/>
          </w:tcPr>
          <w:p w14:paraId="000007A1">
            <w:pPr>
              <w:spacing w:after="0"/>
            </w:pPr>
          </w:p>
        </w:tc>
        <w:tc>
          <w:tcPr>
            <w:tcBorders>
              <w:top w:val="nil"/>
              <w:left w:val="nil"/>
              <w:bottom w:val="nil"/>
              <w:right w:val="nil"/>
            </w:tcBorders>
            <w:vAlign w:val="bottom"/>
          </w:tcPr>
          <w:p w14:paraId="000007A2">
            <w:pPr>
              <w:spacing w:after="0"/>
            </w:pPr>
          </w:p>
        </w:tc>
        <w:tc>
          <w:tcPr>
            <w:tcBorders>
              <w:top w:val="nil"/>
              <w:left w:val="nil"/>
              <w:bottom w:val="nil"/>
              <w:right w:val="nil"/>
            </w:tcBorders>
            <w:vAlign w:val="bottom"/>
          </w:tcPr>
          <w:p w14:paraId="000007A3">
            <w:pPr>
              <w:spacing w:after="0"/>
            </w:pPr>
          </w:p>
        </w:tc>
        <w:tc>
          <w:tcPr>
            <w:tcBorders>
              <w:top w:val="nil"/>
              <w:left w:val="nil"/>
              <w:bottom w:val="nil"/>
              <w:right w:val="nil"/>
            </w:tcBorders>
            <w:vAlign w:val="bottom"/>
          </w:tcPr>
          <w:p w14:paraId="000007A4">
            <w:pPr>
              <w:spacing w:after="0"/>
            </w:pPr>
          </w:p>
        </w:tc>
        <w:tc>
          <w:tcPr>
            <w:tcBorders>
              <w:top w:val="nil"/>
              <w:left w:val="nil"/>
              <w:bottom w:val="nil"/>
              <w:right w:val="nil"/>
            </w:tcBorders>
            <w:vAlign w:val="bottom"/>
          </w:tcPr>
          <w:p w14:paraId="000007A5">
            <w:pPr>
              <w:spacing w:after="0"/>
            </w:pPr>
          </w:p>
        </w:tc>
        <w:tc>
          <w:tcPr>
            <w:tcBorders>
              <w:top w:val="nil"/>
              <w:left w:val="nil"/>
              <w:bottom w:val="nil"/>
              <w:right w:val="nil"/>
            </w:tcBorders>
            <w:vAlign w:val="bottom"/>
          </w:tcPr>
          <w:p w14:paraId="000007A6">
            <w:pPr>
              <w:spacing w:after="0"/>
            </w:pPr>
          </w:p>
        </w:tc>
        <w:tc>
          <w:tcPr>
            <w:tcBorders>
              <w:top w:val="nil"/>
              <w:left w:val="nil"/>
              <w:bottom w:val="nil"/>
              <w:right w:val="nil"/>
            </w:tcBorders>
            <w:vAlign w:val="bottom"/>
          </w:tcPr>
          <w:p w14:paraId="000007A7">
            <w:pPr>
              <w:spacing w:after="0"/>
            </w:pPr>
          </w:p>
        </w:tc>
        <w:tc>
          <w:tcPr>
            <w:tcBorders>
              <w:top w:val="nil"/>
              <w:left w:val="nil"/>
              <w:bottom w:val="nil"/>
              <w:right w:val="nil"/>
            </w:tcBorders>
            <w:vAlign w:val="bottom"/>
          </w:tcPr>
          <w:p w14:paraId="000007A8">
            <w:pPr>
              <w:spacing w:after="0"/>
            </w:pPr>
          </w:p>
        </w:tc>
        <w:tc>
          <w:tcPr>
            <w:tcBorders>
              <w:top w:val="nil"/>
              <w:left w:val="nil"/>
              <w:bottom w:val="nil"/>
              <w:right w:val="nil"/>
            </w:tcBorders>
            <w:vAlign w:val="bottom"/>
          </w:tcPr>
          <w:p w14:paraId="000007A9">
            <w:pPr>
              <w:spacing w:after="0"/>
            </w:pPr>
          </w:p>
        </w:tc>
        <w:tc>
          <w:tcPr>
            <w:tcBorders>
              <w:top w:val="nil"/>
              <w:left w:val="nil"/>
              <w:bottom w:val="nil"/>
              <w:right w:val="nil"/>
            </w:tcBorders>
            <w:vAlign w:val="bottom"/>
          </w:tcPr>
          <w:p w14:paraId="000007AA">
            <w:pPr>
              <w:spacing w:after="0"/>
            </w:pPr>
          </w:p>
        </w:tc>
      </w:tr>
      <w:tr w14:paraId="43C69A62">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7AB">
            <w:pPr>
              <w:spacing w:after="0"/>
            </w:pPr>
          </w:p>
        </w:tc>
        <w:tc>
          <w:tcPr>
            <w:tcBorders>
              <w:top w:val="nil"/>
              <w:left w:val="nil"/>
              <w:bottom w:val="nil"/>
              <w:right w:val="nil"/>
            </w:tcBorders>
            <w:vAlign w:val="bottom"/>
          </w:tcPr>
          <w:p w14:paraId="000007AC">
            <w:pPr>
              <w:spacing w:after="0"/>
            </w:pPr>
          </w:p>
        </w:tc>
        <w:tc>
          <w:tcPr>
            <w:tcBorders>
              <w:top w:val="nil"/>
              <w:left w:val="nil"/>
              <w:bottom w:val="nil"/>
              <w:right w:val="nil"/>
            </w:tcBorders>
            <w:vAlign w:val="bottom"/>
          </w:tcPr>
          <w:p w14:paraId="000007AD">
            <w:pPr>
              <w:spacing w:after="0"/>
            </w:pPr>
          </w:p>
        </w:tc>
        <w:tc>
          <w:tcPr>
            <w:tcBorders>
              <w:top w:val="nil"/>
              <w:left w:val="nil"/>
              <w:bottom w:val="nil"/>
              <w:right w:val="nil"/>
            </w:tcBorders>
            <w:vAlign w:val="bottom"/>
          </w:tcPr>
          <w:p w14:paraId="000007AE">
            <w:pPr>
              <w:spacing w:after="0"/>
            </w:pPr>
          </w:p>
        </w:tc>
        <w:tc>
          <w:tcPr>
            <w:tcBorders>
              <w:top w:val="nil"/>
              <w:left w:val="nil"/>
              <w:bottom w:val="nil"/>
              <w:right w:val="nil"/>
            </w:tcBorders>
            <w:vAlign w:val="bottom"/>
          </w:tcPr>
          <w:p w14:paraId="000007AF">
            <w:pPr>
              <w:spacing w:after="0"/>
            </w:pPr>
          </w:p>
        </w:tc>
        <w:tc>
          <w:tcPr>
            <w:tcBorders>
              <w:top w:val="nil"/>
              <w:left w:val="nil"/>
              <w:bottom w:val="nil"/>
              <w:right w:val="nil"/>
            </w:tcBorders>
            <w:vAlign w:val="bottom"/>
          </w:tcPr>
          <w:p w14:paraId="000007B0">
            <w:pPr>
              <w:spacing w:after="0"/>
            </w:pPr>
          </w:p>
        </w:tc>
        <w:tc>
          <w:tcPr>
            <w:tcBorders>
              <w:top w:val="nil"/>
              <w:left w:val="nil"/>
              <w:bottom w:val="nil"/>
              <w:right w:val="nil"/>
            </w:tcBorders>
            <w:vAlign w:val="bottom"/>
          </w:tcPr>
          <w:p w14:paraId="000007B1">
            <w:pPr>
              <w:spacing w:after="0"/>
            </w:pPr>
          </w:p>
        </w:tc>
        <w:tc>
          <w:tcPr>
            <w:tcBorders>
              <w:top w:val="nil"/>
              <w:left w:val="nil"/>
              <w:bottom w:val="nil"/>
              <w:right w:val="nil"/>
            </w:tcBorders>
            <w:vAlign w:val="bottom"/>
          </w:tcPr>
          <w:p w14:paraId="000007B2">
            <w:pPr>
              <w:spacing w:after="0"/>
            </w:pPr>
          </w:p>
        </w:tc>
        <w:tc>
          <w:tcPr>
            <w:tcBorders>
              <w:top w:val="nil"/>
              <w:left w:val="nil"/>
              <w:bottom w:val="nil"/>
              <w:right w:val="nil"/>
            </w:tcBorders>
            <w:vAlign w:val="bottom"/>
          </w:tcPr>
          <w:p w14:paraId="000007B3">
            <w:pPr>
              <w:spacing w:after="0"/>
            </w:pPr>
          </w:p>
        </w:tc>
        <w:tc>
          <w:tcPr>
            <w:tcBorders>
              <w:top w:val="nil"/>
              <w:left w:val="nil"/>
              <w:bottom w:val="nil"/>
              <w:right w:val="nil"/>
            </w:tcBorders>
            <w:vAlign w:val="bottom"/>
          </w:tcPr>
          <w:p w14:paraId="000007B4">
            <w:pPr>
              <w:spacing w:after="0"/>
            </w:pPr>
          </w:p>
        </w:tc>
        <w:tc>
          <w:tcPr>
            <w:tcBorders>
              <w:top w:val="nil"/>
              <w:left w:val="nil"/>
              <w:bottom w:val="nil"/>
              <w:right w:val="nil"/>
            </w:tcBorders>
            <w:vAlign w:val="bottom"/>
          </w:tcPr>
          <w:p w14:paraId="000007B5">
            <w:pPr>
              <w:spacing w:after="0"/>
            </w:pPr>
          </w:p>
        </w:tc>
        <w:tc>
          <w:tcPr>
            <w:tcBorders>
              <w:top w:val="nil"/>
              <w:left w:val="nil"/>
              <w:bottom w:val="nil"/>
              <w:right w:val="nil"/>
            </w:tcBorders>
            <w:vAlign w:val="bottom"/>
          </w:tcPr>
          <w:p w14:paraId="000007B6">
            <w:pPr>
              <w:spacing w:after="0"/>
            </w:pPr>
          </w:p>
        </w:tc>
        <w:tc>
          <w:tcPr>
            <w:tcBorders>
              <w:top w:val="nil"/>
              <w:left w:val="nil"/>
              <w:bottom w:val="nil"/>
              <w:right w:val="nil"/>
            </w:tcBorders>
            <w:vAlign w:val="bottom"/>
          </w:tcPr>
          <w:p w14:paraId="000007B7">
            <w:pPr>
              <w:spacing w:after="0"/>
            </w:pPr>
          </w:p>
        </w:tc>
        <w:tc>
          <w:tcPr>
            <w:tcBorders>
              <w:top w:val="nil"/>
              <w:left w:val="nil"/>
              <w:bottom w:val="nil"/>
              <w:right w:val="nil"/>
            </w:tcBorders>
            <w:vAlign w:val="bottom"/>
          </w:tcPr>
          <w:p w14:paraId="000007B8">
            <w:pPr>
              <w:spacing w:after="0"/>
            </w:pPr>
          </w:p>
        </w:tc>
        <w:tc>
          <w:tcPr>
            <w:tcBorders>
              <w:top w:val="nil"/>
              <w:left w:val="nil"/>
              <w:bottom w:val="nil"/>
              <w:right w:val="nil"/>
            </w:tcBorders>
            <w:vAlign w:val="bottom"/>
          </w:tcPr>
          <w:p w14:paraId="000007B9">
            <w:pPr>
              <w:spacing w:after="0"/>
            </w:pPr>
          </w:p>
        </w:tc>
        <w:tc>
          <w:tcPr>
            <w:tcBorders>
              <w:top w:val="nil"/>
              <w:left w:val="nil"/>
              <w:bottom w:val="nil"/>
              <w:right w:val="nil"/>
            </w:tcBorders>
            <w:vAlign w:val="bottom"/>
          </w:tcPr>
          <w:p w14:paraId="000007BA">
            <w:pPr>
              <w:spacing w:after="0"/>
            </w:pPr>
          </w:p>
        </w:tc>
        <w:tc>
          <w:tcPr>
            <w:tcBorders>
              <w:top w:val="nil"/>
              <w:left w:val="nil"/>
              <w:bottom w:val="nil"/>
              <w:right w:val="nil"/>
            </w:tcBorders>
            <w:vAlign w:val="bottom"/>
          </w:tcPr>
          <w:p w14:paraId="000007BB">
            <w:pPr>
              <w:spacing w:after="0"/>
            </w:pPr>
          </w:p>
        </w:tc>
        <w:tc>
          <w:tcPr>
            <w:tcBorders>
              <w:top w:val="nil"/>
              <w:left w:val="nil"/>
              <w:bottom w:val="nil"/>
              <w:right w:val="nil"/>
            </w:tcBorders>
            <w:vAlign w:val="bottom"/>
          </w:tcPr>
          <w:p w14:paraId="000007BC">
            <w:pPr>
              <w:spacing w:after="0"/>
            </w:pPr>
          </w:p>
        </w:tc>
        <w:tc>
          <w:tcPr>
            <w:tcBorders>
              <w:top w:val="nil"/>
              <w:left w:val="nil"/>
              <w:bottom w:val="nil"/>
              <w:right w:val="nil"/>
            </w:tcBorders>
            <w:vAlign w:val="bottom"/>
          </w:tcPr>
          <w:p w14:paraId="000007BD">
            <w:pPr>
              <w:spacing w:after="0"/>
            </w:pPr>
          </w:p>
        </w:tc>
      </w:tr>
      <w:tr w14:paraId="67CDB7F2">
        <w:tblPrEx>
          <w:tblCellMar>
            <w:top w:w="0" w:type="dxa"/>
            <w:left w:w="115" w:type="dxa"/>
            <w:bottom w:w="0" w:type="dxa"/>
            <w:right w:w="115" w:type="dxa"/>
          </w:tblCellMar>
        </w:tblPrEx>
        <w:trPr>
          <w:trHeight w:val="276" w:hRule="atLeast"/>
        </w:trPr>
        <w:tc>
          <w:tcPr>
            <w:gridSpan w:val="8"/>
            <w:tcBorders>
              <w:top w:val="nil"/>
              <w:left w:val="nil"/>
              <w:bottom w:val="nil"/>
              <w:right w:val="nil"/>
            </w:tcBorders>
            <w:vAlign w:val="bottom"/>
          </w:tcPr>
          <w:p w14:paraId="000007BE">
            <w:pPr>
              <w:spacing w:after="0"/>
            </w:pPr>
            <w:r>
              <w:rPr>
                <w:rtl w:val="0"/>
              </w:rPr>
              <w:t xml:space="preserve">At </w:t>
            </w:r>
            <w:r>
              <w:rPr>
                <w:b/>
                <w:bCs/>
                <w:rtl w:val="0"/>
              </w:rPr>
              <w:t>2.82</w:t>
            </w:r>
            <w:r>
              <w:rPr>
                <w:rtl w:val="0"/>
              </w:rPr>
              <w:t xml:space="preserve">, the firm sits </w:t>
            </w:r>
            <w:r>
              <w:rPr>
                <w:b/>
                <w:bCs/>
                <w:rtl w:val="0"/>
              </w:rPr>
              <w:t>firmly in the upper grey zone</w:t>
            </w:r>
            <w:r>
              <w:rPr>
                <w:rtl w:val="0"/>
              </w:rPr>
              <w:t xml:space="preserve">, </w:t>
            </w:r>
            <w:r>
              <w:rPr>
                <w:b/>
                <w:bCs/>
                <w:rtl w:val="0"/>
              </w:rPr>
              <w:t>just below the safe threshold</w:t>
            </w:r>
            <w:r>
              <w:rPr>
                <w:rtl w:val="0"/>
              </w:rPr>
              <w:t>.</w:t>
            </w:r>
          </w:p>
        </w:tc>
        <w:tc>
          <w:tcPr>
            <w:tcBorders>
              <w:top w:val="nil"/>
              <w:left w:val="nil"/>
              <w:bottom w:val="nil"/>
              <w:right w:val="nil"/>
            </w:tcBorders>
            <w:vAlign w:val="bottom"/>
          </w:tcPr>
          <w:p w14:paraId="000007C6">
            <w:pPr>
              <w:spacing w:after="0"/>
            </w:pPr>
          </w:p>
        </w:tc>
        <w:tc>
          <w:tcPr>
            <w:tcBorders>
              <w:top w:val="nil"/>
              <w:left w:val="nil"/>
              <w:bottom w:val="nil"/>
              <w:right w:val="nil"/>
            </w:tcBorders>
            <w:vAlign w:val="bottom"/>
          </w:tcPr>
          <w:p w14:paraId="000007C7">
            <w:pPr>
              <w:spacing w:after="0"/>
            </w:pPr>
          </w:p>
        </w:tc>
        <w:tc>
          <w:tcPr>
            <w:tcBorders>
              <w:top w:val="nil"/>
              <w:left w:val="nil"/>
              <w:bottom w:val="nil"/>
              <w:right w:val="nil"/>
            </w:tcBorders>
            <w:vAlign w:val="bottom"/>
          </w:tcPr>
          <w:p w14:paraId="000007C8">
            <w:pPr>
              <w:spacing w:after="0"/>
            </w:pPr>
          </w:p>
        </w:tc>
        <w:tc>
          <w:tcPr>
            <w:tcBorders>
              <w:top w:val="nil"/>
              <w:left w:val="nil"/>
              <w:bottom w:val="nil"/>
              <w:right w:val="nil"/>
            </w:tcBorders>
            <w:vAlign w:val="bottom"/>
          </w:tcPr>
          <w:p w14:paraId="000007C9">
            <w:pPr>
              <w:spacing w:after="0"/>
            </w:pPr>
          </w:p>
        </w:tc>
        <w:tc>
          <w:tcPr>
            <w:tcBorders>
              <w:top w:val="nil"/>
              <w:left w:val="nil"/>
              <w:bottom w:val="nil"/>
              <w:right w:val="nil"/>
            </w:tcBorders>
            <w:vAlign w:val="bottom"/>
          </w:tcPr>
          <w:p w14:paraId="000007CA">
            <w:pPr>
              <w:spacing w:after="0"/>
            </w:pPr>
          </w:p>
        </w:tc>
        <w:tc>
          <w:tcPr>
            <w:tcBorders>
              <w:top w:val="nil"/>
              <w:left w:val="nil"/>
              <w:bottom w:val="nil"/>
              <w:right w:val="nil"/>
            </w:tcBorders>
            <w:vAlign w:val="bottom"/>
          </w:tcPr>
          <w:p w14:paraId="000007CB">
            <w:pPr>
              <w:spacing w:after="0"/>
            </w:pPr>
          </w:p>
        </w:tc>
        <w:tc>
          <w:tcPr>
            <w:tcBorders>
              <w:top w:val="nil"/>
              <w:left w:val="nil"/>
              <w:bottom w:val="nil"/>
              <w:right w:val="nil"/>
            </w:tcBorders>
            <w:vAlign w:val="bottom"/>
          </w:tcPr>
          <w:p w14:paraId="000007CC">
            <w:pPr>
              <w:spacing w:after="0"/>
            </w:pPr>
          </w:p>
        </w:tc>
        <w:tc>
          <w:tcPr>
            <w:tcBorders>
              <w:top w:val="nil"/>
              <w:left w:val="nil"/>
              <w:bottom w:val="nil"/>
              <w:right w:val="nil"/>
            </w:tcBorders>
            <w:vAlign w:val="bottom"/>
          </w:tcPr>
          <w:p w14:paraId="000007CD">
            <w:pPr>
              <w:spacing w:after="0"/>
            </w:pPr>
          </w:p>
        </w:tc>
        <w:tc>
          <w:tcPr>
            <w:tcBorders>
              <w:top w:val="nil"/>
              <w:left w:val="nil"/>
              <w:bottom w:val="nil"/>
              <w:right w:val="nil"/>
            </w:tcBorders>
            <w:vAlign w:val="bottom"/>
          </w:tcPr>
          <w:p w14:paraId="000007CE">
            <w:pPr>
              <w:spacing w:after="0"/>
            </w:pPr>
          </w:p>
        </w:tc>
        <w:tc>
          <w:tcPr>
            <w:tcBorders>
              <w:top w:val="nil"/>
              <w:left w:val="nil"/>
              <w:bottom w:val="nil"/>
              <w:right w:val="nil"/>
            </w:tcBorders>
            <w:vAlign w:val="bottom"/>
          </w:tcPr>
          <w:p w14:paraId="000007CF">
            <w:pPr>
              <w:spacing w:after="0"/>
            </w:pPr>
          </w:p>
        </w:tc>
        <w:tc>
          <w:tcPr>
            <w:tcBorders>
              <w:top w:val="nil"/>
              <w:left w:val="nil"/>
              <w:bottom w:val="nil"/>
              <w:right w:val="nil"/>
            </w:tcBorders>
            <w:vAlign w:val="bottom"/>
          </w:tcPr>
          <w:p w14:paraId="000007D0">
            <w:pPr>
              <w:spacing w:after="0"/>
            </w:pPr>
          </w:p>
        </w:tc>
      </w:tr>
      <w:tr w14:paraId="5A9DB203">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7D1">
            <w:pPr>
              <w:spacing w:after="0"/>
            </w:pPr>
          </w:p>
        </w:tc>
        <w:tc>
          <w:tcPr>
            <w:tcBorders>
              <w:top w:val="nil"/>
              <w:left w:val="nil"/>
              <w:bottom w:val="nil"/>
              <w:right w:val="nil"/>
            </w:tcBorders>
            <w:vAlign w:val="bottom"/>
          </w:tcPr>
          <w:p w14:paraId="000007D2">
            <w:pPr>
              <w:spacing w:after="0"/>
            </w:pPr>
          </w:p>
        </w:tc>
        <w:tc>
          <w:tcPr>
            <w:tcBorders>
              <w:top w:val="nil"/>
              <w:left w:val="nil"/>
              <w:bottom w:val="nil"/>
              <w:right w:val="nil"/>
            </w:tcBorders>
            <w:vAlign w:val="bottom"/>
          </w:tcPr>
          <w:p w14:paraId="000007D3">
            <w:pPr>
              <w:spacing w:after="0"/>
            </w:pPr>
          </w:p>
        </w:tc>
        <w:tc>
          <w:tcPr>
            <w:tcBorders>
              <w:top w:val="nil"/>
              <w:left w:val="nil"/>
              <w:bottom w:val="nil"/>
              <w:right w:val="nil"/>
            </w:tcBorders>
            <w:vAlign w:val="bottom"/>
          </w:tcPr>
          <w:p w14:paraId="000007D4">
            <w:pPr>
              <w:spacing w:after="0"/>
            </w:pPr>
          </w:p>
        </w:tc>
        <w:tc>
          <w:tcPr>
            <w:tcBorders>
              <w:top w:val="nil"/>
              <w:left w:val="nil"/>
              <w:bottom w:val="nil"/>
              <w:right w:val="nil"/>
            </w:tcBorders>
            <w:vAlign w:val="bottom"/>
          </w:tcPr>
          <w:p w14:paraId="000007D5">
            <w:pPr>
              <w:spacing w:after="0"/>
            </w:pPr>
          </w:p>
        </w:tc>
        <w:tc>
          <w:tcPr>
            <w:tcBorders>
              <w:top w:val="nil"/>
              <w:left w:val="nil"/>
              <w:bottom w:val="nil"/>
              <w:right w:val="nil"/>
            </w:tcBorders>
            <w:vAlign w:val="bottom"/>
          </w:tcPr>
          <w:p w14:paraId="000007D6">
            <w:pPr>
              <w:spacing w:after="0"/>
            </w:pPr>
          </w:p>
        </w:tc>
        <w:tc>
          <w:tcPr>
            <w:tcBorders>
              <w:top w:val="nil"/>
              <w:left w:val="nil"/>
              <w:bottom w:val="nil"/>
              <w:right w:val="nil"/>
            </w:tcBorders>
            <w:vAlign w:val="bottom"/>
          </w:tcPr>
          <w:p w14:paraId="000007D7">
            <w:pPr>
              <w:spacing w:after="0"/>
            </w:pPr>
          </w:p>
        </w:tc>
        <w:tc>
          <w:tcPr>
            <w:tcBorders>
              <w:top w:val="nil"/>
              <w:left w:val="nil"/>
              <w:bottom w:val="nil"/>
              <w:right w:val="nil"/>
            </w:tcBorders>
            <w:vAlign w:val="bottom"/>
          </w:tcPr>
          <w:p w14:paraId="000007D8">
            <w:pPr>
              <w:spacing w:after="0"/>
            </w:pPr>
          </w:p>
        </w:tc>
        <w:tc>
          <w:tcPr>
            <w:tcBorders>
              <w:top w:val="nil"/>
              <w:left w:val="nil"/>
              <w:bottom w:val="nil"/>
              <w:right w:val="nil"/>
            </w:tcBorders>
            <w:vAlign w:val="bottom"/>
          </w:tcPr>
          <w:p w14:paraId="000007D9">
            <w:pPr>
              <w:spacing w:after="0"/>
            </w:pPr>
          </w:p>
        </w:tc>
        <w:tc>
          <w:tcPr>
            <w:tcBorders>
              <w:top w:val="nil"/>
              <w:left w:val="nil"/>
              <w:bottom w:val="nil"/>
              <w:right w:val="nil"/>
            </w:tcBorders>
            <w:vAlign w:val="bottom"/>
          </w:tcPr>
          <w:p w14:paraId="000007DA">
            <w:pPr>
              <w:spacing w:after="0"/>
            </w:pPr>
          </w:p>
        </w:tc>
        <w:tc>
          <w:tcPr>
            <w:tcBorders>
              <w:top w:val="nil"/>
              <w:left w:val="nil"/>
              <w:bottom w:val="nil"/>
              <w:right w:val="nil"/>
            </w:tcBorders>
            <w:vAlign w:val="bottom"/>
          </w:tcPr>
          <w:p w14:paraId="000007DB">
            <w:pPr>
              <w:spacing w:after="0"/>
            </w:pPr>
          </w:p>
        </w:tc>
        <w:tc>
          <w:tcPr>
            <w:tcBorders>
              <w:top w:val="nil"/>
              <w:left w:val="nil"/>
              <w:bottom w:val="nil"/>
              <w:right w:val="nil"/>
            </w:tcBorders>
            <w:vAlign w:val="bottom"/>
          </w:tcPr>
          <w:p w14:paraId="000007DC">
            <w:pPr>
              <w:spacing w:after="0"/>
            </w:pPr>
          </w:p>
        </w:tc>
        <w:tc>
          <w:tcPr>
            <w:tcBorders>
              <w:top w:val="nil"/>
              <w:left w:val="nil"/>
              <w:bottom w:val="nil"/>
              <w:right w:val="nil"/>
            </w:tcBorders>
            <w:vAlign w:val="bottom"/>
          </w:tcPr>
          <w:p w14:paraId="000007DD">
            <w:pPr>
              <w:spacing w:after="0"/>
            </w:pPr>
          </w:p>
        </w:tc>
        <w:tc>
          <w:tcPr>
            <w:tcBorders>
              <w:top w:val="nil"/>
              <w:left w:val="nil"/>
              <w:bottom w:val="nil"/>
              <w:right w:val="nil"/>
            </w:tcBorders>
            <w:vAlign w:val="bottom"/>
          </w:tcPr>
          <w:p w14:paraId="000007DE">
            <w:pPr>
              <w:spacing w:after="0"/>
            </w:pPr>
          </w:p>
        </w:tc>
        <w:tc>
          <w:tcPr>
            <w:tcBorders>
              <w:top w:val="nil"/>
              <w:left w:val="nil"/>
              <w:bottom w:val="nil"/>
              <w:right w:val="nil"/>
            </w:tcBorders>
            <w:vAlign w:val="bottom"/>
          </w:tcPr>
          <w:p w14:paraId="000007DF">
            <w:pPr>
              <w:spacing w:after="0"/>
            </w:pPr>
          </w:p>
        </w:tc>
        <w:tc>
          <w:tcPr>
            <w:tcBorders>
              <w:top w:val="nil"/>
              <w:left w:val="nil"/>
              <w:bottom w:val="nil"/>
              <w:right w:val="nil"/>
            </w:tcBorders>
            <w:vAlign w:val="bottom"/>
          </w:tcPr>
          <w:p w14:paraId="000007E0">
            <w:pPr>
              <w:spacing w:after="0"/>
            </w:pPr>
          </w:p>
        </w:tc>
        <w:tc>
          <w:tcPr>
            <w:tcBorders>
              <w:top w:val="nil"/>
              <w:left w:val="nil"/>
              <w:bottom w:val="nil"/>
              <w:right w:val="nil"/>
            </w:tcBorders>
            <w:vAlign w:val="bottom"/>
          </w:tcPr>
          <w:p w14:paraId="000007E1">
            <w:pPr>
              <w:spacing w:after="0"/>
            </w:pPr>
          </w:p>
        </w:tc>
        <w:tc>
          <w:tcPr>
            <w:tcBorders>
              <w:top w:val="nil"/>
              <w:left w:val="nil"/>
              <w:bottom w:val="nil"/>
              <w:right w:val="nil"/>
            </w:tcBorders>
            <w:vAlign w:val="bottom"/>
          </w:tcPr>
          <w:p w14:paraId="000007E2">
            <w:pPr>
              <w:spacing w:after="0"/>
            </w:pPr>
          </w:p>
        </w:tc>
        <w:tc>
          <w:tcPr>
            <w:tcBorders>
              <w:top w:val="nil"/>
              <w:left w:val="nil"/>
              <w:bottom w:val="nil"/>
              <w:right w:val="nil"/>
            </w:tcBorders>
            <w:vAlign w:val="bottom"/>
          </w:tcPr>
          <w:p w14:paraId="000007E3">
            <w:pPr>
              <w:spacing w:after="0"/>
            </w:pPr>
          </w:p>
        </w:tc>
      </w:tr>
      <w:tr w14:paraId="37709F26">
        <w:tblPrEx>
          <w:tblCellMar>
            <w:top w:w="0" w:type="dxa"/>
            <w:left w:w="115" w:type="dxa"/>
            <w:bottom w:w="0" w:type="dxa"/>
            <w:right w:w="115" w:type="dxa"/>
          </w:tblCellMar>
        </w:tblPrEx>
        <w:trPr>
          <w:trHeight w:val="276" w:hRule="atLeast"/>
        </w:trPr>
        <w:tc>
          <w:tcPr>
            <w:gridSpan w:val="13"/>
            <w:tcBorders>
              <w:top w:val="nil"/>
              <w:left w:val="nil"/>
              <w:bottom w:val="nil"/>
              <w:right w:val="nil"/>
            </w:tcBorders>
            <w:vAlign w:val="bottom"/>
          </w:tcPr>
          <w:p w14:paraId="000007E4">
            <w:pPr>
              <w:spacing w:after="0"/>
            </w:pPr>
            <w:r>
              <w:rPr>
                <w:rtl w:val="0"/>
              </w:rPr>
              <w:t xml:space="preserve">This position is </w:t>
            </w:r>
            <w:r>
              <w:rPr>
                <w:b/>
                <w:bCs/>
                <w:rtl w:val="0"/>
              </w:rPr>
              <w:t>fragile rather than reassuring</w:t>
            </w:r>
            <w:r>
              <w:rPr>
                <w:rtl w:val="0"/>
              </w:rPr>
              <w:t xml:space="preserve">. The score is being </w:t>
            </w:r>
            <w:r>
              <w:rPr>
                <w:b/>
                <w:bCs/>
                <w:rtl w:val="0"/>
              </w:rPr>
              <w:t>artificially supported by balance-sheet strength</w:t>
            </w:r>
            <w:r>
              <w:rPr>
                <w:rtl w:val="0"/>
              </w:rPr>
              <w:t>, not earnings performance:</w:t>
            </w:r>
          </w:p>
        </w:tc>
        <w:tc>
          <w:tcPr>
            <w:tcBorders>
              <w:top w:val="nil"/>
              <w:left w:val="nil"/>
              <w:bottom w:val="nil"/>
              <w:right w:val="nil"/>
            </w:tcBorders>
            <w:vAlign w:val="bottom"/>
          </w:tcPr>
          <w:p w14:paraId="000007F1">
            <w:pPr>
              <w:spacing w:after="0"/>
            </w:pPr>
          </w:p>
        </w:tc>
        <w:tc>
          <w:tcPr>
            <w:tcBorders>
              <w:top w:val="nil"/>
              <w:left w:val="nil"/>
              <w:bottom w:val="nil"/>
              <w:right w:val="nil"/>
            </w:tcBorders>
            <w:vAlign w:val="bottom"/>
          </w:tcPr>
          <w:p w14:paraId="000007F2">
            <w:pPr>
              <w:spacing w:after="0"/>
            </w:pPr>
          </w:p>
        </w:tc>
        <w:tc>
          <w:tcPr>
            <w:tcBorders>
              <w:top w:val="nil"/>
              <w:left w:val="nil"/>
              <w:bottom w:val="nil"/>
              <w:right w:val="nil"/>
            </w:tcBorders>
            <w:vAlign w:val="bottom"/>
          </w:tcPr>
          <w:p w14:paraId="000007F3">
            <w:pPr>
              <w:spacing w:after="0"/>
            </w:pPr>
          </w:p>
        </w:tc>
        <w:tc>
          <w:tcPr>
            <w:tcBorders>
              <w:top w:val="nil"/>
              <w:left w:val="nil"/>
              <w:bottom w:val="nil"/>
              <w:right w:val="nil"/>
            </w:tcBorders>
            <w:vAlign w:val="bottom"/>
          </w:tcPr>
          <w:p w14:paraId="000007F4">
            <w:pPr>
              <w:spacing w:after="0"/>
            </w:pPr>
          </w:p>
        </w:tc>
        <w:tc>
          <w:tcPr>
            <w:tcBorders>
              <w:top w:val="nil"/>
              <w:left w:val="nil"/>
              <w:bottom w:val="nil"/>
              <w:right w:val="nil"/>
            </w:tcBorders>
            <w:vAlign w:val="bottom"/>
          </w:tcPr>
          <w:p w14:paraId="000007F5">
            <w:pPr>
              <w:spacing w:after="0"/>
            </w:pPr>
          </w:p>
        </w:tc>
        <w:tc>
          <w:tcPr>
            <w:tcBorders>
              <w:top w:val="nil"/>
              <w:left w:val="nil"/>
              <w:bottom w:val="nil"/>
              <w:right w:val="nil"/>
            </w:tcBorders>
            <w:vAlign w:val="bottom"/>
          </w:tcPr>
          <w:p w14:paraId="000007F6">
            <w:pPr>
              <w:spacing w:after="0"/>
            </w:pPr>
          </w:p>
        </w:tc>
      </w:tr>
      <w:tr w14:paraId="10004C77">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7F7">
            <w:pPr>
              <w:spacing w:after="0"/>
            </w:pPr>
          </w:p>
        </w:tc>
        <w:tc>
          <w:tcPr>
            <w:tcBorders>
              <w:top w:val="nil"/>
              <w:left w:val="nil"/>
              <w:bottom w:val="nil"/>
              <w:right w:val="nil"/>
            </w:tcBorders>
            <w:vAlign w:val="bottom"/>
          </w:tcPr>
          <w:p w14:paraId="000007F8">
            <w:pPr>
              <w:spacing w:after="0"/>
              <w:ind w:firstLine="240"/>
            </w:pPr>
          </w:p>
        </w:tc>
        <w:tc>
          <w:tcPr>
            <w:tcBorders>
              <w:top w:val="nil"/>
              <w:left w:val="nil"/>
              <w:bottom w:val="nil"/>
              <w:right w:val="nil"/>
            </w:tcBorders>
            <w:vAlign w:val="bottom"/>
          </w:tcPr>
          <w:p w14:paraId="000007F9">
            <w:pPr>
              <w:spacing w:after="0"/>
            </w:pPr>
          </w:p>
        </w:tc>
        <w:tc>
          <w:tcPr>
            <w:tcBorders>
              <w:top w:val="nil"/>
              <w:left w:val="nil"/>
              <w:bottom w:val="nil"/>
              <w:right w:val="nil"/>
            </w:tcBorders>
            <w:vAlign w:val="bottom"/>
          </w:tcPr>
          <w:p w14:paraId="000007FA">
            <w:pPr>
              <w:spacing w:after="0"/>
            </w:pPr>
          </w:p>
        </w:tc>
        <w:tc>
          <w:tcPr>
            <w:tcBorders>
              <w:top w:val="nil"/>
              <w:left w:val="nil"/>
              <w:bottom w:val="nil"/>
              <w:right w:val="nil"/>
            </w:tcBorders>
            <w:vAlign w:val="bottom"/>
          </w:tcPr>
          <w:p w14:paraId="000007FB">
            <w:pPr>
              <w:spacing w:after="0"/>
            </w:pPr>
          </w:p>
        </w:tc>
        <w:tc>
          <w:tcPr>
            <w:tcBorders>
              <w:top w:val="nil"/>
              <w:left w:val="nil"/>
              <w:bottom w:val="nil"/>
              <w:right w:val="nil"/>
            </w:tcBorders>
            <w:vAlign w:val="bottom"/>
          </w:tcPr>
          <w:p w14:paraId="000007FC">
            <w:pPr>
              <w:spacing w:after="0"/>
            </w:pPr>
          </w:p>
        </w:tc>
        <w:tc>
          <w:tcPr>
            <w:tcBorders>
              <w:top w:val="nil"/>
              <w:left w:val="nil"/>
              <w:bottom w:val="nil"/>
              <w:right w:val="nil"/>
            </w:tcBorders>
            <w:vAlign w:val="bottom"/>
          </w:tcPr>
          <w:p w14:paraId="000007FD">
            <w:pPr>
              <w:spacing w:after="0"/>
            </w:pPr>
          </w:p>
        </w:tc>
        <w:tc>
          <w:tcPr>
            <w:tcBorders>
              <w:top w:val="nil"/>
              <w:left w:val="nil"/>
              <w:bottom w:val="nil"/>
              <w:right w:val="nil"/>
            </w:tcBorders>
            <w:vAlign w:val="bottom"/>
          </w:tcPr>
          <w:p w14:paraId="000007FE">
            <w:pPr>
              <w:spacing w:after="0"/>
            </w:pPr>
          </w:p>
        </w:tc>
        <w:tc>
          <w:tcPr>
            <w:tcBorders>
              <w:top w:val="nil"/>
              <w:left w:val="nil"/>
              <w:bottom w:val="nil"/>
              <w:right w:val="nil"/>
            </w:tcBorders>
            <w:vAlign w:val="bottom"/>
          </w:tcPr>
          <w:p w14:paraId="000007FF">
            <w:pPr>
              <w:spacing w:after="0"/>
            </w:pPr>
          </w:p>
        </w:tc>
        <w:tc>
          <w:tcPr>
            <w:tcBorders>
              <w:top w:val="nil"/>
              <w:left w:val="nil"/>
              <w:bottom w:val="nil"/>
              <w:right w:val="nil"/>
            </w:tcBorders>
            <w:vAlign w:val="bottom"/>
          </w:tcPr>
          <w:p w14:paraId="00000800">
            <w:pPr>
              <w:spacing w:after="0"/>
            </w:pPr>
          </w:p>
        </w:tc>
        <w:tc>
          <w:tcPr>
            <w:tcBorders>
              <w:top w:val="nil"/>
              <w:left w:val="nil"/>
              <w:bottom w:val="nil"/>
              <w:right w:val="nil"/>
            </w:tcBorders>
            <w:vAlign w:val="bottom"/>
          </w:tcPr>
          <w:p w14:paraId="00000801">
            <w:pPr>
              <w:spacing w:after="0"/>
            </w:pPr>
          </w:p>
        </w:tc>
        <w:tc>
          <w:tcPr>
            <w:tcBorders>
              <w:top w:val="nil"/>
              <w:left w:val="nil"/>
              <w:bottom w:val="nil"/>
              <w:right w:val="nil"/>
            </w:tcBorders>
            <w:vAlign w:val="bottom"/>
          </w:tcPr>
          <w:p w14:paraId="00000802">
            <w:pPr>
              <w:spacing w:after="0"/>
            </w:pPr>
          </w:p>
        </w:tc>
        <w:tc>
          <w:tcPr>
            <w:tcBorders>
              <w:top w:val="nil"/>
              <w:left w:val="nil"/>
              <w:bottom w:val="nil"/>
              <w:right w:val="nil"/>
            </w:tcBorders>
            <w:vAlign w:val="bottom"/>
          </w:tcPr>
          <w:p w14:paraId="00000803">
            <w:pPr>
              <w:spacing w:after="0"/>
            </w:pPr>
          </w:p>
        </w:tc>
        <w:tc>
          <w:tcPr>
            <w:tcBorders>
              <w:top w:val="nil"/>
              <w:left w:val="nil"/>
              <w:bottom w:val="nil"/>
              <w:right w:val="nil"/>
            </w:tcBorders>
            <w:vAlign w:val="bottom"/>
          </w:tcPr>
          <w:p w14:paraId="00000804">
            <w:pPr>
              <w:spacing w:after="0"/>
            </w:pPr>
          </w:p>
        </w:tc>
        <w:tc>
          <w:tcPr>
            <w:tcBorders>
              <w:top w:val="nil"/>
              <w:left w:val="nil"/>
              <w:bottom w:val="nil"/>
              <w:right w:val="nil"/>
            </w:tcBorders>
            <w:vAlign w:val="bottom"/>
          </w:tcPr>
          <w:p w14:paraId="00000805">
            <w:pPr>
              <w:spacing w:after="0"/>
            </w:pPr>
          </w:p>
        </w:tc>
        <w:tc>
          <w:tcPr>
            <w:tcBorders>
              <w:top w:val="nil"/>
              <w:left w:val="nil"/>
              <w:bottom w:val="nil"/>
              <w:right w:val="nil"/>
            </w:tcBorders>
            <w:vAlign w:val="bottom"/>
          </w:tcPr>
          <w:p w14:paraId="00000806">
            <w:pPr>
              <w:spacing w:after="0"/>
            </w:pPr>
          </w:p>
        </w:tc>
        <w:tc>
          <w:tcPr>
            <w:tcBorders>
              <w:top w:val="nil"/>
              <w:left w:val="nil"/>
              <w:bottom w:val="nil"/>
              <w:right w:val="nil"/>
            </w:tcBorders>
            <w:vAlign w:val="bottom"/>
          </w:tcPr>
          <w:p w14:paraId="00000807">
            <w:pPr>
              <w:spacing w:after="0"/>
            </w:pPr>
          </w:p>
        </w:tc>
        <w:tc>
          <w:tcPr>
            <w:tcBorders>
              <w:top w:val="nil"/>
              <w:left w:val="nil"/>
              <w:bottom w:val="nil"/>
              <w:right w:val="nil"/>
            </w:tcBorders>
            <w:vAlign w:val="bottom"/>
          </w:tcPr>
          <w:p w14:paraId="00000808">
            <w:pPr>
              <w:spacing w:after="0"/>
            </w:pPr>
          </w:p>
        </w:tc>
        <w:tc>
          <w:tcPr>
            <w:tcBorders>
              <w:top w:val="nil"/>
              <w:left w:val="nil"/>
              <w:bottom w:val="nil"/>
              <w:right w:val="nil"/>
            </w:tcBorders>
            <w:vAlign w:val="bottom"/>
          </w:tcPr>
          <w:p w14:paraId="00000809">
            <w:pPr>
              <w:spacing w:after="0"/>
            </w:pPr>
          </w:p>
        </w:tc>
      </w:tr>
      <w:tr w14:paraId="1D6CEB46">
        <w:tblPrEx>
          <w:tblCellMar>
            <w:top w:w="0" w:type="dxa"/>
            <w:left w:w="115" w:type="dxa"/>
            <w:bottom w:w="0" w:type="dxa"/>
            <w:right w:w="115" w:type="dxa"/>
          </w:tblCellMar>
        </w:tblPrEx>
        <w:trPr>
          <w:trHeight w:val="276" w:hRule="atLeast"/>
        </w:trPr>
        <w:tc>
          <w:tcPr>
            <w:gridSpan w:val="10"/>
            <w:tcBorders>
              <w:top w:val="nil"/>
              <w:left w:val="nil"/>
              <w:bottom w:val="nil"/>
              <w:right w:val="nil"/>
            </w:tcBorders>
            <w:vAlign w:val="center"/>
          </w:tcPr>
          <w:p w14:paraId="0000080A">
            <w:pPr>
              <w:spacing w:after="0"/>
              <w:ind w:firstLine="241"/>
              <w:rPr>
                <w:b/>
                <w:bCs/>
              </w:rPr>
            </w:pPr>
            <w:r>
              <w:rPr>
                <w:b/>
                <w:bCs/>
                <w:rtl w:val="0"/>
              </w:rPr>
              <w:t>B (retained earnings/assets)</w:t>
            </w:r>
            <w:r>
              <w:rPr>
                <w:rtl w:val="0"/>
              </w:rPr>
              <w:t xml:space="preserve"> is strong, reflecting historical profitability rather than current performance.</w:t>
            </w:r>
          </w:p>
        </w:tc>
        <w:tc>
          <w:tcPr>
            <w:tcBorders>
              <w:top w:val="nil"/>
              <w:left w:val="nil"/>
              <w:bottom w:val="nil"/>
              <w:right w:val="nil"/>
            </w:tcBorders>
            <w:vAlign w:val="bottom"/>
          </w:tcPr>
          <w:p w14:paraId="00000814">
            <w:pPr>
              <w:spacing w:after="0"/>
              <w:ind w:firstLine="241"/>
              <w:rPr>
                <w:b/>
                <w:bCs/>
              </w:rPr>
            </w:pPr>
          </w:p>
        </w:tc>
        <w:tc>
          <w:tcPr>
            <w:tcBorders>
              <w:top w:val="nil"/>
              <w:left w:val="nil"/>
              <w:bottom w:val="nil"/>
              <w:right w:val="nil"/>
            </w:tcBorders>
            <w:vAlign w:val="bottom"/>
          </w:tcPr>
          <w:p w14:paraId="00000815">
            <w:pPr>
              <w:spacing w:after="0"/>
            </w:pPr>
          </w:p>
        </w:tc>
        <w:tc>
          <w:tcPr>
            <w:tcBorders>
              <w:top w:val="nil"/>
              <w:left w:val="nil"/>
              <w:bottom w:val="nil"/>
              <w:right w:val="nil"/>
            </w:tcBorders>
            <w:vAlign w:val="bottom"/>
          </w:tcPr>
          <w:p w14:paraId="00000816">
            <w:pPr>
              <w:spacing w:after="0"/>
            </w:pPr>
          </w:p>
        </w:tc>
        <w:tc>
          <w:tcPr>
            <w:tcBorders>
              <w:top w:val="nil"/>
              <w:left w:val="nil"/>
              <w:bottom w:val="nil"/>
              <w:right w:val="nil"/>
            </w:tcBorders>
            <w:vAlign w:val="bottom"/>
          </w:tcPr>
          <w:p w14:paraId="00000817">
            <w:pPr>
              <w:spacing w:after="0"/>
            </w:pPr>
          </w:p>
        </w:tc>
        <w:tc>
          <w:tcPr>
            <w:tcBorders>
              <w:top w:val="nil"/>
              <w:left w:val="nil"/>
              <w:bottom w:val="nil"/>
              <w:right w:val="nil"/>
            </w:tcBorders>
            <w:vAlign w:val="bottom"/>
          </w:tcPr>
          <w:p w14:paraId="00000818">
            <w:pPr>
              <w:spacing w:after="0"/>
            </w:pPr>
          </w:p>
        </w:tc>
        <w:tc>
          <w:tcPr>
            <w:tcBorders>
              <w:top w:val="nil"/>
              <w:left w:val="nil"/>
              <w:bottom w:val="nil"/>
              <w:right w:val="nil"/>
            </w:tcBorders>
            <w:vAlign w:val="bottom"/>
          </w:tcPr>
          <w:p w14:paraId="00000819">
            <w:pPr>
              <w:spacing w:after="0"/>
            </w:pPr>
          </w:p>
        </w:tc>
        <w:tc>
          <w:tcPr>
            <w:tcBorders>
              <w:top w:val="nil"/>
              <w:left w:val="nil"/>
              <w:bottom w:val="nil"/>
              <w:right w:val="nil"/>
            </w:tcBorders>
            <w:vAlign w:val="bottom"/>
          </w:tcPr>
          <w:p w14:paraId="0000081A">
            <w:pPr>
              <w:spacing w:after="0"/>
            </w:pPr>
          </w:p>
        </w:tc>
        <w:tc>
          <w:tcPr>
            <w:tcBorders>
              <w:top w:val="nil"/>
              <w:left w:val="nil"/>
              <w:bottom w:val="nil"/>
              <w:right w:val="nil"/>
            </w:tcBorders>
            <w:vAlign w:val="bottom"/>
          </w:tcPr>
          <w:p w14:paraId="0000081B">
            <w:pPr>
              <w:spacing w:after="0"/>
            </w:pPr>
          </w:p>
        </w:tc>
        <w:tc>
          <w:tcPr>
            <w:tcBorders>
              <w:top w:val="nil"/>
              <w:left w:val="nil"/>
              <w:bottom w:val="nil"/>
              <w:right w:val="nil"/>
            </w:tcBorders>
            <w:vAlign w:val="bottom"/>
          </w:tcPr>
          <w:p w14:paraId="0000081C">
            <w:pPr>
              <w:spacing w:after="0"/>
            </w:pPr>
          </w:p>
        </w:tc>
      </w:tr>
      <w:tr w14:paraId="6CB7269E">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81D">
            <w:pPr>
              <w:spacing w:after="0"/>
            </w:pPr>
          </w:p>
        </w:tc>
        <w:tc>
          <w:tcPr>
            <w:tcBorders>
              <w:top w:val="nil"/>
              <w:left w:val="nil"/>
              <w:bottom w:val="nil"/>
              <w:right w:val="nil"/>
            </w:tcBorders>
            <w:vAlign w:val="bottom"/>
          </w:tcPr>
          <w:p w14:paraId="0000081E">
            <w:pPr>
              <w:spacing w:after="0"/>
              <w:ind w:firstLine="240"/>
            </w:pPr>
          </w:p>
        </w:tc>
        <w:tc>
          <w:tcPr>
            <w:tcBorders>
              <w:top w:val="nil"/>
              <w:left w:val="nil"/>
              <w:bottom w:val="nil"/>
              <w:right w:val="nil"/>
            </w:tcBorders>
            <w:vAlign w:val="bottom"/>
          </w:tcPr>
          <w:p w14:paraId="0000081F">
            <w:pPr>
              <w:spacing w:after="0"/>
            </w:pPr>
          </w:p>
        </w:tc>
        <w:tc>
          <w:tcPr>
            <w:tcBorders>
              <w:top w:val="nil"/>
              <w:left w:val="nil"/>
              <w:bottom w:val="nil"/>
              <w:right w:val="nil"/>
            </w:tcBorders>
            <w:vAlign w:val="bottom"/>
          </w:tcPr>
          <w:p w14:paraId="00000820">
            <w:pPr>
              <w:spacing w:after="0"/>
            </w:pPr>
          </w:p>
        </w:tc>
        <w:tc>
          <w:tcPr>
            <w:tcBorders>
              <w:top w:val="nil"/>
              <w:left w:val="nil"/>
              <w:bottom w:val="nil"/>
              <w:right w:val="nil"/>
            </w:tcBorders>
            <w:vAlign w:val="bottom"/>
          </w:tcPr>
          <w:p w14:paraId="00000821">
            <w:pPr>
              <w:spacing w:after="0"/>
            </w:pPr>
          </w:p>
        </w:tc>
        <w:tc>
          <w:tcPr>
            <w:tcBorders>
              <w:top w:val="nil"/>
              <w:left w:val="nil"/>
              <w:bottom w:val="nil"/>
              <w:right w:val="nil"/>
            </w:tcBorders>
            <w:vAlign w:val="bottom"/>
          </w:tcPr>
          <w:p w14:paraId="00000822">
            <w:pPr>
              <w:spacing w:after="0"/>
            </w:pPr>
          </w:p>
        </w:tc>
        <w:tc>
          <w:tcPr>
            <w:tcBorders>
              <w:top w:val="nil"/>
              <w:left w:val="nil"/>
              <w:bottom w:val="nil"/>
              <w:right w:val="nil"/>
            </w:tcBorders>
            <w:vAlign w:val="bottom"/>
          </w:tcPr>
          <w:p w14:paraId="00000823">
            <w:pPr>
              <w:spacing w:after="0"/>
            </w:pPr>
          </w:p>
        </w:tc>
        <w:tc>
          <w:tcPr>
            <w:tcBorders>
              <w:top w:val="nil"/>
              <w:left w:val="nil"/>
              <w:bottom w:val="nil"/>
              <w:right w:val="nil"/>
            </w:tcBorders>
            <w:vAlign w:val="bottom"/>
          </w:tcPr>
          <w:p w14:paraId="00000824">
            <w:pPr>
              <w:spacing w:after="0"/>
            </w:pPr>
          </w:p>
        </w:tc>
        <w:tc>
          <w:tcPr>
            <w:tcBorders>
              <w:top w:val="nil"/>
              <w:left w:val="nil"/>
              <w:bottom w:val="nil"/>
              <w:right w:val="nil"/>
            </w:tcBorders>
            <w:vAlign w:val="bottom"/>
          </w:tcPr>
          <w:p w14:paraId="00000825">
            <w:pPr>
              <w:spacing w:after="0"/>
            </w:pPr>
          </w:p>
        </w:tc>
        <w:tc>
          <w:tcPr>
            <w:tcBorders>
              <w:top w:val="nil"/>
              <w:left w:val="nil"/>
              <w:bottom w:val="nil"/>
              <w:right w:val="nil"/>
            </w:tcBorders>
            <w:vAlign w:val="bottom"/>
          </w:tcPr>
          <w:p w14:paraId="00000826">
            <w:pPr>
              <w:spacing w:after="0"/>
            </w:pPr>
          </w:p>
        </w:tc>
        <w:tc>
          <w:tcPr>
            <w:tcBorders>
              <w:top w:val="nil"/>
              <w:left w:val="nil"/>
              <w:bottom w:val="nil"/>
              <w:right w:val="nil"/>
            </w:tcBorders>
            <w:vAlign w:val="bottom"/>
          </w:tcPr>
          <w:p w14:paraId="00000827">
            <w:pPr>
              <w:spacing w:after="0"/>
            </w:pPr>
          </w:p>
        </w:tc>
        <w:tc>
          <w:tcPr>
            <w:tcBorders>
              <w:top w:val="nil"/>
              <w:left w:val="nil"/>
              <w:bottom w:val="nil"/>
              <w:right w:val="nil"/>
            </w:tcBorders>
            <w:vAlign w:val="bottom"/>
          </w:tcPr>
          <w:p w14:paraId="00000828">
            <w:pPr>
              <w:spacing w:after="0"/>
            </w:pPr>
          </w:p>
        </w:tc>
        <w:tc>
          <w:tcPr>
            <w:tcBorders>
              <w:top w:val="nil"/>
              <w:left w:val="nil"/>
              <w:bottom w:val="nil"/>
              <w:right w:val="nil"/>
            </w:tcBorders>
            <w:vAlign w:val="bottom"/>
          </w:tcPr>
          <w:p w14:paraId="00000829">
            <w:pPr>
              <w:spacing w:after="0"/>
            </w:pPr>
          </w:p>
        </w:tc>
        <w:tc>
          <w:tcPr>
            <w:tcBorders>
              <w:top w:val="nil"/>
              <w:left w:val="nil"/>
              <w:bottom w:val="nil"/>
              <w:right w:val="nil"/>
            </w:tcBorders>
            <w:vAlign w:val="bottom"/>
          </w:tcPr>
          <w:p w14:paraId="0000082A">
            <w:pPr>
              <w:spacing w:after="0"/>
            </w:pPr>
          </w:p>
        </w:tc>
        <w:tc>
          <w:tcPr>
            <w:tcBorders>
              <w:top w:val="nil"/>
              <w:left w:val="nil"/>
              <w:bottom w:val="nil"/>
              <w:right w:val="nil"/>
            </w:tcBorders>
            <w:vAlign w:val="bottom"/>
          </w:tcPr>
          <w:p w14:paraId="0000082B">
            <w:pPr>
              <w:spacing w:after="0"/>
            </w:pPr>
          </w:p>
        </w:tc>
        <w:tc>
          <w:tcPr>
            <w:tcBorders>
              <w:top w:val="nil"/>
              <w:left w:val="nil"/>
              <w:bottom w:val="nil"/>
              <w:right w:val="nil"/>
            </w:tcBorders>
            <w:vAlign w:val="bottom"/>
          </w:tcPr>
          <w:p w14:paraId="0000082C">
            <w:pPr>
              <w:spacing w:after="0"/>
            </w:pPr>
          </w:p>
        </w:tc>
        <w:tc>
          <w:tcPr>
            <w:tcBorders>
              <w:top w:val="nil"/>
              <w:left w:val="nil"/>
              <w:bottom w:val="nil"/>
              <w:right w:val="nil"/>
            </w:tcBorders>
            <w:vAlign w:val="bottom"/>
          </w:tcPr>
          <w:p w14:paraId="0000082D">
            <w:pPr>
              <w:spacing w:after="0"/>
            </w:pPr>
          </w:p>
        </w:tc>
        <w:tc>
          <w:tcPr>
            <w:tcBorders>
              <w:top w:val="nil"/>
              <w:left w:val="nil"/>
              <w:bottom w:val="nil"/>
              <w:right w:val="nil"/>
            </w:tcBorders>
            <w:vAlign w:val="bottom"/>
          </w:tcPr>
          <w:p w14:paraId="0000082E">
            <w:pPr>
              <w:spacing w:after="0"/>
            </w:pPr>
          </w:p>
        </w:tc>
        <w:tc>
          <w:tcPr>
            <w:tcBorders>
              <w:top w:val="nil"/>
              <w:left w:val="nil"/>
              <w:bottom w:val="nil"/>
              <w:right w:val="nil"/>
            </w:tcBorders>
            <w:vAlign w:val="bottom"/>
          </w:tcPr>
          <w:p w14:paraId="0000082F">
            <w:pPr>
              <w:spacing w:after="0"/>
            </w:pPr>
          </w:p>
        </w:tc>
      </w:tr>
      <w:tr w14:paraId="11192769">
        <w:tblPrEx>
          <w:tblCellMar>
            <w:top w:w="0" w:type="dxa"/>
            <w:left w:w="115" w:type="dxa"/>
            <w:bottom w:w="0" w:type="dxa"/>
            <w:right w:w="115" w:type="dxa"/>
          </w:tblCellMar>
        </w:tblPrEx>
        <w:trPr>
          <w:trHeight w:val="276" w:hRule="atLeast"/>
        </w:trPr>
        <w:tc>
          <w:tcPr>
            <w:gridSpan w:val="10"/>
            <w:tcBorders>
              <w:top w:val="nil"/>
              <w:left w:val="nil"/>
              <w:bottom w:val="nil"/>
              <w:right w:val="nil"/>
            </w:tcBorders>
            <w:vAlign w:val="center"/>
          </w:tcPr>
          <w:p w14:paraId="00000830">
            <w:pPr>
              <w:spacing w:after="0"/>
              <w:ind w:firstLine="241"/>
              <w:rPr>
                <w:b/>
                <w:bCs/>
              </w:rPr>
            </w:pPr>
            <w:r>
              <w:rPr>
                <w:b/>
                <w:bCs/>
                <w:rtl w:val="0"/>
              </w:rPr>
              <w:t>E (sales/assets)</w:t>
            </w:r>
            <w:r>
              <w:rPr>
                <w:rtl w:val="0"/>
              </w:rPr>
              <w:t xml:space="preserve"> remains healthy, indicating the firm still generates significant revenue from its asset base.</w:t>
            </w:r>
          </w:p>
        </w:tc>
        <w:tc>
          <w:tcPr>
            <w:tcBorders>
              <w:top w:val="nil"/>
              <w:left w:val="nil"/>
              <w:bottom w:val="nil"/>
              <w:right w:val="nil"/>
            </w:tcBorders>
            <w:vAlign w:val="bottom"/>
          </w:tcPr>
          <w:p w14:paraId="0000083A">
            <w:pPr>
              <w:spacing w:after="0"/>
              <w:ind w:firstLine="241"/>
              <w:rPr>
                <w:b/>
                <w:bCs/>
              </w:rPr>
            </w:pPr>
          </w:p>
        </w:tc>
        <w:tc>
          <w:tcPr>
            <w:tcBorders>
              <w:top w:val="nil"/>
              <w:left w:val="nil"/>
              <w:bottom w:val="nil"/>
              <w:right w:val="nil"/>
            </w:tcBorders>
            <w:vAlign w:val="bottom"/>
          </w:tcPr>
          <w:p w14:paraId="0000083B">
            <w:pPr>
              <w:spacing w:after="0"/>
            </w:pPr>
          </w:p>
        </w:tc>
        <w:tc>
          <w:tcPr>
            <w:tcBorders>
              <w:top w:val="nil"/>
              <w:left w:val="nil"/>
              <w:bottom w:val="nil"/>
              <w:right w:val="nil"/>
            </w:tcBorders>
            <w:vAlign w:val="bottom"/>
          </w:tcPr>
          <w:p w14:paraId="0000083C">
            <w:pPr>
              <w:spacing w:after="0"/>
            </w:pPr>
          </w:p>
        </w:tc>
        <w:tc>
          <w:tcPr>
            <w:tcBorders>
              <w:top w:val="nil"/>
              <w:left w:val="nil"/>
              <w:bottom w:val="nil"/>
              <w:right w:val="nil"/>
            </w:tcBorders>
            <w:vAlign w:val="bottom"/>
          </w:tcPr>
          <w:p w14:paraId="0000083D">
            <w:pPr>
              <w:spacing w:after="0"/>
            </w:pPr>
          </w:p>
        </w:tc>
        <w:tc>
          <w:tcPr>
            <w:tcBorders>
              <w:top w:val="nil"/>
              <w:left w:val="nil"/>
              <w:bottom w:val="nil"/>
              <w:right w:val="nil"/>
            </w:tcBorders>
            <w:vAlign w:val="bottom"/>
          </w:tcPr>
          <w:p w14:paraId="0000083E">
            <w:pPr>
              <w:spacing w:after="0"/>
            </w:pPr>
          </w:p>
        </w:tc>
        <w:tc>
          <w:tcPr>
            <w:tcBorders>
              <w:top w:val="nil"/>
              <w:left w:val="nil"/>
              <w:bottom w:val="nil"/>
              <w:right w:val="nil"/>
            </w:tcBorders>
            <w:vAlign w:val="bottom"/>
          </w:tcPr>
          <w:p w14:paraId="0000083F">
            <w:pPr>
              <w:spacing w:after="0"/>
            </w:pPr>
          </w:p>
        </w:tc>
        <w:tc>
          <w:tcPr>
            <w:tcBorders>
              <w:top w:val="nil"/>
              <w:left w:val="nil"/>
              <w:bottom w:val="nil"/>
              <w:right w:val="nil"/>
            </w:tcBorders>
            <w:vAlign w:val="bottom"/>
          </w:tcPr>
          <w:p w14:paraId="00000840">
            <w:pPr>
              <w:spacing w:after="0"/>
            </w:pPr>
          </w:p>
        </w:tc>
        <w:tc>
          <w:tcPr>
            <w:tcBorders>
              <w:top w:val="nil"/>
              <w:left w:val="nil"/>
              <w:bottom w:val="nil"/>
              <w:right w:val="nil"/>
            </w:tcBorders>
            <w:vAlign w:val="bottom"/>
          </w:tcPr>
          <w:p w14:paraId="00000841">
            <w:pPr>
              <w:spacing w:after="0"/>
            </w:pPr>
          </w:p>
        </w:tc>
        <w:tc>
          <w:tcPr>
            <w:tcBorders>
              <w:top w:val="nil"/>
              <w:left w:val="nil"/>
              <w:bottom w:val="nil"/>
              <w:right w:val="nil"/>
            </w:tcBorders>
            <w:vAlign w:val="bottom"/>
          </w:tcPr>
          <w:p w14:paraId="00000842">
            <w:pPr>
              <w:spacing w:after="0"/>
            </w:pPr>
          </w:p>
        </w:tc>
      </w:tr>
      <w:tr w14:paraId="3A769EE2">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843">
            <w:pPr>
              <w:spacing w:after="0"/>
            </w:pPr>
          </w:p>
        </w:tc>
        <w:tc>
          <w:tcPr>
            <w:tcBorders>
              <w:top w:val="nil"/>
              <w:left w:val="nil"/>
              <w:bottom w:val="nil"/>
              <w:right w:val="nil"/>
            </w:tcBorders>
            <w:vAlign w:val="bottom"/>
          </w:tcPr>
          <w:p w14:paraId="00000844">
            <w:pPr>
              <w:spacing w:after="0"/>
              <w:ind w:firstLine="240"/>
            </w:pPr>
          </w:p>
        </w:tc>
        <w:tc>
          <w:tcPr>
            <w:tcBorders>
              <w:top w:val="nil"/>
              <w:left w:val="nil"/>
              <w:bottom w:val="nil"/>
              <w:right w:val="nil"/>
            </w:tcBorders>
            <w:vAlign w:val="bottom"/>
          </w:tcPr>
          <w:p w14:paraId="00000845">
            <w:pPr>
              <w:spacing w:after="0"/>
            </w:pPr>
          </w:p>
        </w:tc>
        <w:tc>
          <w:tcPr>
            <w:tcBorders>
              <w:top w:val="nil"/>
              <w:left w:val="nil"/>
              <w:bottom w:val="nil"/>
              <w:right w:val="nil"/>
            </w:tcBorders>
            <w:vAlign w:val="bottom"/>
          </w:tcPr>
          <w:p w14:paraId="00000846">
            <w:pPr>
              <w:spacing w:after="0"/>
            </w:pPr>
          </w:p>
        </w:tc>
        <w:tc>
          <w:tcPr>
            <w:tcBorders>
              <w:top w:val="nil"/>
              <w:left w:val="nil"/>
              <w:bottom w:val="nil"/>
              <w:right w:val="nil"/>
            </w:tcBorders>
            <w:vAlign w:val="bottom"/>
          </w:tcPr>
          <w:p w14:paraId="00000847">
            <w:pPr>
              <w:spacing w:after="0"/>
            </w:pPr>
          </w:p>
        </w:tc>
        <w:tc>
          <w:tcPr>
            <w:tcBorders>
              <w:top w:val="nil"/>
              <w:left w:val="nil"/>
              <w:bottom w:val="nil"/>
              <w:right w:val="nil"/>
            </w:tcBorders>
            <w:vAlign w:val="bottom"/>
          </w:tcPr>
          <w:p w14:paraId="00000848">
            <w:pPr>
              <w:spacing w:after="0"/>
            </w:pPr>
          </w:p>
        </w:tc>
        <w:tc>
          <w:tcPr>
            <w:tcBorders>
              <w:top w:val="nil"/>
              <w:left w:val="nil"/>
              <w:bottom w:val="nil"/>
              <w:right w:val="nil"/>
            </w:tcBorders>
            <w:vAlign w:val="bottom"/>
          </w:tcPr>
          <w:p w14:paraId="00000849">
            <w:pPr>
              <w:spacing w:after="0"/>
            </w:pPr>
          </w:p>
        </w:tc>
        <w:tc>
          <w:tcPr>
            <w:tcBorders>
              <w:top w:val="nil"/>
              <w:left w:val="nil"/>
              <w:bottom w:val="nil"/>
              <w:right w:val="nil"/>
            </w:tcBorders>
            <w:vAlign w:val="bottom"/>
          </w:tcPr>
          <w:p w14:paraId="0000084A">
            <w:pPr>
              <w:spacing w:after="0"/>
            </w:pPr>
          </w:p>
        </w:tc>
        <w:tc>
          <w:tcPr>
            <w:tcBorders>
              <w:top w:val="nil"/>
              <w:left w:val="nil"/>
              <w:bottom w:val="nil"/>
              <w:right w:val="nil"/>
            </w:tcBorders>
            <w:vAlign w:val="bottom"/>
          </w:tcPr>
          <w:p w14:paraId="0000084B">
            <w:pPr>
              <w:spacing w:after="0"/>
            </w:pPr>
          </w:p>
        </w:tc>
        <w:tc>
          <w:tcPr>
            <w:tcBorders>
              <w:top w:val="nil"/>
              <w:left w:val="nil"/>
              <w:bottom w:val="nil"/>
              <w:right w:val="nil"/>
            </w:tcBorders>
            <w:vAlign w:val="bottom"/>
          </w:tcPr>
          <w:p w14:paraId="0000084C">
            <w:pPr>
              <w:spacing w:after="0"/>
            </w:pPr>
          </w:p>
        </w:tc>
        <w:tc>
          <w:tcPr>
            <w:tcBorders>
              <w:top w:val="nil"/>
              <w:left w:val="nil"/>
              <w:bottom w:val="nil"/>
              <w:right w:val="nil"/>
            </w:tcBorders>
            <w:vAlign w:val="bottom"/>
          </w:tcPr>
          <w:p w14:paraId="0000084D">
            <w:pPr>
              <w:spacing w:after="0"/>
            </w:pPr>
          </w:p>
        </w:tc>
        <w:tc>
          <w:tcPr>
            <w:tcBorders>
              <w:top w:val="nil"/>
              <w:left w:val="nil"/>
              <w:bottom w:val="nil"/>
              <w:right w:val="nil"/>
            </w:tcBorders>
            <w:vAlign w:val="bottom"/>
          </w:tcPr>
          <w:p w14:paraId="0000084E">
            <w:pPr>
              <w:spacing w:after="0"/>
            </w:pPr>
          </w:p>
        </w:tc>
        <w:tc>
          <w:tcPr>
            <w:tcBorders>
              <w:top w:val="nil"/>
              <w:left w:val="nil"/>
              <w:bottom w:val="nil"/>
              <w:right w:val="nil"/>
            </w:tcBorders>
            <w:vAlign w:val="bottom"/>
          </w:tcPr>
          <w:p w14:paraId="0000084F">
            <w:pPr>
              <w:spacing w:after="0"/>
            </w:pPr>
          </w:p>
        </w:tc>
        <w:tc>
          <w:tcPr>
            <w:tcBorders>
              <w:top w:val="nil"/>
              <w:left w:val="nil"/>
              <w:bottom w:val="nil"/>
              <w:right w:val="nil"/>
            </w:tcBorders>
            <w:vAlign w:val="bottom"/>
          </w:tcPr>
          <w:p w14:paraId="00000850">
            <w:pPr>
              <w:spacing w:after="0"/>
            </w:pPr>
          </w:p>
        </w:tc>
        <w:tc>
          <w:tcPr>
            <w:tcBorders>
              <w:top w:val="nil"/>
              <w:left w:val="nil"/>
              <w:bottom w:val="nil"/>
              <w:right w:val="nil"/>
            </w:tcBorders>
            <w:vAlign w:val="bottom"/>
          </w:tcPr>
          <w:p w14:paraId="00000851">
            <w:pPr>
              <w:spacing w:after="0"/>
            </w:pPr>
          </w:p>
        </w:tc>
        <w:tc>
          <w:tcPr>
            <w:tcBorders>
              <w:top w:val="nil"/>
              <w:left w:val="nil"/>
              <w:bottom w:val="nil"/>
              <w:right w:val="nil"/>
            </w:tcBorders>
            <w:vAlign w:val="bottom"/>
          </w:tcPr>
          <w:p w14:paraId="00000852">
            <w:pPr>
              <w:spacing w:after="0"/>
            </w:pPr>
          </w:p>
        </w:tc>
        <w:tc>
          <w:tcPr>
            <w:tcBorders>
              <w:top w:val="nil"/>
              <w:left w:val="nil"/>
              <w:bottom w:val="nil"/>
              <w:right w:val="nil"/>
            </w:tcBorders>
            <w:vAlign w:val="bottom"/>
          </w:tcPr>
          <w:p w14:paraId="00000853">
            <w:pPr>
              <w:spacing w:after="0"/>
            </w:pPr>
          </w:p>
        </w:tc>
        <w:tc>
          <w:tcPr>
            <w:tcBorders>
              <w:top w:val="nil"/>
              <w:left w:val="nil"/>
              <w:bottom w:val="nil"/>
              <w:right w:val="nil"/>
            </w:tcBorders>
            <w:vAlign w:val="bottom"/>
          </w:tcPr>
          <w:p w14:paraId="00000854">
            <w:pPr>
              <w:spacing w:after="0"/>
            </w:pPr>
          </w:p>
        </w:tc>
        <w:tc>
          <w:tcPr>
            <w:tcBorders>
              <w:top w:val="nil"/>
              <w:left w:val="nil"/>
              <w:bottom w:val="nil"/>
              <w:right w:val="nil"/>
            </w:tcBorders>
            <w:vAlign w:val="bottom"/>
          </w:tcPr>
          <w:p w14:paraId="00000855">
            <w:pPr>
              <w:spacing w:after="0"/>
            </w:pPr>
          </w:p>
        </w:tc>
      </w:tr>
      <w:tr w14:paraId="6304E616">
        <w:tblPrEx>
          <w:tblCellMar>
            <w:top w:w="0" w:type="dxa"/>
            <w:left w:w="115" w:type="dxa"/>
            <w:bottom w:w="0" w:type="dxa"/>
            <w:right w:w="115" w:type="dxa"/>
          </w:tblCellMar>
        </w:tblPrEx>
        <w:trPr>
          <w:trHeight w:val="276" w:hRule="atLeast"/>
        </w:trPr>
        <w:tc>
          <w:tcPr>
            <w:gridSpan w:val="19"/>
            <w:tcBorders>
              <w:top w:val="nil"/>
              <w:left w:val="nil"/>
              <w:bottom w:val="nil"/>
              <w:right w:val="nil"/>
            </w:tcBorders>
            <w:vAlign w:val="center"/>
          </w:tcPr>
          <w:p w14:paraId="00000856">
            <w:pPr>
              <w:spacing w:after="0"/>
              <w:ind w:firstLine="240"/>
            </w:pPr>
            <w:r>
              <w:rPr>
                <w:rtl w:val="0"/>
              </w:rPr>
              <w:t xml:space="preserve">However, </w:t>
            </w:r>
            <w:r>
              <w:rPr>
                <w:b/>
                <w:bCs/>
                <w:rtl w:val="0"/>
              </w:rPr>
              <w:t>C (EBIT / assets) is negative</w:t>
            </w:r>
            <w:r>
              <w:rPr>
                <w:rtl w:val="0"/>
              </w:rPr>
              <w:t>, which is a serious red flag. In Altman’s model, this is the most powerful predictor of distress. Negative operating earnings materially weaken the firm’s forward solvency outlook.</w:t>
            </w:r>
          </w:p>
        </w:tc>
      </w:tr>
      <w:tr w14:paraId="78E18648">
        <w:tblPrEx>
          <w:tblCellMar>
            <w:top w:w="0" w:type="dxa"/>
            <w:left w:w="115" w:type="dxa"/>
            <w:bottom w:w="0" w:type="dxa"/>
            <w:right w:w="115" w:type="dxa"/>
          </w:tblCellMar>
        </w:tblPrEx>
        <w:trPr>
          <w:trHeight w:val="276" w:hRule="atLeast"/>
        </w:trPr>
        <w:tc>
          <w:tcPr>
            <w:tcBorders>
              <w:top w:val="nil"/>
              <w:left w:val="nil"/>
              <w:bottom w:val="nil"/>
              <w:right w:val="nil"/>
            </w:tcBorders>
            <w:vAlign w:val="center"/>
          </w:tcPr>
          <w:p w14:paraId="00000869">
            <w:pPr>
              <w:spacing w:after="0"/>
              <w:ind w:firstLine="240"/>
            </w:pPr>
          </w:p>
        </w:tc>
        <w:tc>
          <w:tcPr>
            <w:tcBorders>
              <w:top w:val="nil"/>
              <w:left w:val="nil"/>
              <w:bottom w:val="nil"/>
              <w:right w:val="nil"/>
            </w:tcBorders>
            <w:vAlign w:val="bottom"/>
          </w:tcPr>
          <w:p w14:paraId="0000086A">
            <w:pPr>
              <w:spacing w:after="0"/>
              <w:ind w:firstLine="240"/>
            </w:pPr>
          </w:p>
        </w:tc>
        <w:tc>
          <w:tcPr>
            <w:tcBorders>
              <w:top w:val="nil"/>
              <w:left w:val="nil"/>
              <w:bottom w:val="nil"/>
              <w:right w:val="nil"/>
            </w:tcBorders>
            <w:vAlign w:val="bottom"/>
          </w:tcPr>
          <w:p w14:paraId="0000086B">
            <w:pPr>
              <w:spacing w:after="0"/>
            </w:pPr>
          </w:p>
        </w:tc>
        <w:tc>
          <w:tcPr>
            <w:tcBorders>
              <w:top w:val="nil"/>
              <w:left w:val="nil"/>
              <w:bottom w:val="nil"/>
              <w:right w:val="nil"/>
            </w:tcBorders>
            <w:vAlign w:val="bottom"/>
          </w:tcPr>
          <w:p w14:paraId="0000086C">
            <w:pPr>
              <w:spacing w:after="0"/>
            </w:pPr>
          </w:p>
        </w:tc>
        <w:tc>
          <w:tcPr>
            <w:tcBorders>
              <w:top w:val="nil"/>
              <w:left w:val="nil"/>
              <w:bottom w:val="nil"/>
              <w:right w:val="nil"/>
            </w:tcBorders>
            <w:vAlign w:val="bottom"/>
          </w:tcPr>
          <w:p w14:paraId="0000086D">
            <w:pPr>
              <w:spacing w:after="0"/>
            </w:pPr>
          </w:p>
        </w:tc>
        <w:tc>
          <w:tcPr>
            <w:tcBorders>
              <w:top w:val="nil"/>
              <w:left w:val="nil"/>
              <w:bottom w:val="nil"/>
              <w:right w:val="nil"/>
            </w:tcBorders>
            <w:vAlign w:val="bottom"/>
          </w:tcPr>
          <w:p w14:paraId="0000086E">
            <w:pPr>
              <w:spacing w:after="0"/>
            </w:pPr>
          </w:p>
        </w:tc>
        <w:tc>
          <w:tcPr>
            <w:tcBorders>
              <w:top w:val="nil"/>
              <w:left w:val="nil"/>
              <w:bottom w:val="nil"/>
              <w:right w:val="nil"/>
            </w:tcBorders>
            <w:vAlign w:val="bottom"/>
          </w:tcPr>
          <w:p w14:paraId="0000086F">
            <w:pPr>
              <w:spacing w:after="0"/>
            </w:pPr>
          </w:p>
        </w:tc>
        <w:tc>
          <w:tcPr>
            <w:tcBorders>
              <w:top w:val="nil"/>
              <w:left w:val="nil"/>
              <w:bottom w:val="nil"/>
              <w:right w:val="nil"/>
            </w:tcBorders>
            <w:vAlign w:val="bottom"/>
          </w:tcPr>
          <w:p w14:paraId="00000870">
            <w:pPr>
              <w:spacing w:after="0"/>
            </w:pPr>
          </w:p>
        </w:tc>
        <w:tc>
          <w:tcPr>
            <w:tcBorders>
              <w:top w:val="nil"/>
              <w:left w:val="nil"/>
              <w:bottom w:val="nil"/>
              <w:right w:val="nil"/>
            </w:tcBorders>
            <w:vAlign w:val="bottom"/>
          </w:tcPr>
          <w:p w14:paraId="00000871">
            <w:pPr>
              <w:spacing w:after="0"/>
            </w:pPr>
          </w:p>
        </w:tc>
        <w:tc>
          <w:tcPr>
            <w:tcBorders>
              <w:top w:val="nil"/>
              <w:left w:val="nil"/>
              <w:bottom w:val="nil"/>
              <w:right w:val="nil"/>
            </w:tcBorders>
            <w:vAlign w:val="bottom"/>
          </w:tcPr>
          <w:p w14:paraId="00000872">
            <w:pPr>
              <w:spacing w:after="0"/>
            </w:pPr>
          </w:p>
        </w:tc>
        <w:tc>
          <w:tcPr>
            <w:tcBorders>
              <w:top w:val="nil"/>
              <w:left w:val="nil"/>
              <w:bottom w:val="nil"/>
              <w:right w:val="nil"/>
            </w:tcBorders>
            <w:vAlign w:val="bottom"/>
          </w:tcPr>
          <w:p w14:paraId="00000873">
            <w:pPr>
              <w:spacing w:after="0"/>
            </w:pPr>
          </w:p>
        </w:tc>
        <w:tc>
          <w:tcPr>
            <w:tcBorders>
              <w:top w:val="nil"/>
              <w:left w:val="nil"/>
              <w:bottom w:val="nil"/>
              <w:right w:val="nil"/>
            </w:tcBorders>
            <w:vAlign w:val="bottom"/>
          </w:tcPr>
          <w:p w14:paraId="00000874">
            <w:pPr>
              <w:spacing w:after="0"/>
            </w:pPr>
          </w:p>
        </w:tc>
        <w:tc>
          <w:tcPr>
            <w:tcBorders>
              <w:top w:val="nil"/>
              <w:left w:val="nil"/>
              <w:bottom w:val="nil"/>
              <w:right w:val="nil"/>
            </w:tcBorders>
            <w:vAlign w:val="bottom"/>
          </w:tcPr>
          <w:p w14:paraId="00000875">
            <w:pPr>
              <w:spacing w:after="0"/>
            </w:pPr>
          </w:p>
        </w:tc>
        <w:tc>
          <w:tcPr>
            <w:tcBorders>
              <w:top w:val="nil"/>
              <w:left w:val="nil"/>
              <w:bottom w:val="nil"/>
              <w:right w:val="nil"/>
            </w:tcBorders>
            <w:vAlign w:val="bottom"/>
          </w:tcPr>
          <w:p w14:paraId="00000876">
            <w:pPr>
              <w:spacing w:after="0"/>
            </w:pPr>
          </w:p>
        </w:tc>
        <w:tc>
          <w:tcPr>
            <w:tcBorders>
              <w:top w:val="nil"/>
              <w:left w:val="nil"/>
              <w:bottom w:val="nil"/>
              <w:right w:val="nil"/>
            </w:tcBorders>
            <w:vAlign w:val="bottom"/>
          </w:tcPr>
          <w:p w14:paraId="00000877">
            <w:pPr>
              <w:spacing w:after="0"/>
            </w:pPr>
          </w:p>
        </w:tc>
        <w:tc>
          <w:tcPr>
            <w:tcBorders>
              <w:top w:val="nil"/>
              <w:left w:val="nil"/>
              <w:bottom w:val="nil"/>
              <w:right w:val="nil"/>
            </w:tcBorders>
            <w:vAlign w:val="bottom"/>
          </w:tcPr>
          <w:p w14:paraId="00000878">
            <w:pPr>
              <w:spacing w:after="0"/>
            </w:pPr>
          </w:p>
        </w:tc>
        <w:tc>
          <w:tcPr>
            <w:tcBorders>
              <w:top w:val="nil"/>
              <w:left w:val="nil"/>
              <w:bottom w:val="nil"/>
              <w:right w:val="nil"/>
            </w:tcBorders>
            <w:vAlign w:val="bottom"/>
          </w:tcPr>
          <w:p w14:paraId="00000879">
            <w:pPr>
              <w:spacing w:after="0"/>
            </w:pPr>
          </w:p>
        </w:tc>
        <w:tc>
          <w:tcPr>
            <w:tcBorders>
              <w:top w:val="nil"/>
              <w:left w:val="nil"/>
              <w:bottom w:val="nil"/>
              <w:right w:val="nil"/>
            </w:tcBorders>
            <w:vAlign w:val="bottom"/>
          </w:tcPr>
          <w:p w14:paraId="0000087A">
            <w:pPr>
              <w:spacing w:after="0"/>
            </w:pPr>
          </w:p>
        </w:tc>
        <w:tc>
          <w:tcPr>
            <w:tcBorders>
              <w:top w:val="nil"/>
              <w:left w:val="nil"/>
              <w:bottom w:val="nil"/>
              <w:right w:val="nil"/>
            </w:tcBorders>
            <w:vAlign w:val="bottom"/>
          </w:tcPr>
          <w:p w14:paraId="0000087B">
            <w:pPr>
              <w:spacing w:after="0"/>
            </w:pPr>
          </w:p>
        </w:tc>
      </w:tr>
      <w:tr w14:paraId="18E207F8">
        <w:tblPrEx>
          <w:tblCellMar>
            <w:top w:w="0" w:type="dxa"/>
            <w:left w:w="115" w:type="dxa"/>
            <w:bottom w:w="0" w:type="dxa"/>
            <w:right w:w="115" w:type="dxa"/>
          </w:tblCellMar>
        </w:tblPrEx>
        <w:trPr>
          <w:trHeight w:val="276" w:hRule="atLeast"/>
        </w:trPr>
        <w:tc>
          <w:tcPr>
            <w:gridSpan w:val="10"/>
            <w:tcBorders>
              <w:top w:val="nil"/>
              <w:left w:val="nil"/>
              <w:bottom w:val="nil"/>
              <w:right w:val="nil"/>
            </w:tcBorders>
            <w:vAlign w:val="center"/>
          </w:tcPr>
          <w:p w14:paraId="0000087C">
            <w:pPr>
              <w:spacing w:after="0"/>
              <w:ind w:firstLine="241"/>
              <w:rPr>
                <w:b/>
                <w:bCs/>
              </w:rPr>
            </w:pPr>
            <w:r>
              <w:rPr>
                <w:b/>
                <w:bCs/>
                <w:rtl w:val="0"/>
              </w:rPr>
              <w:t>D (market value of equity/liabilities)</w:t>
            </w:r>
            <w:r>
              <w:rPr>
                <w:rtl w:val="0"/>
              </w:rPr>
              <w:t xml:space="preserve"> below 1 suggests the market is already discounting financial risk.</w:t>
            </w:r>
          </w:p>
        </w:tc>
        <w:tc>
          <w:tcPr>
            <w:tcBorders>
              <w:top w:val="nil"/>
              <w:left w:val="nil"/>
              <w:bottom w:val="nil"/>
              <w:right w:val="nil"/>
            </w:tcBorders>
            <w:vAlign w:val="bottom"/>
          </w:tcPr>
          <w:p w14:paraId="00000886">
            <w:pPr>
              <w:spacing w:after="0"/>
              <w:ind w:firstLine="241"/>
              <w:rPr>
                <w:b/>
                <w:bCs/>
              </w:rPr>
            </w:pPr>
          </w:p>
        </w:tc>
        <w:tc>
          <w:tcPr>
            <w:tcBorders>
              <w:top w:val="nil"/>
              <w:left w:val="nil"/>
              <w:bottom w:val="nil"/>
              <w:right w:val="nil"/>
            </w:tcBorders>
            <w:vAlign w:val="bottom"/>
          </w:tcPr>
          <w:p w14:paraId="00000887">
            <w:pPr>
              <w:spacing w:after="0"/>
            </w:pPr>
          </w:p>
        </w:tc>
        <w:tc>
          <w:tcPr>
            <w:tcBorders>
              <w:top w:val="nil"/>
              <w:left w:val="nil"/>
              <w:bottom w:val="nil"/>
              <w:right w:val="nil"/>
            </w:tcBorders>
            <w:vAlign w:val="bottom"/>
          </w:tcPr>
          <w:p w14:paraId="00000888">
            <w:pPr>
              <w:spacing w:after="0"/>
            </w:pPr>
          </w:p>
        </w:tc>
        <w:tc>
          <w:tcPr>
            <w:tcBorders>
              <w:top w:val="nil"/>
              <w:left w:val="nil"/>
              <w:bottom w:val="nil"/>
              <w:right w:val="nil"/>
            </w:tcBorders>
            <w:vAlign w:val="bottom"/>
          </w:tcPr>
          <w:p w14:paraId="00000889">
            <w:pPr>
              <w:spacing w:after="0"/>
            </w:pPr>
          </w:p>
        </w:tc>
        <w:tc>
          <w:tcPr>
            <w:tcBorders>
              <w:top w:val="nil"/>
              <w:left w:val="nil"/>
              <w:bottom w:val="nil"/>
              <w:right w:val="nil"/>
            </w:tcBorders>
            <w:vAlign w:val="bottom"/>
          </w:tcPr>
          <w:p w14:paraId="0000088A">
            <w:pPr>
              <w:spacing w:after="0"/>
            </w:pPr>
          </w:p>
        </w:tc>
        <w:tc>
          <w:tcPr>
            <w:tcBorders>
              <w:top w:val="nil"/>
              <w:left w:val="nil"/>
              <w:bottom w:val="nil"/>
              <w:right w:val="nil"/>
            </w:tcBorders>
            <w:vAlign w:val="bottom"/>
          </w:tcPr>
          <w:p w14:paraId="0000088B">
            <w:pPr>
              <w:spacing w:after="0"/>
            </w:pPr>
          </w:p>
        </w:tc>
        <w:tc>
          <w:tcPr>
            <w:tcBorders>
              <w:top w:val="nil"/>
              <w:left w:val="nil"/>
              <w:bottom w:val="nil"/>
              <w:right w:val="nil"/>
            </w:tcBorders>
            <w:vAlign w:val="bottom"/>
          </w:tcPr>
          <w:p w14:paraId="0000088C">
            <w:pPr>
              <w:spacing w:after="0"/>
            </w:pPr>
          </w:p>
        </w:tc>
        <w:tc>
          <w:tcPr>
            <w:tcBorders>
              <w:top w:val="nil"/>
              <w:left w:val="nil"/>
              <w:bottom w:val="nil"/>
              <w:right w:val="nil"/>
            </w:tcBorders>
            <w:vAlign w:val="bottom"/>
          </w:tcPr>
          <w:p w14:paraId="0000088D">
            <w:pPr>
              <w:spacing w:after="0"/>
            </w:pPr>
          </w:p>
        </w:tc>
        <w:tc>
          <w:tcPr>
            <w:tcBorders>
              <w:top w:val="nil"/>
              <w:left w:val="nil"/>
              <w:bottom w:val="nil"/>
              <w:right w:val="nil"/>
            </w:tcBorders>
            <w:vAlign w:val="bottom"/>
          </w:tcPr>
          <w:p w14:paraId="0000088E">
            <w:pPr>
              <w:spacing w:after="0"/>
            </w:pPr>
          </w:p>
        </w:tc>
      </w:tr>
      <w:tr w14:paraId="440C79BB">
        <w:tblPrEx>
          <w:tblCellMar>
            <w:top w:w="0" w:type="dxa"/>
            <w:left w:w="115" w:type="dxa"/>
            <w:bottom w:w="0" w:type="dxa"/>
            <w:right w:w="115" w:type="dxa"/>
          </w:tblCellMar>
        </w:tblPrEx>
        <w:trPr>
          <w:trHeight w:val="276" w:hRule="atLeast"/>
        </w:trPr>
        <w:tc>
          <w:tcPr>
            <w:tcBorders>
              <w:top w:val="nil"/>
              <w:left w:val="nil"/>
              <w:bottom w:val="nil"/>
              <w:right w:val="nil"/>
            </w:tcBorders>
            <w:vAlign w:val="bottom"/>
          </w:tcPr>
          <w:p w14:paraId="0000088F">
            <w:pPr>
              <w:spacing w:after="0"/>
            </w:pPr>
          </w:p>
        </w:tc>
        <w:tc>
          <w:tcPr>
            <w:tcBorders>
              <w:top w:val="nil"/>
              <w:left w:val="nil"/>
              <w:bottom w:val="nil"/>
              <w:right w:val="nil"/>
            </w:tcBorders>
            <w:vAlign w:val="bottom"/>
          </w:tcPr>
          <w:p w14:paraId="00000890">
            <w:pPr>
              <w:spacing w:after="0"/>
            </w:pPr>
          </w:p>
        </w:tc>
        <w:tc>
          <w:tcPr>
            <w:tcBorders>
              <w:top w:val="nil"/>
              <w:left w:val="nil"/>
              <w:bottom w:val="nil"/>
              <w:right w:val="nil"/>
            </w:tcBorders>
            <w:vAlign w:val="bottom"/>
          </w:tcPr>
          <w:p w14:paraId="00000891">
            <w:pPr>
              <w:spacing w:after="0"/>
            </w:pPr>
          </w:p>
        </w:tc>
        <w:tc>
          <w:tcPr>
            <w:tcBorders>
              <w:top w:val="nil"/>
              <w:left w:val="nil"/>
              <w:bottom w:val="nil"/>
              <w:right w:val="nil"/>
            </w:tcBorders>
            <w:vAlign w:val="bottom"/>
          </w:tcPr>
          <w:p w14:paraId="00000892">
            <w:pPr>
              <w:spacing w:after="0"/>
            </w:pPr>
          </w:p>
        </w:tc>
        <w:tc>
          <w:tcPr>
            <w:tcBorders>
              <w:top w:val="nil"/>
              <w:left w:val="nil"/>
              <w:bottom w:val="nil"/>
              <w:right w:val="nil"/>
            </w:tcBorders>
            <w:vAlign w:val="bottom"/>
          </w:tcPr>
          <w:p w14:paraId="00000893">
            <w:pPr>
              <w:spacing w:after="0"/>
            </w:pPr>
          </w:p>
        </w:tc>
        <w:tc>
          <w:tcPr>
            <w:tcBorders>
              <w:top w:val="nil"/>
              <w:left w:val="nil"/>
              <w:bottom w:val="nil"/>
              <w:right w:val="nil"/>
            </w:tcBorders>
            <w:vAlign w:val="bottom"/>
          </w:tcPr>
          <w:p w14:paraId="00000894">
            <w:pPr>
              <w:spacing w:after="0"/>
            </w:pPr>
          </w:p>
        </w:tc>
        <w:tc>
          <w:tcPr>
            <w:tcBorders>
              <w:top w:val="nil"/>
              <w:left w:val="nil"/>
              <w:bottom w:val="nil"/>
              <w:right w:val="nil"/>
            </w:tcBorders>
            <w:vAlign w:val="bottom"/>
          </w:tcPr>
          <w:p w14:paraId="00000895">
            <w:pPr>
              <w:spacing w:after="0"/>
            </w:pPr>
          </w:p>
        </w:tc>
        <w:tc>
          <w:tcPr>
            <w:tcBorders>
              <w:top w:val="nil"/>
              <w:left w:val="nil"/>
              <w:bottom w:val="nil"/>
              <w:right w:val="nil"/>
            </w:tcBorders>
            <w:vAlign w:val="bottom"/>
          </w:tcPr>
          <w:p w14:paraId="00000896">
            <w:pPr>
              <w:spacing w:after="0"/>
            </w:pPr>
          </w:p>
        </w:tc>
        <w:tc>
          <w:tcPr>
            <w:tcBorders>
              <w:top w:val="nil"/>
              <w:left w:val="nil"/>
              <w:bottom w:val="nil"/>
              <w:right w:val="nil"/>
            </w:tcBorders>
            <w:vAlign w:val="bottom"/>
          </w:tcPr>
          <w:p w14:paraId="00000897">
            <w:pPr>
              <w:spacing w:after="0"/>
            </w:pPr>
          </w:p>
        </w:tc>
        <w:tc>
          <w:tcPr>
            <w:tcBorders>
              <w:top w:val="nil"/>
              <w:left w:val="nil"/>
              <w:bottom w:val="nil"/>
              <w:right w:val="nil"/>
            </w:tcBorders>
            <w:vAlign w:val="bottom"/>
          </w:tcPr>
          <w:p w14:paraId="00000898">
            <w:pPr>
              <w:spacing w:after="0"/>
            </w:pPr>
          </w:p>
        </w:tc>
        <w:tc>
          <w:tcPr>
            <w:tcBorders>
              <w:top w:val="nil"/>
              <w:left w:val="nil"/>
              <w:bottom w:val="nil"/>
              <w:right w:val="nil"/>
            </w:tcBorders>
            <w:vAlign w:val="bottom"/>
          </w:tcPr>
          <w:p w14:paraId="00000899">
            <w:pPr>
              <w:spacing w:after="0"/>
            </w:pPr>
          </w:p>
        </w:tc>
        <w:tc>
          <w:tcPr>
            <w:tcBorders>
              <w:top w:val="nil"/>
              <w:left w:val="nil"/>
              <w:bottom w:val="nil"/>
              <w:right w:val="nil"/>
            </w:tcBorders>
            <w:vAlign w:val="bottom"/>
          </w:tcPr>
          <w:p w14:paraId="0000089A">
            <w:pPr>
              <w:spacing w:after="0"/>
            </w:pPr>
          </w:p>
        </w:tc>
        <w:tc>
          <w:tcPr>
            <w:tcBorders>
              <w:top w:val="nil"/>
              <w:left w:val="nil"/>
              <w:bottom w:val="nil"/>
              <w:right w:val="nil"/>
            </w:tcBorders>
            <w:vAlign w:val="bottom"/>
          </w:tcPr>
          <w:p w14:paraId="0000089B">
            <w:pPr>
              <w:spacing w:after="0"/>
            </w:pPr>
          </w:p>
        </w:tc>
        <w:tc>
          <w:tcPr>
            <w:tcBorders>
              <w:top w:val="nil"/>
              <w:left w:val="nil"/>
              <w:bottom w:val="nil"/>
              <w:right w:val="nil"/>
            </w:tcBorders>
            <w:vAlign w:val="bottom"/>
          </w:tcPr>
          <w:p w14:paraId="0000089C">
            <w:pPr>
              <w:spacing w:after="0"/>
            </w:pPr>
          </w:p>
        </w:tc>
        <w:tc>
          <w:tcPr>
            <w:tcBorders>
              <w:top w:val="nil"/>
              <w:left w:val="nil"/>
              <w:bottom w:val="nil"/>
              <w:right w:val="nil"/>
            </w:tcBorders>
            <w:vAlign w:val="bottom"/>
          </w:tcPr>
          <w:p w14:paraId="0000089D">
            <w:pPr>
              <w:spacing w:after="0"/>
            </w:pPr>
          </w:p>
        </w:tc>
        <w:tc>
          <w:tcPr>
            <w:tcBorders>
              <w:top w:val="nil"/>
              <w:left w:val="nil"/>
              <w:bottom w:val="nil"/>
              <w:right w:val="nil"/>
            </w:tcBorders>
            <w:vAlign w:val="bottom"/>
          </w:tcPr>
          <w:p w14:paraId="0000089E">
            <w:pPr>
              <w:spacing w:after="0"/>
            </w:pPr>
          </w:p>
        </w:tc>
        <w:tc>
          <w:tcPr>
            <w:tcBorders>
              <w:top w:val="nil"/>
              <w:left w:val="nil"/>
              <w:bottom w:val="nil"/>
              <w:right w:val="nil"/>
            </w:tcBorders>
            <w:vAlign w:val="bottom"/>
          </w:tcPr>
          <w:p w14:paraId="0000089F">
            <w:pPr>
              <w:spacing w:after="0"/>
            </w:pPr>
          </w:p>
        </w:tc>
        <w:tc>
          <w:tcPr>
            <w:tcBorders>
              <w:top w:val="nil"/>
              <w:left w:val="nil"/>
              <w:bottom w:val="nil"/>
              <w:right w:val="nil"/>
            </w:tcBorders>
            <w:vAlign w:val="bottom"/>
          </w:tcPr>
          <w:p w14:paraId="000008A0">
            <w:pPr>
              <w:spacing w:after="0"/>
            </w:pPr>
          </w:p>
        </w:tc>
        <w:tc>
          <w:tcPr>
            <w:tcBorders>
              <w:top w:val="nil"/>
              <w:left w:val="nil"/>
              <w:bottom w:val="nil"/>
              <w:right w:val="nil"/>
            </w:tcBorders>
            <w:vAlign w:val="bottom"/>
          </w:tcPr>
          <w:p w14:paraId="000008A1">
            <w:pPr>
              <w:spacing w:after="0"/>
            </w:pPr>
          </w:p>
        </w:tc>
      </w:tr>
    </w:tbl>
    <w:p w14:paraId="000008A2"/>
    <w:p w14:paraId="000008A3">
      <w:pPr>
        <w:pStyle w:val="3"/>
      </w:pPr>
      <w:bookmarkStart w:id="37" w:name="_571dbsbnnnnz" w:colFirst="0" w:colLast="0"/>
      <w:bookmarkEnd w:id="37"/>
      <w:r>
        <w:rPr>
          <w:rtl w:val="0"/>
        </w:rPr>
        <w:t>Appendix F</w:t>
      </w:r>
    </w:p>
    <w:tbl>
      <w:tblPr>
        <w:tblStyle w:val="22"/>
        <w:tblW w:w="6346" w:type="dxa"/>
        <w:tblInd w:w="0" w:type="dxa"/>
        <w:tblLayout w:type="fixed"/>
        <w:tblCellMar>
          <w:top w:w="0" w:type="dxa"/>
          <w:left w:w="115" w:type="dxa"/>
          <w:bottom w:w="0" w:type="dxa"/>
          <w:right w:w="115" w:type="dxa"/>
        </w:tblCellMar>
      </w:tblPr>
      <w:tblGrid>
        <w:gridCol w:w="1323"/>
        <w:gridCol w:w="1270"/>
        <w:gridCol w:w="960"/>
        <w:gridCol w:w="1403"/>
        <w:gridCol w:w="1390"/>
      </w:tblGrid>
      <w:tr w14:paraId="5A33AB76">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8A4">
            <w:pPr>
              <w:spacing w:after="0"/>
              <w:rPr>
                <w:b/>
                <w:bCs/>
              </w:rPr>
            </w:pPr>
            <w:r>
              <w:rPr>
                <w:b/>
                <w:bCs/>
                <w:rtl w:val="0"/>
              </w:rPr>
              <w:t xml:space="preserve"> Operating Cycle (Days)</w:t>
            </w:r>
          </w:p>
        </w:tc>
        <w:tc>
          <w:tcPr>
            <w:tcBorders>
              <w:top w:val="nil"/>
              <w:left w:val="nil"/>
              <w:bottom w:val="nil"/>
              <w:right w:val="nil"/>
            </w:tcBorders>
            <w:vAlign w:val="bottom"/>
          </w:tcPr>
          <w:p w14:paraId="000008A6">
            <w:pPr>
              <w:spacing w:after="0"/>
              <w:rPr>
                <w:b/>
                <w:bCs/>
              </w:rPr>
            </w:pPr>
          </w:p>
        </w:tc>
        <w:tc>
          <w:tcPr>
            <w:tcBorders>
              <w:top w:val="nil"/>
              <w:left w:val="nil"/>
              <w:bottom w:val="nil"/>
              <w:right w:val="nil"/>
            </w:tcBorders>
            <w:vAlign w:val="bottom"/>
          </w:tcPr>
          <w:p w14:paraId="000008A7">
            <w:pPr>
              <w:spacing w:after="0"/>
            </w:pPr>
          </w:p>
        </w:tc>
        <w:tc>
          <w:tcPr>
            <w:tcBorders>
              <w:top w:val="nil"/>
              <w:left w:val="nil"/>
              <w:bottom w:val="nil"/>
              <w:right w:val="nil"/>
            </w:tcBorders>
            <w:vAlign w:val="bottom"/>
          </w:tcPr>
          <w:p w14:paraId="000008A8">
            <w:pPr>
              <w:spacing w:after="0"/>
            </w:pPr>
          </w:p>
        </w:tc>
      </w:tr>
      <w:tr w14:paraId="6C497C8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A9">
            <w:pPr>
              <w:spacing w:after="0"/>
            </w:pPr>
          </w:p>
        </w:tc>
        <w:tc>
          <w:tcPr>
            <w:tcBorders>
              <w:top w:val="nil"/>
              <w:left w:val="nil"/>
              <w:bottom w:val="nil"/>
              <w:right w:val="nil"/>
            </w:tcBorders>
            <w:vAlign w:val="bottom"/>
          </w:tcPr>
          <w:p w14:paraId="000008AA">
            <w:pPr>
              <w:spacing w:after="0"/>
            </w:pPr>
          </w:p>
        </w:tc>
        <w:tc>
          <w:tcPr>
            <w:tcBorders>
              <w:top w:val="nil"/>
              <w:left w:val="nil"/>
              <w:bottom w:val="nil"/>
              <w:right w:val="nil"/>
            </w:tcBorders>
            <w:vAlign w:val="bottom"/>
          </w:tcPr>
          <w:p w14:paraId="000008AB">
            <w:pPr>
              <w:spacing w:after="0"/>
            </w:pPr>
          </w:p>
        </w:tc>
        <w:tc>
          <w:tcPr>
            <w:tcBorders>
              <w:top w:val="nil"/>
              <w:left w:val="nil"/>
              <w:bottom w:val="nil"/>
              <w:right w:val="nil"/>
            </w:tcBorders>
            <w:vAlign w:val="bottom"/>
          </w:tcPr>
          <w:p w14:paraId="000008AC">
            <w:pPr>
              <w:spacing w:after="0"/>
            </w:pPr>
          </w:p>
        </w:tc>
        <w:tc>
          <w:tcPr>
            <w:tcBorders>
              <w:top w:val="nil"/>
              <w:left w:val="nil"/>
              <w:bottom w:val="nil"/>
              <w:right w:val="nil"/>
            </w:tcBorders>
            <w:vAlign w:val="bottom"/>
          </w:tcPr>
          <w:p w14:paraId="000008AD">
            <w:pPr>
              <w:spacing w:after="0"/>
            </w:pPr>
          </w:p>
        </w:tc>
      </w:tr>
      <w:tr w14:paraId="26C4346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AE">
            <w:pPr>
              <w:spacing w:after="0"/>
              <w:rPr>
                <w:b/>
                <w:bCs/>
              </w:rPr>
            </w:pPr>
            <w:r>
              <w:rPr>
                <w:b/>
                <w:bCs/>
                <w:rtl w:val="0"/>
              </w:rPr>
              <w:t>Definition:</w:t>
            </w:r>
          </w:p>
        </w:tc>
        <w:tc>
          <w:tcPr>
            <w:tcBorders>
              <w:top w:val="nil"/>
              <w:left w:val="nil"/>
              <w:bottom w:val="nil"/>
              <w:right w:val="nil"/>
            </w:tcBorders>
            <w:vAlign w:val="bottom"/>
          </w:tcPr>
          <w:p w14:paraId="000008AF">
            <w:pPr>
              <w:spacing w:after="0"/>
              <w:rPr>
                <w:b/>
                <w:bCs/>
              </w:rPr>
            </w:pPr>
          </w:p>
        </w:tc>
        <w:tc>
          <w:tcPr>
            <w:tcBorders>
              <w:top w:val="nil"/>
              <w:left w:val="nil"/>
              <w:bottom w:val="nil"/>
              <w:right w:val="nil"/>
            </w:tcBorders>
            <w:vAlign w:val="bottom"/>
          </w:tcPr>
          <w:p w14:paraId="000008B0">
            <w:pPr>
              <w:spacing w:after="0"/>
            </w:pPr>
          </w:p>
        </w:tc>
        <w:tc>
          <w:tcPr>
            <w:tcBorders>
              <w:top w:val="nil"/>
              <w:left w:val="nil"/>
              <w:bottom w:val="nil"/>
              <w:right w:val="nil"/>
            </w:tcBorders>
            <w:vAlign w:val="bottom"/>
          </w:tcPr>
          <w:p w14:paraId="000008B1">
            <w:pPr>
              <w:spacing w:after="0"/>
            </w:pPr>
          </w:p>
        </w:tc>
        <w:tc>
          <w:tcPr>
            <w:tcBorders>
              <w:top w:val="nil"/>
              <w:left w:val="nil"/>
              <w:bottom w:val="nil"/>
              <w:right w:val="nil"/>
            </w:tcBorders>
            <w:vAlign w:val="bottom"/>
          </w:tcPr>
          <w:p w14:paraId="000008B2">
            <w:pPr>
              <w:spacing w:after="0"/>
            </w:pPr>
          </w:p>
        </w:tc>
      </w:tr>
      <w:tr w14:paraId="01F880AB">
        <w:tblPrEx>
          <w:tblCellMar>
            <w:top w:w="0" w:type="dxa"/>
            <w:left w:w="115" w:type="dxa"/>
            <w:bottom w:w="0" w:type="dxa"/>
            <w:right w:w="115" w:type="dxa"/>
          </w:tblCellMar>
        </w:tblPrEx>
        <w:trPr>
          <w:trHeight w:val="288" w:hRule="atLeast"/>
        </w:trPr>
        <w:tc>
          <w:tcPr>
            <w:gridSpan w:val="5"/>
            <w:tcBorders>
              <w:top w:val="nil"/>
              <w:left w:val="nil"/>
              <w:bottom w:val="nil"/>
              <w:right w:val="nil"/>
            </w:tcBorders>
            <w:vAlign w:val="bottom"/>
          </w:tcPr>
          <w:p w14:paraId="000008B3">
            <w:pPr>
              <w:spacing w:after="0"/>
            </w:pPr>
            <w:r>
              <w:rPr>
                <w:rtl w:val="0"/>
              </w:rPr>
              <w:t>Operating Cycle = Days Inventory Outstanding (DIO) + Days Sales Outstanding (DSO)</w:t>
            </w:r>
          </w:p>
        </w:tc>
      </w:tr>
      <w:tr w14:paraId="38FD864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B8">
            <w:pPr>
              <w:spacing w:after="0"/>
            </w:pPr>
          </w:p>
        </w:tc>
        <w:tc>
          <w:tcPr>
            <w:tcBorders>
              <w:top w:val="nil"/>
              <w:left w:val="nil"/>
              <w:bottom w:val="nil"/>
              <w:right w:val="nil"/>
            </w:tcBorders>
            <w:vAlign w:val="bottom"/>
          </w:tcPr>
          <w:p w14:paraId="000008B9">
            <w:pPr>
              <w:spacing w:after="0"/>
            </w:pPr>
          </w:p>
        </w:tc>
        <w:tc>
          <w:tcPr>
            <w:tcBorders>
              <w:top w:val="nil"/>
              <w:left w:val="nil"/>
              <w:bottom w:val="nil"/>
              <w:right w:val="nil"/>
            </w:tcBorders>
            <w:vAlign w:val="bottom"/>
          </w:tcPr>
          <w:p w14:paraId="000008BA">
            <w:pPr>
              <w:spacing w:after="0"/>
            </w:pPr>
          </w:p>
        </w:tc>
        <w:tc>
          <w:tcPr>
            <w:tcBorders>
              <w:top w:val="nil"/>
              <w:left w:val="nil"/>
              <w:bottom w:val="nil"/>
              <w:right w:val="nil"/>
            </w:tcBorders>
            <w:vAlign w:val="bottom"/>
          </w:tcPr>
          <w:p w14:paraId="000008BB">
            <w:pPr>
              <w:spacing w:after="0"/>
            </w:pPr>
          </w:p>
        </w:tc>
        <w:tc>
          <w:tcPr>
            <w:tcBorders>
              <w:top w:val="nil"/>
              <w:left w:val="nil"/>
              <w:bottom w:val="nil"/>
              <w:right w:val="nil"/>
            </w:tcBorders>
            <w:vAlign w:val="bottom"/>
          </w:tcPr>
          <w:p w14:paraId="000008BC">
            <w:pPr>
              <w:spacing w:after="0"/>
            </w:pPr>
          </w:p>
        </w:tc>
      </w:tr>
      <w:tr w14:paraId="5749C1EB">
        <w:tblPrEx>
          <w:tblCellMar>
            <w:top w:w="0" w:type="dxa"/>
            <w:left w:w="115" w:type="dxa"/>
            <w:bottom w:w="0" w:type="dxa"/>
            <w:right w:w="115" w:type="dxa"/>
          </w:tblCellMar>
        </w:tblPrEx>
        <w:trPr>
          <w:trHeight w:val="408" w:hRule="atLeast"/>
        </w:trPr>
        <w:tc>
          <w:tcPr>
            <w:tcBorders>
              <w:top w:val="nil"/>
              <w:left w:val="nil"/>
              <w:bottom w:val="nil"/>
              <w:right w:val="nil"/>
            </w:tcBorders>
            <w:vAlign w:val="center"/>
          </w:tcPr>
          <w:p w14:paraId="000008BD">
            <w:pPr>
              <w:spacing w:after="0"/>
              <w:rPr>
                <w:b/>
                <w:bCs/>
              </w:rPr>
            </w:pPr>
            <w:r>
              <w:rPr>
                <w:b/>
                <w:bCs/>
                <w:rtl w:val="0"/>
              </w:rPr>
              <w:t>Year</w:t>
            </w:r>
          </w:p>
        </w:tc>
        <w:tc>
          <w:tcPr>
            <w:tcBorders>
              <w:top w:val="nil"/>
              <w:left w:val="nil"/>
              <w:bottom w:val="nil"/>
              <w:right w:val="nil"/>
            </w:tcBorders>
            <w:vAlign w:val="center"/>
          </w:tcPr>
          <w:p w14:paraId="000008BE">
            <w:pPr>
              <w:spacing w:after="0"/>
              <w:rPr>
                <w:b/>
                <w:bCs/>
              </w:rPr>
            </w:pPr>
            <w:r>
              <w:rPr>
                <w:b/>
                <w:bCs/>
                <w:rtl w:val="0"/>
              </w:rPr>
              <w:t>DSO (days)</w:t>
            </w:r>
          </w:p>
        </w:tc>
        <w:tc>
          <w:tcPr>
            <w:tcBorders>
              <w:top w:val="nil"/>
              <w:left w:val="nil"/>
              <w:bottom w:val="nil"/>
              <w:right w:val="nil"/>
            </w:tcBorders>
            <w:vAlign w:val="center"/>
          </w:tcPr>
          <w:p w14:paraId="000008BF">
            <w:pPr>
              <w:spacing w:after="0"/>
              <w:rPr>
                <w:b/>
                <w:bCs/>
              </w:rPr>
            </w:pPr>
            <w:r>
              <w:rPr>
                <w:b/>
                <w:bCs/>
                <w:rtl w:val="0"/>
              </w:rPr>
              <w:t>DIO (days)</w:t>
            </w:r>
          </w:p>
        </w:tc>
        <w:tc>
          <w:tcPr>
            <w:tcBorders>
              <w:top w:val="nil"/>
              <w:left w:val="nil"/>
              <w:bottom w:val="nil"/>
              <w:right w:val="nil"/>
            </w:tcBorders>
            <w:vAlign w:val="center"/>
          </w:tcPr>
          <w:p w14:paraId="000008C0">
            <w:pPr>
              <w:spacing w:after="0"/>
              <w:rPr>
                <w:b/>
                <w:bCs/>
              </w:rPr>
            </w:pPr>
            <w:r>
              <w:rPr>
                <w:b/>
                <w:bCs/>
                <w:rtl w:val="0"/>
              </w:rPr>
              <w:t>Calculation</w:t>
            </w:r>
          </w:p>
        </w:tc>
        <w:tc>
          <w:tcPr>
            <w:tcBorders>
              <w:top w:val="nil"/>
              <w:left w:val="nil"/>
              <w:bottom w:val="nil"/>
              <w:right w:val="nil"/>
            </w:tcBorders>
            <w:vAlign w:val="center"/>
          </w:tcPr>
          <w:p w14:paraId="000008C1">
            <w:pPr>
              <w:spacing w:after="0"/>
              <w:rPr>
                <w:b/>
                <w:bCs/>
              </w:rPr>
            </w:pPr>
            <w:r>
              <w:rPr>
                <w:b/>
                <w:bCs/>
                <w:rtl w:val="0"/>
              </w:rPr>
              <w:t>Operating Cycle (days)</w:t>
            </w:r>
          </w:p>
        </w:tc>
      </w:tr>
      <w:tr w14:paraId="466C59C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8C2">
            <w:pPr>
              <w:spacing w:after="0"/>
            </w:pPr>
            <w:r>
              <w:rPr>
                <w:rtl w:val="0"/>
              </w:rPr>
              <w:t>2020</w:t>
            </w:r>
          </w:p>
        </w:tc>
        <w:tc>
          <w:tcPr>
            <w:tcBorders>
              <w:top w:val="nil"/>
              <w:left w:val="nil"/>
              <w:bottom w:val="nil"/>
              <w:right w:val="nil"/>
            </w:tcBorders>
            <w:vAlign w:val="center"/>
          </w:tcPr>
          <w:p w14:paraId="000008C3">
            <w:pPr>
              <w:spacing w:after="0"/>
            </w:pPr>
            <w:r>
              <w:rPr>
                <w:rtl w:val="0"/>
              </w:rPr>
              <w:t>76.9</w:t>
            </w:r>
          </w:p>
        </w:tc>
        <w:tc>
          <w:tcPr>
            <w:tcBorders>
              <w:top w:val="nil"/>
              <w:left w:val="nil"/>
              <w:bottom w:val="nil"/>
              <w:right w:val="nil"/>
            </w:tcBorders>
            <w:vAlign w:val="center"/>
          </w:tcPr>
          <w:p w14:paraId="000008C4">
            <w:pPr>
              <w:spacing w:after="0"/>
            </w:pPr>
            <w:r>
              <w:rPr>
                <w:rtl w:val="0"/>
              </w:rPr>
              <w:t>100.3</w:t>
            </w:r>
          </w:p>
        </w:tc>
        <w:tc>
          <w:tcPr>
            <w:tcBorders>
              <w:top w:val="nil"/>
              <w:left w:val="nil"/>
              <w:bottom w:val="nil"/>
              <w:right w:val="nil"/>
            </w:tcBorders>
            <w:vAlign w:val="center"/>
          </w:tcPr>
          <w:p w14:paraId="000008C5">
            <w:pPr>
              <w:spacing w:after="0"/>
            </w:pPr>
            <w:r>
              <w:rPr>
                <w:rtl w:val="0"/>
              </w:rPr>
              <w:t>76.9 + 100.3</w:t>
            </w:r>
          </w:p>
        </w:tc>
        <w:tc>
          <w:tcPr>
            <w:tcBorders>
              <w:top w:val="nil"/>
              <w:left w:val="nil"/>
              <w:bottom w:val="nil"/>
              <w:right w:val="nil"/>
            </w:tcBorders>
            <w:vAlign w:val="center"/>
          </w:tcPr>
          <w:p w14:paraId="000008C6">
            <w:pPr>
              <w:spacing w:after="0"/>
              <w:rPr>
                <w:b/>
                <w:bCs/>
              </w:rPr>
            </w:pPr>
            <w:r>
              <w:rPr>
                <w:b/>
                <w:bCs/>
                <w:rtl w:val="0"/>
              </w:rPr>
              <w:t>177.1</w:t>
            </w:r>
          </w:p>
        </w:tc>
      </w:tr>
      <w:tr w14:paraId="437C7E4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8C7">
            <w:pPr>
              <w:spacing w:after="0"/>
            </w:pPr>
            <w:r>
              <w:rPr>
                <w:rtl w:val="0"/>
              </w:rPr>
              <w:t>2021</w:t>
            </w:r>
          </w:p>
        </w:tc>
        <w:tc>
          <w:tcPr>
            <w:tcBorders>
              <w:top w:val="nil"/>
              <w:left w:val="nil"/>
              <w:bottom w:val="nil"/>
              <w:right w:val="nil"/>
            </w:tcBorders>
            <w:vAlign w:val="center"/>
          </w:tcPr>
          <w:p w14:paraId="000008C8">
            <w:pPr>
              <w:spacing w:after="0"/>
            </w:pPr>
            <w:r>
              <w:rPr>
                <w:rtl w:val="0"/>
              </w:rPr>
              <w:t>78.5</w:t>
            </w:r>
          </w:p>
        </w:tc>
        <w:tc>
          <w:tcPr>
            <w:tcBorders>
              <w:top w:val="nil"/>
              <w:left w:val="nil"/>
              <w:bottom w:val="nil"/>
              <w:right w:val="nil"/>
            </w:tcBorders>
            <w:vAlign w:val="center"/>
          </w:tcPr>
          <w:p w14:paraId="000008C9">
            <w:pPr>
              <w:spacing w:after="0"/>
            </w:pPr>
            <w:r>
              <w:rPr>
                <w:rtl w:val="0"/>
              </w:rPr>
              <w:t>108.5</w:t>
            </w:r>
          </w:p>
        </w:tc>
        <w:tc>
          <w:tcPr>
            <w:tcBorders>
              <w:top w:val="nil"/>
              <w:left w:val="nil"/>
              <w:bottom w:val="nil"/>
              <w:right w:val="nil"/>
            </w:tcBorders>
            <w:vAlign w:val="center"/>
          </w:tcPr>
          <w:p w14:paraId="000008CA">
            <w:pPr>
              <w:spacing w:after="0"/>
            </w:pPr>
            <w:r>
              <w:rPr>
                <w:rtl w:val="0"/>
              </w:rPr>
              <w:t>78.5 + 108.5</w:t>
            </w:r>
          </w:p>
        </w:tc>
        <w:tc>
          <w:tcPr>
            <w:tcBorders>
              <w:top w:val="nil"/>
              <w:left w:val="nil"/>
              <w:bottom w:val="nil"/>
              <w:right w:val="nil"/>
            </w:tcBorders>
            <w:vAlign w:val="center"/>
          </w:tcPr>
          <w:p w14:paraId="000008CB">
            <w:pPr>
              <w:spacing w:after="0"/>
              <w:rPr>
                <w:b/>
                <w:bCs/>
              </w:rPr>
            </w:pPr>
            <w:r>
              <w:rPr>
                <w:b/>
                <w:bCs/>
                <w:rtl w:val="0"/>
              </w:rPr>
              <w:t>187</w:t>
            </w:r>
          </w:p>
        </w:tc>
      </w:tr>
      <w:tr w14:paraId="6CD50312">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8CC">
            <w:pPr>
              <w:spacing w:after="0"/>
            </w:pPr>
            <w:r>
              <w:rPr>
                <w:rtl w:val="0"/>
              </w:rPr>
              <w:t>2022</w:t>
            </w:r>
          </w:p>
        </w:tc>
        <w:tc>
          <w:tcPr>
            <w:tcBorders>
              <w:top w:val="nil"/>
              <w:left w:val="nil"/>
              <w:bottom w:val="nil"/>
              <w:right w:val="nil"/>
            </w:tcBorders>
            <w:vAlign w:val="center"/>
          </w:tcPr>
          <w:p w14:paraId="000008CD">
            <w:pPr>
              <w:spacing w:after="0"/>
            </w:pPr>
            <w:r>
              <w:rPr>
                <w:rtl w:val="0"/>
              </w:rPr>
              <w:t>81.2</w:t>
            </w:r>
          </w:p>
        </w:tc>
        <w:tc>
          <w:tcPr>
            <w:tcBorders>
              <w:top w:val="nil"/>
              <w:left w:val="nil"/>
              <w:bottom w:val="nil"/>
              <w:right w:val="nil"/>
            </w:tcBorders>
            <w:vAlign w:val="center"/>
          </w:tcPr>
          <w:p w14:paraId="000008CE">
            <w:pPr>
              <w:spacing w:after="0"/>
            </w:pPr>
            <w:r>
              <w:rPr>
                <w:rtl w:val="0"/>
              </w:rPr>
              <w:t>128.4</w:t>
            </w:r>
          </w:p>
        </w:tc>
        <w:tc>
          <w:tcPr>
            <w:tcBorders>
              <w:top w:val="nil"/>
              <w:left w:val="nil"/>
              <w:bottom w:val="nil"/>
              <w:right w:val="nil"/>
            </w:tcBorders>
            <w:vAlign w:val="center"/>
          </w:tcPr>
          <w:p w14:paraId="000008CF">
            <w:pPr>
              <w:spacing w:after="0"/>
            </w:pPr>
            <w:r>
              <w:rPr>
                <w:rtl w:val="0"/>
              </w:rPr>
              <w:t>81.2 + 128.4</w:t>
            </w:r>
          </w:p>
        </w:tc>
        <w:tc>
          <w:tcPr>
            <w:tcBorders>
              <w:top w:val="nil"/>
              <w:left w:val="nil"/>
              <w:bottom w:val="nil"/>
              <w:right w:val="nil"/>
            </w:tcBorders>
            <w:vAlign w:val="center"/>
          </w:tcPr>
          <w:p w14:paraId="000008D0">
            <w:pPr>
              <w:spacing w:after="0"/>
              <w:rPr>
                <w:b/>
                <w:bCs/>
              </w:rPr>
            </w:pPr>
            <w:r>
              <w:rPr>
                <w:b/>
                <w:bCs/>
                <w:rtl w:val="0"/>
              </w:rPr>
              <w:t>209.6</w:t>
            </w:r>
          </w:p>
        </w:tc>
      </w:tr>
      <w:tr w14:paraId="56022946">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8D1">
            <w:pPr>
              <w:spacing w:after="0"/>
            </w:pPr>
            <w:r>
              <w:rPr>
                <w:rtl w:val="0"/>
              </w:rPr>
              <w:t>2023</w:t>
            </w:r>
          </w:p>
        </w:tc>
        <w:tc>
          <w:tcPr>
            <w:tcBorders>
              <w:top w:val="nil"/>
              <w:left w:val="nil"/>
              <w:bottom w:val="nil"/>
              <w:right w:val="nil"/>
            </w:tcBorders>
            <w:vAlign w:val="center"/>
          </w:tcPr>
          <w:p w14:paraId="000008D2">
            <w:pPr>
              <w:spacing w:after="0"/>
            </w:pPr>
            <w:r>
              <w:rPr>
                <w:rtl w:val="0"/>
              </w:rPr>
              <w:t>97.6</w:t>
            </w:r>
          </w:p>
        </w:tc>
        <w:tc>
          <w:tcPr>
            <w:tcBorders>
              <w:top w:val="nil"/>
              <w:left w:val="nil"/>
              <w:bottom w:val="nil"/>
              <w:right w:val="nil"/>
            </w:tcBorders>
            <w:vAlign w:val="center"/>
          </w:tcPr>
          <w:p w14:paraId="000008D3">
            <w:pPr>
              <w:spacing w:after="0"/>
            </w:pPr>
            <w:r>
              <w:rPr>
                <w:rtl w:val="0"/>
              </w:rPr>
              <w:t>129.1</w:t>
            </w:r>
          </w:p>
        </w:tc>
        <w:tc>
          <w:tcPr>
            <w:tcBorders>
              <w:top w:val="nil"/>
              <w:left w:val="nil"/>
              <w:bottom w:val="nil"/>
              <w:right w:val="nil"/>
            </w:tcBorders>
            <w:vAlign w:val="center"/>
          </w:tcPr>
          <w:p w14:paraId="000008D4">
            <w:pPr>
              <w:spacing w:after="0"/>
            </w:pPr>
            <w:r>
              <w:rPr>
                <w:rtl w:val="0"/>
              </w:rPr>
              <w:t>97.6 + 129.1</w:t>
            </w:r>
          </w:p>
        </w:tc>
        <w:tc>
          <w:tcPr>
            <w:tcBorders>
              <w:top w:val="nil"/>
              <w:left w:val="nil"/>
              <w:bottom w:val="nil"/>
              <w:right w:val="nil"/>
            </w:tcBorders>
            <w:vAlign w:val="center"/>
          </w:tcPr>
          <w:p w14:paraId="000008D5">
            <w:pPr>
              <w:spacing w:after="0"/>
              <w:rPr>
                <w:b/>
                <w:bCs/>
              </w:rPr>
            </w:pPr>
            <w:r>
              <w:rPr>
                <w:b/>
                <w:bCs/>
                <w:rtl w:val="0"/>
              </w:rPr>
              <w:t>226.8</w:t>
            </w:r>
          </w:p>
        </w:tc>
      </w:tr>
      <w:tr w14:paraId="7AD4D0B1">
        <w:tblPrEx>
          <w:tblCellMar>
            <w:top w:w="0" w:type="dxa"/>
            <w:left w:w="115" w:type="dxa"/>
            <w:bottom w:w="0" w:type="dxa"/>
            <w:right w:w="115" w:type="dxa"/>
          </w:tblCellMar>
        </w:tblPrEx>
        <w:trPr>
          <w:trHeight w:val="408" w:hRule="atLeast"/>
        </w:trPr>
        <w:tc>
          <w:tcPr>
            <w:tcBorders>
              <w:top w:val="nil"/>
              <w:left w:val="nil"/>
              <w:bottom w:val="nil"/>
              <w:right w:val="nil"/>
            </w:tcBorders>
            <w:vAlign w:val="center"/>
          </w:tcPr>
          <w:p w14:paraId="000008D6">
            <w:pPr>
              <w:spacing w:after="0"/>
            </w:pPr>
            <w:r>
              <w:rPr>
                <w:rtl w:val="0"/>
              </w:rPr>
              <w:t>2024</w:t>
            </w:r>
          </w:p>
        </w:tc>
        <w:tc>
          <w:tcPr>
            <w:tcBorders>
              <w:top w:val="nil"/>
              <w:left w:val="nil"/>
              <w:bottom w:val="nil"/>
              <w:right w:val="nil"/>
            </w:tcBorders>
            <w:vAlign w:val="center"/>
          </w:tcPr>
          <w:p w14:paraId="000008D7">
            <w:pPr>
              <w:spacing w:after="0"/>
            </w:pPr>
            <w:r>
              <w:rPr>
                <w:rtl w:val="0"/>
              </w:rPr>
              <w:t>104.8</w:t>
            </w:r>
          </w:p>
        </w:tc>
        <w:tc>
          <w:tcPr>
            <w:tcBorders>
              <w:top w:val="nil"/>
              <w:left w:val="nil"/>
              <w:bottom w:val="nil"/>
              <w:right w:val="nil"/>
            </w:tcBorders>
            <w:vAlign w:val="center"/>
          </w:tcPr>
          <w:p w14:paraId="000008D8">
            <w:pPr>
              <w:spacing w:after="0"/>
            </w:pPr>
            <w:r>
              <w:rPr>
                <w:rtl w:val="0"/>
              </w:rPr>
              <w:t>108.9</w:t>
            </w:r>
          </w:p>
        </w:tc>
        <w:tc>
          <w:tcPr>
            <w:tcBorders>
              <w:top w:val="nil"/>
              <w:left w:val="nil"/>
              <w:bottom w:val="nil"/>
              <w:right w:val="nil"/>
            </w:tcBorders>
            <w:vAlign w:val="center"/>
          </w:tcPr>
          <w:p w14:paraId="000008D9">
            <w:pPr>
              <w:spacing w:after="0"/>
            </w:pPr>
            <w:r>
              <w:rPr>
                <w:rtl w:val="0"/>
              </w:rPr>
              <w:t>104.8 + 108.9</w:t>
            </w:r>
          </w:p>
        </w:tc>
        <w:tc>
          <w:tcPr>
            <w:tcBorders>
              <w:top w:val="nil"/>
              <w:left w:val="nil"/>
              <w:bottom w:val="nil"/>
              <w:right w:val="nil"/>
            </w:tcBorders>
            <w:vAlign w:val="center"/>
          </w:tcPr>
          <w:p w14:paraId="000008DA">
            <w:pPr>
              <w:spacing w:after="0"/>
              <w:rPr>
                <w:b/>
                <w:bCs/>
              </w:rPr>
            </w:pPr>
            <w:r>
              <w:rPr>
                <w:b/>
                <w:bCs/>
                <w:rtl w:val="0"/>
              </w:rPr>
              <w:t>213.7</w:t>
            </w:r>
          </w:p>
        </w:tc>
      </w:tr>
      <w:tr w14:paraId="284D5047">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DB">
            <w:pPr>
              <w:spacing w:after="0"/>
              <w:rPr>
                <w:b/>
                <w:bCs/>
              </w:rPr>
            </w:pPr>
          </w:p>
        </w:tc>
        <w:tc>
          <w:tcPr>
            <w:tcBorders>
              <w:top w:val="nil"/>
              <w:left w:val="nil"/>
              <w:bottom w:val="nil"/>
              <w:right w:val="nil"/>
            </w:tcBorders>
            <w:vAlign w:val="bottom"/>
          </w:tcPr>
          <w:p w14:paraId="000008DC">
            <w:pPr>
              <w:spacing w:after="0"/>
            </w:pPr>
          </w:p>
        </w:tc>
        <w:tc>
          <w:tcPr>
            <w:tcBorders>
              <w:top w:val="nil"/>
              <w:left w:val="nil"/>
              <w:bottom w:val="nil"/>
              <w:right w:val="nil"/>
            </w:tcBorders>
            <w:vAlign w:val="bottom"/>
          </w:tcPr>
          <w:p w14:paraId="000008DD">
            <w:pPr>
              <w:spacing w:after="0"/>
            </w:pPr>
          </w:p>
        </w:tc>
        <w:tc>
          <w:tcPr>
            <w:tcBorders>
              <w:top w:val="nil"/>
              <w:left w:val="nil"/>
              <w:bottom w:val="nil"/>
              <w:right w:val="nil"/>
            </w:tcBorders>
            <w:vAlign w:val="bottom"/>
          </w:tcPr>
          <w:p w14:paraId="000008DE">
            <w:pPr>
              <w:spacing w:after="0"/>
            </w:pPr>
          </w:p>
        </w:tc>
        <w:tc>
          <w:tcPr>
            <w:tcBorders>
              <w:top w:val="nil"/>
              <w:left w:val="nil"/>
              <w:bottom w:val="nil"/>
              <w:right w:val="nil"/>
            </w:tcBorders>
            <w:vAlign w:val="bottom"/>
          </w:tcPr>
          <w:p w14:paraId="000008DF">
            <w:pPr>
              <w:spacing w:after="0"/>
            </w:pPr>
          </w:p>
        </w:tc>
      </w:tr>
      <w:tr w14:paraId="3A10C533">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E0">
            <w:pPr>
              <w:spacing w:after="0"/>
            </w:pPr>
          </w:p>
        </w:tc>
        <w:tc>
          <w:tcPr>
            <w:tcBorders>
              <w:top w:val="nil"/>
              <w:left w:val="nil"/>
              <w:bottom w:val="nil"/>
              <w:right w:val="nil"/>
            </w:tcBorders>
            <w:vAlign w:val="bottom"/>
          </w:tcPr>
          <w:p w14:paraId="000008E1">
            <w:pPr>
              <w:spacing w:after="0"/>
            </w:pPr>
          </w:p>
        </w:tc>
        <w:tc>
          <w:tcPr>
            <w:tcBorders>
              <w:top w:val="nil"/>
              <w:left w:val="nil"/>
              <w:bottom w:val="nil"/>
              <w:right w:val="nil"/>
            </w:tcBorders>
            <w:vAlign w:val="bottom"/>
          </w:tcPr>
          <w:p w14:paraId="000008E2">
            <w:pPr>
              <w:spacing w:after="0"/>
            </w:pPr>
          </w:p>
        </w:tc>
        <w:tc>
          <w:tcPr>
            <w:tcBorders>
              <w:top w:val="nil"/>
              <w:left w:val="nil"/>
              <w:bottom w:val="nil"/>
              <w:right w:val="nil"/>
            </w:tcBorders>
            <w:vAlign w:val="bottom"/>
          </w:tcPr>
          <w:p w14:paraId="000008E3">
            <w:pPr>
              <w:spacing w:after="0"/>
            </w:pPr>
          </w:p>
        </w:tc>
        <w:tc>
          <w:tcPr>
            <w:tcBorders>
              <w:top w:val="nil"/>
              <w:left w:val="nil"/>
              <w:bottom w:val="nil"/>
              <w:right w:val="nil"/>
            </w:tcBorders>
            <w:vAlign w:val="bottom"/>
          </w:tcPr>
          <w:p w14:paraId="000008E4">
            <w:pPr>
              <w:spacing w:after="0"/>
            </w:pPr>
          </w:p>
        </w:tc>
      </w:tr>
      <w:tr w14:paraId="7665B300">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8E5">
            <w:pPr>
              <w:spacing w:after="0"/>
              <w:rPr>
                <w:b/>
                <w:bCs/>
              </w:rPr>
            </w:pPr>
            <w:r>
              <w:rPr>
                <w:rFonts w:ascii="Andika" w:hAnsi="Andika" w:eastAsia="Andika" w:cs="Andika"/>
                <w:b/>
                <w:bCs/>
                <w:rtl w:val="0"/>
              </w:rPr>
              <w:t>2️⃣ Cash Conversion Cycle (Days)</w:t>
            </w:r>
          </w:p>
        </w:tc>
        <w:tc>
          <w:tcPr>
            <w:tcBorders>
              <w:top w:val="nil"/>
              <w:left w:val="nil"/>
              <w:bottom w:val="nil"/>
              <w:right w:val="nil"/>
            </w:tcBorders>
            <w:vAlign w:val="bottom"/>
          </w:tcPr>
          <w:p w14:paraId="000008E8">
            <w:pPr>
              <w:spacing w:after="0"/>
              <w:rPr>
                <w:b/>
                <w:bCs/>
              </w:rPr>
            </w:pPr>
          </w:p>
        </w:tc>
        <w:tc>
          <w:tcPr>
            <w:tcBorders>
              <w:top w:val="nil"/>
              <w:left w:val="nil"/>
              <w:bottom w:val="nil"/>
              <w:right w:val="nil"/>
            </w:tcBorders>
            <w:vAlign w:val="bottom"/>
          </w:tcPr>
          <w:p w14:paraId="000008E9">
            <w:pPr>
              <w:spacing w:after="0"/>
            </w:pPr>
          </w:p>
        </w:tc>
      </w:tr>
      <w:tr w14:paraId="53BB3AD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EA">
            <w:pPr>
              <w:spacing w:after="0"/>
            </w:pPr>
          </w:p>
        </w:tc>
        <w:tc>
          <w:tcPr>
            <w:tcBorders>
              <w:top w:val="nil"/>
              <w:left w:val="nil"/>
              <w:bottom w:val="nil"/>
              <w:right w:val="nil"/>
            </w:tcBorders>
            <w:vAlign w:val="bottom"/>
          </w:tcPr>
          <w:p w14:paraId="000008EB">
            <w:pPr>
              <w:spacing w:after="0"/>
            </w:pPr>
          </w:p>
        </w:tc>
        <w:tc>
          <w:tcPr>
            <w:tcBorders>
              <w:top w:val="nil"/>
              <w:left w:val="nil"/>
              <w:bottom w:val="nil"/>
              <w:right w:val="nil"/>
            </w:tcBorders>
            <w:vAlign w:val="bottom"/>
          </w:tcPr>
          <w:p w14:paraId="000008EC">
            <w:pPr>
              <w:spacing w:after="0"/>
            </w:pPr>
          </w:p>
        </w:tc>
        <w:tc>
          <w:tcPr>
            <w:tcBorders>
              <w:top w:val="nil"/>
              <w:left w:val="nil"/>
              <w:bottom w:val="nil"/>
              <w:right w:val="nil"/>
            </w:tcBorders>
            <w:vAlign w:val="bottom"/>
          </w:tcPr>
          <w:p w14:paraId="000008ED">
            <w:pPr>
              <w:spacing w:after="0"/>
            </w:pPr>
          </w:p>
        </w:tc>
        <w:tc>
          <w:tcPr>
            <w:tcBorders>
              <w:top w:val="nil"/>
              <w:left w:val="nil"/>
              <w:bottom w:val="nil"/>
              <w:right w:val="nil"/>
            </w:tcBorders>
            <w:vAlign w:val="bottom"/>
          </w:tcPr>
          <w:p w14:paraId="000008EE">
            <w:pPr>
              <w:spacing w:after="0"/>
            </w:pPr>
          </w:p>
        </w:tc>
      </w:tr>
      <w:tr w14:paraId="7184DFAC">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EF">
            <w:pPr>
              <w:spacing w:after="0"/>
              <w:rPr>
                <w:b/>
                <w:bCs/>
              </w:rPr>
            </w:pPr>
            <w:r>
              <w:rPr>
                <w:b/>
                <w:bCs/>
                <w:rtl w:val="0"/>
              </w:rPr>
              <w:t>Definition:</w:t>
            </w:r>
          </w:p>
        </w:tc>
        <w:tc>
          <w:tcPr>
            <w:tcBorders>
              <w:top w:val="nil"/>
              <w:left w:val="nil"/>
              <w:bottom w:val="nil"/>
              <w:right w:val="nil"/>
            </w:tcBorders>
            <w:vAlign w:val="bottom"/>
          </w:tcPr>
          <w:p w14:paraId="000008F0">
            <w:pPr>
              <w:spacing w:after="0"/>
              <w:rPr>
                <w:b/>
                <w:bCs/>
              </w:rPr>
            </w:pPr>
          </w:p>
        </w:tc>
        <w:tc>
          <w:tcPr>
            <w:tcBorders>
              <w:top w:val="nil"/>
              <w:left w:val="nil"/>
              <w:bottom w:val="nil"/>
              <w:right w:val="nil"/>
            </w:tcBorders>
            <w:vAlign w:val="bottom"/>
          </w:tcPr>
          <w:p w14:paraId="000008F1">
            <w:pPr>
              <w:spacing w:after="0"/>
            </w:pPr>
          </w:p>
        </w:tc>
        <w:tc>
          <w:tcPr>
            <w:tcBorders>
              <w:top w:val="nil"/>
              <w:left w:val="nil"/>
              <w:bottom w:val="nil"/>
              <w:right w:val="nil"/>
            </w:tcBorders>
            <w:vAlign w:val="bottom"/>
          </w:tcPr>
          <w:p w14:paraId="000008F2">
            <w:pPr>
              <w:spacing w:after="0"/>
            </w:pPr>
          </w:p>
        </w:tc>
        <w:tc>
          <w:tcPr>
            <w:tcBorders>
              <w:top w:val="nil"/>
              <w:left w:val="nil"/>
              <w:bottom w:val="nil"/>
              <w:right w:val="nil"/>
            </w:tcBorders>
            <w:vAlign w:val="bottom"/>
          </w:tcPr>
          <w:p w14:paraId="000008F3">
            <w:pPr>
              <w:spacing w:after="0"/>
            </w:pPr>
          </w:p>
        </w:tc>
      </w:tr>
      <w:tr w14:paraId="2C5B4BAD">
        <w:tblPrEx>
          <w:tblCellMar>
            <w:top w:w="0" w:type="dxa"/>
            <w:left w:w="115" w:type="dxa"/>
            <w:bottom w:w="0" w:type="dxa"/>
            <w:right w:w="115" w:type="dxa"/>
          </w:tblCellMar>
        </w:tblPrEx>
        <w:trPr>
          <w:trHeight w:val="288" w:hRule="atLeast"/>
        </w:trPr>
        <w:tc>
          <w:tcPr>
            <w:gridSpan w:val="5"/>
            <w:tcBorders>
              <w:top w:val="nil"/>
              <w:left w:val="nil"/>
              <w:bottom w:val="nil"/>
              <w:right w:val="nil"/>
            </w:tcBorders>
            <w:vAlign w:val="bottom"/>
          </w:tcPr>
          <w:p w14:paraId="000008F4">
            <w:pPr>
              <w:spacing w:after="0"/>
            </w:pPr>
            <w:r>
              <w:rPr>
                <w:rFonts w:ascii="Gungsuh" w:hAnsi="Gungsuh" w:eastAsia="Gungsuh" w:cs="Gungsuh"/>
                <w:rtl w:val="0"/>
              </w:rPr>
              <w:t>Cash Conversion Cycle = Operating Cycle − Days Payables Outstanding (DPO)</w:t>
            </w:r>
          </w:p>
        </w:tc>
      </w:tr>
      <w:tr w14:paraId="3AF8474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8F9">
            <w:pPr>
              <w:spacing w:after="0"/>
            </w:pPr>
          </w:p>
        </w:tc>
        <w:tc>
          <w:tcPr>
            <w:tcBorders>
              <w:top w:val="nil"/>
              <w:left w:val="nil"/>
              <w:bottom w:val="nil"/>
              <w:right w:val="nil"/>
            </w:tcBorders>
            <w:vAlign w:val="bottom"/>
          </w:tcPr>
          <w:p w14:paraId="000008FA">
            <w:pPr>
              <w:spacing w:after="0"/>
            </w:pPr>
          </w:p>
        </w:tc>
        <w:tc>
          <w:tcPr>
            <w:tcBorders>
              <w:top w:val="nil"/>
              <w:left w:val="nil"/>
              <w:bottom w:val="nil"/>
              <w:right w:val="nil"/>
            </w:tcBorders>
            <w:vAlign w:val="bottom"/>
          </w:tcPr>
          <w:p w14:paraId="000008FB">
            <w:pPr>
              <w:spacing w:after="0"/>
            </w:pPr>
          </w:p>
        </w:tc>
        <w:tc>
          <w:tcPr>
            <w:tcBorders>
              <w:top w:val="nil"/>
              <w:left w:val="nil"/>
              <w:bottom w:val="nil"/>
              <w:right w:val="nil"/>
            </w:tcBorders>
            <w:vAlign w:val="bottom"/>
          </w:tcPr>
          <w:p w14:paraId="000008FC">
            <w:pPr>
              <w:spacing w:after="0"/>
            </w:pPr>
          </w:p>
        </w:tc>
        <w:tc>
          <w:tcPr>
            <w:tcBorders>
              <w:top w:val="nil"/>
              <w:left w:val="nil"/>
              <w:bottom w:val="nil"/>
              <w:right w:val="nil"/>
            </w:tcBorders>
            <w:vAlign w:val="bottom"/>
          </w:tcPr>
          <w:p w14:paraId="000008FD">
            <w:pPr>
              <w:spacing w:after="0"/>
            </w:pPr>
          </w:p>
        </w:tc>
      </w:tr>
      <w:tr w14:paraId="147AB1E2">
        <w:tblPrEx>
          <w:tblCellMar>
            <w:top w:w="0" w:type="dxa"/>
            <w:left w:w="115" w:type="dxa"/>
            <w:bottom w:w="0" w:type="dxa"/>
            <w:right w:w="115" w:type="dxa"/>
          </w:tblCellMar>
        </w:tblPrEx>
        <w:trPr>
          <w:trHeight w:val="612" w:hRule="atLeast"/>
        </w:trPr>
        <w:tc>
          <w:tcPr>
            <w:tcBorders>
              <w:top w:val="nil"/>
              <w:left w:val="nil"/>
              <w:bottom w:val="nil"/>
              <w:right w:val="nil"/>
            </w:tcBorders>
            <w:vAlign w:val="center"/>
          </w:tcPr>
          <w:p w14:paraId="000008FE">
            <w:pPr>
              <w:spacing w:after="0"/>
              <w:rPr>
                <w:b/>
                <w:bCs/>
              </w:rPr>
            </w:pPr>
            <w:r>
              <w:rPr>
                <w:b/>
                <w:bCs/>
                <w:rtl w:val="0"/>
              </w:rPr>
              <w:t>Year</w:t>
            </w:r>
          </w:p>
        </w:tc>
        <w:tc>
          <w:tcPr>
            <w:tcBorders>
              <w:top w:val="nil"/>
              <w:left w:val="nil"/>
              <w:bottom w:val="nil"/>
              <w:right w:val="nil"/>
            </w:tcBorders>
            <w:vAlign w:val="center"/>
          </w:tcPr>
          <w:p w14:paraId="000008FF">
            <w:pPr>
              <w:spacing w:after="0"/>
              <w:rPr>
                <w:b/>
                <w:bCs/>
              </w:rPr>
            </w:pPr>
            <w:r>
              <w:rPr>
                <w:b/>
                <w:bCs/>
                <w:rtl w:val="0"/>
              </w:rPr>
              <w:t>Operating Cycle</w:t>
            </w:r>
          </w:p>
        </w:tc>
        <w:tc>
          <w:tcPr>
            <w:tcBorders>
              <w:top w:val="nil"/>
              <w:left w:val="nil"/>
              <w:bottom w:val="nil"/>
              <w:right w:val="nil"/>
            </w:tcBorders>
            <w:vAlign w:val="center"/>
          </w:tcPr>
          <w:p w14:paraId="00000900">
            <w:pPr>
              <w:spacing w:after="0"/>
              <w:rPr>
                <w:b/>
                <w:bCs/>
              </w:rPr>
            </w:pPr>
            <w:r>
              <w:rPr>
                <w:b/>
                <w:bCs/>
                <w:rtl w:val="0"/>
              </w:rPr>
              <w:t>DPO (days)</w:t>
            </w:r>
          </w:p>
        </w:tc>
        <w:tc>
          <w:tcPr>
            <w:tcBorders>
              <w:top w:val="nil"/>
              <w:left w:val="nil"/>
              <w:bottom w:val="nil"/>
              <w:right w:val="nil"/>
            </w:tcBorders>
            <w:vAlign w:val="center"/>
          </w:tcPr>
          <w:p w14:paraId="00000901">
            <w:pPr>
              <w:spacing w:after="0"/>
              <w:rPr>
                <w:b/>
                <w:bCs/>
              </w:rPr>
            </w:pPr>
            <w:r>
              <w:rPr>
                <w:b/>
                <w:bCs/>
                <w:rtl w:val="0"/>
              </w:rPr>
              <w:t>Calculation</w:t>
            </w:r>
          </w:p>
        </w:tc>
        <w:tc>
          <w:tcPr>
            <w:tcBorders>
              <w:top w:val="nil"/>
              <w:left w:val="nil"/>
              <w:bottom w:val="nil"/>
              <w:right w:val="nil"/>
            </w:tcBorders>
            <w:vAlign w:val="center"/>
          </w:tcPr>
          <w:p w14:paraId="00000902">
            <w:pPr>
              <w:spacing w:after="0"/>
              <w:rPr>
                <w:b/>
                <w:bCs/>
              </w:rPr>
            </w:pPr>
            <w:r>
              <w:rPr>
                <w:b/>
                <w:bCs/>
                <w:rtl w:val="0"/>
              </w:rPr>
              <w:t>Cash Conversion Cycle</w:t>
            </w:r>
          </w:p>
        </w:tc>
      </w:tr>
      <w:tr w14:paraId="725CF2DA">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03">
            <w:pPr>
              <w:spacing w:after="0"/>
            </w:pPr>
            <w:r>
              <w:rPr>
                <w:rtl w:val="0"/>
              </w:rPr>
              <w:t>2020</w:t>
            </w:r>
          </w:p>
        </w:tc>
        <w:tc>
          <w:tcPr>
            <w:tcBorders>
              <w:top w:val="nil"/>
              <w:left w:val="nil"/>
              <w:bottom w:val="nil"/>
              <w:right w:val="nil"/>
            </w:tcBorders>
            <w:vAlign w:val="center"/>
          </w:tcPr>
          <w:p w14:paraId="00000904">
            <w:pPr>
              <w:spacing w:after="0"/>
            </w:pPr>
            <w:r>
              <w:rPr>
                <w:rtl w:val="0"/>
              </w:rPr>
              <w:t>177.1</w:t>
            </w:r>
          </w:p>
        </w:tc>
        <w:tc>
          <w:tcPr>
            <w:tcBorders>
              <w:top w:val="nil"/>
              <w:left w:val="nil"/>
              <w:bottom w:val="nil"/>
              <w:right w:val="nil"/>
            </w:tcBorders>
            <w:vAlign w:val="center"/>
          </w:tcPr>
          <w:p w14:paraId="00000905">
            <w:pPr>
              <w:spacing w:after="0"/>
            </w:pPr>
            <w:r>
              <w:rPr>
                <w:rtl w:val="0"/>
              </w:rPr>
              <w:t>69.3</w:t>
            </w:r>
          </w:p>
        </w:tc>
        <w:tc>
          <w:tcPr>
            <w:tcBorders>
              <w:top w:val="nil"/>
              <w:left w:val="nil"/>
              <w:bottom w:val="nil"/>
              <w:right w:val="nil"/>
            </w:tcBorders>
            <w:vAlign w:val="center"/>
          </w:tcPr>
          <w:p w14:paraId="00000906">
            <w:pPr>
              <w:spacing w:after="0"/>
            </w:pPr>
            <w:r>
              <w:rPr>
                <w:rFonts w:ascii="Gungsuh" w:hAnsi="Gungsuh" w:eastAsia="Gungsuh" w:cs="Gungsuh"/>
                <w:rtl w:val="0"/>
              </w:rPr>
              <w:t>177.1 − 69.3</w:t>
            </w:r>
          </w:p>
        </w:tc>
        <w:tc>
          <w:tcPr>
            <w:tcBorders>
              <w:top w:val="nil"/>
              <w:left w:val="nil"/>
              <w:bottom w:val="nil"/>
              <w:right w:val="nil"/>
            </w:tcBorders>
            <w:vAlign w:val="center"/>
          </w:tcPr>
          <w:p w14:paraId="00000907">
            <w:pPr>
              <w:spacing w:after="0"/>
              <w:rPr>
                <w:b/>
                <w:bCs/>
              </w:rPr>
            </w:pPr>
            <w:r>
              <w:rPr>
                <w:b/>
                <w:bCs/>
                <w:rtl w:val="0"/>
              </w:rPr>
              <w:t>107.8</w:t>
            </w:r>
          </w:p>
        </w:tc>
      </w:tr>
      <w:tr w14:paraId="25E0A8B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08">
            <w:pPr>
              <w:spacing w:after="0"/>
            </w:pPr>
            <w:r>
              <w:rPr>
                <w:rtl w:val="0"/>
              </w:rPr>
              <w:t>2021</w:t>
            </w:r>
          </w:p>
        </w:tc>
        <w:tc>
          <w:tcPr>
            <w:tcBorders>
              <w:top w:val="nil"/>
              <w:left w:val="nil"/>
              <w:bottom w:val="nil"/>
              <w:right w:val="nil"/>
            </w:tcBorders>
            <w:vAlign w:val="center"/>
          </w:tcPr>
          <w:p w14:paraId="00000909">
            <w:pPr>
              <w:spacing w:after="0"/>
            </w:pPr>
            <w:r>
              <w:rPr>
                <w:rtl w:val="0"/>
              </w:rPr>
              <w:t>187</w:t>
            </w:r>
          </w:p>
        </w:tc>
        <w:tc>
          <w:tcPr>
            <w:tcBorders>
              <w:top w:val="nil"/>
              <w:left w:val="nil"/>
              <w:bottom w:val="nil"/>
              <w:right w:val="nil"/>
            </w:tcBorders>
            <w:vAlign w:val="center"/>
          </w:tcPr>
          <w:p w14:paraId="0000090A">
            <w:pPr>
              <w:spacing w:after="0"/>
            </w:pPr>
            <w:r>
              <w:rPr>
                <w:rtl w:val="0"/>
              </w:rPr>
              <w:t>74.9</w:t>
            </w:r>
          </w:p>
        </w:tc>
        <w:tc>
          <w:tcPr>
            <w:tcBorders>
              <w:top w:val="nil"/>
              <w:left w:val="nil"/>
              <w:bottom w:val="nil"/>
              <w:right w:val="nil"/>
            </w:tcBorders>
            <w:vAlign w:val="center"/>
          </w:tcPr>
          <w:p w14:paraId="0000090B">
            <w:pPr>
              <w:spacing w:after="0"/>
            </w:pPr>
            <w:r>
              <w:rPr>
                <w:rFonts w:ascii="Gungsuh" w:hAnsi="Gungsuh" w:eastAsia="Gungsuh" w:cs="Gungsuh"/>
                <w:rtl w:val="0"/>
              </w:rPr>
              <w:t>187.0 − 74.9</w:t>
            </w:r>
          </w:p>
        </w:tc>
        <w:tc>
          <w:tcPr>
            <w:tcBorders>
              <w:top w:val="nil"/>
              <w:left w:val="nil"/>
              <w:bottom w:val="nil"/>
              <w:right w:val="nil"/>
            </w:tcBorders>
            <w:vAlign w:val="center"/>
          </w:tcPr>
          <w:p w14:paraId="0000090C">
            <w:pPr>
              <w:spacing w:after="0"/>
              <w:rPr>
                <w:b/>
                <w:bCs/>
              </w:rPr>
            </w:pPr>
            <w:r>
              <w:rPr>
                <w:b/>
                <w:bCs/>
                <w:rtl w:val="0"/>
              </w:rPr>
              <w:t>112.1</w:t>
            </w:r>
          </w:p>
        </w:tc>
      </w:tr>
      <w:tr w14:paraId="41736386">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0D">
            <w:pPr>
              <w:spacing w:after="0"/>
            </w:pPr>
            <w:r>
              <w:rPr>
                <w:rtl w:val="0"/>
              </w:rPr>
              <w:t>2022</w:t>
            </w:r>
          </w:p>
        </w:tc>
        <w:tc>
          <w:tcPr>
            <w:tcBorders>
              <w:top w:val="nil"/>
              <w:left w:val="nil"/>
              <w:bottom w:val="nil"/>
              <w:right w:val="nil"/>
            </w:tcBorders>
            <w:vAlign w:val="center"/>
          </w:tcPr>
          <w:p w14:paraId="0000090E">
            <w:pPr>
              <w:spacing w:after="0"/>
            </w:pPr>
            <w:r>
              <w:rPr>
                <w:rtl w:val="0"/>
              </w:rPr>
              <w:t>209.6</w:t>
            </w:r>
          </w:p>
        </w:tc>
        <w:tc>
          <w:tcPr>
            <w:tcBorders>
              <w:top w:val="nil"/>
              <w:left w:val="nil"/>
              <w:bottom w:val="nil"/>
              <w:right w:val="nil"/>
            </w:tcBorders>
            <w:vAlign w:val="center"/>
          </w:tcPr>
          <w:p w14:paraId="0000090F">
            <w:pPr>
              <w:spacing w:after="0"/>
            </w:pPr>
            <w:r>
              <w:rPr>
                <w:rtl w:val="0"/>
              </w:rPr>
              <w:t>76.7</w:t>
            </w:r>
          </w:p>
        </w:tc>
        <w:tc>
          <w:tcPr>
            <w:tcBorders>
              <w:top w:val="nil"/>
              <w:left w:val="nil"/>
              <w:bottom w:val="nil"/>
              <w:right w:val="nil"/>
            </w:tcBorders>
            <w:vAlign w:val="center"/>
          </w:tcPr>
          <w:p w14:paraId="00000910">
            <w:pPr>
              <w:spacing w:after="0"/>
            </w:pPr>
            <w:r>
              <w:rPr>
                <w:rFonts w:ascii="Gungsuh" w:hAnsi="Gungsuh" w:eastAsia="Gungsuh" w:cs="Gungsuh"/>
                <w:rtl w:val="0"/>
              </w:rPr>
              <w:t>209.6 − 76.7</w:t>
            </w:r>
          </w:p>
        </w:tc>
        <w:tc>
          <w:tcPr>
            <w:tcBorders>
              <w:top w:val="nil"/>
              <w:left w:val="nil"/>
              <w:bottom w:val="nil"/>
              <w:right w:val="nil"/>
            </w:tcBorders>
            <w:vAlign w:val="center"/>
          </w:tcPr>
          <w:p w14:paraId="00000911">
            <w:pPr>
              <w:spacing w:after="0"/>
              <w:rPr>
                <w:b/>
                <w:bCs/>
              </w:rPr>
            </w:pPr>
            <w:r>
              <w:rPr>
                <w:b/>
                <w:bCs/>
                <w:rtl w:val="0"/>
              </w:rPr>
              <w:t>132.9</w:t>
            </w:r>
          </w:p>
        </w:tc>
      </w:tr>
      <w:tr w14:paraId="5C6C514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12">
            <w:pPr>
              <w:spacing w:after="0"/>
            </w:pPr>
            <w:r>
              <w:rPr>
                <w:rtl w:val="0"/>
              </w:rPr>
              <w:t>2023</w:t>
            </w:r>
          </w:p>
        </w:tc>
        <w:tc>
          <w:tcPr>
            <w:tcBorders>
              <w:top w:val="nil"/>
              <w:left w:val="nil"/>
              <w:bottom w:val="nil"/>
              <w:right w:val="nil"/>
            </w:tcBorders>
            <w:vAlign w:val="center"/>
          </w:tcPr>
          <w:p w14:paraId="00000913">
            <w:pPr>
              <w:spacing w:after="0"/>
            </w:pPr>
            <w:r>
              <w:rPr>
                <w:rtl w:val="0"/>
              </w:rPr>
              <w:t>226.8</w:t>
            </w:r>
          </w:p>
        </w:tc>
        <w:tc>
          <w:tcPr>
            <w:tcBorders>
              <w:top w:val="nil"/>
              <w:left w:val="nil"/>
              <w:bottom w:val="nil"/>
              <w:right w:val="nil"/>
            </w:tcBorders>
            <w:vAlign w:val="center"/>
          </w:tcPr>
          <w:p w14:paraId="00000914">
            <w:pPr>
              <w:spacing w:after="0"/>
            </w:pPr>
            <w:r>
              <w:rPr>
                <w:rtl w:val="0"/>
              </w:rPr>
              <w:t>72.6</w:t>
            </w:r>
          </w:p>
        </w:tc>
        <w:tc>
          <w:tcPr>
            <w:tcBorders>
              <w:top w:val="nil"/>
              <w:left w:val="nil"/>
              <w:bottom w:val="nil"/>
              <w:right w:val="nil"/>
            </w:tcBorders>
            <w:vAlign w:val="center"/>
          </w:tcPr>
          <w:p w14:paraId="00000915">
            <w:pPr>
              <w:spacing w:after="0"/>
            </w:pPr>
            <w:r>
              <w:rPr>
                <w:rFonts w:ascii="Gungsuh" w:hAnsi="Gungsuh" w:eastAsia="Gungsuh" w:cs="Gungsuh"/>
                <w:rtl w:val="0"/>
              </w:rPr>
              <w:t>226.8 − 72.6</w:t>
            </w:r>
          </w:p>
        </w:tc>
        <w:tc>
          <w:tcPr>
            <w:tcBorders>
              <w:top w:val="nil"/>
              <w:left w:val="nil"/>
              <w:bottom w:val="nil"/>
              <w:right w:val="nil"/>
            </w:tcBorders>
            <w:vAlign w:val="center"/>
          </w:tcPr>
          <w:p w14:paraId="00000916">
            <w:pPr>
              <w:spacing w:after="0"/>
              <w:rPr>
                <w:b/>
                <w:bCs/>
              </w:rPr>
            </w:pPr>
            <w:r>
              <w:rPr>
                <w:b/>
                <w:bCs/>
                <w:rtl w:val="0"/>
              </w:rPr>
              <w:t>154.2</w:t>
            </w:r>
          </w:p>
        </w:tc>
      </w:tr>
      <w:tr w14:paraId="577CF5D2">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17">
            <w:pPr>
              <w:spacing w:after="0"/>
            </w:pPr>
            <w:r>
              <w:rPr>
                <w:rtl w:val="0"/>
              </w:rPr>
              <w:t>2024</w:t>
            </w:r>
          </w:p>
        </w:tc>
        <w:tc>
          <w:tcPr>
            <w:tcBorders>
              <w:top w:val="nil"/>
              <w:left w:val="nil"/>
              <w:bottom w:val="nil"/>
              <w:right w:val="nil"/>
            </w:tcBorders>
            <w:vAlign w:val="center"/>
          </w:tcPr>
          <w:p w14:paraId="00000918">
            <w:pPr>
              <w:spacing w:after="0"/>
            </w:pPr>
            <w:r>
              <w:rPr>
                <w:rtl w:val="0"/>
              </w:rPr>
              <w:t>213.7</w:t>
            </w:r>
          </w:p>
        </w:tc>
        <w:tc>
          <w:tcPr>
            <w:tcBorders>
              <w:top w:val="nil"/>
              <w:left w:val="nil"/>
              <w:bottom w:val="nil"/>
              <w:right w:val="nil"/>
            </w:tcBorders>
            <w:vAlign w:val="center"/>
          </w:tcPr>
          <w:p w14:paraId="00000919">
            <w:pPr>
              <w:spacing w:after="0"/>
            </w:pPr>
            <w:r>
              <w:rPr>
                <w:rtl w:val="0"/>
              </w:rPr>
              <w:t>83.9</w:t>
            </w:r>
          </w:p>
        </w:tc>
        <w:tc>
          <w:tcPr>
            <w:tcBorders>
              <w:top w:val="nil"/>
              <w:left w:val="nil"/>
              <w:bottom w:val="nil"/>
              <w:right w:val="nil"/>
            </w:tcBorders>
            <w:vAlign w:val="center"/>
          </w:tcPr>
          <w:p w14:paraId="0000091A">
            <w:pPr>
              <w:spacing w:after="0"/>
            </w:pPr>
            <w:r>
              <w:rPr>
                <w:rFonts w:ascii="Gungsuh" w:hAnsi="Gungsuh" w:eastAsia="Gungsuh" w:cs="Gungsuh"/>
                <w:rtl w:val="0"/>
              </w:rPr>
              <w:t>213.7 − 83.9</w:t>
            </w:r>
          </w:p>
        </w:tc>
        <w:tc>
          <w:tcPr>
            <w:tcBorders>
              <w:top w:val="nil"/>
              <w:left w:val="nil"/>
              <w:bottom w:val="nil"/>
              <w:right w:val="nil"/>
            </w:tcBorders>
            <w:vAlign w:val="center"/>
          </w:tcPr>
          <w:p w14:paraId="0000091B">
            <w:pPr>
              <w:spacing w:after="0"/>
              <w:rPr>
                <w:b/>
                <w:bCs/>
              </w:rPr>
            </w:pPr>
            <w:r>
              <w:rPr>
                <w:b/>
                <w:bCs/>
                <w:rtl w:val="0"/>
              </w:rPr>
              <w:t>129.9</w:t>
            </w:r>
          </w:p>
        </w:tc>
      </w:tr>
    </w:tbl>
    <w:p w14:paraId="0000091C"/>
    <w:p w14:paraId="0000091D">
      <w:pPr>
        <w:pStyle w:val="3"/>
      </w:pPr>
      <w:bookmarkStart w:id="38" w:name="_hp6cse2vwh2v" w:colFirst="0" w:colLast="0"/>
      <w:bookmarkEnd w:id="38"/>
      <w:r>
        <w:rPr>
          <w:rtl w:val="0"/>
        </w:rPr>
        <w:t>Appendix G</w:t>
      </w:r>
    </w:p>
    <w:tbl>
      <w:tblPr>
        <w:tblStyle w:val="23"/>
        <w:tblW w:w="2980" w:type="dxa"/>
        <w:tblInd w:w="0" w:type="dxa"/>
        <w:tblLayout w:type="fixed"/>
        <w:tblCellMar>
          <w:top w:w="0" w:type="dxa"/>
          <w:left w:w="115" w:type="dxa"/>
          <w:bottom w:w="0" w:type="dxa"/>
          <w:right w:w="115" w:type="dxa"/>
        </w:tblCellMar>
      </w:tblPr>
      <w:tblGrid>
        <w:gridCol w:w="960"/>
        <w:gridCol w:w="977"/>
        <w:gridCol w:w="1043"/>
      </w:tblGrid>
      <w:tr w14:paraId="4EEE4F69">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91E">
            <w:pPr>
              <w:spacing w:after="0"/>
              <w:rPr>
                <w:b/>
                <w:bCs/>
              </w:rPr>
            </w:pPr>
            <w:r>
              <w:rPr>
                <w:b/>
                <w:bCs/>
                <w:rtl w:val="0"/>
              </w:rPr>
              <w:t>Project A – Payback Period Analysis</w:t>
            </w:r>
          </w:p>
        </w:tc>
      </w:tr>
      <w:tr w14:paraId="3236F53D">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21">
            <w:pPr>
              <w:spacing w:after="0"/>
              <w:rPr>
                <w:b/>
                <w:bCs/>
              </w:rPr>
            </w:pPr>
          </w:p>
        </w:tc>
        <w:tc>
          <w:tcPr>
            <w:tcBorders>
              <w:top w:val="nil"/>
              <w:left w:val="nil"/>
              <w:bottom w:val="nil"/>
              <w:right w:val="nil"/>
            </w:tcBorders>
            <w:vAlign w:val="bottom"/>
          </w:tcPr>
          <w:p w14:paraId="00000922">
            <w:pPr>
              <w:spacing w:after="0"/>
            </w:pPr>
          </w:p>
        </w:tc>
        <w:tc>
          <w:tcPr>
            <w:tcBorders>
              <w:top w:val="nil"/>
              <w:left w:val="nil"/>
              <w:bottom w:val="nil"/>
              <w:right w:val="nil"/>
            </w:tcBorders>
            <w:vAlign w:val="bottom"/>
          </w:tcPr>
          <w:p w14:paraId="00000923">
            <w:pPr>
              <w:spacing w:after="0"/>
            </w:pPr>
          </w:p>
        </w:tc>
      </w:tr>
      <w:tr w14:paraId="5DA97DBB">
        <w:tblPrEx>
          <w:tblCellMar>
            <w:top w:w="0" w:type="dxa"/>
            <w:left w:w="115" w:type="dxa"/>
            <w:bottom w:w="0" w:type="dxa"/>
            <w:right w:w="115" w:type="dxa"/>
          </w:tblCellMar>
        </w:tblPrEx>
        <w:trPr>
          <w:trHeight w:val="408" w:hRule="atLeast"/>
        </w:trPr>
        <w:tc>
          <w:tcPr>
            <w:tcBorders>
              <w:top w:val="nil"/>
              <w:left w:val="nil"/>
              <w:bottom w:val="nil"/>
              <w:right w:val="nil"/>
            </w:tcBorders>
            <w:vAlign w:val="center"/>
          </w:tcPr>
          <w:p w14:paraId="00000924">
            <w:pPr>
              <w:spacing w:after="0"/>
              <w:rPr>
                <w:b/>
                <w:bCs/>
              </w:rPr>
            </w:pPr>
            <w:r>
              <w:rPr>
                <w:b/>
                <w:bCs/>
                <w:rtl w:val="0"/>
              </w:rPr>
              <w:t>Year</w:t>
            </w:r>
          </w:p>
        </w:tc>
        <w:tc>
          <w:tcPr>
            <w:tcBorders>
              <w:top w:val="nil"/>
              <w:left w:val="nil"/>
              <w:bottom w:val="nil"/>
              <w:right w:val="nil"/>
            </w:tcBorders>
            <w:vAlign w:val="center"/>
          </w:tcPr>
          <w:p w14:paraId="00000925">
            <w:pPr>
              <w:spacing w:after="0"/>
              <w:rPr>
                <w:b/>
                <w:bCs/>
              </w:rPr>
            </w:pPr>
            <w:r>
              <w:rPr>
                <w:b/>
                <w:bCs/>
                <w:rtl w:val="0"/>
              </w:rPr>
              <w:t>Annual Cash Inflow (£)</w:t>
            </w:r>
          </w:p>
        </w:tc>
        <w:tc>
          <w:tcPr>
            <w:tcBorders>
              <w:top w:val="nil"/>
              <w:left w:val="nil"/>
              <w:bottom w:val="nil"/>
              <w:right w:val="nil"/>
            </w:tcBorders>
            <w:vAlign w:val="center"/>
          </w:tcPr>
          <w:p w14:paraId="00000926">
            <w:pPr>
              <w:spacing w:after="0"/>
              <w:rPr>
                <w:b/>
                <w:bCs/>
              </w:rPr>
            </w:pPr>
            <w:r>
              <w:rPr>
                <w:b/>
                <w:bCs/>
                <w:rtl w:val="0"/>
              </w:rPr>
              <w:t>Net Cash Position (£)</w:t>
            </w:r>
          </w:p>
        </w:tc>
      </w:tr>
      <w:tr w14:paraId="19CEF1F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27">
            <w:pPr>
              <w:spacing w:after="0"/>
            </w:pPr>
            <w:r>
              <w:rPr>
                <w:rtl w:val="0"/>
              </w:rPr>
              <w:t>0</w:t>
            </w:r>
          </w:p>
        </w:tc>
        <w:tc>
          <w:tcPr>
            <w:tcBorders>
              <w:top w:val="nil"/>
              <w:left w:val="nil"/>
              <w:bottom w:val="nil"/>
              <w:right w:val="nil"/>
            </w:tcBorders>
            <w:vAlign w:val="center"/>
          </w:tcPr>
          <w:p w14:paraId="00000928">
            <w:pPr>
              <w:spacing w:after="0"/>
              <w:rPr>
                <w:b/>
                <w:bCs/>
              </w:rPr>
            </w:pPr>
            <w:r>
              <w:rPr>
                <w:b/>
                <w:bCs/>
                <w:rtl w:val="0"/>
              </w:rPr>
              <w:t>–40</w:t>
            </w:r>
          </w:p>
        </w:tc>
        <w:tc>
          <w:tcPr>
            <w:tcBorders>
              <w:top w:val="nil"/>
              <w:left w:val="nil"/>
              <w:bottom w:val="nil"/>
              <w:right w:val="nil"/>
            </w:tcBorders>
            <w:vAlign w:val="center"/>
          </w:tcPr>
          <w:p w14:paraId="00000929">
            <w:pPr>
              <w:spacing w:after="0"/>
            </w:pPr>
            <w:r>
              <w:rPr>
                <w:rtl w:val="0"/>
              </w:rPr>
              <w:t>–40</w:t>
            </w:r>
          </w:p>
        </w:tc>
      </w:tr>
      <w:tr w14:paraId="4F4EBCF3">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2A">
            <w:pPr>
              <w:spacing w:after="0"/>
            </w:pPr>
            <w:r>
              <w:rPr>
                <w:rtl w:val="0"/>
              </w:rPr>
              <w:t>1</w:t>
            </w:r>
          </w:p>
        </w:tc>
        <w:tc>
          <w:tcPr>
            <w:tcBorders>
              <w:top w:val="nil"/>
              <w:left w:val="nil"/>
              <w:bottom w:val="nil"/>
              <w:right w:val="nil"/>
            </w:tcBorders>
            <w:vAlign w:val="center"/>
          </w:tcPr>
          <w:p w14:paraId="0000092B">
            <w:pPr>
              <w:spacing w:after="0"/>
            </w:pPr>
            <w:r>
              <w:rPr>
                <w:rtl w:val="0"/>
              </w:rPr>
              <w:t>10</w:t>
            </w:r>
          </w:p>
        </w:tc>
        <w:tc>
          <w:tcPr>
            <w:tcBorders>
              <w:top w:val="nil"/>
              <w:left w:val="nil"/>
              <w:bottom w:val="nil"/>
              <w:right w:val="nil"/>
            </w:tcBorders>
            <w:vAlign w:val="center"/>
          </w:tcPr>
          <w:p w14:paraId="0000092C">
            <w:pPr>
              <w:spacing w:after="0"/>
            </w:pPr>
            <w:r>
              <w:rPr>
                <w:rtl w:val="0"/>
              </w:rPr>
              <w:t>–30</w:t>
            </w:r>
          </w:p>
        </w:tc>
      </w:tr>
      <w:tr w14:paraId="4384BF0F">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2D">
            <w:pPr>
              <w:spacing w:after="0"/>
            </w:pPr>
            <w:r>
              <w:rPr>
                <w:rtl w:val="0"/>
              </w:rPr>
              <w:t>2</w:t>
            </w:r>
          </w:p>
        </w:tc>
        <w:tc>
          <w:tcPr>
            <w:tcBorders>
              <w:top w:val="nil"/>
              <w:left w:val="nil"/>
              <w:bottom w:val="nil"/>
              <w:right w:val="nil"/>
            </w:tcBorders>
            <w:vAlign w:val="center"/>
          </w:tcPr>
          <w:p w14:paraId="0000092E">
            <w:pPr>
              <w:spacing w:after="0"/>
            </w:pPr>
            <w:r>
              <w:rPr>
                <w:rtl w:val="0"/>
              </w:rPr>
              <w:t>12</w:t>
            </w:r>
          </w:p>
        </w:tc>
        <w:tc>
          <w:tcPr>
            <w:tcBorders>
              <w:top w:val="nil"/>
              <w:left w:val="nil"/>
              <w:bottom w:val="nil"/>
              <w:right w:val="nil"/>
            </w:tcBorders>
            <w:vAlign w:val="center"/>
          </w:tcPr>
          <w:p w14:paraId="0000092F">
            <w:pPr>
              <w:spacing w:after="0"/>
            </w:pPr>
            <w:r>
              <w:rPr>
                <w:rtl w:val="0"/>
              </w:rPr>
              <w:t>–18</w:t>
            </w:r>
          </w:p>
        </w:tc>
      </w:tr>
      <w:tr w14:paraId="793A5001">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30">
            <w:pPr>
              <w:spacing w:after="0"/>
            </w:pPr>
            <w:r>
              <w:rPr>
                <w:rtl w:val="0"/>
              </w:rPr>
              <w:t>3</w:t>
            </w:r>
          </w:p>
        </w:tc>
        <w:tc>
          <w:tcPr>
            <w:tcBorders>
              <w:top w:val="nil"/>
              <w:left w:val="nil"/>
              <w:bottom w:val="nil"/>
              <w:right w:val="nil"/>
            </w:tcBorders>
            <w:vAlign w:val="center"/>
          </w:tcPr>
          <w:p w14:paraId="00000931">
            <w:pPr>
              <w:spacing w:after="0"/>
            </w:pPr>
            <w:r>
              <w:rPr>
                <w:rtl w:val="0"/>
              </w:rPr>
              <w:t>14</w:t>
            </w:r>
          </w:p>
        </w:tc>
        <w:tc>
          <w:tcPr>
            <w:tcBorders>
              <w:top w:val="nil"/>
              <w:left w:val="nil"/>
              <w:bottom w:val="nil"/>
              <w:right w:val="nil"/>
            </w:tcBorders>
            <w:vAlign w:val="center"/>
          </w:tcPr>
          <w:p w14:paraId="00000932">
            <w:pPr>
              <w:spacing w:after="0"/>
            </w:pPr>
            <w:r>
              <w:rPr>
                <w:rtl w:val="0"/>
              </w:rPr>
              <w:t>–4</w:t>
            </w:r>
          </w:p>
        </w:tc>
      </w:tr>
      <w:tr w14:paraId="7CCE58D8">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33">
            <w:pPr>
              <w:spacing w:after="0"/>
            </w:pPr>
            <w:r>
              <w:rPr>
                <w:rtl w:val="0"/>
              </w:rPr>
              <w:t>4</w:t>
            </w:r>
          </w:p>
        </w:tc>
        <w:tc>
          <w:tcPr>
            <w:tcBorders>
              <w:top w:val="nil"/>
              <w:left w:val="nil"/>
              <w:bottom w:val="nil"/>
              <w:right w:val="nil"/>
            </w:tcBorders>
            <w:vAlign w:val="center"/>
          </w:tcPr>
          <w:p w14:paraId="00000934">
            <w:pPr>
              <w:spacing w:after="0"/>
            </w:pPr>
            <w:r>
              <w:rPr>
                <w:rtl w:val="0"/>
              </w:rPr>
              <w:t>10</w:t>
            </w:r>
          </w:p>
        </w:tc>
        <w:tc>
          <w:tcPr>
            <w:tcBorders>
              <w:top w:val="nil"/>
              <w:left w:val="nil"/>
              <w:bottom w:val="nil"/>
              <w:right w:val="nil"/>
            </w:tcBorders>
            <w:vAlign w:val="center"/>
          </w:tcPr>
          <w:p w14:paraId="00000935">
            <w:pPr>
              <w:spacing w:after="0"/>
              <w:rPr>
                <w:b/>
                <w:bCs/>
              </w:rPr>
            </w:pPr>
            <w:r>
              <w:rPr>
                <w:b/>
                <w:bCs/>
                <w:rtl w:val="0"/>
              </w:rPr>
              <w:t>6</w:t>
            </w:r>
          </w:p>
        </w:tc>
      </w:tr>
      <w:tr w14:paraId="16C36FEF">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36">
            <w:pPr>
              <w:spacing w:after="0"/>
            </w:pPr>
            <w:r>
              <w:rPr>
                <w:rtl w:val="0"/>
              </w:rPr>
              <w:t>5</w:t>
            </w:r>
          </w:p>
        </w:tc>
        <w:tc>
          <w:tcPr>
            <w:tcBorders>
              <w:top w:val="nil"/>
              <w:left w:val="nil"/>
              <w:bottom w:val="nil"/>
              <w:right w:val="nil"/>
            </w:tcBorders>
            <w:vAlign w:val="center"/>
          </w:tcPr>
          <w:p w14:paraId="00000937">
            <w:pPr>
              <w:spacing w:after="0"/>
            </w:pPr>
            <w:r>
              <w:rPr>
                <w:rtl w:val="0"/>
              </w:rPr>
              <w:t>8</w:t>
            </w:r>
          </w:p>
        </w:tc>
        <w:tc>
          <w:tcPr>
            <w:tcBorders>
              <w:top w:val="nil"/>
              <w:left w:val="nil"/>
              <w:bottom w:val="nil"/>
              <w:right w:val="nil"/>
            </w:tcBorders>
            <w:vAlign w:val="center"/>
          </w:tcPr>
          <w:p w14:paraId="00000938">
            <w:pPr>
              <w:spacing w:after="0"/>
            </w:pPr>
            <w:r>
              <w:rPr>
                <w:rtl w:val="0"/>
              </w:rPr>
              <w:t>14</w:t>
            </w:r>
          </w:p>
        </w:tc>
      </w:tr>
      <w:tr w14:paraId="489CE6D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39">
            <w:pPr>
              <w:spacing w:after="0"/>
            </w:pPr>
          </w:p>
        </w:tc>
        <w:tc>
          <w:tcPr>
            <w:tcBorders>
              <w:top w:val="nil"/>
              <w:left w:val="nil"/>
              <w:bottom w:val="nil"/>
              <w:right w:val="nil"/>
            </w:tcBorders>
            <w:vAlign w:val="bottom"/>
          </w:tcPr>
          <w:p w14:paraId="0000093A">
            <w:pPr>
              <w:spacing w:after="0"/>
            </w:pPr>
          </w:p>
        </w:tc>
        <w:tc>
          <w:tcPr>
            <w:tcBorders>
              <w:top w:val="nil"/>
              <w:left w:val="nil"/>
              <w:bottom w:val="nil"/>
              <w:right w:val="nil"/>
            </w:tcBorders>
            <w:vAlign w:val="bottom"/>
          </w:tcPr>
          <w:p w14:paraId="0000093B">
            <w:pPr>
              <w:spacing w:after="0"/>
            </w:pPr>
          </w:p>
        </w:tc>
      </w:tr>
      <w:tr w14:paraId="003FD40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3C">
            <w:pPr>
              <w:spacing w:after="0"/>
            </w:pPr>
          </w:p>
        </w:tc>
        <w:tc>
          <w:tcPr>
            <w:tcBorders>
              <w:top w:val="nil"/>
              <w:left w:val="nil"/>
              <w:bottom w:val="nil"/>
              <w:right w:val="nil"/>
            </w:tcBorders>
            <w:vAlign w:val="bottom"/>
          </w:tcPr>
          <w:p w14:paraId="0000093D">
            <w:pPr>
              <w:spacing w:after="0"/>
            </w:pPr>
          </w:p>
        </w:tc>
        <w:tc>
          <w:tcPr>
            <w:tcBorders>
              <w:top w:val="nil"/>
              <w:left w:val="nil"/>
              <w:bottom w:val="nil"/>
              <w:right w:val="nil"/>
            </w:tcBorders>
            <w:vAlign w:val="bottom"/>
          </w:tcPr>
          <w:p w14:paraId="0000093E">
            <w:pPr>
              <w:spacing w:after="0"/>
            </w:pPr>
          </w:p>
        </w:tc>
      </w:tr>
      <w:tr w14:paraId="2CD334E5">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3F">
            <w:pPr>
              <w:spacing w:after="0"/>
              <w:rPr>
                <w:b/>
                <w:bCs/>
              </w:rPr>
            </w:pPr>
            <w:r>
              <w:rPr>
                <w:b/>
                <w:bCs/>
                <w:rtl w:val="0"/>
              </w:rPr>
              <w:t>Payback Calculation</w:t>
            </w:r>
          </w:p>
        </w:tc>
        <w:tc>
          <w:tcPr>
            <w:tcBorders>
              <w:top w:val="nil"/>
              <w:left w:val="nil"/>
              <w:bottom w:val="nil"/>
              <w:right w:val="nil"/>
            </w:tcBorders>
            <w:vAlign w:val="bottom"/>
          </w:tcPr>
          <w:p w14:paraId="00000941">
            <w:pPr>
              <w:spacing w:after="0"/>
              <w:rPr>
                <w:b/>
                <w:bCs/>
              </w:rPr>
            </w:pPr>
          </w:p>
        </w:tc>
      </w:tr>
      <w:tr w14:paraId="21E0851D">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42">
            <w:pPr>
              <w:spacing w:after="0"/>
            </w:pPr>
          </w:p>
        </w:tc>
        <w:tc>
          <w:tcPr>
            <w:tcBorders>
              <w:top w:val="nil"/>
              <w:left w:val="nil"/>
              <w:bottom w:val="nil"/>
              <w:right w:val="nil"/>
            </w:tcBorders>
            <w:vAlign w:val="bottom"/>
          </w:tcPr>
          <w:p w14:paraId="00000943">
            <w:pPr>
              <w:spacing w:after="0"/>
              <w:ind w:firstLine="240"/>
            </w:pPr>
          </w:p>
        </w:tc>
        <w:tc>
          <w:tcPr>
            <w:tcBorders>
              <w:top w:val="nil"/>
              <w:left w:val="nil"/>
              <w:bottom w:val="nil"/>
              <w:right w:val="nil"/>
            </w:tcBorders>
            <w:vAlign w:val="bottom"/>
          </w:tcPr>
          <w:p w14:paraId="00000944">
            <w:pPr>
              <w:spacing w:after="0"/>
            </w:pPr>
          </w:p>
        </w:tc>
      </w:tr>
      <w:tr w14:paraId="1156A10F">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45">
            <w:pPr>
              <w:spacing w:after="0"/>
              <w:ind w:firstLine="240"/>
            </w:pPr>
            <w:r>
              <w:rPr>
                <w:rtl w:val="0"/>
              </w:rPr>
              <w:t xml:space="preserve">Initial investment: </w:t>
            </w:r>
            <w:r>
              <w:rPr>
                <w:b/>
                <w:bCs/>
                <w:rtl w:val="0"/>
              </w:rPr>
              <w:t>£40</w:t>
            </w:r>
          </w:p>
        </w:tc>
        <w:tc>
          <w:tcPr>
            <w:tcBorders>
              <w:top w:val="nil"/>
              <w:left w:val="nil"/>
              <w:bottom w:val="nil"/>
              <w:right w:val="nil"/>
            </w:tcBorders>
            <w:vAlign w:val="bottom"/>
          </w:tcPr>
          <w:p w14:paraId="00000947">
            <w:pPr>
              <w:spacing w:after="0"/>
              <w:ind w:firstLine="240"/>
            </w:pPr>
          </w:p>
        </w:tc>
      </w:tr>
      <w:tr w14:paraId="2B6FD97A">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48">
            <w:pPr>
              <w:spacing w:after="0"/>
            </w:pPr>
          </w:p>
        </w:tc>
        <w:tc>
          <w:tcPr>
            <w:tcBorders>
              <w:top w:val="nil"/>
              <w:left w:val="nil"/>
              <w:bottom w:val="nil"/>
              <w:right w:val="nil"/>
            </w:tcBorders>
            <w:vAlign w:val="bottom"/>
          </w:tcPr>
          <w:p w14:paraId="00000949">
            <w:pPr>
              <w:spacing w:after="0"/>
              <w:ind w:firstLine="240"/>
            </w:pPr>
          </w:p>
        </w:tc>
        <w:tc>
          <w:tcPr>
            <w:tcBorders>
              <w:top w:val="nil"/>
              <w:left w:val="nil"/>
              <w:bottom w:val="nil"/>
              <w:right w:val="nil"/>
            </w:tcBorders>
            <w:vAlign w:val="bottom"/>
          </w:tcPr>
          <w:p w14:paraId="0000094A">
            <w:pPr>
              <w:spacing w:after="0"/>
            </w:pPr>
          </w:p>
        </w:tc>
      </w:tr>
      <w:tr w14:paraId="2DCB4217">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94B">
            <w:pPr>
              <w:spacing w:after="0"/>
              <w:ind w:firstLine="240"/>
            </w:pPr>
            <w:r>
              <w:rPr>
                <w:rtl w:val="0"/>
              </w:rPr>
              <w:t xml:space="preserve">Cumulative cash flow turns positive </w:t>
            </w:r>
            <w:r>
              <w:rPr>
                <w:b/>
                <w:bCs/>
                <w:rtl w:val="0"/>
              </w:rPr>
              <w:t>between Year 3 and Year 4</w:t>
            </w:r>
          </w:p>
        </w:tc>
      </w:tr>
      <w:tr w14:paraId="01BBE1E7">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4E">
            <w:pPr>
              <w:spacing w:after="0"/>
              <w:ind w:firstLine="240"/>
            </w:pPr>
          </w:p>
        </w:tc>
        <w:tc>
          <w:tcPr>
            <w:tcBorders>
              <w:top w:val="nil"/>
              <w:left w:val="nil"/>
              <w:bottom w:val="nil"/>
              <w:right w:val="nil"/>
            </w:tcBorders>
            <w:vAlign w:val="bottom"/>
          </w:tcPr>
          <w:p w14:paraId="0000094F">
            <w:pPr>
              <w:spacing w:after="0"/>
              <w:ind w:firstLine="240"/>
            </w:pPr>
          </w:p>
        </w:tc>
        <w:tc>
          <w:tcPr>
            <w:tcBorders>
              <w:top w:val="nil"/>
              <w:left w:val="nil"/>
              <w:bottom w:val="nil"/>
              <w:right w:val="nil"/>
            </w:tcBorders>
            <w:vAlign w:val="bottom"/>
          </w:tcPr>
          <w:p w14:paraId="00000950">
            <w:pPr>
              <w:spacing w:after="0"/>
            </w:pPr>
          </w:p>
        </w:tc>
      </w:tr>
      <w:tr w14:paraId="046312E0">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951">
            <w:pPr>
              <w:spacing w:after="0"/>
              <w:ind w:firstLine="240"/>
            </w:pPr>
            <w:r>
              <w:rPr>
                <w:rtl w:val="0"/>
              </w:rPr>
              <w:t xml:space="preserve">Unrecovered amount at the end of Year 3: </w:t>
            </w:r>
            <w:r>
              <w:rPr>
                <w:b/>
                <w:bCs/>
                <w:rtl w:val="0"/>
              </w:rPr>
              <w:t>£4</w:t>
            </w:r>
          </w:p>
        </w:tc>
      </w:tr>
      <w:tr w14:paraId="01502B15">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54">
            <w:pPr>
              <w:spacing w:after="0"/>
              <w:ind w:firstLine="240"/>
            </w:pPr>
          </w:p>
        </w:tc>
        <w:tc>
          <w:tcPr>
            <w:tcBorders>
              <w:top w:val="nil"/>
              <w:left w:val="nil"/>
              <w:bottom w:val="nil"/>
              <w:right w:val="nil"/>
            </w:tcBorders>
            <w:vAlign w:val="bottom"/>
          </w:tcPr>
          <w:p w14:paraId="00000955">
            <w:pPr>
              <w:spacing w:after="0"/>
              <w:ind w:firstLine="240"/>
            </w:pPr>
          </w:p>
        </w:tc>
        <w:tc>
          <w:tcPr>
            <w:tcBorders>
              <w:top w:val="nil"/>
              <w:left w:val="nil"/>
              <w:bottom w:val="nil"/>
              <w:right w:val="nil"/>
            </w:tcBorders>
            <w:vAlign w:val="bottom"/>
          </w:tcPr>
          <w:p w14:paraId="00000956">
            <w:pPr>
              <w:spacing w:after="0"/>
            </w:pPr>
          </w:p>
        </w:tc>
      </w:tr>
      <w:tr w14:paraId="511590E1">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57">
            <w:pPr>
              <w:spacing w:after="0"/>
              <w:ind w:firstLine="240"/>
            </w:pPr>
            <w:r>
              <w:rPr>
                <w:rtl w:val="0"/>
              </w:rPr>
              <w:t xml:space="preserve">Cash inflow in Year 4: </w:t>
            </w:r>
            <w:r>
              <w:rPr>
                <w:b/>
                <w:bCs/>
                <w:rtl w:val="0"/>
              </w:rPr>
              <w:t>£10</w:t>
            </w:r>
          </w:p>
        </w:tc>
        <w:tc>
          <w:tcPr>
            <w:tcBorders>
              <w:top w:val="nil"/>
              <w:left w:val="nil"/>
              <w:bottom w:val="nil"/>
              <w:right w:val="nil"/>
            </w:tcBorders>
            <w:vAlign w:val="bottom"/>
          </w:tcPr>
          <w:p w14:paraId="00000959">
            <w:pPr>
              <w:spacing w:after="0"/>
              <w:ind w:firstLine="240"/>
            </w:pPr>
          </w:p>
        </w:tc>
      </w:tr>
      <w:tr w14:paraId="2866061E">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5A">
            <w:pPr>
              <w:spacing w:after="0"/>
            </w:pPr>
          </w:p>
        </w:tc>
        <w:tc>
          <w:tcPr>
            <w:tcBorders>
              <w:top w:val="nil"/>
              <w:left w:val="nil"/>
              <w:bottom w:val="nil"/>
              <w:right w:val="nil"/>
            </w:tcBorders>
            <w:vAlign w:val="bottom"/>
          </w:tcPr>
          <w:p w14:paraId="0000095B">
            <w:pPr>
              <w:spacing w:after="0"/>
            </w:pPr>
          </w:p>
        </w:tc>
        <w:tc>
          <w:tcPr>
            <w:tcBorders>
              <w:top w:val="nil"/>
              <w:left w:val="nil"/>
              <w:bottom w:val="nil"/>
              <w:right w:val="nil"/>
            </w:tcBorders>
            <w:vAlign w:val="bottom"/>
          </w:tcPr>
          <w:p w14:paraId="0000095C">
            <w:pPr>
              <w:spacing w:after="0"/>
            </w:pPr>
          </w:p>
        </w:tc>
      </w:tr>
      <w:tr w14:paraId="14697261">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95D">
            <w:pPr>
              <w:spacing w:after="0"/>
              <w:rPr>
                <w:b/>
                <w:bCs/>
              </w:rPr>
            </w:pPr>
            <w:r>
              <w:rPr>
                <w:b/>
                <w:bCs/>
                <w:rtl w:val="0"/>
              </w:rPr>
              <w:t>Fraction of Year 4 required:</w:t>
            </w:r>
          </w:p>
        </w:tc>
        <w:tc>
          <w:tcPr>
            <w:tcBorders>
              <w:top w:val="nil"/>
              <w:left w:val="nil"/>
              <w:bottom w:val="nil"/>
              <w:right w:val="nil"/>
            </w:tcBorders>
            <w:vAlign w:val="bottom"/>
          </w:tcPr>
          <w:p w14:paraId="0000095F">
            <w:pPr>
              <w:spacing w:after="0"/>
              <w:rPr>
                <w:b/>
                <w:bCs/>
              </w:rPr>
            </w:pPr>
          </w:p>
        </w:tc>
      </w:tr>
      <w:tr w14:paraId="1BDC0B81">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60">
            <w:pPr>
              <w:spacing w:after="0"/>
            </w:pPr>
          </w:p>
        </w:tc>
        <w:tc>
          <w:tcPr>
            <w:tcBorders>
              <w:top w:val="nil"/>
              <w:left w:val="nil"/>
              <w:bottom w:val="nil"/>
              <w:right w:val="nil"/>
            </w:tcBorders>
            <w:vAlign w:val="bottom"/>
          </w:tcPr>
          <w:p w14:paraId="00000961">
            <w:pPr>
              <w:spacing w:after="0"/>
            </w:pPr>
          </w:p>
        </w:tc>
        <w:tc>
          <w:tcPr>
            <w:tcBorders>
              <w:top w:val="nil"/>
              <w:left w:val="nil"/>
              <w:bottom w:val="nil"/>
              <w:right w:val="nil"/>
            </w:tcBorders>
            <w:vAlign w:val="bottom"/>
          </w:tcPr>
          <w:p w14:paraId="00000962">
            <w:pPr>
              <w:spacing w:after="0"/>
            </w:pPr>
          </w:p>
        </w:tc>
      </w:tr>
      <w:tr w14:paraId="0AAA2EE4">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963">
            <w:pPr>
              <w:spacing w:after="0"/>
            </w:pPr>
            <w:r>
              <w:rPr>
                <w:rtl w:val="0"/>
              </w:rPr>
              <w:t xml:space="preserve">4 ÷ 10 = </w:t>
            </w:r>
            <w:r>
              <w:rPr>
                <w:b/>
                <w:bCs/>
                <w:rtl w:val="0"/>
              </w:rPr>
              <w:t>0.4 years</w:t>
            </w:r>
          </w:p>
        </w:tc>
        <w:tc>
          <w:tcPr>
            <w:tcBorders>
              <w:top w:val="nil"/>
              <w:left w:val="nil"/>
              <w:bottom w:val="nil"/>
              <w:right w:val="nil"/>
            </w:tcBorders>
            <w:vAlign w:val="bottom"/>
          </w:tcPr>
          <w:p w14:paraId="00000965">
            <w:pPr>
              <w:spacing w:after="0"/>
            </w:pPr>
          </w:p>
        </w:tc>
      </w:tr>
      <w:tr w14:paraId="1AB70152">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66">
            <w:pPr>
              <w:spacing w:after="0"/>
            </w:pPr>
          </w:p>
        </w:tc>
        <w:tc>
          <w:tcPr>
            <w:tcBorders>
              <w:top w:val="nil"/>
              <w:left w:val="nil"/>
              <w:bottom w:val="nil"/>
              <w:right w:val="nil"/>
            </w:tcBorders>
            <w:vAlign w:val="bottom"/>
          </w:tcPr>
          <w:p w14:paraId="00000967">
            <w:pPr>
              <w:spacing w:after="0"/>
            </w:pPr>
          </w:p>
        </w:tc>
        <w:tc>
          <w:tcPr>
            <w:tcBorders>
              <w:top w:val="nil"/>
              <w:left w:val="nil"/>
              <w:bottom w:val="nil"/>
              <w:right w:val="nil"/>
            </w:tcBorders>
            <w:vAlign w:val="bottom"/>
          </w:tcPr>
          <w:p w14:paraId="00000968">
            <w:pPr>
              <w:spacing w:after="0"/>
            </w:pPr>
          </w:p>
        </w:tc>
      </w:tr>
      <w:tr w14:paraId="5FA9E16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69">
            <w:pPr>
              <w:spacing w:after="0"/>
            </w:pPr>
          </w:p>
        </w:tc>
        <w:tc>
          <w:tcPr>
            <w:tcBorders>
              <w:top w:val="nil"/>
              <w:left w:val="nil"/>
              <w:bottom w:val="nil"/>
              <w:right w:val="nil"/>
            </w:tcBorders>
            <w:vAlign w:val="bottom"/>
          </w:tcPr>
          <w:p w14:paraId="0000096A">
            <w:pPr>
              <w:spacing w:after="0"/>
            </w:pPr>
          </w:p>
        </w:tc>
        <w:tc>
          <w:tcPr>
            <w:tcBorders>
              <w:top w:val="nil"/>
              <w:left w:val="nil"/>
              <w:bottom w:val="nil"/>
              <w:right w:val="nil"/>
            </w:tcBorders>
            <w:vAlign w:val="bottom"/>
          </w:tcPr>
          <w:p w14:paraId="0000096B">
            <w:pPr>
              <w:spacing w:after="0"/>
            </w:pPr>
          </w:p>
        </w:tc>
      </w:tr>
      <w:tr w14:paraId="5607430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6C">
            <w:pPr>
              <w:spacing w:after="0"/>
            </w:pPr>
          </w:p>
        </w:tc>
        <w:tc>
          <w:tcPr>
            <w:tcBorders>
              <w:top w:val="nil"/>
              <w:left w:val="nil"/>
              <w:bottom w:val="nil"/>
              <w:right w:val="nil"/>
            </w:tcBorders>
            <w:vAlign w:val="bottom"/>
          </w:tcPr>
          <w:p w14:paraId="0000096D">
            <w:pPr>
              <w:spacing w:after="0"/>
            </w:pPr>
          </w:p>
        </w:tc>
        <w:tc>
          <w:tcPr>
            <w:tcBorders>
              <w:top w:val="nil"/>
              <w:left w:val="nil"/>
              <w:bottom w:val="nil"/>
              <w:right w:val="nil"/>
            </w:tcBorders>
            <w:vAlign w:val="bottom"/>
          </w:tcPr>
          <w:p w14:paraId="0000096E">
            <w:pPr>
              <w:spacing w:after="0"/>
            </w:pPr>
          </w:p>
        </w:tc>
      </w:tr>
      <w:tr w14:paraId="7BA617F8">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6F">
            <w:pPr>
              <w:spacing w:after="0"/>
              <w:rPr>
                <w:b/>
                <w:bCs/>
              </w:rPr>
            </w:pPr>
            <w:r>
              <w:rPr>
                <w:b/>
                <w:bCs/>
                <w:rtl w:val="0"/>
              </w:rPr>
              <w:t>Payback Period Result</w:t>
            </w:r>
          </w:p>
        </w:tc>
        <w:tc>
          <w:tcPr>
            <w:tcBorders>
              <w:top w:val="nil"/>
              <w:left w:val="nil"/>
              <w:bottom w:val="nil"/>
              <w:right w:val="nil"/>
            </w:tcBorders>
            <w:vAlign w:val="bottom"/>
          </w:tcPr>
          <w:p w14:paraId="00000971">
            <w:pPr>
              <w:spacing w:after="0"/>
              <w:rPr>
                <w:b/>
                <w:bCs/>
              </w:rPr>
            </w:pPr>
          </w:p>
        </w:tc>
      </w:tr>
      <w:tr w14:paraId="24B1A8F4">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72">
            <w:pPr>
              <w:spacing w:after="0"/>
            </w:pPr>
          </w:p>
        </w:tc>
        <w:tc>
          <w:tcPr>
            <w:tcBorders>
              <w:top w:val="nil"/>
              <w:left w:val="nil"/>
              <w:bottom w:val="nil"/>
              <w:right w:val="nil"/>
            </w:tcBorders>
            <w:vAlign w:val="bottom"/>
          </w:tcPr>
          <w:p w14:paraId="00000973">
            <w:pPr>
              <w:spacing w:after="0"/>
              <w:ind w:firstLine="240"/>
            </w:pPr>
          </w:p>
        </w:tc>
        <w:tc>
          <w:tcPr>
            <w:tcBorders>
              <w:top w:val="nil"/>
              <w:left w:val="nil"/>
              <w:bottom w:val="nil"/>
              <w:right w:val="nil"/>
            </w:tcBorders>
            <w:vAlign w:val="bottom"/>
          </w:tcPr>
          <w:p w14:paraId="00000974">
            <w:pPr>
              <w:spacing w:after="0"/>
            </w:pPr>
          </w:p>
        </w:tc>
      </w:tr>
      <w:tr w14:paraId="170A7966">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75">
            <w:pPr>
              <w:spacing w:after="0"/>
              <w:ind w:firstLine="241"/>
              <w:rPr>
                <w:b/>
                <w:bCs/>
              </w:rPr>
            </w:pPr>
            <w:r>
              <w:rPr>
                <w:b/>
                <w:bCs/>
                <w:rtl w:val="0"/>
              </w:rPr>
              <w:t>Payback period = 3.4 years</w:t>
            </w:r>
          </w:p>
        </w:tc>
        <w:tc>
          <w:tcPr>
            <w:tcBorders>
              <w:top w:val="nil"/>
              <w:left w:val="nil"/>
              <w:bottom w:val="nil"/>
              <w:right w:val="nil"/>
            </w:tcBorders>
            <w:vAlign w:val="bottom"/>
          </w:tcPr>
          <w:p w14:paraId="00000977">
            <w:pPr>
              <w:spacing w:after="0"/>
              <w:ind w:firstLine="241"/>
              <w:rPr>
                <w:b/>
                <w:bCs/>
              </w:rPr>
            </w:pPr>
          </w:p>
        </w:tc>
      </w:tr>
      <w:tr w14:paraId="02B2C345">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78">
            <w:pPr>
              <w:spacing w:after="0"/>
            </w:pPr>
          </w:p>
        </w:tc>
        <w:tc>
          <w:tcPr>
            <w:tcBorders>
              <w:top w:val="nil"/>
              <w:left w:val="nil"/>
              <w:bottom w:val="nil"/>
              <w:right w:val="nil"/>
            </w:tcBorders>
            <w:vAlign w:val="bottom"/>
          </w:tcPr>
          <w:p w14:paraId="00000979">
            <w:pPr>
              <w:spacing w:after="0"/>
              <w:ind w:firstLine="240"/>
            </w:pPr>
          </w:p>
        </w:tc>
        <w:tc>
          <w:tcPr>
            <w:tcBorders>
              <w:top w:val="nil"/>
              <w:left w:val="nil"/>
              <w:bottom w:val="nil"/>
              <w:right w:val="nil"/>
            </w:tcBorders>
            <w:vAlign w:val="bottom"/>
          </w:tcPr>
          <w:p w14:paraId="0000097A">
            <w:pPr>
              <w:spacing w:after="0"/>
            </w:pPr>
          </w:p>
        </w:tc>
      </w:tr>
      <w:tr w14:paraId="234C9090">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97B">
            <w:pPr>
              <w:spacing w:after="0"/>
              <w:ind w:firstLine="241"/>
              <w:rPr>
                <w:b/>
                <w:bCs/>
              </w:rPr>
            </w:pPr>
            <w:r>
              <w:rPr>
                <w:b/>
                <w:bCs/>
                <w:rtl w:val="0"/>
              </w:rPr>
              <w:t>Equivalent to: 3 years and approximately 4 months</w:t>
            </w:r>
          </w:p>
        </w:tc>
      </w:tr>
      <w:tr w14:paraId="7BFB534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7E">
            <w:pPr>
              <w:spacing w:after="0"/>
              <w:ind w:firstLine="241"/>
              <w:rPr>
                <w:b/>
                <w:bCs/>
              </w:rPr>
            </w:pPr>
          </w:p>
        </w:tc>
        <w:tc>
          <w:tcPr>
            <w:tcBorders>
              <w:top w:val="nil"/>
              <w:left w:val="nil"/>
              <w:bottom w:val="nil"/>
              <w:right w:val="nil"/>
            </w:tcBorders>
            <w:vAlign w:val="bottom"/>
          </w:tcPr>
          <w:p w14:paraId="0000097F">
            <w:pPr>
              <w:spacing w:after="0"/>
            </w:pPr>
          </w:p>
        </w:tc>
        <w:tc>
          <w:tcPr>
            <w:tcBorders>
              <w:top w:val="nil"/>
              <w:left w:val="nil"/>
              <w:bottom w:val="nil"/>
              <w:right w:val="nil"/>
            </w:tcBorders>
            <w:vAlign w:val="bottom"/>
          </w:tcPr>
          <w:p w14:paraId="00000980">
            <w:pPr>
              <w:spacing w:after="0"/>
            </w:pPr>
          </w:p>
        </w:tc>
      </w:tr>
      <w:tr w14:paraId="01D1BAD6">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81">
            <w:pPr>
              <w:spacing w:after="0"/>
            </w:pPr>
          </w:p>
        </w:tc>
        <w:tc>
          <w:tcPr>
            <w:tcBorders>
              <w:top w:val="nil"/>
              <w:left w:val="nil"/>
              <w:bottom w:val="nil"/>
              <w:right w:val="nil"/>
            </w:tcBorders>
            <w:vAlign w:val="bottom"/>
          </w:tcPr>
          <w:p w14:paraId="00000982">
            <w:pPr>
              <w:spacing w:after="0"/>
            </w:pPr>
          </w:p>
        </w:tc>
        <w:tc>
          <w:tcPr>
            <w:tcBorders>
              <w:top w:val="nil"/>
              <w:left w:val="nil"/>
              <w:bottom w:val="nil"/>
              <w:right w:val="nil"/>
            </w:tcBorders>
            <w:vAlign w:val="bottom"/>
          </w:tcPr>
          <w:p w14:paraId="00000983">
            <w:pPr>
              <w:spacing w:after="0"/>
            </w:pPr>
          </w:p>
        </w:tc>
      </w:tr>
      <w:tr w14:paraId="07AE527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84">
            <w:pPr>
              <w:spacing w:after="0"/>
            </w:pPr>
          </w:p>
        </w:tc>
        <w:tc>
          <w:tcPr>
            <w:tcBorders>
              <w:top w:val="nil"/>
              <w:left w:val="nil"/>
              <w:bottom w:val="nil"/>
              <w:right w:val="nil"/>
            </w:tcBorders>
            <w:vAlign w:val="bottom"/>
          </w:tcPr>
          <w:p w14:paraId="00000985">
            <w:pPr>
              <w:spacing w:after="0"/>
            </w:pPr>
          </w:p>
        </w:tc>
        <w:tc>
          <w:tcPr>
            <w:tcBorders>
              <w:top w:val="nil"/>
              <w:left w:val="nil"/>
              <w:bottom w:val="nil"/>
              <w:right w:val="nil"/>
            </w:tcBorders>
            <w:vAlign w:val="bottom"/>
          </w:tcPr>
          <w:p w14:paraId="00000986">
            <w:pPr>
              <w:spacing w:after="0"/>
            </w:pPr>
          </w:p>
        </w:tc>
      </w:tr>
      <w:tr w14:paraId="25FE23E2">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87">
            <w:pPr>
              <w:spacing w:after="0"/>
              <w:rPr>
                <w:b/>
                <w:bCs/>
              </w:rPr>
            </w:pPr>
            <w:r>
              <w:rPr>
                <w:b/>
                <w:bCs/>
                <w:rtl w:val="0"/>
              </w:rPr>
              <w:t>Interpretation (brief)</w:t>
            </w:r>
          </w:p>
        </w:tc>
        <w:tc>
          <w:tcPr>
            <w:tcBorders>
              <w:top w:val="nil"/>
              <w:left w:val="nil"/>
              <w:bottom w:val="nil"/>
              <w:right w:val="nil"/>
            </w:tcBorders>
            <w:vAlign w:val="bottom"/>
          </w:tcPr>
          <w:p w14:paraId="00000989">
            <w:pPr>
              <w:spacing w:after="0"/>
              <w:rPr>
                <w:b/>
                <w:bCs/>
              </w:rPr>
            </w:pPr>
          </w:p>
        </w:tc>
      </w:tr>
    </w:tbl>
    <w:p w14:paraId="0000098A"/>
    <w:p w14:paraId="0000098B">
      <w:pPr>
        <w:pStyle w:val="3"/>
      </w:pPr>
      <w:bookmarkStart w:id="39" w:name="_8ysxfw7277qs" w:colFirst="0" w:colLast="0"/>
      <w:bookmarkEnd w:id="39"/>
      <w:r>
        <w:rPr>
          <w:rtl w:val="0"/>
        </w:rPr>
        <w:t>Appendix H</w:t>
      </w:r>
    </w:p>
    <w:tbl>
      <w:tblPr>
        <w:tblStyle w:val="24"/>
        <w:tblW w:w="4406" w:type="dxa"/>
        <w:tblInd w:w="0" w:type="dxa"/>
        <w:tblLayout w:type="fixed"/>
        <w:tblCellMar>
          <w:top w:w="0" w:type="dxa"/>
          <w:left w:w="115" w:type="dxa"/>
          <w:bottom w:w="0" w:type="dxa"/>
          <w:right w:w="115" w:type="dxa"/>
        </w:tblCellMar>
      </w:tblPr>
      <w:tblGrid>
        <w:gridCol w:w="960"/>
        <w:gridCol w:w="960"/>
        <w:gridCol w:w="1123"/>
        <w:gridCol w:w="1363"/>
      </w:tblGrid>
      <w:tr w14:paraId="236F6C7F">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8C">
            <w:pPr>
              <w:spacing w:after="0"/>
              <w:rPr>
                <w:b/>
                <w:bCs/>
              </w:rPr>
            </w:pPr>
            <w:r>
              <w:rPr>
                <w:b/>
                <w:bCs/>
                <w:rtl w:val="0"/>
              </w:rPr>
              <w:t>Cash Flow Discounting</w:t>
            </w:r>
          </w:p>
        </w:tc>
        <w:tc>
          <w:tcPr>
            <w:tcBorders>
              <w:top w:val="nil"/>
              <w:left w:val="nil"/>
              <w:bottom w:val="nil"/>
              <w:right w:val="nil"/>
            </w:tcBorders>
            <w:vAlign w:val="bottom"/>
          </w:tcPr>
          <w:p w14:paraId="0000098E">
            <w:pPr>
              <w:spacing w:after="0"/>
              <w:rPr>
                <w:b/>
                <w:bCs/>
              </w:rPr>
            </w:pPr>
          </w:p>
        </w:tc>
        <w:tc>
          <w:tcPr>
            <w:tcBorders>
              <w:top w:val="nil"/>
              <w:left w:val="nil"/>
              <w:bottom w:val="nil"/>
              <w:right w:val="nil"/>
            </w:tcBorders>
            <w:vAlign w:val="bottom"/>
          </w:tcPr>
          <w:p w14:paraId="0000098F">
            <w:pPr>
              <w:spacing w:after="0"/>
            </w:pPr>
          </w:p>
        </w:tc>
      </w:tr>
      <w:tr w14:paraId="42494D3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90">
            <w:pPr>
              <w:spacing w:after="0"/>
            </w:pPr>
          </w:p>
        </w:tc>
        <w:tc>
          <w:tcPr>
            <w:tcBorders>
              <w:top w:val="nil"/>
              <w:left w:val="nil"/>
              <w:bottom w:val="nil"/>
              <w:right w:val="nil"/>
            </w:tcBorders>
            <w:vAlign w:val="bottom"/>
          </w:tcPr>
          <w:p w14:paraId="00000991">
            <w:pPr>
              <w:spacing w:after="0"/>
            </w:pPr>
          </w:p>
        </w:tc>
        <w:tc>
          <w:tcPr>
            <w:tcBorders>
              <w:top w:val="nil"/>
              <w:left w:val="nil"/>
              <w:bottom w:val="nil"/>
              <w:right w:val="nil"/>
            </w:tcBorders>
            <w:vAlign w:val="bottom"/>
          </w:tcPr>
          <w:p w14:paraId="00000992">
            <w:pPr>
              <w:spacing w:after="0"/>
            </w:pPr>
          </w:p>
        </w:tc>
        <w:tc>
          <w:tcPr>
            <w:tcBorders>
              <w:top w:val="nil"/>
              <w:left w:val="nil"/>
              <w:bottom w:val="nil"/>
              <w:right w:val="nil"/>
            </w:tcBorders>
            <w:vAlign w:val="bottom"/>
          </w:tcPr>
          <w:p w14:paraId="00000993">
            <w:pPr>
              <w:spacing w:after="0"/>
            </w:pPr>
          </w:p>
        </w:tc>
      </w:tr>
      <w:tr w14:paraId="0137E357">
        <w:tblPrEx>
          <w:tblCellMar>
            <w:top w:w="0" w:type="dxa"/>
            <w:left w:w="115" w:type="dxa"/>
            <w:bottom w:w="0" w:type="dxa"/>
            <w:right w:w="115" w:type="dxa"/>
          </w:tblCellMar>
        </w:tblPrEx>
        <w:trPr>
          <w:trHeight w:val="612" w:hRule="atLeast"/>
        </w:trPr>
        <w:tc>
          <w:tcPr>
            <w:tcBorders>
              <w:top w:val="nil"/>
              <w:left w:val="nil"/>
              <w:bottom w:val="nil"/>
              <w:right w:val="nil"/>
            </w:tcBorders>
            <w:vAlign w:val="center"/>
          </w:tcPr>
          <w:p w14:paraId="00000994">
            <w:pPr>
              <w:spacing w:after="0"/>
              <w:rPr>
                <w:b/>
                <w:bCs/>
              </w:rPr>
            </w:pPr>
            <w:r>
              <w:rPr>
                <w:b/>
                <w:bCs/>
                <w:rtl w:val="0"/>
              </w:rPr>
              <w:t>Time (Year)</w:t>
            </w:r>
          </w:p>
        </w:tc>
        <w:tc>
          <w:tcPr>
            <w:tcBorders>
              <w:top w:val="nil"/>
              <w:left w:val="nil"/>
              <w:bottom w:val="nil"/>
              <w:right w:val="nil"/>
            </w:tcBorders>
            <w:vAlign w:val="center"/>
          </w:tcPr>
          <w:p w14:paraId="00000995">
            <w:pPr>
              <w:spacing w:after="0"/>
              <w:rPr>
                <w:b/>
                <w:bCs/>
              </w:rPr>
            </w:pPr>
            <w:r>
              <w:rPr>
                <w:b/>
                <w:bCs/>
                <w:rtl w:val="0"/>
              </w:rPr>
              <w:t>Net Cash Flow (£m)</w:t>
            </w:r>
          </w:p>
        </w:tc>
        <w:tc>
          <w:tcPr>
            <w:tcBorders>
              <w:top w:val="nil"/>
              <w:left w:val="nil"/>
              <w:bottom w:val="nil"/>
              <w:right w:val="nil"/>
            </w:tcBorders>
            <w:vAlign w:val="center"/>
          </w:tcPr>
          <w:p w14:paraId="00000996">
            <w:pPr>
              <w:spacing w:after="0"/>
              <w:rPr>
                <w:b/>
                <w:bCs/>
              </w:rPr>
            </w:pPr>
            <w:r>
              <w:rPr>
                <w:b/>
                <w:bCs/>
                <w:rtl w:val="0"/>
              </w:rPr>
              <w:t>Discount Factor</w:t>
            </w:r>
          </w:p>
        </w:tc>
        <w:tc>
          <w:tcPr>
            <w:tcBorders>
              <w:top w:val="nil"/>
              <w:left w:val="nil"/>
              <w:bottom w:val="nil"/>
              <w:right w:val="nil"/>
            </w:tcBorders>
            <w:vAlign w:val="center"/>
          </w:tcPr>
          <w:p w14:paraId="00000997">
            <w:pPr>
              <w:spacing w:after="0"/>
              <w:rPr>
                <w:b/>
                <w:bCs/>
              </w:rPr>
            </w:pPr>
            <w:r>
              <w:rPr>
                <w:b/>
                <w:bCs/>
                <w:rtl w:val="0"/>
              </w:rPr>
              <w:t>Discounted Cash Flow (£m)</w:t>
            </w:r>
          </w:p>
        </w:tc>
      </w:tr>
      <w:tr w14:paraId="21CCF58B">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98">
            <w:pPr>
              <w:spacing w:after="0"/>
            </w:pPr>
            <w:r>
              <w:rPr>
                <w:rtl w:val="0"/>
              </w:rPr>
              <w:t>0</w:t>
            </w:r>
          </w:p>
        </w:tc>
        <w:tc>
          <w:tcPr>
            <w:tcBorders>
              <w:top w:val="nil"/>
              <w:left w:val="nil"/>
              <w:bottom w:val="nil"/>
              <w:right w:val="nil"/>
            </w:tcBorders>
            <w:vAlign w:val="center"/>
          </w:tcPr>
          <w:p w14:paraId="00000999">
            <w:pPr>
              <w:spacing w:after="0"/>
            </w:pPr>
            <w:r>
              <w:rPr>
                <w:rtl w:val="0"/>
              </w:rPr>
              <w:t>–40.0</w:t>
            </w:r>
          </w:p>
        </w:tc>
        <w:tc>
          <w:tcPr>
            <w:tcBorders>
              <w:top w:val="nil"/>
              <w:left w:val="nil"/>
              <w:bottom w:val="nil"/>
              <w:right w:val="nil"/>
            </w:tcBorders>
            <w:vAlign w:val="center"/>
          </w:tcPr>
          <w:p w14:paraId="0000099A">
            <w:pPr>
              <w:spacing w:after="0"/>
            </w:pPr>
            <w:r>
              <w:rPr>
                <w:rtl w:val="0"/>
              </w:rPr>
              <w:t>1</w:t>
            </w:r>
          </w:p>
        </w:tc>
        <w:tc>
          <w:tcPr>
            <w:tcBorders>
              <w:top w:val="nil"/>
              <w:left w:val="nil"/>
              <w:bottom w:val="nil"/>
              <w:right w:val="nil"/>
            </w:tcBorders>
            <w:vAlign w:val="center"/>
          </w:tcPr>
          <w:p w14:paraId="0000099B">
            <w:pPr>
              <w:spacing w:after="0"/>
            </w:pPr>
            <w:r>
              <w:rPr>
                <w:rtl w:val="0"/>
              </w:rPr>
              <w:t>–40.00</w:t>
            </w:r>
          </w:p>
        </w:tc>
      </w:tr>
      <w:tr w14:paraId="3963314C">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9C">
            <w:pPr>
              <w:spacing w:after="0"/>
            </w:pPr>
            <w:r>
              <w:rPr>
                <w:rtl w:val="0"/>
              </w:rPr>
              <w:t>1</w:t>
            </w:r>
          </w:p>
        </w:tc>
        <w:tc>
          <w:tcPr>
            <w:tcBorders>
              <w:top w:val="nil"/>
              <w:left w:val="nil"/>
              <w:bottom w:val="nil"/>
              <w:right w:val="nil"/>
            </w:tcBorders>
            <w:vAlign w:val="center"/>
          </w:tcPr>
          <w:p w14:paraId="0000099D">
            <w:pPr>
              <w:spacing w:after="0"/>
            </w:pPr>
            <w:r>
              <w:rPr>
                <w:rtl w:val="0"/>
              </w:rPr>
              <w:t>10</w:t>
            </w:r>
          </w:p>
        </w:tc>
        <w:tc>
          <w:tcPr>
            <w:tcBorders>
              <w:top w:val="nil"/>
              <w:left w:val="nil"/>
              <w:bottom w:val="nil"/>
              <w:right w:val="nil"/>
            </w:tcBorders>
            <w:vAlign w:val="center"/>
          </w:tcPr>
          <w:p w14:paraId="0000099E">
            <w:pPr>
              <w:spacing w:after="0"/>
            </w:pPr>
            <w:r>
              <w:rPr>
                <w:rtl w:val="0"/>
              </w:rPr>
              <w:t>0.909</w:t>
            </w:r>
          </w:p>
        </w:tc>
        <w:tc>
          <w:tcPr>
            <w:tcBorders>
              <w:top w:val="nil"/>
              <w:left w:val="nil"/>
              <w:bottom w:val="nil"/>
              <w:right w:val="nil"/>
            </w:tcBorders>
            <w:vAlign w:val="center"/>
          </w:tcPr>
          <w:p w14:paraId="0000099F">
            <w:pPr>
              <w:spacing w:after="0"/>
            </w:pPr>
            <w:r>
              <w:rPr>
                <w:rtl w:val="0"/>
              </w:rPr>
              <w:t>9.09</w:t>
            </w:r>
          </w:p>
        </w:tc>
      </w:tr>
      <w:tr w14:paraId="349E1570">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A0">
            <w:pPr>
              <w:spacing w:after="0"/>
            </w:pPr>
            <w:r>
              <w:rPr>
                <w:rtl w:val="0"/>
              </w:rPr>
              <w:t>2</w:t>
            </w:r>
          </w:p>
        </w:tc>
        <w:tc>
          <w:tcPr>
            <w:tcBorders>
              <w:top w:val="nil"/>
              <w:left w:val="nil"/>
              <w:bottom w:val="nil"/>
              <w:right w:val="nil"/>
            </w:tcBorders>
            <w:vAlign w:val="center"/>
          </w:tcPr>
          <w:p w14:paraId="000009A1">
            <w:pPr>
              <w:spacing w:after="0"/>
            </w:pPr>
            <w:r>
              <w:rPr>
                <w:rtl w:val="0"/>
              </w:rPr>
              <w:t>12</w:t>
            </w:r>
          </w:p>
        </w:tc>
        <w:tc>
          <w:tcPr>
            <w:tcBorders>
              <w:top w:val="nil"/>
              <w:left w:val="nil"/>
              <w:bottom w:val="nil"/>
              <w:right w:val="nil"/>
            </w:tcBorders>
            <w:vAlign w:val="center"/>
          </w:tcPr>
          <w:p w14:paraId="000009A2">
            <w:pPr>
              <w:spacing w:after="0"/>
            </w:pPr>
            <w:r>
              <w:rPr>
                <w:rtl w:val="0"/>
              </w:rPr>
              <w:t>0.826</w:t>
            </w:r>
          </w:p>
        </w:tc>
        <w:tc>
          <w:tcPr>
            <w:tcBorders>
              <w:top w:val="nil"/>
              <w:left w:val="nil"/>
              <w:bottom w:val="nil"/>
              <w:right w:val="nil"/>
            </w:tcBorders>
            <w:vAlign w:val="center"/>
          </w:tcPr>
          <w:p w14:paraId="000009A3">
            <w:pPr>
              <w:spacing w:after="0"/>
            </w:pPr>
            <w:r>
              <w:rPr>
                <w:rtl w:val="0"/>
              </w:rPr>
              <w:t>9.91</w:t>
            </w:r>
          </w:p>
        </w:tc>
      </w:tr>
      <w:tr w14:paraId="38493D95">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A4">
            <w:pPr>
              <w:spacing w:after="0"/>
            </w:pPr>
            <w:r>
              <w:rPr>
                <w:rtl w:val="0"/>
              </w:rPr>
              <w:t>3</w:t>
            </w:r>
          </w:p>
        </w:tc>
        <w:tc>
          <w:tcPr>
            <w:tcBorders>
              <w:top w:val="nil"/>
              <w:left w:val="nil"/>
              <w:bottom w:val="nil"/>
              <w:right w:val="nil"/>
            </w:tcBorders>
            <w:vAlign w:val="center"/>
          </w:tcPr>
          <w:p w14:paraId="000009A5">
            <w:pPr>
              <w:spacing w:after="0"/>
            </w:pPr>
            <w:r>
              <w:rPr>
                <w:rtl w:val="0"/>
              </w:rPr>
              <w:t>14</w:t>
            </w:r>
          </w:p>
        </w:tc>
        <w:tc>
          <w:tcPr>
            <w:tcBorders>
              <w:top w:val="nil"/>
              <w:left w:val="nil"/>
              <w:bottom w:val="nil"/>
              <w:right w:val="nil"/>
            </w:tcBorders>
            <w:vAlign w:val="center"/>
          </w:tcPr>
          <w:p w14:paraId="000009A6">
            <w:pPr>
              <w:spacing w:after="0"/>
            </w:pPr>
            <w:r>
              <w:rPr>
                <w:rtl w:val="0"/>
              </w:rPr>
              <w:t>0.751</w:t>
            </w:r>
          </w:p>
        </w:tc>
        <w:tc>
          <w:tcPr>
            <w:tcBorders>
              <w:top w:val="nil"/>
              <w:left w:val="nil"/>
              <w:bottom w:val="nil"/>
              <w:right w:val="nil"/>
            </w:tcBorders>
            <w:vAlign w:val="center"/>
          </w:tcPr>
          <w:p w14:paraId="000009A7">
            <w:pPr>
              <w:spacing w:after="0"/>
            </w:pPr>
            <w:r>
              <w:rPr>
                <w:rtl w:val="0"/>
              </w:rPr>
              <w:t>10.51</w:t>
            </w:r>
          </w:p>
        </w:tc>
      </w:tr>
      <w:tr w14:paraId="68EC2B5E">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A8">
            <w:pPr>
              <w:spacing w:after="0"/>
            </w:pPr>
            <w:r>
              <w:rPr>
                <w:rtl w:val="0"/>
              </w:rPr>
              <w:t>4</w:t>
            </w:r>
          </w:p>
        </w:tc>
        <w:tc>
          <w:tcPr>
            <w:tcBorders>
              <w:top w:val="nil"/>
              <w:left w:val="nil"/>
              <w:bottom w:val="nil"/>
              <w:right w:val="nil"/>
            </w:tcBorders>
            <w:vAlign w:val="center"/>
          </w:tcPr>
          <w:p w14:paraId="000009A9">
            <w:pPr>
              <w:spacing w:after="0"/>
            </w:pPr>
            <w:r>
              <w:rPr>
                <w:rtl w:val="0"/>
              </w:rPr>
              <w:t>10</w:t>
            </w:r>
          </w:p>
        </w:tc>
        <w:tc>
          <w:tcPr>
            <w:tcBorders>
              <w:top w:val="nil"/>
              <w:left w:val="nil"/>
              <w:bottom w:val="nil"/>
              <w:right w:val="nil"/>
            </w:tcBorders>
            <w:vAlign w:val="center"/>
          </w:tcPr>
          <w:p w14:paraId="000009AA">
            <w:pPr>
              <w:spacing w:after="0"/>
            </w:pPr>
            <w:r>
              <w:rPr>
                <w:rtl w:val="0"/>
              </w:rPr>
              <w:t>0.683</w:t>
            </w:r>
          </w:p>
        </w:tc>
        <w:tc>
          <w:tcPr>
            <w:tcBorders>
              <w:top w:val="nil"/>
              <w:left w:val="nil"/>
              <w:bottom w:val="nil"/>
              <w:right w:val="nil"/>
            </w:tcBorders>
            <w:vAlign w:val="center"/>
          </w:tcPr>
          <w:p w14:paraId="000009AB">
            <w:pPr>
              <w:spacing w:after="0"/>
            </w:pPr>
            <w:r>
              <w:rPr>
                <w:rtl w:val="0"/>
              </w:rPr>
              <w:t>6.83</w:t>
            </w:r>
          </w:p>
        </w:tc>
      </w:tr>
      <w:tr w14:paraId="2E256529">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AC">
            <w:pPr>
              <w:spacing w:after="0"/>
            </w:pPr>
            <w:r>
              <w:rPr>
                <w:rtl w:val="0"/>
              </w:rPr>
              <w:t>5</w:t>
            </w:r>
          </w:p>
        </w:tc>
        <w:tc>
          <w:tcPr>
            <w:tcBorders>
              <w:top w:val="nil"/>
              <w:left w:val="nil"/>
              <w:bottom w:val="nil"/>
              <w:right w:val="nil"/>
            </w:tcBorders>
            <w:vAlign w:val="center"/>
          </w:tcPr>
          <w:p w14:paraId="000009AD">
            <w:pPr>
              <w:spacing w:after="0"/>
            </w:pPr>
            <w:r>
              <w:rPr>
                <w:rtl w:val="0"/>
              </w:rPr>
              <w:t>8</w:t>
            </w:r>
          </w:p>
        </w:tc>
        <w:tc>
          <w:tcPr>
            <w:tcBorders>
              <w:top w:val="nil"/>
              <w:left w:val="nil"/>
              <w:bottom w:val="nil"/>
              <w:right w:val="nil"/>
            </w:tcBorders>
            <w:vAlign w:val="center"/>
          </w:tcPr>
          <w:p w14:paraId="000009AE">
            <w:pPr>
              <w:spacing w:after="0"/>
            </w:pPr>
            <w:r>
              <w:rPr>
                <w:rtl w:val="0"/>
              </w:rPr>
              <w:t>0.62</w:t>
            </w:r>
          </w:p>
        </w:tc>
        <w:tc>
          <w:tcPr>
            <w:tcBorders>
              <w:top w:val="nil"/>
              <w:left w:val="nil"/>
              <w:bottom w:val="nil"/>
              <w:right w:val="nil"/>
            </w:tcBorders>
            <w:vAlign w:val="center"/>
          </w:tcPr>
          <w:p w14:paraId="000009AF">
            <w:pPr>
              <w:spacing w:after="0"/>
            </w:pPr>
            <w:r>
              <w:rPr>
                <w:rtl w:val="0"/>
              </w:rPr>
              <w:t>4.96</w:t>
            </w:r>
          </w:p>
        </w:tc>
      </w:tr>
      <w:tr w14:paraId="355568B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B0">
            <w:pPr>
              <w:spacing w:after="0"/>
            </w:pPr>
          </w:p>
        </w:tc>
        <w:tc>
          <w:tcPr>
            <w:tcBorders>
              <w:top w:val="nil"/>
              <w:left w:val="nil"/>
              <w:bottom w:val="nil"/>
              <w:right w:val="nil"/>
            </w:tcBorders>
            <w:vAlign w:val="bottom"/>
          </w:tcPr>
          <w:p w14:paraId="000009B1">
            <w:pPr>
              <w:spacing w:after="0"/>
            </w:pPr>
          </w:p>
        </w:tc>
        <w:tc>
          <w:tcPr>
            <w:tcBorders>
              <w:top w:val="nil"/>
              <w:left w:val="nil"/>
              <w:bottom w:val="nil"/>
              <w:right w:val="nil"/>
            </w:tcBorders>
            <w:vAlign w:val="bottom"/>
          </w:tcPr>
          <w:p w14:paraId="000009B2">
            <w:pPr>
              <w:spacing w:after="0"/>
            </w:pPr>
          </w:p>
        </w:tc>
        <w:tc>
          <w:tcPr>
            <w:tcBorders>
              <w:top w:val="nil"/>
              <w:left w:val="nil"/>
              <w:bottom w:val="nil"/>
              <w:right w:val="nil"/>
            </w:tcBorders>
            <w:vAlign w:val="bottom"/>
          </w:tcPr>
          <w:p w14:paraId="000009B3">
            <w:pPr>
              <w:spacing w:after="0"/>
            </w:pPr>
          </w:p>
        </w:tc>
      </w:tr>
      <w:tr w14:paraId="33EBE6D9">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9B4">
            <w:pPr>
              <w:spacing w:after="0"/>
              <w:rPr>
                <w:b/>
                <w:bCs/>
              </w:rPr>
            </w:pPr>
            <w:r>
              <w:rPr>
                <w:b/>
                <w:bCs/>
                <w:rtl w:val="0"/>
              </w:rPr>
              <w:t>Total present value of inflows:</w:t>
            </w:r>
            <w:r>
              <w:rPr>
                <w:rtl w:val="0"/>
              </w:rPr>
              <w:t xml:space="preserve"> £41.31m</w:t>
            </w:r>
          </w:p>
        </w:tc>
        <w:tc>
          <w:tcPr>
            <w:tcBorders>
              <w:top w:val="nil"/>
              <w:left w:val="nil"/>
              <w:bottom w:val="nil"/>
              <w:right w:val="nil"/>
            </w:tcBorders>
            <w:vAlign w:val="bottom"/>
          </w:tcPr>
          <w:p w14:paraId="000009B7">
            <w:pPr>
              <w:spacing w:after="0"/>
              <w:rPr>
                <w:b/>
                <w:bCs/>
              </w:rPr>
            </w:pPr>
          </w:p>
        </w:tc>
      </w:tr>
      <w:tr w14:paraId="2BAD86D2">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9B8">
            <w:pPr>
              <w:spacing w:after="0"/>
              <w:rPr>
                <w:b/>
                <w:bCs/>
              </w:rPr>
            </w:pPr>
            <w:r>
              <w:rPr>
                <w:b/>
                <w:bCs/>
                <w:rtl w:val="0"/>
              </w:rPr>
              <w:t>Initial outlay:</w:t>
            </w:r>
            <w:r>
              <w:rPr>
                <w:rtl w:val="0"/>
              </w:rPr>
              <w:t xml:space="preserve"> £40.00m</w:t>
            </w:r>
          </w:p>
        </w:tc>
        <w:tc>
          <w:tcPr>
            <w:tcBorders>
              <w:top w:val="nil"/>
              <w:left w:val="nil"/>
              <w:bottom w:val="nil"/>
              <w:right w:val="nil"/>
            </w:tcBorders>
            <w:vAlign w:val="bottom"/>
          </w:tcPr>
          <w:p w14:paraId="000009BA">
            <w:pPr>
              <w:spacing w:after="0"/>
              <w:rPr>
                <w:b/>
                <w:bCs/>
              </w:rPr>
            </w:pPr>
          </w:p>
        </w:tc>
        <w:tc>
          <w:tcPr>
            <w:tcBorders>
              <w:top w:val="nil"/>
              <w:left w:val="nil"/>
              <w:bottom w:val="nil"/>
              <w:right w:val="nil"/>
            </w:tcBorders>
            <w:vAlign w:val="bottom"/>
          </w:tcPr>
          <w:p w14:paraId="000009BB">
            <w:pPr>
              <w:spacing w:after="0"/>
            </w:pPr>
          </w:p>
        </w:tc>
      </w:tr>
      <w:tr w14:paraId="540D92A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BC">
            <w:pPr>
              <w:spacing w:after="0"/>
            </w:pPr>
          </w:p>
        </w:tc>
        <w:tc>
          <w:tcPr>
            <w:tcBorders>
              <w:top w:val="nil"/>
              <w:left w:val="nil"/>
              <w:bottom w:val="nil"/>
              <w:right w:val="nil"/>
            </w:tcBorders>
            <w:vAlign w:val="bottom"/>
          </w:tcPr>
          <w:p w14:paraId="000009BD">
            <w:pPr>
              <w:spacing w:after="0"/>
            </w:pPr>
          </w:p>
        </w:tc>
        <w:tc>
          <w:tcPr>
            <w:tcBorders>
              <w:top w:val="nil"/>
              <w:left w:val="nil"/>
              <w:bottom w:val="nil"/>
              <w:right w:val="nil"/>
            </w:tcBorders>
            <w:vAlign w:val="bottom"/>
          </w:tcPr>
          <w:p w14:paraId="000009BE">
            <w:pPr>
              <w:spacing w:after="0"/>
            </w:pPr>
          </w:p>
        </w:tc>
        <w:tc>
          <w:tcPr>
            <w:tcBorders>
              <w:top w:val="nil"/>
              <w:left w:val="nil"/>
              <w:bottom w:val="nil"/>
              <w:right w:val="nil"/>
            </w:tcBorders>
            <w:vAlign w:val="bottom"/>
          </w:tcPr>
          <w:p w14:paraId="000009BF">
            <w:pPr>
              <w:spacing w:after="0"/>
            </w:pPr>
          </w:p>
        </w:tc>
      </w:tr>
      <w:tr w14:paraId="1F810831">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C0">
            <w:pPr>
              <w:spacing w:after="0"/>
              <w:rPr>
                <w:b/>
                <w:bCs/>
              </w:rPr>
            </w:pPr>
            <w:r>
              <w:rPr>
                <w:b/>
                <w:bCs/>
                <w:rtl w:val="0"/>
              </w:rPr>
              <w:t>NPV:</w:t>
            </w:r>
            <w:r>
              <w:rPr>
                <w:rtl w:val="0"/>
              </w:rPr>
              <w:t xml:space="preserve"> £1.31m</w:t>
            </w:r>
          </w:p>
        </w:tc>
        <w:tc>
          <w:tcPr>
            <w:tcBorders>
              <w:top w:val="nil"/>
              <w:left w:val="nil"/>
              <w:bottom w:val="nil"/>
              <w:right w:val="nil"/>
            </w:tcBorders>
            <w:vAlign w:val="bottom"/>
          </w:tcPr>
          <w:p w14:paraId="000009C1">
            <w:pPr>
              <w:spacing w:after="0"/>
              <w:rPr>
                <w:b/>
                <w:bCs/>
              </w:rPr>
            </w:pPr>
          </w:p>
        </w:tc>
        <w:tc>
          <w:tcPr>
            <w:tcBorders>
              <w:top w:val="nil"/>
              <w:left w:val="nil"/>
              <w:bottom w:val="nil"/>
              <w:right w:val="nil"/>
            </w:tcBorders>
            <w:vAlign w:val="bottom"/>
          </w:tcPr>
          <w:p w14:paraId="000009C2">
            <w:pPr>
              <w:spacing w:after="0"/>
            </w:pPr>
          </w:p>
        </w:tc>
        <w:tc>
          <w:tcPr>
            <w:tcBorders>
              <w:top w:val="nil"/>
              <w:left w:val="nil"/>
              <w:bottom w:val="nil"/>
              <w:right w:val="nil"/>
            </w:tcBorders>
            <w:vAlign w:val="bottom"/>
          </w:tcPr>
          <w:p w14:paraId="000009C3">
            <w:pPr>
              <w:spacing w:after="0"/>
            </w:pPr>
          </w:p>
        </w:tc>
      </w:tr>
      <w:tr w14:paraId="44FD6F36">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9C4">
            <w:pPr>
              <w:spacing w:after="0"/>
              <w:rPr>
                <w:b/>
                <w:bCs/>
              </w:rPr>
            </w:pPr>
            <w:r>
              <w:rPr>
                <w:b/>
                <w:bCs/>
                <w:rtl w:val="0"/>
              </w:rPr>
              <w:t>Profitability Index:</w:t>
            </w:r>
            <w:r>
              <w:rPr>
                <w:rtl w:val="0"/>
              </w:rPr>
              <w:t xml:space="preserve"> 41.31 ÷ 40.00 = </w:t>
            </w:r>
            <w:r>
              <w:rPr>
                <w:b/>
                <w:bCs/>
                <w:rtl w:val="0"/>
              </w:rPr>
              <w:t>1.03</w:t>
            </w:r>
          </w:p>
        </w:tc>
        <w:tc>
          <w:tcPr>
            <w:tcBorders>
              <w:top w:val="nil"/>
              <w:left w:val="nil"/>
              <w:bottom w:val="nil"/>
              <w:right w:val="nil"/>
            </w:tcBorders>
            <w:vAlign w:val="bottom"/>
          </w:tcPr>
          <w:p w14:paraId="000009C7">
            <w:pPr>
              <w:spacing w:after="0"/>
              <w:rPr>
                <w:b/>
                <w:bCs/>
              </w:rPr>
            </w:pPr>
          </w:p>
        </w:tc>
      </w:tr>
      <w:tr w14:paraId="7C5F51F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C8">
            <w:pPr>
              <w:spacing w:after="0"/>
            </w:pPr>
          </w:p>
        </w:tc>
        <w:tc>
          <w:tcPr>
            <w:tcBorders>
              <w:top w:val="nil"/>
              <w:left w:val="nil"/>
              <w:bottom w:val="nil"/>
              <w:right w:val="nil"/>
            </w:tcBorders>
            <w:vAlign w:val="bottom"/>
          </w:tcPr>
          <w:p w14:paraId="000009C9">
            <w:pPr>
              <w:spacing w:after="0"/>
            </w:pPr>
          </w:p>
        </w:tc>
        <w:tc>
          <w:tcPr>
            <w:tcBorders>
              <w:top w:val="nil"/>
              <w:left w:val="nil"/>
              <w:bottom w:val="nil"/>
              <w:right w:val="nil"/>
            </w:tcBorders>
            <w:vAlign w:val="bottom"/>
          </w:tcPr>
          <w:p w14:paraId="000009CA">
            <w:pPr>
              <w:spacing w:after="0"/>
            </w:pPr>
          </w:p>
        </w:tc>
        <w:tc>
          <w:tcPr>
            <w:tcBorders>
              <w:top w:val="nil"/>
              <w:left w:val="nil"/>
              <w:bottom w:val="nil"/>
              <w:right w:val="nil"/>
            </w:tcBorders>
            <w:vAlign w:val="bottom"/>
          </w:tcPr>
          <w:p w14:paraId="000009CB">
            <w:pPr>
              <w:spacing w:after="0"/>
            </w:pPr>
          </w:p>
        </w:tc>
      </w:tr>
      <w:tr w14:paraId="64CA277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CC">
            <w:pPr>
              <w:spacing w:after="0"/>
            </w:pPr>
          </w:p>
        </w:tc>
        <w:tc>
          <w:tcPr>
            <w:tcBorders>
              <w:top w:val="nil"/>
              <w:left w:val="nil"/>
              <w:bottom w:val="nil"/>
              <w:right w:val="nil"/>
            </w:tcBorders>
            <w:vAlign w:val="bottom"/>
          </w:tcPr>
          <w:p w14:paraId="000009CD">
            <w:pPr>
              <w:spacing w:after="0"/>
            </w:pPr>
          </w:p>
        </w:tc>
        <w:tc>
          <w:tcPr>
            <w:tcBorders>
              <w:top w:val="nil"/>
              <w:left w:val="nil"/>
              <w:bottom w:val="nil"/>
              <w:right w:val="nil"/>
            </w:tcBorders>
            <w:vAlign w:val="bottom"/>
          </w:tcPr>
          <w:p w14:paraId="000009CE">
            <w:pPr>
              <w:spacing w:after="0"/>
            </w:pPr>
          </w:p>
        </w:tc>
        <w:tc>
          <w:tcPr>
            <w:tcBorders>
              <w:top w:val="nil"/>
              <w:left w:val="nil"/>
              <w:bottom w:val="nil"/>
              <w:right w:val="nil"/>
            </w:tcBorders>
            <w:vAlign w:val="bottom"/>
          </w:tcPr>
          <w:p w14:paraId="000009CF">
            <w:pPr>
              <w:spacing w:after="0"/>
            </w:pPr>
          </w:p>
        </w:tc>
      </w:tr>
      <w:tr w14:paraId="652D79A9">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D0">
            <w:pPr>
              <w:spacing w:after="0"/>
            </w:pPr>
          </w:p>
        </w:tc>
        <w:tc>
          <w:tcPr>
            <w:tcBorders>
              <w:top w:val="nil"/>
              <w:left w:val="nil"/>
              <w:bottom w:val="nil"/>
              <w:right w:val="nil"/>
            </w:tcBorders>
            <w:vAlign w:val="bottom"/>
          </w:tcPr>
          <w:p w14:paraId="000009D1">
            <w:pPr>
              <w:spacing w:after="0"/>
            </w:pPr>
          </w:p>
        </w:tc>
        <w:tc>
          <w:tcPr>
            <w:tcBorders>
              <w:top w:val="nil"/>
              <w:left w:val="nil"/>
              <w:bottom w:val="nil"/>
              <w:right w:val="nil"/>
            </w:tcBorders>
            <w:vAlign w:val="bottom"/>
          </w:tcPr>
          <w:p w14:paraId="000009D2">
            <w:pPr>
              <w:spacing w:after="0"/>
            </w:pPr>
          </w:p>
        </w:tc>
        <w:tc>
          <w:tcPr>
            <w:tcBorders>
              <w:top w:val="nil"/>
              <w:left w:val="nil"/>
              <w:bottom w:val="nil"/>
              <w:right w:val="nil"/>
            </w:tcBorders>
            <w:vAlign w:val="bottom"/>
          </w:tcPr>
          <w:p w14:paraId="000009D3">
            <w:pPr>
              <w:spacing w:after="0"/>
            </w:pPr>
          </w:p>
        </w:tc>
      </w:tr>
      <w:tr w14:paraId="07F6B158">
        <w:tblPrEx>
          <w:tblCellMar>
            <w:top w:w="0" w:type="dxa"/>
            <w:left w:w="115" w:type="dxa"/>
            <w:bottom w:w="0" w:type="dxa"/>
            <w:right w:w="115" w:type="dxa"/>
          </w:tblCellMar>
        </w:tblPrEx>
        <w:trPr>
          <w:trHeight w:val="288" w:hRule="atLeast"/>
        </w:trPr>
        <w:tc>
          <w:tcPr>
            <w:gridSpan w:val="4"/>
            <w:tcBorders>
              <w:top w:val="nil"/>
              <w:left w:val="nil"/>
              <w:bottom w:val="nil"/>
              <w:right w:val="nil"/>
            </w:tcBorders>
            <w:vAlign w:val="center"/>
          </w:tcPr>
          <w:p w14:paraId="000009D4">
            <w:pPr>
              <w:spacing w:after="0"/>
              <w:rPr>
                <w:b/>
                <w:bCs/>
              </w:rPr>
            </w:pPr>
            <w:r>
              <w:rPr>
                <w:b/>
                <w:bCs/>
                <w:rtl w:val="0"/>
              </w:rPr>
              <w:t>Project B – Discounted Cash Flow Appraisal (Distinct Layout)</w:t>
            </w:r>
          </w:p>
        </w:tc>
      </w:tr>
      <w:tr w14:paraId="6AD77A7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D8">
            <w:pPr>
              <w:spacing w:after="0"/>
              <w:rPr>
                <w:b/>
                <w:bCs/>
              </w:rPr>
            </w:pPr>
          </w:p>
        </w:tc>
        <w:tc>
          <w:tcPr>
            <w:tcBorders>
              <w:top w:val="nil"/>
              <w:left w:val="nil"/>
              <w:bottom w:val="nil"/>
              <w:right w:val="nil"/>
            </w:tcBorders>
            <w:vAlign w:val="bottom"/>
          </w:tcPr>
          <w:p w14:paraId="000009D9">
            <w:pPr>
              <w:spacing w:after="0"/>
            </w:pPr>
          </w:p>
        </w:tc>
        <w:tc>
          <w:tcPr>
            <w:tcBorders>
              <w:top w:val="nil"/>
              <w:left w:val="nil"/>
              <w:bottom w:val="nil"/>
              <w:right w:val="nil"/>
            </w:tcBorders>
            <w:vAlign w:val="bottom"/>
          </w:tcPr>
          <w:p w14:paraId="000009DA">
            <w:pPr>
              <w:spacing w:after="0"/>
            </w:pPr>
          </w:p>
        </w:tc>
        <w:tc>
          <w:tcPr>
            <w:tcBorders>
              <w:top w:val="nil"/>
              <w:left w:val="nil"/>
              <w:bottom w:val="nil"/>
              <w:right w:val="nil"/>
            </w:tcBorders>
            <w:vAlign w:val="bottom"/>
          </w:tcPr>
          <w:p w14:paraId="000009DB">
            <w:pPr>
              <w:spacing w:after="0"/>
            </w:pPr>
          </w:p>
        </w:tc>
      </w:tr>
      <w:tr w14:paraId="56648AFD">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9DC">
            <w:pPr>
              <w:spacing w:after="0"/>
              <w:rPr>
                <w:b/>
                <w:bCs/>
              </w:rPr>
            </w:pPr>
            <w:r>
              <w:rPr>
                <w:b/>
                <w:bCs/>
                <w:rtl w:val="0"/>
              </w:rPr>
              <w:t>Required return: 10%</w:t>
            </w:r>
          </w:p>
        </w:tc>
        <w:tc>
          <w:tcPr>
            <w:tcBorders>
              <w:top w:val="nil"/>
              <w:left w:val="nil"/>
              <w:bottom w:val="nil"/>
              <w:right w:val="nil"/>
            </w:tcBorders>
            <w:vAlign w:val="bottom"/>
          </w:tcPr>
          <w:p w14:paraId="000009DE">
            <w:pPr>
              <w:spacing w:after="0"/>
              <w:rPr>
                <w:b/>
                <w:bCs/>
              </w:rPr>
            </w:pPr>
          </w:p>
        </w:tc>
        <w:tc>
          <w:tcPr>
            <w:tcBorders>
              <w:top w:val="nil"/>
              <w:left w:val="nil"/>
              <w:bottom w:val="nil"/>
              <w:right w:val="nil"/>
            </w:tcBorders>
            <w:vAlign w:val="bottom"/>
          </w:tcPr>
          <w:p w14:paraId="000009DF">
            <w:pPr>
              <w:spacing w:after="0"/>
            </w:pPr>
          </w:p>
        </w:tc>
      </w:tr>
      <w:tr w14:paraId="69A7C6A7">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E0">
            <w:pPr>
              <w:spacing w:after="0"/>
            </w:pPr>
          </w:p>
        </w:tc>
        <w:tc>
          <w:tcPr>
            <w:tcBorders>
              <w:top w:val="nil"/>
              <w:left w:val="nil"/>
              <w:bottom w:val="nil"/>
              <w:right w:val="nil"/>
            </w:tcBorders>
            <w:vAlign w:val="bottom"/>
          </w:tcPr>
          <w:p w14:paraId="000009E1">
            <w:pPr>
              <w:spacing w:after="0"/>
            </w:pPr>
          </w:p>
        </w:tc>
        <w:tc>
          <w:tcPr>
            <w:tcBorders>
              <w:top w:val="nil"/>
              <w:left w:val="nil"/>
              <w:bottom w:val="nil"/>
              <w:right w:val="nil"/>
            </w:tcBorders>
            <w:vAlign w:val="bottom"/>
          </w:tcPr>
          <w:p w14:paraId="000009E2">
            <w:pPr>
              <w:spacing w:after="0"/>
            </w:pPr>
          </w:p>
        </w:tc>
        <w:tc>
          <w:tcPr>
            <w:tcBorders>
              <w:top w:val="nil"/>
              <w:left w:val="nil"/>
              <w:bottom w:val="nil"/>
              <w:right w:val="nil"/>
            </w:tcBorders>
            <w:vAlign w:val="bottom"/>
          </w:tcPr>
          <w:p w14:paraId="000009E3">
            <w:pPr>
              <w:spacing w:after="0"/>
            </w:pPr>
          </w:p>
        </w:tc>
      </w:tr>
      <w:tr w14:paraId="65F7A828">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center"/>
          </w:tcPr>
          <w:p w14:paraId="000009E4">
            <w:pPr>
              <w:spacing w:after="0"/>
              <w:rPr>
                <w:b/>
                <w:bCs/>
              </w:rPr>
            </w:pPr>
            <w:r>
              <w:rPr>
                <w:b/>
                <w:bCs/>
                <w:rtl w:val="0"/>
              </w:rPr>
              <w:t>Present Value Computation</w:t>
            </w:r>
          </w:p>
        </w:tc>
        <w:tc>
          <w:tcPr>
            <w:tcBorders>
              <w:top w:val="nil"/>
              <w:left w:val="nil"/>
              <w:bottom w:val="nil"/>
              <w:right w:val="nil"/>
            </w:tcBorders>
            <w:vAlign w:val="bottom"/>
          </w:tcPr>
          <w:p w14:paraId="000009E6">
            <w:pPr>
              <w:spacing w:after="0"/>
              <w:rPr>
                <w:b/>
                <w:bCs/>
              </w:rPr>
            </w:pPr>
          </w:p>
        </w:tc>
        <w:tc>
          <w:tcPr>
            <w:tcBorders>
              <w:top w:val="nil"/>
              <w:left w:val="nil"/>
              <w:bottom w:val="nil"/>
              <w:right w:val="nil"/>
            </w:tcBorders>
            <w:vAlign w:val="bottom"/>
          </w:tcPr>
          <w:p w14:paraId="000009E7">
            <w:pPr>
              <w:spacing w:after="0"/>
            </w:pPr>
          </w:p>
        </w:tc>
      </w:tr>
      <w:tr w14:paraId="4866FEC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9E8">
            <w:pPr>
              <w:spacing w:after="0"/>
            </w:pPr>
          </w:p>
        </w:tc>
        <w:tc>
          <w:tcPr>
            <w:tcBorders>
              <w:top w:val="nil"/>
              <w:left w:val="nil"/>
              <w:bottom w:val="nil"/>
              <w:right w:val="nil"/>
            </w:tcBorders>
            <w:vAlign w:val="bottom"/>
          </w:tcPr>
          <w:p w14:paraId="000009E9">
            <w:pPr>
              <w:spacing w:after="0"/>
            </w:pPr>
          </w:p>
        </w:tc>
        <w:tc>
          <w:tcPr>
            <w:tcBorders>
              <w:top w:val="nil"/>
              <w:left w:val="nil"/>
              <w:bottom w:val="nil"/>
              <w:right w:val="nil"/>
            </w:tcBorders>
            <w:vAlign w:val="bottom"/>
          </w:tcPr>
          <w:p w14:paraId="000009EA">
            <w:pPr>
              <w:spacing w:after="0"/>
            </w:pPr>
          </w:p>
        </w:tc>
        <w:tc>
          <w:tcPr>
            <w:tcBorders>
              <w:top w:val="nil"/>
              <w:left w:val="nil"/>
              <w:bottom w:val="nil"/>
              <w:right w:val="nil"/>
            </w:tcBorders>
            <w:vAlign w:val="bottom"/>
          </w:tcPr>
          <w:p w14:paraId="000009EB">
            <w:pPr>
              <w:spacing w:after="0"/>
            </w:pPr>
          </w:p>
        </w:tc>
      </w:tr>
      <w:tr w14:paraId="1C41414C">
        <w:tblPrEx>
          <w:tblCellMar>
            <w:top w:w="0" w:type="dxa"/>
            <w:left w:w="115" w:type="dxa"/>
            <w:bottom w:w="0" w:type="dxa"/>
            <w:right w:w="115" w:type="dxa"/>
          </w:tblCellMar>
        </w:tblPrEx>
        <w:trPr>
          <w:trHeight w:val="408" w:hRule="atLeast"/>
        </w:trPr>
        <w:tc>
          <w:tcPr>
            <w:tcBorders>
              <w:top w:val="nil"/>
              <w:left w:val="nil"/>
              <w:bottom w:val="nil"/>
              <w:right w:val="nil"/>
            </w:tcBorders>
            <w:vAlign w:val="center"/>
          </w:tcPr>
          <w:p w14:paraId="000009EC">
            <w:pPr>
              <w:spacing w:after="0"/>
              <w:rPr>
                <w:b/>
                <w:bCs/>
              </w:rPr>
            </w:pPr>
            <w:r>
              <w:rPr>
                <w:b/>
                <w:bCs/>
                <w:rtl w:val="0"/>
              </w:rPr>
              <w:t>Year</w:t>
            </w:r>
          </w:p>
        </w:tc>
        <w:tc>
          <w:tcPr>
            <w:tcBorders>
              <w:top w:val="nil"/>
              <w:left w:val="nil"/>
              <w:bottom w:val="nil"/>
              <w:right w:val="nil"/>
            </w:tcBorders>
            <w:vAlign w:val="center"/>
          </w:tcPr>
          <w:p w14:paraId="000009ED">
            <w:pPr>
              <w:spacing w:after="0"/>
              <w:rPr>
                <w:b/>
                <w:bCs/>
              </w:rPr>
            </w:pPr>
            <w:r>
              <w:rPr>
                <w:b/>
                <w:bCs/>
                <w:rtl w:val="0"/>
              </w:rPr>
              <w:t>Cash Inflow (£m)</w:t>
            </w:r>
          </w:p>
        </w:tc>
        <w:tc>
          <w:tcPr>
            <w:tcBorders>
              <w:top w:val="nil"/>
              <w:left w:val="nil"/>
              <w:bottom w:val="nil"/>
              <w:right w:val="nil"/>
            </w:tcBorders>
            <w:vAlign w:val="center"/>
          </w:tcPr>
          <w:p w14:paraId="000009EE">
            <w:pPr>
              <w:spacing w:after="0"/>
              <w:rPr>
                <w:b/>
                <w:bCs/>
              </w:rPr>
            </w:pPr>
            <w:r>
              <w:rPr>
                <w:b/>
                <w:bCs/>
                <w:rtl w:val="0"/>
              </w:rPr>
              <w:t>PV Factor</w:t>
            </w:r>
          </w:p>
        </w:tc>
        <w:tc>
          <w:tcPr>
            <w:tcBorders>
              <w:top w:val="nil"/>
              <w:left w:val="nil"/>
              <w:bottom w:val="nil"/>
              <w:right w:val="nil"/>
            </w:tcBorders>
            <w:vAlign w:val="center"/>
          </w:tcPr>
          <w:p w14:paraId="000009EF">
            <w:pPr>
              <w:spacing w:after="0"/>
              <w:rPr>
                <w:b/>
                <w:bCs/>
              </w:rPr>
            </w:pPr>
            <w:r>
              <w:rPr>
                <w:b/>
                <w:bCs/>
                <w:rtl w:val="0"/>
              </w:rPr>
              <w:t>PV (£m)</w:t>
            </w:r>
          </w:p>
        </w:tc>
      </w:tr>
      <w:tr w14:paraId="2CA3911C">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F0">
            <w:pPr>
              <w:spacing w:after="0"/>
            </w:pPr>
            <w:r>
              <w:rPr>
                <w:rtl w:val="0"/>
              </w:rPr>
              <w:t>0</w:t>
            </w:r>
          </w:p>
        </w:tc>
        <w:tc>
          <w:tcPr>
            <w:tcBorders>
              <w:top w:val="nil"/>
              <w:left w:val="nil"/>
              <w:bottom w:val="nil"/>
              <w:right w:val="nil"/>
            </w:tcBorders>
            <w:vAlign w:val="center"/>
          </w:tcPr>
          <w:p w14:paraId="000009F1">
            <w:pPr>
              <w:spacing w:after="0"/>
            </w:pPr>
            <w:r>
              <w:rPr>
                <w:rtl w:val="0"/>
              </w:rPr>
              <w:t>–30.0</w:t>
            </w:r>
          </w:p>
        </w:tc>
        <w:tc>
          <w:tcPr>
            <w:tcBorders>
              <w:top w:val="nil"/>
              <w:left w:val="nil"/>
              <w:bottom w:val="nil"/>
              <w:right w:val="nil"/>
            </w:tcBorders>
            <w:vAlign w:val="center"/>
          </w:tcPr>
          <w:p w14:paraId="000009F2">
            <w:pPr>
              <w:spacing w:after="0"/>
            </w:pPr>
            <w:r>
              <w:rPr>
                <w:rtl w:val="0"/>
              </w:rPr>
              <w:t>1</w:t>
            </w:r>
          </w:p>
        </w:tc>
        <w:tc>
          <w:tcPr>
            <w:tcBorders>
              <w:top w:val="nil"/>
              <w:left w:val="nil"/>
              <w:bottom w:val="nil"/>
              <w:right w:val="nil"/>
            </w:tcBorders>
            <w:vAlign w:val="center"/>
          </w:tcPr>
          <w:p w14:paraId="000009F3">
            <w:pPr>
              <w:spacing w:after="0"/>
            </w:pPr>
            <w:r>
              <w:rPr>
                <w:rtl w:val="0"/>
              </w:rPr>
              <w:t>–30.00</w:t>
            </w:r>
          </w:p>
        </w:tc>
      </w:tr>
      <w:tr w14:paraId="76EB6849">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F4">
            <w:pPr>
              <w:spacing w:after="0"/>
            </w:pPr>
            <w:r>
              <w:rPr>
                <w:rtl w:val="0"/>
              </w:rPr>
              <w:t>1</w:t>
            </w:r>
          </w:p>
        </w:tc>
        <w:tc>
          <w:tcPr>
            <w:tcBorders>
              <w:top w:val="nil"/>
              <w:left w:val="nil"/>
              <w:bottom w:val="nil"/>
              <w:right w:val="nil"/>
            </w:tcBorders>
            <w:vAlign w:val="center"/>
          </w:tcPr>
          <w:p w14:paraId="000009F5">
            <w:pPr>
              <w:spacing w:after="0"/>
            </w:pPr>
            <w:r>
              <w:rPr>
                <w:rtl w:val="0"/>
              </w:rPr>
              <w:t>6</w:t>
            </w:r>
          </w:p>
        </w:tc>
        <w:tc>
          <w:tcPr>
            <w:tcBorders>
              <w:top w:val="nil"/>
              <w:left w:val="nil"/>
              <w:bottom w:val="nil"/>
              <w:right w:val="nil"/>
            </w:tcBorders>
            <w:vAlign w:val="center"/>
          </w:tcPr>
          <w:p w14:paraId="000009F6">
            <w:pPr>
              <w:spacing w:after="0"/>
            </w:pPr>
            <w:r>
              <w:rPr>
                <w:rtl w:val="0"/>
              </w:rPr>
              <w:t>0.909</w:t>
            </w:r>
          </w:p>
        </w:tc>
        <w:tc>
          <w:tcPr>
            <w:tcBorders>
              <w:top w:val="nil"/>
              <w:left w:val="nil"/>
              <w:bottom w:val="nil"/>
              <w:right w:val="nil"/>
            </w:tcBorders>
            <w:vAlign w:val="center"/>
          </w:tcPr>
          <w:p w14:paraId="000009F7">
            <w:pPr>
              <w:spacing w:after="0"/>
            </w:pPr>
            <w:r>
              <w:rPr>
                <w:rtl w:val="0"/>
              </w:rPr>
              <w:t>5.45</w:t>
            </w:r>
          </w:p>
        </w:tc>
      </w:tr>
      <w:tr w14:paraId="22536DB3">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F8">
            <w:pPr>
              <w:spacing w:after="0"/>
            </w:pPr>
            <w:r>
              <w:rPr>
                <w:rtl w:val="0"/>
              </w:rPr>
              <w:t>2</w:t>
            </w:r>
          </w:p>
        </w:tc>
        <w:tc>
          <w:tcPr>
            <w:tcBorders>
              <w:top w:val="nil"/>
              <w:left w:val="nil"/>
              <w:bottom w:val="nil"/>
              <w:right w:val="nil"/>
            </w:tcBorders>
            <w:vAlign w:val="center"/>
          </w:tcPr>
          <w:p w14:paraId="000009F9">
            <w:pPr>
              <w:spacing w:after="0"/>
            </w:pPr>
            <w:r>
              <w:rPr>
                <w:rtl w:val="0"/>
              </w:rPr>
              <w:t>6</w:t>
            </w:r>
          </w:p>
        </w:tc>
        <w:tc>
          <w:tcPr>
            <w:tcBorders>
              <w:top w:val="nil"/>
              <w:left w:val="nil"/>
              <w:bottom w:val="nil"/>
              <w:right w:val="nil"/>
            </w:tcBorders>
            <w:vAlign w:val="center"/>
          </w:tcPr>
          <w:p w14:paraId="000009FA">
            <w:pPr>
              <w:spacing w:after="0"/>
            </w:pPr>
            <w:r>
              <w:rPr>
                <w:rtl w:val="0"/>
              </w:rPr>
              <w:t>0.826</w:t>
            </w:r>
          </w:p>
        </w:tc>
        <w:tc>
          <w:tcPr>
            <w:tcBorders>
              <w:top w:val="nil"/>
              <w:left w:val="nil"/>
              <w:bottom w:val="nil"/>
              <w:right w:val="nil"/>
            </w:tcBorders>
            <w:vAlign w:val="center"/>
          </w:tcPr>
          <w:p w14:paraId="000009FB">
            <w:pPr>
              <w:spacing w:after="0"/>
            </w:pPr>
            <w:r>
              <w:rPr>
                <w:rtl w:val="0"/>
              </w:rPr>
              <w:t>4.96</w:t>
            </w:r>
          </w:p>
        </w:tc>
      </w:tr>
      <w:tr w14:paraId="0CB50C63">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9FC">
            <w:pPr>
              <w:spacing w:after="0"/>
            </w:pPr>
            <w:r>
              <w:rPr>
                <w:rtl w:val="0"/>
              </w:rPr>
              <w:t>3</w:t>
            </w:r>
          </w:p>
        </w:tc>
        <w:tc>
          <w:tcPr>
            <w:tcBorders>
              <w:top w:val="nil"/>
              <w:left w:val="nil"/>
              <w:bottom w:val="nil"/>
              <w:right w:val="nil"/>
            </w:tcBorders>
            <w:vAlign w:val="center"/>
          </w:tcPr>
          <w:p w14:paraId="000009FD">
            <w:pPr>
              <w:spacing w:after="0"/>
            </w:pPr>
            <w:r>
              <w:rPr>
                <w:rtl w:val="0"/>
              </w:rPr>
              <w:t>6</w:t>
            </w:r>
          </w:p>
        </w:tc>
        <w:tc>
          <w:tcPr>
            <w:tcBorders>
              <w:top w:val="nil"/>
              <w:left w:val="nil"/>
              <w:bottom w:val="nil"/>
              <w:right w:val="nil"/>
            </w:tcBorders>
            <w:vAlign w:val="center"/>
          </w:tcPr>
          <w:p w14:paraId="000009FE">
            <w:pPr>
              <w:spacing w:after="0"/>
            </w:pPr>
            <w:r>
              <w:rPr>
                <w:rtl w:val="0"/>
              </w:rPr>
              <w:t>0.751</w:t>
            </w:r>
          </w:p>
        </w:tc>
        <w:tc>
          <w:tcPr>
            <w:tcBorders>
              <w:top w:val="nil"/>
              <w:left w:val="nil"/>
              <w:bottom w:val="nil"/>
              <w:right w:val="nil"/>
            </w:tcBorders>
            <w:vAlign w:val="center"/>
          </w:tcPr>
          <w:p w14:paraId="000009FF">
            <w:pPr>
              <w:spacing w:after="0"/>
            </w:pPr>
            <w:r>
              <w:rPr>
                <w:rtl w:val="0"/>
              </w:rPr>
              <w:t>4.51</w:t>
            </w:r>
          </w:p>
        </w:tc>
      </w:tr>
      <w:tr w14:paraId="7A9BA956">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00">
            <w:pPr>
              <w:spacing w:after="0"/>
            </w:pPr>
            <w:r>
              <w:rPr>
                <w:rtl w:val="0"/>
              </w:rPr>
              <w:t>4</w:t>
            </w:r>
          </w:p>
        </w:tc>
        <w:tc>
          <w:tcPr>
            <w:tcBorders>
              <w:top w:val="nil"/>
              <w:left w:val="nil"/>
              <w:bottom w:val="nil"/>
              <w:right w:val="nil"/>
            </w:tcBorders>
            <w:vAlign w:val="center"/>
          </w:tcPr>
          <w:p w14:paraId="00000A01">
            <w:pPr>
              <w:spacing w:after="0"/>
            </w:pPr>
            <w:r>
              <w:rPr>
                <w:rtl w:val="0"/>
              </w:rPr>
              <w:t>6</w:t>
            </w:r>
          </w:p>
        </w:tc>
        <w:tc>
          <w:tcPr>
            <w:tcBorders>
              <w:top w:val="nil"/>
              <w:left w:val="nil"/>
              <w:bottom w:val="nil"/>
              <w:right w:val="nil"/>
            </w:tcBorders>
            <w:vAlign w:val="center"/>
          </w:tcPr>
          <w:p w14:paraId="00000A02">
            <w:pPr>
              <w:spacing w:after="0"/>
            </w:pPr>
            <w:r>
              <w:rPr>
                <w:rtl w:val="0"/>
              </w:rPr>
              <w:t>0.683</w:t>
            </w:r>
          </w:p>
        </w:tc>
        <w:tc>
          <w:tcPr>
            <w:tcBorders>
              <w:top w:val="nil"/>
              <w:left w:val="nil"/>
              <w:bottom w:val="nil"/>
              <w:right w:val="nil"/>
            </w:tcBorders>
            <w:vAlign w:val="center"/>
          </w:tcPr>
          <w:p w14:paraId="00000A03">
            <w:pPr>
              <w:spacing w:after="0"/>
            </w:pPr>
            <w:r>
              <w:rPr>
                <w:rtl w:val="0"/>
              </w:rPr>
              <w:t>4.1</w:t>
            </w:r>
          </w:p>
        </w:tc>
      </w:tr>
      <w:tr w14:paraId="2E6532A9">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04">
            <w:pPr>
              <w:spacing w:after="0"/>
            </w:pPr>
            <w:r>
              <w:rPr>
                <w:rtl w:val="0"/>
              </w:rPr>
              <w:t>5</w:t>
            </w:r>
          </w:p>
        </w:tc>
        <w:tc>
          <w:tcPr>
            <w:tcBorders>
              <w:top w:val="nil"/>
              <w:left w:val="nil"/>
              <w:bottom w:val="nil"/>
              <w:right w:val="nil"/>
            </w:tcBorders>
            <w:vAlign w:val="center"/>
          </w:tcPr>
          <w:p w14:paraId="00000A05">
            <w:pPr>
              <w:spacing w:after="0"/>
            </w:pPr>
            <w:r>
              <w:rPr>
                <w:rtl w:val="0"/>
              </w:rPr>
              <w:t>6</w:t>
            </w:r>
          </w:p>
        </w:tc>
        <w:tc>
          <w:tcPr>
            <w:tcBorders>
              <w:top w:val="nil"/>
              <w:left w:val="nil"/>
              <w:bottom w:val="nil"/>
              <w:right w:val="nil"/>
            </w:tcBorders>
            <w:vAlign w:val="center"/>
          </w:tcPr>
          <w:p w14:paraId="00000A06">
            <w:pPr>
              <w:spacing w:after="0"/>
            </w:pPr>
            <w:r>
              <w:rPr>
                <w:rtl w:val="0"/>
              </w:rPr>
              <w:t>0.62</w:t>
            </w:r>
          </w:p>
        </w:tc>
        <w:tc>
          <w:tcPr>
            <w:tcBorders>
              <w:top w:val="nil"/>
              <w:left w:val="nil"/>
              <w:bottom w:val="nil"/>
              <w:right w:val="nil"/>
            </w:tcBorders>
            <w:vAlign w:val="center"/>
          </w:tcPr>
          <w:p w14:paraId="00000A07">
            <w:pPr>
              <w:spacing w:after="0"/>
            </w:pPr>
            <w:r>
              <w:rPr>
                <w:rtl w:val="0"/>
              </w:rPr>
              <w:t>3.72</w:t>
            </w:r>
          </w:p>
        </w:tc>
      </w:tr>
      <w:tr w14:paraId="4E6790CB">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08">
            <w:pPr>
              <w:spacing w:after="0"/>
            </w:pPr>
          </w:p>
        </w:tc>
        <w:tc>
          <w:tcPr>
            <w:tcBorders>
              <w:top w:val="nil"/>
              <w:left w:val="nil"/>
              <w:bottom w:val="nil"/>
              <w:right w:val="nil"/>
            </w:tcBorders>
            <w:vAlign w:val="bottom"/>
          </w:tcPr>
          <w:p w14:paraId="00000A09">
            <w:pPr>
              <w:spacing w:after="0"/>
            </w:pPr>
          </w:p>
        </w:tc>
        <w:tc>
          <w:tcPr>
            <w:tcBorders>
              <w:top w:val="nil"/>
              <w:left w:val="nil"/>
              <w:bottom w:val="nil"/>
              <w:right w:val="nil"/>
            </w:tcBorders>
            <w:vAlign w:val="bottom"/>
          </w:tcPr>
          <w:p w14:paraId="00000A0A">
            <w:pPr>
              <w:spacing w:after="0"/>
            </w:pPr>
          </w:p>
        </w:tc>
        <w:tc>
          <w:tcPr>
            <w:tcBorders>
              <w:top w:val="nil"/>
              <w:left w:val="nil"/>
              <w:bottom w:val="nil"/>
              <w:right w:val="nil"/>
            </w:tcBorders>
            <w:vAlign w:val="bottom"/>
          </w:tcPr>
          <w:p w14:paraId="00000A0B">
            <w:pPr>
              <w:spacing w:after="0"/>
            </w:pPr>
          </w:p>
        </w:tc>
      </w:tr>
      <w:tr w14:paraId="1A876B45">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A0C">
            <w:pPr>
              <w:spacing w:after="0"/>
              <w:rPr>
                <w:b/>
                <w:bCs/>
              </w:rPr>
            </w:pPr>
            <w:r>
              <w:rPr>
                <w:b/>
                <w:bCs/>
                <w:rtl w:val="0"/>
              </w:rPr>
              <w:t>Aggregate PV of benefits:</w:t>
            </w:r>
            <w:r>
              <w:rPr>
                <w:rtl w:val="0"/>
              </w:rPr>
              <w:t xml:space="preserve"> £22.73m</w:t>
            </w:r>
          </w:p>
        </w:tc>
        <w:tc>
          <w:tcPr>
            <w:tcBorders>
              <w:top w:val="nil"/>
              <w:left w:val="nil"/>
              <w:bottom w:val="nil"/>
              <w:right w:val="nil"/>
            </w:tcBorders>
            <w:vAlign w:val="bottom"/>
          </w:tcPr>
          <w:p w14:paraId="00000A0F">
            <w:pPr>
              <w:spacing w:after="0"/>
              <w:rPr>
                <w:b/>
                <w:bCs/>
              </w:rPr>
            </w:pPr>
          </w:p>
        </w:tc>
      </w:tr>
      <w:tr w14:paraId="56B3D453">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A10">
            <w:pPr>
              <w:spacing w:after="0"/>
              <w:rPr>
                <w:b/>
                <w:bCs/>
              </w:rPr>
            </w:pPr>
            <w:r>
              <w:rPr>
                <w:b/>
                <w:bCs/>
                <w:rtl w:val="0"/>
              </w:rPr>
              <w:t>Capital invested:</w:t>
            </w:r>
            <w:r>
              <w:rPr>
                <w:rtl w:val="0"/>
              </w:rPr>
              <w:t xml:space="preserve"> £30.00m</w:t>
            </w:r>
          </w:p>
        </w:tc>
        <w:tc>
          <w:tcPr>
            <w:tcBorders>
              <w:top w:val="nil"/>
              <w:left w:val="nil"/>
              <w:bottom w:val="nil"/>
              <w:right w:val="nil"/>
            </w:tcBorders>
            <w:vAlign w:val="bottom"/>
          </w:tcPr>
          <w:p w14:paraId="00000A12">
            <w:pPr>
              <w:spacing w:after="0"/>
              <w:rPr>
                <w:b/>
                <w:bCs/>
              </w:rPr>
            </w:pPr>
          </w:p>
        </w:tc>
        <w:tc>
          <w:tcPr>
            <w:tcBorders>
              <w:top w:val="nil"/>
              <w:left w:val="nil"/>
              <w:bottom w:val="nil"/>
              <w:right w:val="nil"/>
            </w:tcBorders>
            <w:vAlign w:val="bottom"/>
          </w:tcPr>
          <w:p w14:paraId="00000A13">
            <w:pPr>
              <w:spacing w:after="0"/>
            </w:pPr>
          </w:p>
        </w:tc>
      </w:tr>
      <w:tr w14:paraId="5919E44F">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14">
            <w:pPr>
              <w:spacing w:after="0"/>
            </w:pPr>
          </w:p>
        </w:tc>
        <w:tc>
          <w:tcPr>
            <w:tcBorders>
              <w:top w:val="nil"/>
              <w:left w:val="nil"/>
              <w:bottom w:val="nil"/>
              <w:right w:val="nil"/>
            </w:tcBorders>
            <w:vAlign w:val="bottom"/>
          </w:tcPr>
          <w:p w14:paraId="00000A15">
            <w:pPr>
              <w:spacing w:after="0"/>
            </w:pPr>
          </w:p>
        </w:tc>
        <w:tc>
          <w:tcPr>
            <w:tcBorders>
              <w:top w:val="nil"/>
              <w:left w:val="nil"/>
              <w:bottom w:val="nil"/>
              <w:right w:val="nil"/>
            </w:tcBorders>
            <w:vAlign w:val="bottom"/>
          </w:tcPr>
          <w:p w14:paraId="00000A16">
            <w:pPr>
              <w:spacing w:after="0"/>
            </w:pPr>
          </w:p>
        </w:tc>
        <w:tc>
          <w:tcPr>
            <w:tcBorders>
              <w:top w:val="nil"/>
              <w:left w:val="nil"/>
              <w:bottom w:val="nil"/>
              <w:right w:val="nil"/>
            </w:tcBorders>
            <w:vAlign w:val="bottom"/>
          </w:tcPr>
          <w:p w14:paraId="00000A17">
            <w:pPr>
              <w:spacing w:after="0"/>
            </w:pPr>
          </w:p>
        </w:tc>
      </w:tr>
      <w:tr w14:paraId="0C6EFE9C">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A18">
            <w:pPr>
              <w:spacing w:after="0"/>
              <w:rPr>
                <w:b/>
                <w:bCs/>
              </w:rPr>
            </w:pPr>
            <w:r>
              <w:rPr>
                <w:b/>
                <w:bCs/>
                <w:rtl w:val="0"/>
              </w:rPr>
              <w:t>NPV:</w:t>
            </w:r>
            <w:r>
              <w:rPr>
                <w:rtl w:val="0"/>
              </w:rPr>
              <w:t xml:space="preserve"> –£7.27m</w:t>
            </w:r>
          </w:p>
        </w:tc>
        <w:tc>
          <w:tcPr>
            <w:tcBorders>
              <w:top w:val="nil"/>
              <w:left w:val="nil"/>
              <w:bottom w:val="nil"/>
              <w:right w:val="nil"/>
            </w:tcBorders>
            <w:vAlign w:val="bottom"/>
          </w:tcPr>
          <w:p w14:paraId="00000A1A">
            <w:pPr>
              <w:spacing w:after="0"/>
              <w:rPr>
                <w:b/>
                <w:bCs/>
              </w:rPr>
            </w:pPr>
          </w:p>
        </w:tc>
        <w:tc>
          <w:tcPr>
            <w:tcBorders>
              <w:top w:val="nil"/>
              <w:left w:val="nil"/>
              <w:bottom w:val="nil"/>
              <w:right w:val="nil"/>
            </w:tcBorders>
            <w:vAlign w:val="bottom"/>
          </w:tcPr>
          <w:p w14:paraId="00000A1B">
            <w:pPr>
              <w:spacing w:after="0"/>
            </w:pPr>
          </w:p>
        </w:tc>
      </w:tr>
      <w:tr w14:paraId="1B5075E4">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A1C">
            <w:pPr>
              <w:spacing w:after="0"/>
              <w:rPr>
                <w:b/>
                <w:bCs/>
              </w:rPr>
            </w:pPr>
            <w:r>
              <w:rPr>
                <w:b/>
                <w:bCs/>
                <w:rtl w:val="0"/>
              </w:rPr>
              <w:t>Profitability Index:</w:t>
            </w:r>
            <w:r>
              <w:rPr>
                <w:rtl w:val="0"/>
              </w:rPr>
              <w:t xml:space="preserve"> 22.73 ÷ 30.00 = </w:t>
            </w:r>
            <w:r>
              <w:rPr>
                <w:b/>
                <w:bCs/>
                <w:rtl w:val="0"/>
              </w:rPr>
              <w:t>0.76</w:t>
            </w:r>
          </w:p>
        </w:tc>
        <w:tc>
          <w:tcPr>
            <w:tcBorders>
              <w:top w:val="nil"/>
              <w:left w:val="nil"/>
              <w:bottom w:val="nil"/>
              <w:right w:val="nil"/>
            </w:tcBorders>
            <w:vAlign w:val="bottom"/>
          </w:tcPr>
          <w:p w14:paraId="00000A1F">
            <w:pPr>
              <w:spacing w:after="0"/>
              <w:rPr>
                <w:b/>
                <w:bCs/>
              </w:rPr>
            </w:pPr>
          </w:p>
        </w:tc>
      </w:tr>
      <w:tr w14:paraId="6430651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20">
            <w:pPr>
              <w:spacing w:after="0"/>
            </w:pPr>
          </w:p>
        </w:tc>
        <w:tc>
          <w:tcPr>
            <w:tcBorders>
              <w:top w:val="nil"/>
              <w:left w:val="nil"/>
              <w:bottom w:val="nil"/>
              <w:right w:val="nil"/>
            </w:tcBorders>
            <w:vAlign w:val="bottom"/>
          </w:tcPr>
          <w:p w14:paraId="00000A21">
            <w:pPr>
              <w:spacing w:after="0"/>
            </w:pPr>
          </w:p>
        </w:tc>
        <w:tc>
          <w:tcPr>
            <w:tcBorders>
              <w:top w:val="nil"/>
              <w:left w:val="nil"/>
              <w:bottom w:val="nil"/>
              <w:right w:val="nil"/>
            </w:tcBorders>
            <w:vAlign w:val="bottom"/>
          </w:tcPr>
          <w:p w14:paraId="00000A22">
            <w:pPr>
              <w:spacing w:after="0"/>
            </w:pPr>
          </w:p>
        </w:tc>
        <w:tc>
          <w:tcPr>
            <w:tcBorders>
              <w:top w:val="nil"/>
              <w:left w:val="nil"/>
              <w:bottom w:val="nil"/>
              <w:right w:val="nil"/>
            </w:tcBorders>
            <w:vAlign w:val="bottom"/>
          </w:tcPr>
          <w:p w14:paraId="00000A23">
            <w:pPr>
              <w:spacing w:after="0"/>
            </w:pPr>
          </w:p>
        </w:tc>
      </w:tr>
      <w:tr w14:paraId="007FBFA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24">
            <w:pPr>
              <w:spacing w:after="0"/>
            </w:pPr>
          </w:p>
        </w:tc>
        <w:tc>
          <w:tcPr>
            <w:tcBorders>
              <w:top w:val="nil"/>
              <w:left w:val="nil"/>
              <w:bottom w:val="nil"/>
              <w:right w:val="nil"/>
            </w:tcBorders>
            <w:vAlign w:val="bottom"/>
          </w:tcPr>
          <w:p w14:paraId="00000A25">
            <w:pPr>
              <w:spacing w:after="0"/>
            </w:pPr>
          </w:p>
        </w:tc>
        <w:tc>
          <w:tcPr>
            <w:tcBorders>
              <w:top w:val="nil"/>
              <w:left w:val="nil"/>
              <w:bottom w:val="nil"/>
              <w:right w:val="nil"/>
            </w:tcBorders>
            <w:vAlign w:val="bottom"/>
          </w:tcPr>
          <w:p w14:paraId="00000A26">
            <w:pPr>
              <w:spacing w:after="0"/>
            </w:pPr>
          </w:p>
        </w:tc>
        <w:tc>
          <w:tcPr>
            <w:tcBorders>
              <w:top w:val="nil"/>
              <w:left w:val="nil"/>
              <w:bottom w:val="nil"/>
              <w:right w:val="nil"/>
            </w:tcBorders>
            <w:vAlign w:val="bottom"/>
          </w:tcPr>
          <w:p w14:paraId="00000A27">
            <w:pPr>
              <w:spacing w:after="0"/>
            </w:pPr>
          </w:p>
        </w:tc>
      </w:tr>
      <w:tr w14:paraId="480E2908">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28">
            <w:pPr>
              <w:spacing w:after="0"/>
            </w:pPr>
          </w:p>
        </w:tc>
        <w:tc>
          <w:tcPr>
            <w:tcBorders>
              <w:top w:val="nil"/>
              <w:left w:val="nil"/>
              <w:bottom w:val="nil"/>
              <w:right w:val="nil"/>
            </w:tcBorders>
            <w:vAlign w:val="bottom"/>
          </w:tcPr>
          <w:p w14:paraId="00000A29">
            <w:pPr>
              <w:spacing w:after="0"/>
            </w:pPr>
          </w:p>
        </w:tc>
        <w:tc>
          <w:tcPr>
            <w:tcBorders>
              <w:top w:val="nil"/>
              <w:left w:val="nil"/>
              <w:bottom w:val="nil"/>
              <w:right w:val="nil"/>
            </w:tcBorders>
            <w:vAlign w:val="bottom"/>
          </w:tcPr>
          <w:p w14:paraId="00000A2A">
            <w:pPr>
              <w:spacing w:after="0"/>
            </w:pPr>
          </w:p>
        </w:tc>
        <w:tc>
          <w:tcPr>
            <w:tcBorders>
              <w:top w:val="nil"/>
              <w:left w:val="nil"/>
              <w:bottom w:val="nil"/>
              <w:right w:val="nil"/>
            </w:tcBorders>
            <w:vAlign w:val="bottom"/>
          </w:tcPr>
          <w:p w14:paraId="00000A2B">
            <w:pPr>
              <w:spacing w:after="0"/>
            </w:pPr>
          </w:p>
        </w:tc>
      </w:tr>
      <w:tr w14:paraId="27913F9E">
        <w:tblPrEx>
          <w:tblCellMar>
            <w:top w:w="0" w:type="dxa"/>
            <w:left w:w="115" w:type="dxa"/>
            <w:bottom w:w="0" w:type="dxa"/>
            <w:right w:w="115" w:type="dxa"/>
          </w:tblCellMar>
        </w:tblPrEx>
        <w:trPr>
          <w:trHeight w:val="288" w:hRule="atLeast"/>
        </w:trPr>
        <w:tc>
          <w:tcPr>
            <w:gridSpan w:val="4"/>
            <w:tcBorders>
              <w:top w:val="nil"/>
              <w:left w:val="nil"/>
              <w:bottom w:val="nil"/>
              <w:right w:val="nil"/>
            </w:tcBorders>
            <w:vAlign w:val="center"/>
          </w:tcPr>
          <w:p w14:paraId="00000A2C">
            <w:pPr>
              <w:spacing w:after="0"/>
              <w:rPr>
                <w:b/>
                <w:bCs/>
              </w:rPr>
            </w:pPr>
            <w:r>
              <w:rPr>
                <w:b/>
                <w:bCs/>
                <w:rtl w:val="0"/>
              </w:rPr>
              <w:t>Project C – Investment Valuation Using NPV (Reframed)</w:t>
            </w:r>
          </w:p>
        </w:tc>
      </w:tr>
      <w:tr w14:paraId="02809D91">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30">
            <w:pPr>
              <w:spacing w:after="0"/>
              <w:rPr>
                <w:b/>
                <w:bCs/>
              </w:rPr>
            </w:pPr>
          </w:p>
        </w:tc>
        <w:tc>
          <w:tcPr>
            <w:tcBorders>
              <w:top w:val="nil"/>
              <w:left w:val="nil"/>
              <w:bottom w:val="nil"/>
              <w:right w:val="nil"/>
            </w:tcBorders>
            <w:vAlign w:val="bottom"/>
          </w:tcPr>
          <w:p w14:paraId="00000A31">
            <w:pPr>
              <w:spacing w:after="0"/>
            </w:pPr>
          </w:p>
        </w:tc>
        <w:tc>
          <w:tcPr>
            <w:tcBorders>
              <w:top w:val="nil"/>
              <w:left w:val="nil"/>
              <w:bottom w:val="nil"/>
              <w:right w:val="nil"/>
            </w:tcBorders>
            <w:vAlign w:val="bottom"/>
          </w:tcPr>
          <w:p w14:paraId="00000A32">
            <w:pPr>
              <w:spacing w:after="0"/>
            </w:pPr>
          </w:p>
        </w:tc>
        <w:tc>
          <w:tcPr>
            <w:tcBorders>
              <w:top w:val="nil"/>
              <w:left w:val="nil"/>
              <w:bottom w:val="nil"/>
              <w:right w:val="nil"/>
            </w:tcBorders>
            <w:vAlign w:val="bottom"/>
          </w:tcPr>
          <w:p w14:paraId="00000A33">
            <w:pPr>
              <w:spacing w:after="0"/>
            </w:pPr>
          </w:p>
        </w:tc>
      </w:tr>
      <w:tr w14:paraId="661DD159">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A34">
            <w:pPr>
              <w:spacing w:after="0"/>
              <w:rPr>
                <w:b/>
                <w:bCs/>
              </w:rPr>
            </w:pPr>
            <w:r>
              <w:rPr>
                <w:b/>
                <w:bCs/>
                <w:rtl w:val="0"/>
              </w:rPr>
              <w:t>Cost of capital: 10%</w:t>
            </w:r>
          </w:p>
        </w:tc>
        <w:tc>
          <w:tcPr>
            <w:tcBorders>
              <w:top w:val="nil"/>
              <w:left w:val="nil"/>
              <w:bottom w:val="nil"/>
              <w:right w:val="nil"/>
            </w:tcBorders>
            <w:vAlign w:val="bottom"/>
          </w:tcPr>
          <w:p w14:paraId="00000A36">
            <w:pPr>
              <w:spacing w:after="0"/>
              <w:rPr>
                <w:b/>
                <w:bCs/>
              </w:rPr>
            </w:pPr>
          </w:p>
        </w:tc>
        <w:tc>
          <w:tcPr>
            <w:tcBorders>
              <w:top w:val="nil"/>
              <w:left w:val="nil"/>
              <w:bottom w:val="nil"/>
              <w:right w:val="nil"/>
            </w:tcBorders>
            <w:vAlign w:val="bottom"/>
          </w:tcPr>
          <w:p w14:paraId="00000A37">
            <w:pPr>
              <w:spacing w:after="0"/>
            </w:pPr>
          </w:p>
        </w:tc>
      </w:tr>
      <w:tr w14:paraId="54B3860B">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38">
            <w:pPr>
              <w:spacing w:after="0"/>
            </w:pPr>
          </w:p>
        </w:tc>
        <w:tc>
          <w:tcPr>
            <w:tcBorders>
              <w:top w:val="nil"/>
              <w:left w:val="nil"/>
              <w:bottom w:val="nil"/>
              <w:right w:val="nil"/>
            </w:tcBorders>
            <w:vAlign w:val="bottom"/>
          </w:tcPr>
          <w:p w14:paraId="00000A39">
            <w:pPr>
              <w:spacing w:after="0"/>
            </w:pPr>
          </w:p>
        </w:tc>
        <w:tc>
          <w:tcPr>
            <w:tcBorders>
              <w:top w:val="nil"/>
              <w:left w:val="nil"/>
              <w:bottom w:val="nil"/>
              <w:right w:val="nil"/>
            </w:tcBorders>
            <w:vAlign w:val="bottom"/>
          </w:tcPr>
          <w:p w14:paraId="00000A3A">
            <w:pPr>
              <w:spacing w:after="0"/>
            </w:pPr>
          </w:p>
        </w:tc>
        <w:tc>
          <w:tcPr>
            <w:tcBorders>
              <w:top w:val="nil"/>
              <w:left w:val="nil"/>
              <w:bottom w:val="nil"/>
              <w:right w:val="nil"/>
            </w:tcBorders>
            <w:vAlign w:val="bottom"/>
          </w:tcPr>
          <w:p w14:paraId="00000A3B">
            <w:pPr>
              <w:spacing w:after="0"/>
            </w:pPr>
          </w:p>
        </w:tc>
      </w:tr>
      <w:tr w14:paraId="21F82B51">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center"/>
          </w:tcPr>
          <w:p w14:paraId="00000A3C">
            <w:pPr>
              <w:spacing w:after="0"/>
              <w:rPr>
                <w:b/>
                <w:bCs/>
              </w:rPr>
            </w:pPr>
            <w:r>
              <w:rPr>
                <w:b/>
                <w:bCs/>
                <w:rtl w:val="0"/>
              </w:rPr>
              <w:t>Discounted Cash Flow Summary</w:t>
            </w:r>
          </w:p>
        </w:tc>
        <w:tc>
          <w:tcPr>
            <w:tcBorders>
              <w:top w:val="nil"/>
              <w:left w:val="nil"/>
              <w:bottom w:val="nil"/>
              <w:right w:val="nil"/>
            </w:tcBorders>
            <w:vAlign w:val="bottom"/>
          </w:tcPr>
          <w:p w14:paraId="00000A3F">
            <w:pPr>
              <w:spacing w:after="0"/>
              <w:rPr>
                <w:b/>
                <w:bCs/>
              </w:rPr>
            </w:pPr>
          </w:p>
        </w:tc>
      </w:tr>
      <w:tr w14:paraId="53EA4210">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40">
            <w:pPr>
              <w:spacing w:after="0"/>
            </w:pPr>
          </w:p>
        </w:tc>
        <w:tc>
          <w:tcPr>
            <w:tcBorders>
              <w:top w:val="nil"/>
              <w:left w:val="nil"/>
              <w:bottom w:val="nil"/>
              <w:right w:val="nil"/>
            </w:tcBorders>
            <w:vAlign w:val="bottom"/>
          </w:tcPr>
          <w:p w14:paraId="00000A41">
            <w:pPr>
              <w:spacing w:after="0"/>
            </w:pPr>
          </w:p>
        </w:tc>
        <w:tc>
          <w:tcPr>
            <w:tcBorders>
              <w:top w:val="nil"/>
              <w:left w:val="nil"/>
              <w:bottom w:val="nil"/>
              <w:right w:val="nil"/>
            </w:tcBorders>
            <w:vAlign w:val="bottom"/>
          </w:tcPr>
          <w:p w14:paraId="00000A42">
            <w:pPr>
              <w:spacing w:after="0"/>
            </w:pPr>
          </w:p>
        </w:tc>
        <w:tc>
          <w:tcPr>
            <w:tcBorders>
              <w:top w:val="nil"/>
              <w:left w:val="nil"/>
              <w:bottom w:val="nil"/>
              <w:right w:val="nil"/>
            </w:tcBorders>
            <w:vAlign w:val="bottom"/>
          </w:tcPr>
          <w:p w14:paraId="00000A43">
            <w:pPr>
              <w:spacing w:after="0"/>
            </w:pPr>
          </w:p>
        </w:tc>
      </w:tr>
      <w:tr w14:paraId="3680F30E">
        <w:tblPrEx>
          <w:tblCellMar>
            <w:top w:w="0" w:type="dxa"/>
            <w:left w:w="115" w:type="dxa"/>
            <w:bottom w:w="0" w:type="dxa"/>
            <w:right w:w="115" w:type="dxa"/>
          </w:tblCellMar>
        </w:tblPrEx>
        <w:trPr>
          <w:trHeight w:val="408" w:hRule="atLeast"/>
        </w:trPr>
        <w:tc>
          <w:tcPr>
            <w:tcBorders>
              <w:top w:val="nil"/>
              <w:left w:val="nil"/>
              <w:bottom w:val="nil"/>
              <w:right w:val="nil"/>
            </w:tcBorders>
            <w:vAlign w:val="center"/>
          </w:tcPr>
          <w:p w14:paraId="00000A44">
            <w:pPr>
              <w:spacing w:after="0"/>
              <w:rPr>
                <w:b/>
                <w:bCs/>
              </w:rPr>
            </w:pPr>
            <w:r>
              <w:rPr>
                <w:b/>
                <w:bCs/>
                <w:rtl w:val="0"/>
              </w:rPr>
              <w:t>Period</w:t>
            </w:r>
          </w:p>
        </w:tc>
        <w:tc>
          <w:tcPr>
            <w:tcBorders>
              <w:top w:val="nil"/>
              <w:left w:val="nil"/>
              <w:bottom w:val="nil"/>
              <w:right w:val="nil"/>
            </w:tcBorders>
            <w:vAlign w:val="center"/>
          </w:tcPr>
          <w:p w14:paraId="00000A45">
            <w:pPr>
              <w:spacing w:after="0"/>
              <w:rPr>
                <w:b/>
                <w:bCs/>
              </w:rPr>
            </w:pPr>
            <w:r>
              <w:rPr>
                <w:b/>
                <w:bCs/>
                <w:rtl w:val="0"/>
              </w:rPr>
              <w:t>Cash Flow (£m)</w:t>
            </w:r>
          </w:p>
        </w:tc>
        <w:tc>
          <w:tcPr>
            <w:tcBorders>
              <w:top w:val="nil"/>
              <w:left w:val="nil"/>
              <w:bottom w:val="nil"/>
              <w:right w:val="nil"/>
            </w:tcBorders>
            <w:vAlign w:val="center"/>
          </w:tcPr>
          <w:p w14:paraId="00000A46">
            <w:pPr>
              <w:spacing w:after="0"/>
              <w:rPr>
                <w:b/>
                <w:bCs/>
              </w:rPr>
            </w:pPr>
            <w:r>
              <w:rPr>
                <w:b/>
                <w:bCs/>
                <w:rtl w:val="0"/>
              </w:rPr>
              <w:t>Discount Rate</w:t>
            </w:r>
          </w:p>
        </w:tc>
        <w:tc>
          <w:tcPr>
            <w:tcBorders>
              <w:top w:val="nil"/>
              <w:left w:val="nil"/>
              <w:bottom w:val="nil"/>
              <w:right w:val="nil"/>
            </w:tcBorders>
            <w:vAlign w:val="center"/>
          </w:tcPr>
          <w:p w14:paraId="00000A47">
            <w:pPr>
              <w:spacing w:after="0"/>
              <w:rPr>
                <w:b/>
                <w:bCs/>
              </w:rPr>
            </w:pPr>
            <w:r>
              <w:rPr>
                <w:b/>
                <w:bCs/>
                <w:rtl w:val="0"/>
              </w:rPr>
              <w:t>PV (£m)</w:t>
            </w:r>
          </w:p>
        </w:tc>
      </w:tr>
      <w:tr w14:paraId="5A984FDC">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48">
            <w:pPr>
              <w:spacing w:after="0"/>
            </w:pPr>
            <w:r>
              <w:rPr>
                <w:rtl w:val="0"/>
              </w:rPr>
              <w:t>0</w:t>
            </w:r>
          </w:p>
        </w:tc>
        <w:tc>
          <w:tcPr>
            <w:tcBorders>
              <w:top w:val="nil"/>
              <w:left w:val="nil"/>
              <w:bottom w:val="nil"/>
              <w:right w:val="nil"/>
            </w:tcBorders>
            <w:vAlign w:val="center"/>
          </w:tcPr>
          <w:p w14:paraId="00000A49">
            <w:pPr>
              <w:spacing w:after="0"/>
            </w:pPr>
            <w:r>
              <w:rPr>
                <w:rtl w:val="0"/>
              </w:rPr>
              <w:t>–50.0</w:t>
            </w:r>
          </w:p>
        </w:tc>
        <w:tc>
          <w:tcPr>
            <w:tcBorders>
              <w:top w:val="nil"/>
              <w:left w:val="nil"/>
              <w:bottom w:val="nil"/>
              <w:right w:val="nil"/>
            </w:tcBorders>
            <w:vAlign w:val="center"/>
          </w:tcPr>
          <w:p w14:paraId="00000A4A">
            <w:pPr>
              <w:spacing w:after="0"/>
            </w:pPr>
            <w:r>
              <w:rPr>
                <w:rtl w:val="0"/>
              </w:rPr>
              <w:t>1</w:t>
            </w:r>
          </w:p>
        </w:tc>
        <w:tc>
          <w:tcPr>
            <w:tcBorders>
              <w:top w:val="nil"/>
              <w:left w:val="nil"/>
              <w:bottom w:val="nil"/>
              <w:right w:val="nil"/>
            </w:tcBorders>
            <w:vAlign w:val="center"/>
          </w:tcPr>
          <w:p w14:paraId="00000A4B">
            <w:pPr>
              <w:spacing w:after="0"/>
            </w:pPr>
            <w:r>
              <w:rPr>
                <w:rtl w:val="0"/>
              </w:rPr>
              <w:t>–50.00</w:t>
            </w:r>
          </w:p>
        </w:tc>
      </w:tr>
      <w:tr w14:paraId="63969F36">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4C">
            <w:pPr>
              <w:spacing w:after="0"/>
            </w:pPr>
            <w:r>
              <w:rPr>
                <w:rtl w:val="0"/>
              </w:rPr>
              <w:t>1</w:t>
            </w:r>
          </w:p>
        </w:tc>
        <w:tc>
          <w:tcPr>
            <w:tcBorders>
              <w:top w:val="nil"/>
              <w:left w:val="nil"/>
              <w:bottom w:val="nil"/>
              <w:right w:val="nil"/>
            </w:tcBorders>
            <w:vAlign w:val="center"/>
          </w:tcPr>
          <w:p w14:paraId="00000A4D">
            <w:pPr>
              <w:spacing w:after="0"/>
            </w:pPr>
            <w:r>
              <w:rPr>
                <w:rtl w:val="0"/>
              </w:rPr>
              <w:t>5</w:t>
            </w:r>
          </w:p>
        </w:tc>
        <w:tc>
          <w:tcPr>
            <w:tcBorders>
              <w:top w:val="nil"/>
              <w:left w:val="nil"/>
              <w:bottom w:val="nil"/>
              <w:right w:val="nil"/>
            </w:tcBorders>
            <w:vAlign w:val="center"/>
          </w:tcPr>
          <w:p w14:paraId="00000A4E">
            <w:pPr>
              <w:spacing w:after="0"/>
            </w:pPr>
            <w:r>
              <w:rPr>
                <w:rtl w:val="0"/>
              </w:rPr>
              <w:t>0.909</w:t>
            </w:r>
          </w:p>
        </w:tc>
        <w:tc>
          <w:tcPr>
            <w:tcBorders>
              <w:top w:val="nil"/>
              <w:left w:val="nil"/>
              <w:bottom w:val="nil"/>
              <w:right w:val="nil"/>
            </w:tcBorders>
            <w:vAlign w:val="center"/>
          </w:tcPr>
          <w:p w14:paraId="00000A4F">
            <w:pPr>
              <w:spacing w:after="0"/>
            </w:pPr>
            <w:r>
              <w:rPr>
                <w:rtl w:val="0"/>
              </w:rPr>
              <w:t>4.55</w:t>
            </w:r>
          </w:p>
        </w:tc>
      </w:tr>
      <w:tr w14:paraId="5FDB029C">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50">
            <w:pPr>
              <w:spacing w:after="0"/>
            </w:pPr>
            <w:r>
              <w:rPr>
                <w:rtl w:val="0"/>
              </w:rPr>
              <w:t>2</w:t>
            </w:r>
          </w:p>
        </w:tc>
        <w:tc>
          <w:tcPr>
            <w:tcBorders>
              <w:top w:val="nil"/>
              <w:left w:val="nil"/>
              <w:bottom w:val="nil"/>
              <w:right w:val="nil"/>
            </w:tcBorders>
            <w:vAlign w:val="center"/>
          </w:tcPr>
          <w:p w14:paraId="00000A51">
            <w:pPr>
              <w:spacing w:after="0"/>
            </w:pPr>
            <w:r>
              <w:rPr>
                <w:rtl w:val="0"/>
              </w:rPr>
              <w:t>10</w:t>
            </w:r>
          </w:p>
        </w:tc>
        <w:tc>
          <w:tcPr>
            <w:tcBorders>
              <w:top w:val="nil"/>
              <w:left w:val="nil"/>
              <w:bottom w:val="nil"/>
              <w:right w:val="nil"/>
            </w:tcBorders>
            <w:vAlign w:val="center"/>
          </w:tcPr>
          <w:p w14:paraId="00000A52">
            <w:pPr>
              <w:spacing w:after="0"/>
            </w:pPr>
            <w:r>
              <w:rPr>
                <w:rtl w:val="0"/>
              </w:rPr>
              <w:t>0.826</w:t>
            </w:r>
          </w:p>
        </w:tc>
        <w:tc>
          <w:tcPr>
            <w:tcBorders>
              <w:top w:val="nil"/>
              <w:left w:val="nil"/>
              <w:bottom w:val="nil"/>
              <w:right w:val="nil"/>
            </w:tcBorders>
            <w:vAlign w:val="center"/>
          </w:tcPr>
          <w:p w14:paraId="00000A53">
            <w:pPr>
              <w:spacing w:after="0"/>
            </w:pPr>
            <w:r>
              <w:rPr>
                <w:rtl w:val="0"/>
              </w:rPr>
              <w:t>8.26</w:t>
            </w:r>
          </w:p>
        </w:tc>
      </w:tr>
      <w:tr w14:paraId="256A9B24">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54">
            <w:pPr>
              <w:spacing w:after="0"/>
            </w:pPr>
            <w:r>
              <w:rPr>
                <w:rtl w:val="0"/>
              </w:rPr>
              <w:t>3</w:t>
            </w:r>
          </w:p>
        </w:tc>
        <w:tc>
          <w:tcPr>
            <w:tcBorders>
              <w:top w:val="nil"/>
              <w:left w:val="nil"/>
              <w:bottom w:val="nil"/>
              <w:right w:val="nil"/>
            </w:tcBorders>
            <w:vAlign w:val="center"/>
          </w:tcPr>
          <w:p w14:paraId="00000A55">
            <w:pPr>
              <w:spacing w:after="0"/>
            </w:pPr>
            <w:r>
              <w:rPr>
                <w:rtl w:val="0"/>
              </w:rPr>
              <w:t>20</w:t>
            </w:r>
          </w:p>
        </w:tc>
        <w:tc>
          <w:tcPr>
            <w:tcBorders>
              <w:top w:val="nil"/>
              <w:left w:val="nil"/>
              <w:bottom w:val="nil"/>
              <w:right w:val="nil"/>
            </w:tcBorders>
            <w:vAlign w:val="center"/>
          </w:tcPr>
          <w:p w14:paraId="00000A56">
            <w:pPr>
              <w:spacing w:after="0"/>
            </w:pPr>
            <w:r>
              <w:rPr>
                <w:rtl w:val="0"/>
              </w:rPr>
              <w:t>0.751</w:t>
            </w:r>
          </w:p>
        </w:tc>
        <w:tc>
          <w:tcPr>
            <w:tcBorders>
              <w:top w:val="nil"/>
              <w:left w:val="nil"/>
              <w:bottom w:val="nil"/>
              <w:right w:val="nil"/>
            </w:tcBorders>
            <w:vAlign w:val="center"/>
          </w:tcPr>
          <w:p w14:paraId="00000A57">
            <w:pPr>
              <w:spacing w:after="0"/>
            </w:pPr>
            <w:r>
              <w:rPr>
                <w:rtl w:val="0"/>
              </w:rPr>
              <w:t>15.02</w:t>
            </w:r>
          </w:p>
        </w:tc>
      </w:tr>
      <w:tr w14:paraId="2F125C63">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58">
            <w:pPr>
              <w:spacing w:after="0"/>
            </w:pPr>
            <w:r>
              <w:rPr>
                <w:rtl w:val="0"/>
              </w:rPr>
              <w:t>4</w:t>
            </w:r>
          </w:p>
        </w:tc>
        <w:tc>
          <w:tcPr>
            <w:tcBorders>
              <w:top w:val="nil"/>
              <w:left w:val="nil"/>
              <w:bottom w:val="nil"/>
              <w:right w:val="nil"/>
            </w:tcBorders>
            <w:vAlign w:val="center"/>
          </w:tcPr>
          <w:p w14:paraId="00000A59">
            <w:pPr>
              <w:spacing w:after="0"/>
            </w:pPr>
            <w:r>
              <w:rPr>
                <w:rtl w:val="0"/>
              </w:rPr>
              <w:t>25</w:t>
            </w:r>
          </w:p>
        </w:tc>
        <w:tc>
          <w:tcPr>
            <w:tcBorders>
              <w:top w:val="nil"/>
              <w:left w:val="nil"/>
              <w:bottom w:val="nil"/>
              <w:right w:val="nil"/>
            </w:tcBorders>
            <w:vAlign w:val="center"/>
          </w:tcPr>
          <w:p w14:paraId="00000A5A">
            <w:pPr>
              <w:spacing w:after="0"/>
            </w:pPr>
            <w:r>
              <w:rPr>
                <w:rtl w:val="0"/>
              </w:rPr>
              <w:t>0.683</w:t>
            </w:r>
          </w:p>
        </w:tc>
        <w:tc>
          <w:tcPr>
            <w:tcBorders>
              <w:top w:val="nil"/>
              <w:left w:val="nil"/>
              <w:bottom w:val="nil"/>
              <w:right w:val="nil"/>
            </w:tcBorders>
            <w:vAlign w:val="center"/>
          </w:tcPr>
          <w:p w14:paraId="00000A5B">
            <w:pPr>
              <w:spacing w:after="0"/>
            </w:pPr>
            <w:r>
              <w:rPr>
                <w:rtl w:val="0"/>
              </w:rPr>
              <w:t>17.08</w:t>
            </w:r>
          </w:p>
        </w:tc>
      </w:tr>
      <w:tr w14:paraId="21E7B81B">
        <w:tblPrEx>
          <w:tblCellMar>
            <w:top w:w="0" w:type="dxa"/>
            <w:left w:w="115" w:type="dxa"/>
            <w:bottom w:w="0" w:type="dxa"/>
            <w:right w:w="115" w:type="dxa"/>
          </w:tblCellMar>
        </w:tblPrEx>
        <w:trPr>
          <w:trHeight w:val="288" w:hRule="atLeast"/>
        </w:trPr>
        <w:tc>
          <w:tcPr>
            <w:tcBorders>
              <w:top w:val="nil"/>
              <w:left w:val="nil"/>
              <w:bottom w:val="nil"/>
              <w:right w:val="nil"/>
            </w:tcBorders>
            <w:vAlign w:val="center"/>
          </w:tcPr>
          <w:p w14:paraId="00000A5C">
            <w:pPr>
              <w:spacing w:after="0"/>
            </w:pPr>
            <w:r>
              <w:rPr>
                <w:rtl w:val="0"/>
              </w:rPr>
              <w:t>5</w:t>
            </w:r>
          </w:p>
        </w:tc>
        <w:tc>
          <w:tcPr>
            <w:tcBorders>
              <w:top w:val="nil"/>
              <w:left w:val="nil"/>
              <w:bottom w:val="nil"/>
              <w:right w:val="nil"/>
            </w:tcBorders>
            <w:vAlign w:val="center"/>
          </w:tcPr>
          <w:p w14:paraId="00000A5D">
            <w:pPr>
              <w:spacing w:after="0"/>
            </w:pPr>
            <w:r>
              <w:rPr>
                <w:rtl w:val="0"/>
              </w:rPr>
              <w:t>15</w:t>
            </w:r>
          </w:p>
        </w:tc>
        <w:tc>
          <w:tcPr>
            <w:tcBorders>
              <w:top w:val="nil"/>
              <w:left w:val="nil"/>
              <w:bottom w:val="nil"/>
              <w:right w:val="nil"/>
            </w:tcBorders>
            <w:vAlign w:val="center"/>
          </w:tcPr>
          <w:p w14:paraId="00000A5E">
            <w:pPr>
              <w:spacing w:after="0"/>
            </w:pPr>
            <w:r>
              <w:rPr>
                <w:rtl w:val="0"/>
              </w:rPr>
              <w:t>0.62</w:t>
            </w:r>
          </w:p>
        </w:tc>
        <w:tc>
          <w:tcPr>
            <w:tcBorders>
              <w:top w:val="nil"/>
              <w:left w:val="nil"/>
              <w:bottom w:val="nil"/>
              <w:right w:val="nil"/>
            </w:tcBorders>
            <w:vAlign w:val="center"/>
          </w:tcPr>
          <w:p w14:paraId="00000A5F">
            <w:pPr>
              <w:spacing w:after="0"/>
            </w:pPr>
            <w:r>
              <w:rPr>
                <w:rtl w:val="0"/>
              </w:rPr>
              <w:t>9.3</w:t>
            </w:r>
          </w:p>
        </w:tc>
      </w:tr>
      <w:tr w14:paraId="213D573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60">
            <w:pPr>
              <w:spacing w:after="0"/>
            </w:pPr>
          </w:p>
        </w:tc>
        <w:tc>
          <w:tcPr>
            <w:tcBorders>
              <w:top w:val="nil"/>
              <w:left w:val="nil"/>
              <w:bottom w:val="nil"/>
              <w:right w:val="nil"/>
            </w:tcBorders>
            <w:vAlign w:val="bottom"/>
          </w:tcPr>
          <w:p w14:paraId="00000A61">
            <w:pPr>
              <w:spacing w:after="0"/>
            </w:pPr>
          </w:p>
        </w:tc>
        <w:tc>
          <w:tcPr>
            <w:tcBorders>
              <w:top w:val="nil"/>
              <w:left w:val="nil"/>
              <w:bottom w:val="nil"/>
              <w:right w:val="nil"/>
            </w:tcBorders>
            <w:vAlign w:val="bottom"/>
          </w:tcPr>
          <w:p w14:paraId="00000A62">
            <w:pPr>
              <w:spacing w:after="0"/>
            </w:pPr>
          </w:p>
        </w:tc>
        <w:tc>
          <w:tcPr>
            <w:tcBorders>
              <w:top w:val="nil"/>
              <w:left w:val="nil"/>
              <w:bottom w:val="nil"/>
              <w:right w:val="nil"/>
            </w:tcBorders>
            <w:vAlign w:val="bottom"/>
          </w:tcPr>
          <w:p w14:paraId="00000A63">
            <w:pPr>
              <w:spacing w:after="0"/>
            </w:pPr>
          </w:p>
        </w:tc>
      </w:tr>
      <w:tr w14:paraId="070C1757">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A64">
            <w:pPr>
              <w:spacing w:after="0"/>
              <w:rPr>
                <w:b/>
                <w:bCs/>
              </w:rPr>
            </w:pPr>
            <w:r>
              <w:rPr>
                <w:b/>
                <w:bCs/>
                <w:rtl w:val="0"/>
              </w:rPr>
              <w:t>Total discounted inflows:</w:t>
            </w:r>
            <w:r>
              <w:rPr>
                <w:rtl w:val="0"/>
              </w:rPr>
              <w:t xml:space="preserve"> £54.20m</w:t>
            </w:r>
          </w:p>
        </w:tc>
        <w:tc>
          <w:tcPr>
            <w:tcBorders>
              <w:top w:val="nil"/>
              <w:left w:val="nil"/>
              <w:bottom w:val="nil"/>
              <w:right w:val="nil"/>
            </w:tcBorders>
            <w:vAlign w:val="bottom"/>
          </w:tcPr>
          <w:p w14:paraId="00000A67">
            <w:pPr>
              <w:spacing w:after="0"/>
              <w:rPr>
                <w:b/>
                <w:bCs/>
              </w:rPr>
            </w:pPr>
          </w:p>
        </w:tc>
      </w:tr>
      <w:tr w14:paraId="78A28766">
        <w:tblPrEx>
          <w:tblCellMar>
            <w:top w:w="0" w:type="dxa"/>
            <w:left w:w="115" w:type="dxa"/>
            <w:bottom w:w="0" w:type="dxa"/>
            <w:right w:w="115" w:type="dxa"/>
          </w:tblCellMar>
        </w:tblPrEx>
        <w:trPr>
          <w:trHeight w:val="288" w:hRule="atLeast"/>
        </w:trPr>
        <w:tc>
          <w:tcPr>
            <w:gridSpan w:val="2"/>
            <w:tcBorders>
              <w:top w:val="nil"/>
              <w:left w:val="nil"/>
              <w:bottom w:val="nil"/>
              <w:right w:val="nil"/>
            </w:tcBorders>
            <w:vAlign w:val="bottom"/>
          </w:tcPr>
          <w:p w14:paraId="00000A68">
            <w:pPr>
              <w:spacing w:after="0"/>
              <w:rPr>
                <w:b/>
                <w:bCs/>
              </w:rPr>
            </w:pPr>
            <w:r>
              <w:rPr>
                <w:b/>
                <w:bCs/>
                <w:rtl w:val="0"/>
              </w:rPr>
              <w:t>Initial investment:</w:t>
            </w:r>
            <w:r>
              <w:rPr>
                <w:rtl w:val="0"/>
              </w:rPr>
              <w:t xml:space="preserve"> £50.00m</w:t>
            </w:r>
          </w:p>
        </w:tc>
        <w:tc>
          <w:tcPr>
            <w:tcBorders>
              <w:top w:val="nil"/>
              <w:left w:val="nil"/>
              <w:bottom w:val="nil"/>
              <w:right w:val="nil"/>
            </w:tcBorders>
            <w:vAlign w:val="bottom"/>
          </w:tcPr>
          <w:p w14:paraId="00000A6A">
            <w:pPr>
              <w:spacing w:after="0"/>
              <w:rPr>
                <w:b/>
                <w:bCs/>
              </w:rPr>
            </w:pPr>
          </w:p>
        </w:tc>
        <w:tc>
          <w:tcPr>
            <w:tcBorders>
              <w:top w:val="nil"/>
              <w:left w:val="nil"/>
              <w:bottom w:val="nil"/>
              <w:right w:val="nil"/>
            </w:tcBorders>
            <w:vAlign w:val="bottom"/>
          </w:tcPr>
          <w:p w14:paraId="00000A6B">
            <w:pPr>
              <w:spacing w:after="0"/>
            </w:pPr>
          </w:p>
        </w:tc>
      </w:tr>
      <w:tr w14:paraId="72418344">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6C">
            <w:pPr>
              <w:spacing w:after="0"/>
            </w:pPr>
          </w:p>
        </w:tc>
        <w:tc>
          <w:tcPr>
            <w:tcBorders>
              <w:top w:val="nil"/>
              <w:left w:val="nil"/>
              <w:bottom w:val="nil"/>
              <w:right w:val="nil"/>
            </w:tcBorders>
            <w:vAlign w:val="bottom"/>
          </w:tcPr>
          <w:p w14:paraId="00000A6D">
            <w:pPr>
              <w:spacing w:after="0"/>
            </w:pPr>
          </w:p>
        </w:tc>
        <w:tc>
          <w:tcPr>
            <w:tcBorders>
              <w:top w:val="nil"/>
              <w:left w:val="nil"/>
              <w:bottom w:val="nil"/>
              <w:right w:val="nil"/>
            </w:tcBorders>
            <w:vAlign w:val="bottom"/>
          </w:tcPr>
          <w:p w14:paraId="00000A6E">
            <w:pPr>
              <w:spacing w:after="0"/>
            </w:pPr>
          </w:p>
        </w:tc>
        <w:tc>
          <w:tcPr>
            <w:tcBorders>
              <w:top w:val="nil"/>
              <w:left w:val="nil"/>
              <w:bottom w:val="nil"/>
              <w:right w:val="nil"/>
            </w:tcBorders>
            <w:vAlign w:val="bottom"/>
          </w:tcPr>
          <w:p w14:paraId="00000A6F">
            <w:pPr>
              <w:spacing w:after="0"/>
            </w:pPr>
          </w:p>
        </w:tc>
      </w:tr>
      <w:tr w14:paraId="6C97903A">
        <w:tblPrEx>
          <w:tblCellMar>
            <w:top w:w="0" w:type="dxa"/>
            <w:left w:w="115" w:type="dxa"/>
            <w:bottom w:w="0" w:type="dxa"/>
            <w:right w:w="115" w:type="dxa"/>
          </w:tblCellMar>
        </w:tblPrEx>
        <w:trPr>
          <w:trHeight w:val="288" w:hRule="atLeast"/>
        </w:trPr>
        <w:tc>
          <w:tcPr>
            <w:tcBorders>
              <w:top w:val="nil"/>
              <w:left w:val="nil"/>
              <w:bottom w:val="nil"/>
              <w:right w:val="nil"/>
            </w:tcBorders>
            <w:vAlign w:val="bottom"/>
          </w:tcPr>
          <w:p w14:paraId="00000A70">
            <w:pPr>
              <w:spacing w:after="0"/>
              <w:rPr>
                <w:b/>
                <w:bCs/>
              </w:rPr>
            </w:pPr>
            <w:r>
              <w:rPr>
                <w:b/>
                <w:bCs/>
                <w:rtl w:val="0"/>
              </w:rPr>
              <w:t>NPV:</w:t>
            </w:r>
            <w:r>
              <w:rPr>
                <w:rtl w:val="0"/>
              </w:rPr>
              <w:t xml:space="preserve"> £4.20m</w:t>
            </w:r>
          </w:p>
        </w:tc>
        <w:tc>
          <w:tcPr>
            <w:tcBorders>
              <w:top w:val="nil"/>
              <w:left w:val="nil"/>
              <w:bottom w:val="nil"/>
              <w:right w:val="nil"/>
            </w:tcBorders>
            <w:vAlign w:val="bottom"/>
          </w:tcPr>
          <w:p w14:paraId="00000A71">
            <w:pPr>
              <w:spacing w:after="0"/>
              <w:rPr>
                <w:b/>
                <w:bCs/>
              </w:rPr>
            </w:pPr>
          </w:p>
        </w:tc>
        <w:tc>
          <w:tcPr>
            <w:tcBorders>
              <w:top w:val="nil"/>
              <w:left w:val="nil"/>
              <w:bottom w:val="nil"/>
              <w:right w:val="nil"/>
            </w:tcBorders>
            <w:vAlign w:val="bottom"/>
          </w:tcPr>
          <w:p w14:paraId="00000A72">
            <w:pPr>
              <w:spacing w:after="0"/>
            </w:pPr>
          </w:p>
        </w:tc>
        <w:tc>
          <w:tcPr>
            <w:tcBorders>
              <w:top w:val="nil"/>
              <w:left w:val="nil"/>
              <w:bottom w:val="nil"/>
              <w:right w:val="nil"/>
            </w:tcBorders>
            <w:vAlign w:val="bottom"/>
          </w:tcPr>
          <w:p w14:paraId="00000A73">
            <w:pPr>
              <w:spacing w:after="0"/>
            </w:pPr>
          </w:p>
        </w:tc>
      </w:tr>
      <w:tr w14:paraId="632650F2">
        <w:tblPrEx>
          <w:tblCellMar>
            <w:top w:w="0" w:type="dxa"/>
            <w:left w:w="115" w:type="dxa"/>
            <w:bottom w:w="0" w:type="dxa"/>
            <w:right w:w="115" w:type="dxa"/>
          </w:tblCellMar>
        </w:tblPrEx>
        <w:trPr>
          <w:trHeight w:val="288" w:hRule="atLeast"/>
        </w:trPr>
        <w:tc>
          <w:tcPr>
            <w:gridSpan w:val="3"/>
            <w:tcBorders>
              <w:top w:val="nil"/>
              <w:left w:val="nil"/>
              <w:bottom w:val="nil"/>
              <w:right w:val="nil"/>
            </w:tcBorders>
            <w:vAlign w:val="bottom"/>
          </w:tcPr>
          <w:p w14:paraId="00000A74">
            <w:pPr>
              <w:spacing w:after="0"/>
              <w:rPr>
                <w:b/>
                <w:bCs/>
              </w:rPr>
            </w:pPr>
            <w:r>
              <w:rPr>
                <w:b/>
                <w:bCs/>
                <w:rtl w:val="0"/>
              </w:rPr>
              <w:t>Profitability Index:</w:t>
            </w:r>
            <w:r>
              <w:rPr>
                <w:rtl w:val="0"/>
              </w:rPr>
              <w:t xml:space="preserve"> 54.20 ÷ 50.00 = </w:t>
            </w:r>
            <w:r>
              <w:rPr>
                <w:b/>
                <w:bCs/>
                <w:rtl w:val="0"/>
              </w:rPr>
              <w:t>1.08</w:t>
            </w:r>
          </w:p>
        </w:tc>
        <w:tc>
          <w:tcPr>
            <w:tcBorders>
              <w:top w:val="nil"/>
              <w:left w:val="nil"/>
              <w:bottom w:val="nil"/>
              <w:right w:val="nil"/>
            </w:tcBorders>
            <w:vAlign w:val="bottom"/>
          </w:tcPr>
          <w:p w14:paraId="00000A77">
            <w:pPr>
              <w:spacing w:after="0"/>
              <w:rPr>
                <w:b/>
                <w:bCs/>
              </w:rPr>
            </w:pPr>
          </w:p>
        </w:tc>
      </w:tr>
    </w:tbl>
    <w:p w14:paraId="00000A78"/>
    <w:p w14:paraId="00000A79">
      <w:pPr>
        <w:pStyle w:val="3"/>
      </w:pPr>
      <w:bookmarkStart w:id="40" w:name="_z2hdea3hs3if" w:colFirst="0" w:colLast="0"/>
      <w:bookmarkEnd w:id="40"/>
      <w:r>
        <w:rPr>
          <w:rtl w:val="0"/>
        </w:rPr>
        <w:t>Appendix I</w:t>
      </w:r>
    </w:p>
    <w:tbl>
      <w:tblPr>
        <w:tblStyle w:val="25"/>
        <w:tblW w:w="707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953"/>
        <w:gridCol w:w="3008"/>
        <w:gridCol w:w="222"/>
        <w:gridCol w:w="222"/>
        <w:gridCol w:w="222"/>
        <w:gridCol w:w="222"/>
        <w:gridCol w:w="222"/>
      </w:tblGrid>
      <w:tr w14:paraId="695FD7F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68" w:hRule="atLeast"/>
        </w:trPr>
        <w:tc>
          <w:tcPr>
            <w:gridSpan w:val="7"/>
          </w:tcPr>
          <w:p w14:paraId="00000A7A">
            <w:pPr>
              <w:spacing w:after="0" w:line="240" w:lineRule="auto"/>
            </w:pPr>
            <w:r>
              <w:rPr>
                <w:rtl w:val="0"/>
              </w:rPr>
              <w:t>Accounting Rate of Return (ARR) Analysis</w:t>
            </w:r>
          </w:p>
        </w:tc>
      </w:tr>
      <w:tr w14:paraId="2D256F2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81">
            <w:pPr>
              <w:spacing w:after="0" w:line="240" w:lineRule="auto"/>
            </w:pPr>
          </w:p>
        </w:tc>
        <w:tc>
          <w:p w14:paraId="00000A82">
            <w:pPr>
              <w:spacing w:after="0" w:line="240" w:lineRule="auto"/>
            </w:pPr>
          </w:p>
        </w:tc>
        <w:tc>
          <w:p w14:paraId="00000A83">
            <w:pPr>
              <w:spacing w:after="0" w:line="240" w:lineRule="auto"/>
            </w:pPr>
          </w:p>
        </w:tc>
        <w:tc>
          <w:p w14:paraId="00000A84">
            <w:pPr>
              <w:spacing w:after="0" w:line="240" w:lineRule="auto"/>
            </w:pPr>
          </w:p>
        </w:tc>
        <w:tc>
          <w:p w14:paraId="00000A85">
            <w:pPr>
              <w:spacing w:after="0" w:line="240" w:lineRule="auto"/>
            </w:pPr>
          </w:p>
        </w:tc>
        <w:tc>
          <w:p w14:paraId="00000A86">
            <w:pPr>
              <w:spacing w:after="0" w:line="240" w:lineRule="auto"/>
            </w:pPr>
          </w:p>
        </w:tc>
        <w:tc>
          <w:p w14:paraId="00000A87">
            <w:pPr>
              <w:spacing w:after="0" w:line="240" w:lineRule="auto"/>
            </w:pPr>
          </w:p>
        </w:tc>
      </w:tr>
      <w:tr w14:paraId="7E391E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60" w:hRule="atLeast"/>
        </w:trPr>
        <w:tc>
          <w:tcPr>
            <w:gridSpan w:val="4"/>
          </w:tcPr>
          <w:p w14:paraId="00000A88">
            <w:pPr>
              <w:spacing w:after="0" w:line="240" w:lineRule="auto"/>
            </w:pPr>
            <w:r>
              <w:rPr>
                <w:rtl w:val="0"/>
              </w:rPr>
              <w:t>Project A – ARR Evaluation</w:t>
            </w:r>
          </w:p>
        </w:tc>
        <w:tc>
          <w:p w14:paraId="00000A8C">
            <w:pPr>
              <w:spacing w:after="0" w:line="240" w:lineRule="auto"/>
            </w:pPr>
          </w:p>
        </w:tc>
        <w:tc>
          <w:p w14:paraId="00000A8D">
            <w:pPr>
              <w:spacing w:after="0" w:line="240" w:lineRule="auto"/>
            </w:pPr>
          </w:p>
        </w:tc>
        <w:tc>
          <w:p w14:paraId="00000A8E">
            <w:pPr>
              <w:spacing w:after="0" w:line="240" w:lineRule="auto"/>
            </w:pPr>
          </w:p>
        </w:tc>
      </w:tr>
      <w:tr w14:paraId="2C81DF5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8F">
            <w:pPr>
              <w:spacing w:after="0" w:line="240" w:lineRule="auto"/>
            </w:pPr>
          </w:p>
        </w:tc>
        <w:tc>
          <w:p w14:paraId="00000A90">
            <w:pPr>
              <w:spacing w:after="0" w:line="240" w:lineRule="auto"/>
            </w:pPr>
          </w:p>
        </w:tc>
        <w:tc>
          <w:p w14:paraId="00000A91">
            <w:pPr>
              <w:spacing w:after="0" w:line="240" w:lineRule="auto"/>
            </w:pPr>
          </w:p>
        </w:tc>
        <w:tc>
          <w:p w14:paraId="00000A92">
            <w:pPr>
              <w:spacing w:after="0" w:line="240" w:lineRule="auto"/>
            </w:pPr>
          </w:p>
        </w:tc>
        <w:tc>
          <w:p w14:paraId="00000A93">
            <w:pPr>
              <w:spacing w:after="0" w:line="240" w:lineRule="auto"/>
            </w:pPr>
          </w:p>
        </w:tc>
        <w:tc>
          <w:p w14:paraId="00000A94">
            <w:pPr>
              <w:spacing w:after="0" w:line="240" w:lineRule="auto"/>
            </w:pPr>
          </w:p>
        </w:tc>
        <w:tc>
          <w:p w14:paraId="00000A95">
            <w:pPr>
              <w:spacing w:after="0" w:line="240" w:lineRule="auto"/>
            </w:pPr>
          </w:p>
        </w:tc>
      </w:tr>
      <w:tr w14:paraId="217BD25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3"/>
          </w:tcPr>
          <w:p w14:paraId="00000A96">
            <w:pPr>
              <w:spacing w:after="0" w:line="240" w:lineRule="auto"/>
            </w:pPr>
            <w:r>
              <w:rPr>
                <w:rtl w:val="0"/>
              </w:rPr>
              <w:t>Annual Cash Performance</w:t>
            </w:r>
          </w:p>
        </w:tc>
        <w:tc>
          <w:p w14:paraId="00000A99">
            <w:pPr>
              <w:spacing w:after="0" w:line="240" w:lineRule="auto"/>
            </w:pPr>
          </w:p>
        </w:tc>
        <w:tc>
          <w:p w14:paraId="00000A9A">
            <w:pPr>
              <w:spacing w:after="0" w:line="240" w:lineRule="auto"/>
            </w:pPr>
          </w:p>
        </w:tc>
        <w:tc>
          <w:p w14:paraId="00000A9B">
            <w:pPr>
              <w:spacing w:after="0" w:line="240" w:lineRule="auto"/>
            </w:pPr>
          </w:p>
        </w:tc>
        <w:tc>
          <w:p w14:paraId="00000A9C">
            <w:pPr>
              <w:spacing w:after="0" w:line="240" w:lineRule="auto"/>
            </w:pPr>
          </w:p>
        </w:tc>
      </w:tr>
      <w:tr w14:paraId="1971FDD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9D">
            <w:pPr>
              <w:spacing w:after="0" w:line="240" w:lineRule="auto"/>
            </w:pPr>
          </w:p>
        </w:tc>
        <w:tc>
          <w:p w14:paraId="00000A9E">
            <w:pPr>
              <w:spacing w:after="0" w:line="240" w:lineRule="auto"/>
            </w:pPr>
          </w:p>
        </w:tc>
        <w:tc>
          <w:p w14:paraId="00000A9F">
            <w:pPr>
              <w:spacing w:after="0" w:line="240" w:lineRule="auto"/>
            </w:pPr>
          </w:p>
        </w:tc>
        <w:tc>
          <w:p w14:paraId="00000AA0">
            <w:pPr>
              <w:spacing w:after="0" w:line="240" w:lineRule="auto"/>
            </w:pPr>
          </w:p>
        </w:tc>
        <w:tc>
          <w:p w14:paraId="00000AA1">
            <w:pPr>
              <w:spacing w:after="0" w:line="240" w:lineRule="auto"/>
            </w:pPr>
          </w:p>
        </w:tc>
        <w:tc>
          <w:p w14:paraId="00000AA2">
            <w:pPr>
              <w:spacing w:after="0" w:line="240" w:lineRule="auto"/>
            </w:pPr>
          </w:p>
        </w:tc>
        <w:tc>
          <w:p w14:paraId="00000AA3">
            <w:pPr>
              <w:spacing w:after="0" w:line="240" w:lineRule="auto"/>
            </w:pPr>
          </w:p>
        </w:tc>
      </w:tr>
      <w:tr w14:paraId="43A7A89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64" w:hRule="atLeast"/>
        </w:trPr>
        <w:tc>
          <w:p w14:paraId="00000AA4">
            <w:pPr>
              <w:spacing w:after="0" w:line="240" w:lineRule="auto"/>
            </w:pPr>
            <w:r>
              <w:rPr>
                <w:rtl w:val="0"/>
              </w:rPr>
              <w:t>Year</w:t>
            </w:r>
          </w:p>
        </w:tc>
        <w:tc>
          <w:p w14:paraId="00000AA5">
            <w:pPr>
              <w:spacing w:after="0" w:line="240" w:lineRule="auto"/>
            </w:pPr>
            <w:r>
              <w:rPr>
                <w:rtl w:val="0"/>
              </w:rPr>
              <w:t>Net Cash Flow (£m)</w:t>
            </w:r>
          </w:p>
        </w:tc>
        <w:tc>
          <w:p w14:paraId="00000AA6">
            <w:pPr>
              <w:spacing w:after="0" w:line="240" w:lineRule="auto"/>
            </w:pPr>
          </w:p>
        </w:tc>
        <w:tc>
          <w:p w14:paraId="00000AA7">
            <w:pPr>
              <w:spacing w:after="0" w:line="240" w:lineRule="auto"/>
            </w:pPr>
          </w:p>
        </w:tc>
        <w:tc>
          <w:p w14:paraId="00000AA8">
            <w:pPr>
              <w:spacing w:after="0" w:line="240" w:lineRule="auto"/>
            </w:pPr>
          </w:p>
        </w:tc>
        <w:tc>
          <w:p w14:paraId="00000AA9">
            <w:pPr>
              <w:spacing w:after="0" w:line="240" w:lineRule="auto"/>
            </w:pPr>
          </w:p>
        </w:tc>
        <w:tc>
          <w:p w14:paraId="00000AAA">
            <w:pPr>
              <w:spacing w:after="0" w:line="240" w:lineRule="auto"/>
            </w:pPr>
          </w:p>
        </w:tc>
      </w:tr>
      <w:tr w14:paraId="6F37BAD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AB">
            <w:pPr>
              <w:spacing w:after="0" w:line="240" w:lineRule="auto"/>
            </w:pPr>
            <w:r>
              <w:rPr>
                <w:rtl w:val="0"/>
              </w:rPr>
              <w:t>0</w:t>
            </w:r>
          </w:p>
        </w:tc>
        <w:tc>
          <w:p w14:paraId="00000AAC">
            <w:pPr>
              <w:spacing w:after="0" w:line="240" w:lineRule="auto"/>
            </w:pPr>
            <w:r>
              <w:rPr>
                <w:rtl w:val="0"/>
              </w:rPr>
              <w:t>–40</w:t>
            </w:r>
          </w:p>
        </w:tc>
        <w:tc>
          <w:p w14:paraId="00000AAD">
            <w:pPr>
              <w:spacing w:after="0" w:line="240" w:lineRule="auto"/>
            </w:pPr>
          </w:p>
        </w:tc>
        <w:tc>
          <w:p w14:paraId="00000AAE">
            <w:pPr>
              <w:spacing w:after="0" w:line="240" w:lineRule="auto"/>
            </w:pPr>
          </w:p>
        </w:tc>
        <w:tc>
          <w:p w14:paraId="00000AAF">
            <w:pPr>
              <w:spacing w:after="0" w:line="240" w:lineRule="auto"/>
            </w:pPr>
          </w:p>
        </w:tc>
        <w:tc>
          <w:p w14:paraId="00000AB0">
            <w:pPr>
              <w:spacing w:after="0" w:line="240" w:lineRule="auto"/>
            </w:pPr>
          </w:p>
        </w:tc>
        <w:tc>
          <w:p w14:paraId="00000AB1">
            <w:pPr>
              <w:spacing w:after="0" w:line="240" w:lineRule="auto"/>
            </w:pPr>
          </w:p>
        </w:tc>
      </w:tr>
      <w:tr w14:paraId="517032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B2">
            <w:pPr>
              <w:spacing w:after="0" w:line="240" w:lineRule="auto"/>
            </w:pPr>
            <w:r>
              <w:rPr>
                <w:rtl w:val="0"/>
              </w:rPr>
              <w:t>1</w:t>
            </w:r>
          </w:p>
        </w:tc>
        <w:tc>
          <w:p w14:paraId="00000AB3">
            <w:pPr>
              <w:spacing w:after="0" w:line="240" w:lineRule="auto"/>
            </w:pPr>
            <w:r>
              <w:rPr>
                <w:rtl w:val="0"/>
              </w:rPr>
              <w:t>10</w:t>
            </w:r>
          </w:p>
        </w:tc>
        <w:tc>
          <w:p w14:paraId="00000AB4">
            <w:pPr>
              <w:spacing w:after="0" w:line="240" w:lineRule="auto"/>
            </w:pPr>
          </w:p>
        </w:tc>
        <w:tc>
          <w:p w14:paraId="00000AB5">
            <w:pPr>
              <w:spacing w:after="0" w:line="240" w:lineRule="auto"/>
            </w:pPr>
          </w:p>
        </w:tc>
        <w:tc>
          <w:p w14:paraId="00000AB6">
            <w:pPr>
              <w:spacing w:after="0" w:line="240" w:lineRule="auto"/>
            </w:pPr>
          </w:p>
        </w:tc>
        <w:tc>
          <w:p w14:paraId="00000AB7">
            <w:pPr>
              <w:spacing w:after="0" w:line="240" w:lineRule="auto"/>
            </w:pPr>
          </w:p>
        </w:tc>
        <w:tc>
          <w:p w14:paraId="00000AB8">
            <w:pPr>
              <w:spacing w:after="0" w:line="240" w:lineRule="auto"/>
            </w:pPr>
          </w:p>
        </w:tc>
      </w:tr>
      <w:tr w14:paraId="6093063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B9">
            <w:pPr>
              <w:spacing w:after="0" w:line="240" w:lineRule="auto"/>
            </w:pPr>
            <w:r>
              <w:rPr>
                <w:rtl w:val="0"/>
              </w:rPr>
              <w:t>2</w:t>
            </w:r>
          </w:p>
        </w:tc>
        <w:tc>
          <w:p w14:paraId="00000ABA">
            <w:pPr>
              <w:spacing w:after="0" w:line="240" w:lineRule="auto"/>
            </w:pPr>
            <w:r>
              <w:rPr>
                <w:rtl w:val="0"/>
              </w:rPr>
              <w:t>12</w:t>
            </w:r>
          </w:p>
        </w:tc>
        <w:tc>
          <w:p w14:paraId="00000ABB">
            <w:pPr>
              <w:spacing w:after="0" w:line="240" w:lineRule="auto"/>
            </w:pPr>
          </w:p>
        </w:tc>
        <w:tc>
          <w:p w14:paraId="00000ABC">
            <w:pPr>
              <w:spacing w:after="0" w:line="240" w:lineRule="auto"/>
            </w:pPr>
          </w:p>
        </w:tc>
        <w:tc>
          <w:p w14:paraId="00000ABD">
            <w:pPr>
              <w:spacing w:after="0" w:line="240" w:lineRule="auto"/>
            </w:pPr>
          </w:p>
        </w:tc>
        <w:tc>
          <w:p w14:paraId="00000ABE">
            <w:pPr>
              <w:spacing w:after="0" w:line="240" w:lineRule="auto"/>
            </w:pPr>
          </w:p>
        </w:tc>
        <w:tc>
          <w:p w14:paraId="00000ABF">
            <w:pPr>
              <w:spacing w:after="0" w:line="240" w:lineRule="auto"/>
            </w:pPr>
          </w:p>
        </w:tc>
      </w:tr>
      <w:tr w14:paraId="172A4DB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C0">
            <w:pPr>
              <w:spacing w:after="0" w:line="240" w:lineRule="auto"/>
            </w:pPr>
            <w:r>
              <w:rPr>
                <w:rtl w:val="0"/>
              </w:rPr>
              <w:t>3</w:t>
            </w:r>
          </w:p>
        </w:tc>
        <w:tc>
          <w:p w14:paraId="00000AC1">
            <w:pPr>
              <w:spacing w:after="0" w:line="240" w:lineRule="auto"/>
            </w:pPr>
            <w:r>
              <w:rPr>
                <w:rtl w:val="0"/>
              </w:rPr>
              <w:t>14</w:t>
            </w:r>
          </w:p>
        </w:tc>
        <w:tc>
          <w:p w14:paraId="00000AC2">
            <w:pPr>
              <w:spacing w:after="0" w:line="240" w:lineRule="auto"/>
            </w:pPr>
          </w:p>
        </w:tc>
        <w:tc>
          <w:p w14:paraId="00000AC3">
            <w:pPr>
              <w:spacing w:after="0" w:line="240" w:lineRule="auto"/>
            </w:pPr>
          </w:p>
        </w:tc>
        <w:tc>
          <w:p w14:paraId="00000AC4">
            <w:pPr>
              <w:spacing w:after="0" w:line="240" w:lineRule="auto"/>
            </w:pPr>
          </w:p>
        </w:tc>
        <w:tc>
          <w:p w14:paraId="00000AC5">
            <w:pPr>
              <w:spacing w:after="0" w:line="240" w:lineRule="auto"/>
            </w:pPr>
          </w:p>
        </w:tc>
        <w:tc>
          <w:p w14:paraId="00000AC6">
            <w:pPr>
              <w:spacing w:after="0" w:line="240" w:lineRule="auto"/>
            </w:pPr>
          </w:p>
        </w:tc>
      </w:tr>
      <w:tr w14:paraId="78AE97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C7">
            <w:pPr>
              <w:spacing w:after="0" w:line="240" w:lineRule="auto"/>
            </w:pPr>
            <w:r>
              <w:rPr>
                <w:rtl w:val="0"/>
              </w:rPr>
              <w:t>4</w:t>
            </w:r>
          </w:p>
        </w:tc>
        <w:tc>
          <w:p w14:paraId="00000AC8">
            <w:pPr>
              <w:spacing w:after="0" w:line="240" w:lineRule="auto"/>
            </w:pPr>
            <w:r>
              <w:rPr>
                <w:rtl w:val="0"/>
              </w:rPr>
              <w:t>10</w:t>
            </w:r>
          </w:p>
        </w:tc>
        <w:tc>
          <w:p w14:paraId="00000AC9">
            <w:pPr>
              <w:spacing w:after="0" w:line="240" w:lineRule="auto"/>
            </w:pPr>
          </w:p>
        </w:tc>
        <w:tc>
          <w:p w14:paraId="00000ACA">
            <w:pPr>
              <w:spacing w:after="0" w:line="240" w:lineRule="auto"/>
            </w:pPr>
          </w:p>
        </w:tc>
        <w:tc>
          <w:p w14:paraId="00000ACB">
            <w:pPr>
              <w:spacing w:after="0" w:line="240" w:lineRule="auto"/>
            </w:pPr>
          </w:p>
        </w:tc>
        <w:tc>
          <w:p w14:paraId="00000ACC">
            <w:pPr>
              <w:spacing w:after="0" w:line="240" w:lineRule="auto"/>
            </w:pPr>
          </w:p>
        </w:tc>
        <w:tc>
          <w:p w14:paraId="00000ACD">
            <w:pPr>
              <w:spacing w:after="0" w:line="240" w:lineRule="auto"/>
            </w:pPr>
          </w:p>
        </w:tc>
      </w:tr>
      <w:tr w14:paraId="452A044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CE">
            <w:pPr>
              <w:spacing w:after="0" w:line="240" w:lineRule="auto"/>
            </w:pPr>
            <w:r>
              <w:rPr>
                <w:rtl w:val="0"/>
              </w:rPr>
              <w:t>5</w:t>
            </w:r>
          </w:p>
        </w:tc>
        <w:tc>
          <w:p w14:paraId="00000ACF">
            <w:pPr>
              <w:spacing w:after="0" w:line="240" w:lineRule="auto"/>
            </w:pPr>
            <w:r>
              <w:rPr>
                <w:rtl w:val="0"/>
              </w:rPr>
              <w:t>8</w:t>
            </w:r>
          </w:p>
        </w:tc>
        <w:tc>
          <w:p w14:paraId="00000AD0">
            <w:pPr>
              <w:spacing w:after="0" w:line="240" w:lineRule="auto"/>
            </w:pPr>
          </w:p>
        </w:tc>
        <w:tc>
          <w:p w14:paraId="00000AD1">
            <w:pPr>
              <w:spacing w:after="0" w:line="240" w:lineRule="auto"/>
            </w:pPr>
          </w:p>
        </w:tc>
        <w:tc>
          <w:p w14:paraId="00000AD2">
            <w:pPr>
              <w:spacing w:after="0" w:line="240" w:lineRule="auto"/>
            </w:pPr>
          </w:p>
        </w:tc>
        <w:tc>
          <w:p w14:paraId="00000AD3">
            <w:pPr>
              <w:spacing w:after="0" w:line="240" w:lineRule="auto"/>
            </w:pPr>
          </w:p>
        </w:tc>
        <w:tc>
          <w:p w14:paraId="00000AD4">
            <w:pPr>
              <w:spacing w:after="0" w:line="240" w:lineRule="auto"/>
            </w:pPr>
          </w:p>
        </w:tc>
      </w:tr>
      <w:tr w14:paraId="24F3AD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D5">
            <w:pPr>
              <w:spacing w:after="0" w:line="240" w:lineRule="auto"/>
            </w:pPr>
          </w:p>
        </w:tc>
        <w:tc>
          <w:p w14:paraId="00000AD6">
            <w:pPr>
              <w:spacing w:after="0" w:line="240" w:lineRule="auto"/>
            </w:pPr>
          </w:p>
        </w:tc>
        <w:tc>
          <w:p w14:paraId="00000AD7">
            <w:pPr>
              <w:spacing w:after="0" w:line="240" w:lineRule="auto"/>
            </w:pPr>
          </w:p>
        </w:tc>
        <w:tc>
          <w:p w14:paraId="00000AD8">
            <w:pPr>
              <w:spacing w:after="0" w:line="240" w:lineRule="auto"/>
            </w:pPr>
          </w:p>
        </w:tc>
        <w:tc>
          <w:p w14:paraId="00000AD9">
            <w:pPr>
              <w:spacing w:after="0" w:line="240" w:lineRule="auto"/>
            </w:pPr>
          </w:p>
        </w:tc>
        <w:tc>
          <w:p w14:paraId="00000ADA">
            <w:pPr>
              <w:spacing w:after="0" w:line="240" w:lineRule="auto"/>
            </w:pPr>
          </w:p>
        </w:tc>
        <w:tc>
          <w:p w14:paraId="00000ADB">
            <w:pPr>
              <w:spacing w:after="0" w:line="240" w:lineRule="auto"/>
            </w:pPr>
          </w:p>
        </w:tc>
      </w:tr>
      <w:tr w14:paraId="6DFACA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ADC">
            <w:pPr>
              <w:spacing w:after="0" w:line="240" w:lineRule="auto"/>
            </w:pPr>
            <w:r>
              <w:rPr>
                <w:rtl w:val="0"/>
              </w:rPr>
              <w:t>Computation</w:t>
            </w:r>
          </w:p>
        </w:tc>
        <w:tc>
          <w:p w14:paraId="00000ADE">
            <w:pPr>
              <w:spacing w:after="0" w:line="240" w:lineRule="auto"/>
            </w:pPr>
          </w:p>
        </w:tc>
        <w:tc>
          <w:p w14:paraId="00000ADF">
            <w:pPr>
              <w:spacing w:after="0" w:line="240" w:lineRule="auto"/>
            </w:pPr>
          </w:p>
        </w:tc>
        <w:tc>
          <w:p w14:paraId="00000AE0">
            <w:pPr>
              <w:spacing w:after="0" w:line="240" w:lineRule="auto"/>
            </w:pPr>
          </w:p>
        </w:tc>
        <w:tc>
          <w:p w14:paraId="00000AE1">
            <w:pPr>
              <w:spacing w:after="0" w:line="240" w:lineRule="auto"/>
            </w:pPr>
          </w:p>
        </w:tc>
        <w:tc>
          <w:p w14:paraId="00000AE2">
            <w:pPr>
              <w:spacing w:after="0" w:line="240" w:lineRule="auto"/>
            </w:pPr>
          </w:p>
        </w:tc>
      </w:tr>
      <w:tr w14:paraId="0815446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E3">
            <w:pPr>
              <w:spacing w:after="0" w:line="240" w:lineRule="auto"/>
            </w:pPr>
          </w:p>
        </w:tc>
        <w:tc>
          <w:p w14:paraId="00000AE4">
            <w:pPr>
              <w:spacing w:after="0" w:line="240" w:lineRule="auto"/>
            </w:pPr>
          </w:p>
        </w:tc>
        <w:tc>
          <w:p w14:paraId="00000AE5">
            <w:pPr>
              <w:spacing w:after="0" w:line="240" w:lineRule="auto"/>
            </w:pPr>
          </w:p>
        </w:tc>
        <w:tc>
          <w:p w14:paraId="00000AE6">
            <w:pPr>
              <w:spacing w:after="0" w:line="240" w:lineRule="auto"/>
            </w:pPr>
          </w:p>
        </w:tc>
        <w:tc>
          <w:p w14:paraId="00000AE7">
            <w:pPr>
              <w:spacing w:after="0" w:line="240" w:lineRule="auto"/>
            </w:pPr>
          </w:p>
        </w:tc>
        <w:tc>
          <w:p w14:paraId="00000AE8">
            <w:pPr>
              <w:spacing w:after="0" w:line="240" w:lineRule="auto"/>
            </w:pPr>
          </w:p>
        </w:tc>
        <w:tc>
          <w:p w14:paraId="00000AE9">
            <w:pPr>
              <w:spacing w:after="0" w:line="240" w:lineRule="auto"/>
            </w:pPr>
          </w:p>
        </w:tc>
      </w:tr>
      <w:tr w14:paraId="1A9169E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5"/>
          </w:tcPr>
          <w:p w14:paraId="00000AEA">
            <w:pPr>
              <w:spacing w:after="0" w:line="240" w:lineRule="auto"/>
            </w:pPr>
            <w:r>
              <w:rPr>
                <w:rtl w:val="0"/>
              </w:rPr>
              <w:t>Total operating inflows over 5 years = £54m</w:t>
            </w:r>
          </w:p>
        </w:tc>
        <w:tc>
          <w:p w14:paraId="00000AEF">
            <w:pPr>
              <w:spacing w:after="0" w:line="240" w:lineRule="auto"/>
            </w:pPr>
          </w:p>
        </w:tc>
        <w:tc>
          <w:p w14:paraId="00000AF0">
            <w:pPr>
              <w:spacing w:after="0" w:line="240" w:lineRule="auto"/>
            </w:pPr>
          </w:p>
        </w:tc>
      </w:tr>
      <w:tr w14:paraId="7D01CDA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F1">
            <w:pPr>
              <w:spacing w:after="0" w:line="240" w:lineRule="auto"/>
            </w:pPr>
          </w:p>
        </w:tc>
        <w:tc>
          <w:p w14:paraId="00000AF2">
            <w:pPr>
              <w:spacing w:after="0" w:line="240" w:lineRule="auto"/>
            </w:pPr>
          </w:p>
        </w:tc>
        <w:tc>
          <w:p w14:paraId="00000AF3">
            <w:pPr>
              <w:spacing w:after="0" w:line="240" w:lineRule="auto"/>
            </w:pPr>
          </w:p>
        </w:tc>
        <w:tc>
          <w:p w14:paraId="00000AF4">
            <w:pPr>
              <w:spacing w:after="0" w:line="240" w:lineRule="auto"/>
            </w:pPr>
          </w:p>
        </w:tc>
        <w:tc>
          <w:p w14:paraId="00000AF5">
            <w:pPr>
              <w:spacing w:after="0" w:line="240" w:lineRule="auto"/>
            </w:pPr>
          </w:p>
        </w:tc>
        <w:tc>
          <w:p w14:paraId="00000AF6">
            <w:pPr>
              <w:spacing w:after="0" w:line="240" w:lineRule="auto"/>
            </w:pPr>
          </w:p>
        </w:tc>
        <w:tc>
          <w:p w14:paraId="00000AF7">
            <w:pPr>
              <w:spacing w:after="0" w:line="240" w:lineRule="auto"/>
            </w:pPr>
          </w:p>
        </w:tc>
      </w:tr>
      <w:tr w14:paraId="193F579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5"/>
          </w:tcPr>
          <w:p w14:paraId="00000AF8">
            <w:pPr>
              <w:spacing w:after="0" w:line="240" w:lineRule="auto"/>
            </w:pPr>
            <w:r>
              <w:rPr>
                <w:rFonts w:ascii="Gungsuh" w:hAnsi="Gungsuh" w:eastAsia="Gungsuh" w:cs="Gungsuh"/>
                <w:rtl w:val="0"/>
              </w:rPr>
              <w:t>Average annual profit = £54 ÷ 5 = £10.8m (≈ £11m)</w:t>
            </w:r>
          </w:p>
        </w:tc>
        <w:tc>
          <w:p w14:paraId="00000AFD">
            <w:pPr>
              <w:spacing w:after="0" w:line="240" w:lineRule="auto"/>
            </w:pPr>
          </w:p>
        </w:tc>
        <w:tc>
          <w:p w14:paraId="00000AFE">
            <w:pPr>
              <w:spacing w:after="0" w:line="240" w:lineRule="auto"/>
            </w:pPr>
          </w:p>
        </w:tc>
      </w:tr>
      <w:tr w14:paraId="5962815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AFF">
            <w:pPr>
              <w:spacing w:after="0" w:line="240" w:lineRule="auto"/>
            </w:pPr>
          </w:p>
        </w:tc>
        <w:tc>
          <w:p w14:paraId="00000B00">
            <w:pPr>
              <w:spacing w:after="0" w:line="240" w:lineRule="auto"/>
            </w:pPr>
          </w:p>
        </w:tc>
        <w:tc>
          <w:p w14:paraId="00000B01">
            <w:pPr>
              <w:spacing w:after="0" w:line="240" w:lineRule="auto"/>
            </w:pPr>
          </w:p>
        </w:tc>
        <w:tc>
          <w:p w14:paraId="00000B02">
            <w:pPr>
              <w:spacing w:after="0" w:line="240" w:lineRule="auto"/>
            </w:pPr>
          </w:p>
        </w:tc>
        <w:tc>
          <w:p w14:paraId="00000B03">
            <w:pPr>
              <w:spacing w:after="0" w:line="240" w:lineRule="auto"/>
            </w:pPr>
          </w:p>
        </w:tc>
        <w:tc>
          <w:p w14:paraId="00000B04">
            <w:pPr>
              <w:spacing w:after="0" w:line="240" w:lineRule="auto"/>
            </w:pPr>
          </w:p>
        </w:tc>
        <w:tc>
          <w:p w14:paraId="00000B05">
            <w:pPr>
              <w:spacing w:after="0" w:line="240" w:lineRule="auto"/>
            </w:pPr>
          </w:p>
        </w:tc>
      </w:tr>
      <w:tr w14:paraId="1C0AC14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5"/>
          </w:tcPr>
          <w:p w14:paraId="00000B06">
            <w:pPr>
              <w:spacing w:after="0" w:line="240" w:lineRule="auto"/>
            </w:pPr>
            <w:r>
              <w:rPr>
                <w:rtl w:val="0"/>
              </w:rPr>
              <w:t>Capital employed (average investment) = £40m</w:t>
            </w:r>
          </w:p>
        </w:tc>
        <w:tc>
          <w:p w14:paraId="00000B0B">
            <w:pPr>
              <w:spacing w:after="0" w:line="240" w:lineRule="auto"/>
            </w:pPr>
          </w:p>
        </w:tc>
        <w:tc>
          <w:p w14:paraId="00000B0C">
            <w:pPr>
              <w:spacing w:after="0" w:line="240" w:lineRule="auto"/>
            </w:pPr>
          </w:p>
        </w:tc>
      </w:tr>
      <w:tr w14:paraId="30865F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0D">
            <w:pPr>
              <w:spacing w:after="0" w:line="240" w:lineRule="auto"/>
            </w:pPr>
          </w:p>
        </w:tc>
        <w:tc>
          <w:p w14:paraId="00000B0E">
            <w:pPr>
              <w:spacing w:after="0" w:line="240" w:lineRule="auto"/>
            </w:pPr>
          </w:p>
        </w:tc>
        <w:tc>
          <w:p w14:paraId="00000B0F">
            <w:pPr>
              <w:spacing w:after="0" w:line="240" w:lineRule="auto"/>
            </w:pPr>
          </w:p>
        </w:tc>
        <w:tc>
          <w:p w14:paraId="00000B10">
            <w:pPr>
              <w:spacing w:after="0" w:line="240" w:lineRule="auto"/>
            </w:pPr>
          </w:p>
        </w:tc>
        <w:tc>
          <w:p w14:paraId="00000B11">
            <w:pPr>
              <w:spacing w:after="0" w:line="240" w:lineRule="auto"/>
            </w:pPr>
          </w:p>
        </w:tc>
        <w:tc>
          <w:p w14:paraId="00000B12">
            <w:pPr>
              <w:spacing w:after="0" w:line="240" w:lineRule="auto"/>
            </w:pPr>
          </w:p>
        </w:tc>
        <w:tc>
          <w:p w14:paraId="00000B13">
            <w:pPr>
              <w:spacing w:after="0" w:line="240" w:lineRule="auto"/>
            </w:pPr>
          </w:p>
        </w:tc>
      </w:tr>
      <w:tr w14:paraId="48D5D7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B14">
            <w:pPr>
              <w:spacing w:after="0" w:line="240" w:lineRule="auto"/>
            </w:pPr>
            <w:r>
              <w:rPr>
                <w:rtl w:val="0"/>
              </w:rPr>
              <w:t>ARR (Project A)</w:t>
            </w:r>
          </w:p>
        </w:tc>
        <w:tc>
          <w:p w14:paraId="00000B16">
            <w:pPr>
              <w:spacing w:after="0" w:line="240" w:lineRule="auto"/>
            </w:pPr>
          </w:p>
        </w:tc>
        <w:tc>
          <w:p w14:paraId="00000B17">
            <w:pPr>
              <w:spacing w:after="0" w:line="240" w:lineRule="auto"/>
            </w:pPr>
          </w:p>
        </w:tc>
        <w:tc>
          <w:p w14:paraId="00000B18">
            <w:pPr>
              <w:spacing w:after="0" w:line="240" w:lineRule="auto"/>
            </w:pPr>
          </w:p>
        </w:tc>
        <w:tc>
          <w:p w14:paraId="00000B19">
            <w:pPr>
              <w:spacing w:after="0" w:line="240" w:lineRule="auto"/>
            </w:pPr>
          </w:p>
        </w:tc>
        <w:tc>
          <w:p w14:paraId="00000B1A">
            <w:pPr>
              <w:spacing w:after="0" w:line="240" w:lineRule="auto"/>
            </w:pPr>
          </w:p>
        </w:tc>
      </w:tr>
      <w:tr w14:paraId="1CB24D1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B1B">
            <w:pPr>
              <w:spacing w:after="0" w:line="240" w:lineRule="auto"/>
            </w:pPr>
            <w:r>
              <w:rPr>
                <w:rtl w:val="0"/>
              </w:rPr>
              <w:t>ARR = 11 ÷ 40 = 27%</w:t>
            </w:r>
          </w:p>
        </w:tc>
        <w:tc>
          <w:p w14:paraId="00000B1D">
            <w:pPr>
              <w:spacing w:after="0" w:line="240" w:lineRule="auto"/>
            </w:pPr>
          </w:p>
        </w:tc>
        <w:tc>
          <w:p w14:paraId="00000B1E">
            <w:pPr>
              <w:spacing w:after="0" w:line="240" w:lineRule="auto"/>
            </w:pPr>
          </w:p>
        </w:tc>
        <w:tc>
          <w:p w14:paraId="00000B1F">
            <w:pPr>
              <w:spacing w:after="0" w:line="240" w:lineRule="auto"/>
            </w:pPr>
          </w:p>
        </w:tc>
        <w:tc>
          <w:p w14:paraId="00000B20">
            <w:pPr>
              <w:spacing w:after="0" w:line="240" w:lineRule="auto"/>
            </w:pPr>
          </w:p>
        </w:tc>
        <w:tc>
          <w:p w14:paraId="00000B21">
            <w:pPr>
              <w:spacing w:after="0" w:line="240" w:lineRule="auto"/>
            </w:pPr>
          </w:p>
        </w:tc>
      </w:tr>
      <w:tr w14:paraId="70B6D8A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22">
            <w:pPr>
              <w:spacing w:after="0" w:line="240" w:lineRule="auto"/>
            </w:pPr>
          </w:p>
        </w:tc>
        <w:tc>
          <w:p w14:paraId="00000B23">
            <w:pPr>
              <w:spacing w:after="0" w:line="240" w:lineRule="auto"/>
            </w:pPr>
          </w:p>
        </w:tc>
        <w:tc>
          <w:p w14:paraId="00000B24">
            <w:pPr>
              <w:spacing w:after="0" w:line="240" w:lineRule="auto"/>
            </w:pPr>
          </w:p>
        </w:tc>
        <w:tc>
          <w:p w14:paraId="00000B25">
            <w:pPr>
              <w:spacing w:after="0" w:line="240" w:lineRule="auto"/>
            </w:pPr>
          </w:p>
        </w:tc>
        <w:tc>
          <w:p w14:paraId="00000B26">
            <w:pPr>
              <w:spacing w:after="0" w:line="240" w:lineRule="auto"/>
            </w:pPr>
          </w:p>
        </w:tc>
        <w:tc>
          <w:p w14:paraId="00000B27">
            <w:pPr>
              <w:spacing w:after="0" w:line="240" w:lineRule="auto"/>
            </w:pPr>
          </w:p>
        </w:tc>
        <w:tc>
          <w:p w14:paraId="00000B28">
            <w:pPr>
              <w:spacing w:after="0" w:line="240" w:lineRule="auto"/>
            </w:pPr>
          </w:p>
        </w:tc>
      </w:tr>
      <w:tr w14:paraId="352BE17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29">
            <w:pPr>
              <w:spacing w:after="0" w:line="240" w:lineRule="auto"/>
            </w:pPr>
          </w:p>
        </w:tc>
        <w:tc>
          <w:p w14:paraId="00000B2A">
            <w:pPr>
              <w:spacing w:after="0" w:line="240" w:lineRule="auto"/>
            </w:pPr>
          </w:p>
        </w:tc>
        <w:tc>
          <w:p w14:paraId="00000B2B">
            <w:pPr>
              <w:spacing w:after="0" w:line="240" w:lineRule="auto"/>
            </w:pPr>
          </w:p>
        </w:tc>
        <w:tc>
          <w:p w14:paraId="00000B2C">
            <w:pPr>
              <w:spacing w:after="0" w:line="240" w:lineRule="auto"/>
            </w:pPr>
          </w:p>
        </w:tc>
        <w:tc>
          <w:p w14:paraId="00000B2D">
            <w:pPr>
              <w:spacing w:after="0" w:line="240" w:lineRule="auto"/>
            </w:pPr>
          </w:p>
        </w:tc>
        <w:tc>
          <w:p w14:paraId="00000B2E">
            <w:pPr>
              <w:spacing w:after="0" w:line="240" w:lineRule="auto"/>
            </w:pPr>
          </w:p>
        </w:tc>
        <w:tc>
          <w:p w14:paraId="00000B2F">
            <w:pPr>
              <w:spacing w:after="0" w:line="240" w:lineRule="auto"/>
            </w:pPr>
          </w:p>
        </w:tc>
      </w:tr>
      <w:tr w14:paraId="79F4EA6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30">
            <w:pPr>
              <w:spacing w:after="0" w:line="240" w:lineRule="auto"/>
            </w:pPr>
          </w:p>
        </w:tc>
        <w:tc>
          <w:p w14:paraId="00000B31">
            <w:pPr>
              <w:spacing w:after="0" w:line="240" w:lineRule="auto"/>
            </w:pPr>
          </w:p>
        </w:tc>
        <w:tc>
          <w:p w14:paraId="00000B32">
            <w:pPr>
              <w:spacing w:after="0" w:line="240" w:lineRule="auto"/>
            </w:pPr>
          </w:p>
        </w:tc>
        <w:tc>
          <w:p w14:paraId="00000B33">
            <w:pPr>
              <w:spacing w:after="0" w:line="240" w:lineRule="auto"/>
            </w:pPr>
          </w:p>
        </w:tc>
        <w:tc>
          <w:p w14:paraId="00000B34">
            <w:pPr>
              <w:spacing w:after="0" w:line="240" w:lineRule="auto"/>
            </w:pPr>
          </w:p>
        </w:tc>
        <w:tc>
          <w:p w14:paraId="00000B35">
            <w:pPr>
              <w:spacing w:after="0" w:line="240" w:lineRule="auto"/>
            </w:pPr>
          </w:p>
        </w:tc>
        <w:tc>
          <w:p w14:paraId="00000B36">
            <w:pPr>
              <w:spacing w:after="0" w:line="240" w:lineRule="auto"/>
            </w:pPr>
          </w:p>
        </w:tc>
      </w:tr>
      <w:tr w14:paraId="784B873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60" w:hRule="atLeast"/>
        </w:trPr>
        <w:tc>
          <w:tcPr>
            <w:gridSpan w:val="4"/>
          </w:tcPr>
          <w:p w14:paraId="00000B37">
            <w:pPr>
              <w:spacing w:after="0" w:line="240" w:lineRule="auto"/>
            </w:pPr>
            <w:r>
              <w:rPr>
                <w:rtl w:val="0"/>
              </w:rPr>
              <w:t>Project C – ARR Evaluation</w:t>
            </w:r>
          </w:p>
        </w:tc>
        <w:tc>
          <w:p w14:paraId="00000B3B">
            <w:pPr>
              <w:spacing w:after="0" w:line="240" w:lineRule="auto"/>
            </w:pPr>
          </w:p>
        </w:tc>
        <w:tc>
          <w:p w14:paraId="00000B3C">
            <w:pPr>
              <w:spacing w:after="0" w:line="240" w:lineRule="auto"/>
            </w:pPr>
          </w:p>
        </w:tc>
        <w:tc>
          <w:p w14:paraId="00000B3D">
            <w:pPr>
              <w:spacing w:after="0" w:line="240" w:lineRule="auto"/>
            </w:pPr>
          </w:p>
        </w:tc>
      </w:tr>
      <w:tr w14:paraId="31592E2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3E">
            <w:pPr>
              <w:spacing w:after="0" w:line="240" w:lineRule="auto"/>
            </w:pPr>
          </w:p>
        </w:tc>
        <w:tc>
          <w:p w14:paraId="00000B3F">
            <w:pPr>
              <w:spacing w:after="0" w:line="240" w:lineRule="auto"/>
            </w:pPr>
          </w:p>
        </w:tc>
        <w:tc>
          <w:p w14:paraId="00000B40">
            <w:pPr>
              <w:spacing w:after="0" w:line="240" w:lineRule="auto"/>
            </w:pPr>
          </w:p>
        </w:tc>
        <w:tc>
          <w:p w14:paraId="00000B41">
            <w:pPr>
              <w:spacing w:after="0" w:line="240" w:lineRule="auto"/>
            </w:pPr>
          </w:p>
        </w:tc>
        <w:tc>
          <w:p w14:paraId="00000B42">
            <w:pPr>
              <w:spacing w:after="0" w:line="240" w:lineRule="auto"/>
            </w:pPr>
          </w:p>
        </w:tc>
        <w:tc>
          <w:p w14:paraId="00000B43">
            <w:pPr>
              <w:spacing w:after="0" w:line="240" w:lineRule="auto"/>
            </w:pPr>
          </w:p>
        </w:tc>
        <w:tc>
          <w:p w14:paraId="00000B44">
            <w:pPr>
              <w:spacing w:after="0" w:line="240" w:lineRule="auto"/>
            </w:pPr>
          </w:p>
        </w:tc>
      </w:tr>
      <w:tr w14:paraId="152CEC6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3"/>
          </w:tcPr>
          <w:p w14:paraId="00000B45">
            <w:pPr>
              <w:spacing w:after="0" w:line="240" w:lineRule="auto"/>
            </w:pPr>
            <w:r>
              <w:rPr>
                <w:rtl w:val="0"/>
              </w:rPr>
              <w:t>Annual Cash Performance</w:t>
            </w:r>
          </w:p>
        </w:tc>
        <w:tc>
          <w:p w14:paraId="00000B48">
            <w:pPr>
              <w:spacing w:after="0" w:line="240" w:lineRule="auto"/>
            </w:pPr>
          </w:p>
        </w:tc>
        <w:tc>
          <w:p w14:paraId="00000B49">
            <w:pPr>
              <w:spacing w:after="0" w:line="240" w:lineRule="auto"/>
            </w:pPr>
          </w:p>
        </w:tc>
        <w:tc>
          <w:p w14:paraId="00000B4A">
            <w:pPr>
              <w:spacing w:after="0" w:line="240" w:lineRule="auto"/>
            </w:pPr>
          </w:p>
        </w:tc>
        <w:tc>
          <w:p w14:paraId="00000B4B">
            <w:pPr>
              <w:spacing w:after="0" w:line="240" w:lineRule="auto"/>
            </w:pPr>
          </w:p>
        </w:tc>
      </w:tr>
      <w:tr w14:paraId="16E8845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4C">
            <w:pPr>
              <w:spacing w:after="0" w:line="240" w:lineRule="auto"/>
            </w:pPr>
          </w:p>
        </w:tc>
        <w:tc>
          <w:p w14:paraId="00000B4D">
            <w:pPr>
              <w:spacing w:after="0" w:line="240" w:lineRule="auto"/>
            </w:pPr>
          </w:p>
        </w:tc>
        <w:tc>
          <w:p w14:paraId="00000B4E">
            <w:pPr>
              <w:spacing w:after="0" w:line="240" w:lineRule="auto"/>
            </w:pPr>
          </w:p>
        </w:tc>
        <w:tc>
          <w:p w14:paraId="00000B4F">
            <w:pPr>
              <w:spacing w:after="0" w:line="240" w:lineRule="auto"/>
            </w:pPr>
          </w:p>
        </w:tc>
        <w:tc>
          <w:p w14:paraId="00000B50">
            <w:pPr>
              <w:spacing w:after="0" w:line="240" w:lineRule="auto"/>
            </w:pPr>
          </w:p>
        </w:tc>
        <w:tc>
          <w:p w14:paraId="00000B51">
            <w:pPr>
              <w:spacing w:after="0" w:line="240" w:lineRule="auto"/>
            </w:pPr>
          </w:p>
        </w:tc>
        <w:tc>
          <w:p w14:paraId="00000B52">
            <w:pPr>
              <w:spacing w:after="0" w:line="240" w:lineRule="auto"/>
            </w:pPr>
          </w:p>
        </w:tc>
      </w:tr>
      <w:tr w14:paraId="1D6F452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64" w:hRule="atLeast"/>
        </w:trPr>
        <w:tc>
          <w:p w14:paraId="00000B53">
            <w:pPr>
              <w:spacing w:after="0" w:line="240" w:lineRule="auto"/>
            </w:pPr>
            <w:r>
              <w:rPr>
                <w:rtl w:val="0"/>
              </w:rPr>
              <w:t>Year</w:t>
            </w:r>
          </w:p>
        </w:tc>
        <w:tc>
          <w:p w14:paraId="00000B54">
            <w:pPr>
              <w:spacing w:after="0" w:line="240" w:lineRule="auto"/>
            </w:pPr>
            <w:r>
              <w:rPr>
                <w:rtl w:val="0"/>
              </w:rPr>
              <w:t>Net Cash Flow (£m)</w:t>
            </w:r>
          </w:p>
        </w:tc>
        <w:tc>
          <w:p w14:paraId="00000B55">
            <w:pPr>
              <w:spacing w:after="0" w:line="240" w:lineRule="auto"/>
            </w:pPr>
          </w:p>
        </w:tc>
        <w:tc>
          <w:p w14:paraId="00000B56">
            <w:pPr>
              <w:spacing w:after="0" w:line="240" w:lineRule="auto"/>
            </w:pPr>
          </w:p>
        </w:tc>
        <w:tc>
          <w:p w14:paraId="00000B57">
            <w:pPr>
              <w:spacing w:after="0" w:line="240" w:lineRule="auto"/>
            </w:pPr>
          </w:p>
        </w:tc>
        <w:tc>
          <w:p w14:paraId="00000B58">
            <w:pPr>
              <w:spacing w:after="0" w:line="240" w:lineRule="auto"/>
            </w:pPr>
          </w:p>
        </w:tc>
        <w:tc>
          <w:p w14:paraId="00000B59">
            <w:pPr>
              <w:spacing w:after="0" w:line="240" w:lineRule="auto"/>
            </w:pPr>
          </w:p>
        </w:tc>
      </w:tr>
      <w:tr w14:paraId="79C83F9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5A">
            <w:pPr>
              <w:spacing w:after="0" w:line="240" w:lineRule="auto"/>
            </w:pPr>
            <w:r>
              <w:rPr>
                <w:rtl w:val="0"/>
              </w:rPr>
              <w:t>0</w:t>
            </w:r>
          </w:p>
        </w:tc>
        <w:tc>
          <w:p w14:paraId="00000B5B">
            <w:pPr>
              <w:spacing w:after="0" w:line="240" w:lineRule="auto"/>
            </w:pPr>
            <w:r>
              <w:rPr>
                <w:rtl w:val="0"/>
              </w:rPr>
              <w:t>–50</w:t>
            </w:r>
          </w:p>
        </w:tc>
        <w:tc>
          <w:p w14:paraId="00000B5C">
            <w:pPr>
              <w:spacing w:after="0" w:line="240" w:lineRule="auto"/>
            </w:pPr>
          </w:p>
        </w:tc>
        <w:tc>
          <w:p w14:paraId="00000B5D">
            <w:pPr>
              <w:spacing w:after="0" w:line="240" w:lineRule="auto"/>
            </w:pPr>
          </w:p>
        </w:tc>
        <w:tc>
          <w:p w14:paraId="00000B5E">
            <w:pPr>
              <w:spacing w:after="0" w:line="240" w:lineRule="auto"/>
            </w:pPr>
          </w:p>
        </w:tc>
        <w:tc>
          <w:p w14:paraId="00000B5F">
            <w:pPr>
              <w:spacing w:after="0" w:line="240" w:lineRule="auto"/>
            </w:pPr>
          </w:p>
        </w:tc>
        <w:tc>
          <w:p w14:paraId="00000B60">
            <w:pPr>
              <w:spacing w:after="0" w:line="240" w:lineRule="auto"/>
            </w:pPr>
          </w:p>
        </w:tc>
      </w:tr>
      <w:tr w14:paraId="0930A45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61">
            <w:pPr>
              <w:spacing w:after="0" w:line="240" w:lineRule="auto"/>
            </w:pPr>
            <w:r>
              <w:rPr>
                <w:rtl w:val="0"/>
              </w:rPr>
              <w:t>1</w:t>
            </w:r>
          </w:p>
        </w:tc>
        <w:tc>
          <w:p w14:paraId="00000B62">
            <w:pPr>
              <w:spacing w:after="0" w:line="240" w:lineRule="auto"/>
            </w:pPr>
            <w:r>
              <w:rPr>
                <w:rtl w:val="0"/>
              </w:rPr>
              <w:t>5</w:t>
            </w:r>
          </w:p>
        </w:tc>
        <w:tc>
          <w:p w14:paraId="00000B63">
            <w:pPr>
              <w:spacing w:after="0" w:line="240" w:lineRule="auto"/>
            </w:pPr>
          </w:p>
        </w:tc>
        <w:tc>
          <w:p w14:paraId="00000B64">
            <w:pPr>
              <w:spacing w:after="0" w:line="240" w:lineRule="auto"/>
            </w:pPr>
          </w:p>
        </w:tc>
        <w:tc>
          <w:p w14:paraId="00000B65">
            <w:pPr>
              <w:spacing w:after="0" w:line="240" w:lineRule="auto"/>
            </w:pPr>
          </w:p>
        </w:tc>
        <w:tc>
          <w:p w14:paraId="00000B66">
            <w:pPr>
              <w:spacing w:after="0" w:line="240" w:lineRule="auto"/>
            </w:pPr>
          </w:p>
        </w:tc>
        <w:tc>
          <w:p w14:paraId="00000B67">
            <w:pPr>
              <w:spacing w:after="0" w:line="240" w:lineRule="auto"/>
            </w:pPr>
          </w:p>
        </w:tc>
      </w:tr>
      <w:tr w14:paraId="74A03C7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68">
            <w:pPr>
              <w:spacing w:after="0" w:line="240" w:lineRule="auto"/>
            </w:pPr>
            <w:r>
              <w:rPr>
                <w:rtl w:val="0"/>
              </w:rPr>
              <w:t>2</w:t>
            </w:r>
          </w:p>
        </w:tc>
        <w:tc>
          <w:p w14:paraId="00000B69">
            <w:pPr>
              <w:spacing w:after="0" w:line="240" w:lineRule="auto"/>
            </w:pPr>
            <w:r>
              <w:rPr>
                <w:rtl w:val="0"/>
              </w:rPr>
              <w:t>10</w:t>
            </w:r>
          </w:p>
        </w:tc>
        <w:tc>
          <w:p w14:paraId="00000B6A">
            <w:pPr>
              <w:spacing w:after="0" w:line="240" w:lineRule="auto"/>
            </w:pPr>
          </w:p>
        </w:tc>
        <w:tc>
          <w:p w14:paraId="00000B6B">
            <w:pPr>
              <w:spacing w:after="0" w:line="240" w:lineRule="auto"/>
            </w:pPr>
          </w:p>
        </w:tc>
        <w:tc>
          <w:p w14:paraId="00000B6C">
            <w:pPr>
              <w:spacing w:after="0" w:line="240" w:lineRule="auto"/>
            </w:pPr>
          </w:p>
        </w:tc>
        <w:tc>
          <w:p w14:paraId="00000B6D">
            <w:pPr>
              <w:spacing w:after="0" w:line="240" w:lineRule="auto"/>
            </w:pPr>
          </w:p>
        </w:tc>
        <w:tc>
          <w:p w14:paraId="00000B6E">
            <w:pPr>
              <w:spacing w:after="0" w:line="240" w:lineRule="auto"/>
            </w:pPr>
          </w:p>
        </w:tc>
      </w:tr>
      <w:tr w14:paraId="6A8F934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6F">
            <w:pPr>
              <w:spacing w:after="0" w:line="240" w:lineRule="auto"/>
            </w:pPr>
            <w:r>
              <w:rPr>
                <w:rtl w:val="0"/>
              </w:rPr>
              <w:t>3</w:t>
            </w:r>
          </w:p>
        </w:tc>
        <w:tc>
          <w:p w14:paraId="00000B70">
            <w:pPr>
              <w:spacing w:after="0" w:line="240" w:lineRule="auto"/>
            </w:pPr>
            <w:r>
              <w:rPr>
                <w:rtl w:val="0"/>
              </w:rPr>
              <w:t>20</w:t>
            </w:r>
          </w:p>
        </w:tc>
        <w:tc>
          <w:p w14:paraId="00000B71">
            <w:pPr>
              <w:spacing w:after="0" w:line="240" w:lineRule="auto"/>
            </w:pPr>
          </w:p>
        </w:tc>
        <w:tc>
          <w:p w14:paraId="00000B72">
            <w:pPr>
              <w:spacing w:after="0" w:line="240" w:lineRule="auto"/>
            </w:pPr>
          </w:p>
        </w:tc>
        <w:tc>
          <w:p w14:paraId="00000B73">
            <w:pPr>
              <w:spacing w:after="0" w:line="240" w:lineRule="auto"/>
            </w:pPr>
          </w:p>
        </w:tc>
        <w:tc>
          <w:p w14:paraId="00000B74">
            <w:pPr>
              <w:spacing w:after="0" w:line="240" w:lineRule="auto"/>
            </w:pPr>
          </w:p>
        </w:tc>
        <w:tc>
          <w:p w14:paraId="00000B75">
            <w:pPr>
              <w:spacing w:after="0" w:line="240" w:lineRule="auto"/>
            </w:pPr>
          </w:p>
        </w:tc>
      </w:tr>
      <w:tr w14:paraId="0167C8D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76">
            <w:pPr>
              <w:spacing w:after="0" w:line="240" w:lineRule="auto"/>
            </w:pPr>
            <w:r>
              <w:rPr>
                <w:rtl w:val="0"/>
              </w:rPr>
              <w:t>4</w:t>
            </w:r>
          </w:p>
        </w:tc>
        <w:tc>
          <w:p w14:paraId="00000B77">
            <w:pPr>
              <w:spacing w:after="0" w:line="240" w:lineRule="auto"/>
            </w:pPr>
            <w:r>
              <w:rPr>
                <w:rtl w:val="0"/>
              </w:rPr>
              <w:t>25</w:t>
            </w:r>
          </w:p>
        </w:tc>
        <w:tc>
          <w:p w14:paraId="00000B78">
            <w:pPr>
              <w:spacing w:after="0" w:line="240" w:lineRule="auto"/>
            </w:pPr>
          </w:p>
        </w:tc>
        <w:tc>
          <w:p w14:paraId="00000B79">
            <w:pPr>
              <w:spacing w:after="0" w:line="240" w:lineRule="auto"/>
            </w:pPr>
          </w:p>
        </w:tc>
        <w:tc>
          <w:p w14:paraId="00000B7A">
            <w:pPr>
              <w:spacing w:after="0" w:line="240" w:lineRule="auto"/>
            </w:pPr>
          </w:p>
        </w:tc>
        <w:tc>
          <w:p w14:paraId="00000B7B">
            <w:pPr>
              <w:spacing w:after="0" w:line="240" w:lineRule="auto"/>
            </w:pPr>
          </w:p>
        </w:tc>
        <w:tc>
          <w:p w14:paraId="00000B7C">
            <w:pPr>
              <w:spacing w:after="0" w:line="240" w:lineRule="auto"/>
            </w:pPr>
          </w:p>
        </w:tc>
      </w:tr>
      <w:tr w14:paraId="0E7B946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7D">
            <w:pPr>
              <w:spacing w:after="0" w:line="240" w:lineRule="auto"/>
            </w:pPr>
            <w:r>
              <w:rPr>
                <w:rtl w:val="0"/>
              </w:rPr>
              <w:t>5</w:t>
            </w:r>
          </w:p>
        </w:tc>
        <w:tc>
          <w:p w14:paraId="00000B7E">
            <w:pPr>
              <w:spacing w:after="0" w:line="240" w:lineRule="auto"/>
            </w:pPr>
            <w:r>
              <w:rPr>
                <w:rtl w:val="0"/>
              </w:rPr>
              <w:t>15</w:t>
            </w:r>
          </w:p>
        </w:tc>
        <w:tc>
          <w:p w14:paraId="00000B7F">
            <w:pPr>
              <w:spacing w:after="0" w:line="240" w:lineRule="auto"/>
            </w:pPr>
          </w:p>
        </w:tc>
        <w:tc>
          <w:p w14:paraId="00000B80">
            <w:pPr>
              <w:spacing w:after="0" w:line="240" w:lineRule="auto"/>
            </w:pPr>
          </w:p>
        </w:tc>
        <w:tc>
          <w:p w14:paraId="00000B81">
            <w:pPr>
              <w:spacing w:after="0" w:line="240" w:lineRule="auto"/>
            </w:pPr>
          </w:p>
        </w:tc>
        <w:tc>
          <w:p w14:paraId="00000B82">
            <w:pPr>
              <w:spacing w:after="0" w:line="240" w:lineRule="auto"/>
            </w:pPr>
          </w:p>
        </w:tc>
        <w:tc>
          <w:p w14:paraId="00000B83">
            <w:pPr>
              <w:spacing w:after="0" w:line="240" w:lineRule="auto"/>
            </w:pPr>
          </w:p>
        </w:tc>
      </w:tr>
      <w:tr w14:paraId="77202BE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84">
            <w:pPr>
              <w:spacing w:after="0" w:line="240" w:lineRule="auto"/>
            </w:pPr>
          </w:p>
        </w:tc>
        <w:tc>
          <w:p w14:paraId="00000B85">
            <w:pPr>
              <w:spacing w:after="0" w:line="240" w:lineRule="auto"/>
            </w:pPr>
          </w:p>
        </w:tc>
        <w:tc>
          <w:p w14:paraId="00000B86">
            <w:pPr>
              <w:spacing w:after="0" w:line="240" w:lineRule="auto"/>
            </w:pPr>
          </w:p>
        </w:tc>
        <w:tc>
          <w:p w14:paraId="00000B87">
            <w:pPr>
              <w:spacing w:after="0" w:line="240" w:lineRule="auto"/>
            </w:pPr>
          </w:p>
        </w:tc>
        <w:tc>
          <w:p w14:paraId="00000B88">
            <w:pPr>
              <w:spacing w:after="0" w:line="240" w:lineRule="auto"/>
            </w:pPr>
          </w:p>
        </w:tc>
        <w:tc>
          <w:p w14:paraId="00000B89">
            <w:pPr>
              <w:spacing w:after="0" w:line="240" w:lineRule="auto"/>
            </w:pPr>
          </w:p>
        </w:tc>
        <w:tc>
          <w:p w14:paraId="00000B8A">
            <w:pPr>
              <w:spacing w:after="0" w:line="240" w:lineRule="auto"/>
            </w:pPr>
          </w:p>
        </w:tc>
      </w:tr>
      <w:tr w14:paraId="0BF4472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B8B">
            <w:pPr>
              <w:spacing w:after="0" w:line="240" w:lineRule="auto"/>
            </w:pPr>
            <w:r>
              <w:rPr>
                <w:rtl w:val="0"/>
              </w:rPr>
              <w:t>Computation</w:t>
            </w:r>
          </w:p>
        </w:tc>
        <w:tc>
          <w:p w14:paraId="00000B8D">
            <w:pPr>
              <w:spacing w:after="0" w:line="240" w:lineRule="auto"/>
            </w:pPr>
          </w:p>
        </w:tc>
        <w:tc>
          <w:p w14:paraId="00000B8E">
            <w:pPr>
              <w:spacing w:after="0" w:line="240" w:lineRule="auto"/>
            </w:pPr>
          </w:p>
        </w:tc>
        <w:tc>
          <w:p w14:paraId="00000B8F">
            <w:pPr>
              <w:spacing w:after="0" w:line="240" w:lineRule="auto"/>
            </w:pPr>
          </w:p>
        </w:tc>
        <w:tc>
          <w:p w14:paraId="00000B90">
            <w:pPr>
              <w:spacing w:after="0" w:line="240" w:lineRule="auto"/>
            </w:pPr>
          </w:p>
        </w:tc>
        <w:tc>
          <w:p w14:paraId="00000B91">
            <w:pPr>
              <w:spacing w:after="0" w:line="240" w:lineRule="auto"/>
            </w:pPr>
          </w:p>
        </w:tc>
      </w:tr>
      <w:tr w14:paraId="56DD561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92">
            <w:pPr>
              <w:spacing w:after="0" w:line="240" w:lineRule="auto"/>
            </w:pPr>
          </w:p>
        </w:tc>
        <w:tc>
          <w:p w14:paraId="00000B93">
            <w:pPr>
              <w:spacing w:after="0" w:line="240" w:lineRule="auto"/>
            </w:pPr>
          </w:p>
        </w:tc>
        <w:tc>
          <w:p w14:paraId="00000B94">
            <w:pPr>
              <w:spacing w:after="0" w:line="240" w:lineRule="auto"/>
            </w:pPr>
          </w:p>
        </w:tc>
        <w:tc>
          <w:p w14:paraId="00000B95">
            <w:pPr>
              <w:spacing w:after="0" w:line="240" w:lineRule="auto"/>
            </w:pPr>
          </w:p>
        </w:tc>
        <w:tc>
          <w:p w14:paraId="00000B96">
            <w:pPr>
              <w:spacing w:after="0" w:line="240" w:lineRule="auto"/>
            </w:pPr>
          </w:p>
        </w:tc>
        <w:tc>
          <w:p w14:paraId="00000B97">
            <w:pPr>
              <w:spacing w:after="0" w:line="240" w:lineRule="auto"/>
            </w:pPr>
          </w:p>
        </w:tc>
        <w:tc>
          <w:p w14:paraId="00000B98">
            <w:pPr>
              <w:spacing w:after="0" w:line="240" w:lineRule="auto"/>
            </w:pPr>
          </w:p>
        </w:tc>
      </w:tr>
      <w:tr w14:paraId="11965A4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5"/>
          </w:tcPr>
          <w:p w14:paraId="00000B99">
            <w:pPr>
              <w:spacing w:after="0" w:line="240" w:lineRule="auto"/>
            </w:pPr>
            <w:r>
              <w:rPr>
                <w:rtl w:val="0"/>
              </w:rPr>
              <w:t>Total operating inflows over 5 years = £75m</w:t>
            </w:r>
          </w:p>
        </w:tc>
        <w:tc>
          <w:p w14:paraId="00000B9E">
            <w:pPr>
              <w:spacing w:after="0" w:line="240" w:lineRule="auto"/>
            </w:pPr>
          </w:p>
        </w:tc>
        <w:tc>
          <w:p w14:paraId="00000B9F">
            <w:pPr>
              <w:spacing w:after="0" w:line="240" w:lineRule="auto"/>
            </w:pPr>
          </w:p>
        </w:tc>
      </w:tr>
      <w:tr w14:paraId="69F1DF6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A0">
            <w:pPr>
              <w:spacing w:after="0" w:line="240" w:lineRule="auto"/>
            </w:pPr>
          </w:p>
        </w:tc>
        <w:tc>
          <w:p w14:paraId="00000BA1">
            <w:pPr>
              <w:spacing w:after="0" w:line="240" w:lineRule="auto"/>
            </w:pPr>
          </w:p>
        </w:tc>
        <w:tc>
          <w:p w14:paraId="00000BA2">
            <w:pPr>
              <w:spacing w:after="0" w:line="240" w:lineRule="auto"/>
            </w:pPr>
          </w:p>
        </w:tc>
        <w:tc>
          <w:p w14:paraId="00000BA3">
            <w:pPr>
              <w:spacing w:after="0" w:line="240" w:lineRule="auto"/>
            </w:pPr>
          </w:p>
        </w:tc>
        <w:tc>
          <w:p w14:paraId="00000BA4">
            <w:pPr>
              <w:spacing w:after="0" w:line="240" w:lineRule="auto"/>
            </w:pPr>
          </w:p>
        </w:tc>
        <w:tc>
          <w:p w14:paraId="00000BA5">
            <w:pPr>
              <w:spacing w:after="0" w:line="240" w:lineRule="auto"/>
            </w:pPr>
          </w:p>
        </w:tc>
        <w:tc>
          <w:p w14:paraId="00000BA6">
            <w:pPr>
              <w:spacing w:after="0" w:line="240" w:lineRule="auto"/>
            </w:pPr>
          </w:p>
        </w:tc>
      </w:tr>
      <w:tr w14:paraId="1EFFEFC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4"/>
          </w:tcPr>
          <w:p w14:paraId="00000BA7">
            <w:pPr>
              <w:spacing w:after="0" w:line="240" w:lineRule="auto"/>
            </w:pPr>
            <w:r>
              <w:rPr>
                <w:rtl w:val="0"/>
              </w:rPr>
              <w:t>Average annual profit = £75 ÷ 5 = £15m</w:t>
            </w:r>
          </w:p>
        </w:tc>
        <w:tc>
          <w:p w14:paraId="00000BAB">
            <w:pPr>
              <w:spacing w:after="0" w:line="240" w:lineRule="auto"/>
            </w:pPr>
          </w:p>
        </w:tc>
        <w:tc>
          <w:p w14:paraId="00000BAC">
            <w:pPr>
              <w:spacing w:after="0" w:line="240" w:lineRule="auto"/>
            </w:pPr>
          </w:p>
        </w:tc>
        <w:tc>
          <w:p w14:paraId="00000BAD">
            <w:pPr>
              <w:spacing w:after="0" w:line="240" w:lineRule="auto"/>
            </w:pPr>
          </w:p>
        </w:tc>
      </w:tr>
      <w:tr w14:paraId="752D5C8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AE">
            <w:pPr>
              <w:spacing w:after="0" w:line="240" w:lineRule="auto"/>
            </w:pPr>
          </w:p>
        </w:tc>
        <w:tc>
          <w:p w14:paraId="00000BAF">
            <w:pPr>
              <w:spacing w:after="0" w:line="240" w:lineRule="auto"/>
            </w:pPr>
          </w:p>
        </w:tc>
        <w:tc>
          <w:p w14:paraId="00000BB0">
            <w:pPr>
              <w:spacing w:after="0" w:line="240" w:lineRule="auto"/>
            </w:pPr>
          </w:p>
        </w:tc>
        <w:tc>
          <w:p w14:paraId="00000BB1">
            <w:pPr>
              <w:spacing w:after="0" w:line="240" w:lineRule="auto"/>
            </w:pPr>
          </w:p>
        </w:tc>
        <w:tc>
          <w:p w14:paraId="00000BB2">
            <w:pPr>
              <w:spacing w:after="0" w:line="240" w:lineRule="auto"/>
            </w:pPr>
          </w:p>
        </w:tc>
        <w:tc>
          <w:p w14:paraId="00000BB3">
            <w:pPr>
              <w:spacing w:after="0" w:line="240" w:lineRule="auto"/>
            </w:pPr>
          </w:p>
        </w:tc>
        <w:tc>
          <w:p w14:paraId="00000BB4">
            <w:pPr>
              <w:spacing w:after="0" w:line="240" w:lineRule="auto"/>
            </w:pPr>
          </w:p>
        </w:tc>
      </w:tr>
      <w:tr w14:paraId="7B4C3A2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5"/>
          </w:tcPr>
          <w:p w14:paraId="00000BB5">
            <w:pPr>
              <w:spacing w:after="0" w:line="240" w:lineRule="auto"/>
            </w:pPr>
            <w:r>
              <w:rPr>
                <w:rtl w:val="0"/>
              </w:rPr>
              <w:t>Capital employed (average investment) = £50m</w:t>
            </w:r>
          </w:p>
        </w:tc>
        <w:tc>
          <w:p w14:paraId="00000BBA">
            <w:pPr>
              <w:spacing w:after="0" w:line="240" w:lineRule="auto"/>
            </w:pPr>
          </w:p>
        </w:tc>
        <w:tc>
          <w:p w14:paraId="00000BBB">
            <w:pPr>
              <w:spacing w:after="0" w:line="240" w:lineRule="auto"/>
            </w:pPr>
          </w:p>
        </w:tc>
      </w:tr>
      <w:tr w14:paraId="3053176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p w14:paraId="00000BBC">
            <w:pPr>
              <w:spacing w:after="0" w:line="240" w:lineRule="auto"/>
            </w:pPr>
          </w:p>
        </w:tc>
        <w:tc>
          <w:p w14:paraId="00000BBD">
            <w:pPr>
              <w:spacing w:after="0" w:line="240" w:lineRule="auto"/>
            </w:pPr>
          </w:p>
        </w:tc>
        <w:tc>
          <w:p w14:paraId="00000BBE">
            <w:pPr>
              <w:spacing w:after="0" w:line="240" w:lineRule="auto"/>
            </w:pPr>
          </w:p>
        </w:tc>
        <w:tc>
          <w:p w14:paraId="00000BBF">
            <w:pPr>
              <w:spacing w:after="0" w:line="240" w:lineRule="auto"/>
            </w:pPr>
          </w:p>
        </w:tc>
        <w:tc>
          <w:p w14:paraId="00000BC0">
            <w:pPr>
              <w:spacing w:after="0" w:line="240" w:lineRule="auto"/>
            </w:pPr>
          </w:p>
        </w:tc>
        <w:tc>
          <w:p w14:paraId="00000BC1">
            <w:pPr>
              <w:spacing w:after="0" w:line="240" w:lineRule="auto"/>
            </w:pPr>
          </w:p>
        </w:tc>
        <w:tc>
          <w:p w14:paraId="00000BC2">
            <w:pPr>
              <w:spacing w:after="0" w:line="240" w:lineRule="auto"/>
            </w:pPr>
          </w:p>
        </w:tc>
      </w:tr>
      <w:tr w14:paraId="3769BF6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BC3">
            <w:pPr>
              <w:spacing w:after="0" w:line="240" w:lineRule="auto"/>
            </w:pPr>
            <w:r>
              <w:rPr>
                <w:rtl w:val="0"/>
              </w:rPr>
              <w:t>ARR (Project C)</w:t>
            </w:r>
          </w:p>
        </w:tc>
        <w:tc>
          <w:p w14:paraId="00000BC5">
            <w:pPr>
              <w:spacing w:after="0" w:line="240" w:lineRule="auto"/>
            </w:pPr>
          </w:p>
        </w:tc>
        <w:tc>
          <w:p w14:paraId="00000BC6">
            <w:pPr>
              <w:spacing w:after="0" w:line="240" w:lineRule="auto"/>
            </w:pPr>
          </w:p>
        </w:tc>
        <w:tc>
          <w:p w14:paraId="00000BC7">
            <w:pPr>
              <w:spacing w:after="0" w:line="240" w:lineRule="auto"/>
            </w:pPr>
          </w:p>
        </w:tc>
        <w:tc>
          <w:p w14:paraId="00000BC8">
            <w:pPr>
              <w:spacing w:after="0" w:line="240" w:lineRule="auto"/>
            </w:pPr>
          </w:p>
        </w:tc>
        <w:tc>
          <w:p w14:paraId="00000BC9">
            <w:pPr>
              <w:spacing w:after="0" w:line="240" w:lineRule="auto"/>
            </w:pPr>
          </w:p>
        </w:tc>
      </w:tr>
      <w:tr w14:paraId="7415A4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88" w:hRule="atLeast"/>
        </w:trPr>
        <w:tc>
          <w:tcPr>
            <w:gridSpan w:val="2"/>
          </w:tcPr>
          <w:p w14:paraId="00000BCA">
            <w:pPr>
              <w:spacing w:after="0" w:line="240" w:lineRule="auto"/>
            </w:pPr>
            <w:r>
              <w:rPr>
                <w:rtl w:val="0"/>
              </w:rPr>
              <w:t>ARR = 15 ÷ 50 = 30%</w:t>
            </w:r>
          </w:p>
        </w:tc>
        <w:tc>
          <w:p w14:paraId="00000BCC">
            <w:pPr>
              <w:spacing w:after="0" w:line="240" w:lineRule="auto"/>
            </w:pPr>
          </w:p>
        </w:tc>
        <w:tc>
          <w:p w14:paraId="00000BCD">
            <w:pPr>
              <w:spacing w:after="0" w:line="240" w:lineRule="auto"/>
            </w:pPr>
          </w:p>
        </w:tc>
        <w:tc>
          <w:p w14:paraId="00000BCE">
            <w:pPr>
              <w:spacing w:after="0" w:line="240" w:lineRule="auto"/>
            </w:pPr>
          </w:p>
        </w:tc>
        <w:tc>
          <w:p w14:paraId="00000BCF">
            <w:pPr>
              <w:spacing w:after="0" w:line="240" w:lineRule="auto"/>
            </w:pPr>
          </w:p>
        </w:tc>
        <w:tc>
          <w:p w14:paraId="00000BD0">
            <w:pPr>
              <w:spacing w:after="0" w:line="240" w:lineRule="auto"/>
            </w:pPr>
          </w:p>
        </w:tc>
      </w:tr>
    </w:tbl>
    <w:p w14:paraId="00000BD1"/>
    <w:p w14:paraId="00000BD2"/>
    <w:tbl>
      <w:tblPr>
        <w:tblStyle w:val="26"/>
        <w:tblW w:w="4980" w:type="dxa"/>
        <w:tblInd w:w="0"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2820"/>
        <w:gridCol w:w="2160"/>
      </w:tblGrid>
      <w:tr w14:paraId="2AF8AFC6">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3">
            <w:pPr>
              <w:widowControl w:val="0"/>
              <w:spacing w:after="0" w:line="276" w:lineRule="auto"/>
              <w:jc w:val="center"/>
            </w:pPr>
            <w:r>
              <w:rPr>
                <w:rtl w:val="0"/>
              </w:rPr>
              <w:t>PROJECT A</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4">
            <w:pPr>
              <w:widowControl w:val="0"/>
              <w:spacing w:after="0" w:line="276" w:lineRule="auto"/>
              <w:jc w:val="center"/>
              <w:rPr>
                <w:rFonts w:ascii="Arial" w:hAnsi="Arial" w:eastAsia="Arial" w:cs="Arial"/>
                <w:sz w:val="20"/>
                <w:szCs w:val="20"/>
              </w:rPr>
            </w:pPr>
          </w:p>
        </w:tc>
      </w:tr>
      <w:tr w14:paraId="7C3307D0">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5">
            <w:pPr>
              <w:widowControl w:val="0"/>
              <w:spacing w:after="0" w:line="276" w:lineRule="auto"/>
              <w:jc w:val="center"/>
              <w:rPr>
                <w:rFonts w:ascii="Arial" w:hAnsi="Arial" w:eastAsia="Arial" w:cs="Arial"/>
                <w:sz w:val="20"/>
                <w:szCs w:val="20"/>
              </w:rPr>
            </w:pPr>
            <w:r>
              <w:rPr>
                <w:rtl w:val="0"/>
              </w:rPr>
              <w:t>Year</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6">
            <w:pPr>
              <w:widowControl w:val="0"/>
              <w:spacing w:after="0" w:line="276" w:lineRule="auto"/>
              <w:jc w:val="center"/>
              <w:rPr>
                <w:rFonts w:ascii="Arial" w:hAnsi="Arial" w:eastAsia="Arial" w:cs="Arial"/>
                <w:sz w:val="20"/>
                <w:szCs w:val="20"/>
              </w:rPr>
            </w:pPr>
          </w:p>
        </w:tc>
      </w:tr>
      <w:tr w14:paraId="53EAFA64">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7">
            <w:pPr>
              <w:widowControl w:val="0"/>
              <w:spacing w:after="0" w:line="276" w:lineRule="auto"/>
              <w:jc w:val="center"/>
              <w:rPr>
                <w:rFonts w:ascii="Arial" w:hAnsi="Arial" w:eastAsia="Arial" w:cs="Arial"/>
                <w:sz w:val="20"/>
                <w:szCs w:val="20"/>
              </w:rPr>
            </w:pPr>
            <w:r>
              <w:rPr>
                <w:rtl w:val="0"/>
              </w:rPr>
              <w:t>0</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8">
            <w:pPr>
              <w:widowControl w:val="0"/>
              <w:spacing w:after="0" w:line="276" w:lineRule="auto"/>
              <w:jc w:val="center"/>
              <w:rPr>
                <w:rFonts w:ascii="Arial" w:hAnsi="Arial" w:eastAsia="Arial" w:cs="Arial"/>
                <w:sz w:val="20"/>
                <w:szCs w:val="20"/>
              </w:rPr>
            </w:pPr>
            <w:r>
              <w:rPr>
                <w:rtl w:val="0"/>
              </w:rPr>
              <w:t>-£40.00</w:t>
            </w:r>
          </w:p>
        </w:tc>
      </w:tr>
      <w:tr w14:paraId="576E7420">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9">
            <w:pPr>
              <w:widowControl w:val="0"/>
              <w:spacing w:after="0" w:line="276" w:lineRule="auto"/>
              <w:jc w:val="center"/>
              <w:rPr>
                <w:rFonts w:ascii="Arial" w:hAnsi="Arial" w:eastAsia="Arial" w:cs="Arial"/>
                <w:sz w:val="20"/>
                <w:szCs w:val="20"/>
              </w:rPr>
            </w:pPr>
            <w:r>
              <w:rPr>
                <w:rtl w:val="0"/>
              </w:rPr>
              <w:t>1</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A">
            <w:pPr>
              <w:widowControl w:val="0"/>
              <w:spacing w:after="0" w:line="276" w:lineRule="auto"/>
              <w:jc w:val="center"/>
              <w:rPr>
                <w:rFonts w:ascii="Arial" w:hAnsi="Arial" w:eastAsia="Arial" w:cs="Arial"/>
                <w:sz w:val="20"/>
                <w:szCs w:val="20"/>
              </w:rPr>
            </w:pPr>
            <w:r>
              <w:rPr>
                <w:rtl w:val="0"/>
              </w:rPr>
              <w:t>£10</w:t>
            </w:r>
          </w:p>
        </w:tc>
      </w:tr>
      <w:tr w14:paraId="420318DE">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B">
            <w:pPr>
              <w:widowControl w:val="0"/>
              <w:spacing w:after="0" w:line="276" w:lineRule="auto"/>
              <w:jc w:val="center"/>
              <w:rPr>
                <w:rFonts w:ascii="Arial" w:hAnsi="Arial" w:eastAsia="Arial" w:cs="Arial"/>
                <w:sz w:val="20"/>
                <w:szCs w:val="20"/>
              </w:rPr>
            </w:pPr>
            <w:r>
              <w:rPr>
                <w:rtl w:val="0"/>
              </w:rPr>
              <w:t>2</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C">
            <w:pPr>
              <w:widowControl w:val="0"/>
              <w:spacing w:after="0" w:line="276" w:lineRule="auto"/>
              <w:jc w:val="center"/>
              <w:rPr>
                <w:rFonts w:ascii="Arial" w:hAnsi="Arial" w:eastAsia="Arial" w:cs="Arial"/>
                <w:sz w:val="20"/>
                <w:szCs w:val="20"/>
              </w:rPr>
            </w:pPr>
            <w:r>
              <w:rPr>
                <w:rtl w:val="0"/>
              </w:rPr>
              <w:t>£12</w:t>
            </w:r>
          </w:p>
        </w:tc>
      </w:tr>
      <w:tr w14:paraId="0BDEE1DB">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D">
            <w:pPr>
              <w:widowControl w:val="0"/>
              <w:spacing w:after="0" w:line="276" w:lineRule="auto"/>
              <w:jc w:val="center"/>
              <w:rPr>
                <w:rFonts w:ascii="Arial" w:hAnsi="Arial" w:eastAsia="Arial" w:cs="Arial"/>
                <w:sz w:val="20"/>
                <w:szCs w:val="20"/>
              </w:rPr>
            </w:pPr>
            <w:r>
              <w:rPr>
                <w:rtl w:val="0"/>
              </w:rPr>
              <w:t>3</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E">
            <w:pPr>
              <w:widowControl w:val="0"/>
              <w:spacing w:after="0" w:line="276" w:lineRule="auto"/>
              <w:jc w:val="center"/>
              <w:rPr>
                <w:rFonts w:ascii="Arial" w:hAnsi="Arial" w:eastAsia="Arial" w:cs="Arial"/>
                <w:sz w:val="20"/>
                <w:szCs w:val="20"/>
              </w:rPr>
            </w:pPr>
            <w:r>
              <w:rPr>
                <w:rtl w:val="0"/>
              </w:rPr>
              <w:t>£14</w:t>
            </w:r>
          </w:p>
        </w:tc>
      </w:tr>
      <w:tr w14:paraId="62F392D6">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DF">
            <w:pPr>
              <w:widowControl w:val="0"/>
              <w:spacing w:after="0" w:line="276" w:lineRule="auto"/>
              <w:jc w:val="center"/>
              <w:rPr>
                <w:rFonts w:ascii="Arial" w:hAnsi="Arial" w:eastAsia="Arial" w:cs="Arial"/>
                <w:sz w:val="20"/>
                <w:szCs w:val="20"/>
              </w:rPr>
            </w:pPr>
            <w:r>
              <w:rPr>
                <w:rtl w:val="0"/>
              </w:rPr>
              <w:t>4</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0">
            <w:pPr>
              <w:widowControl w:val="0"/>
              <w:spacing w:after="0" w:line="276" w:lineRule="auto"/>
              <w:jc w:val="center"/>
              <w:rPr>
                <w:rFonts w:ascii="Arial" w:hAnsi="Arial" w:eastAsia="Arial" w:cs="Arial"/>
                <w:sz w:val="20"/>
                <w:szCs w:val="20"/>
              </w:rPr>
            </w:pPr>
            <w:r>
              <w:rPr>
                <w:rtl w:val="0"/>
              </w:rPr>
              <w:t>£10</w:t>
            </w:r>
          </w:p>
        </w:tc>
      </w:tr>
      <w:tr w14:paraId="0086E89C">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1">
            <w:pPr>
              <w:widowControl w:val="0"/>
              <w:spacing w:after="0" w:line="276" w:lineRule="auto"/>
              <w:jc w:val="center"/>
              <w:rPr>
                <w:rFonts w:ascii="Arial" w:hAnsi="Arial" w:eastAsia="Arial" w:cs="Arial"/>
                <w:sz w:val="20"/>
                <w:szCs w:val="20"/>
              </w:rPr>
            </w:pPr>
            <w:r>
              <w:rPr>
                <w:rtl w:val="0"/>
              </w:rPr>
              <w:t>5</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2">
            <w:pPr>
              <w:widowControl w:val="0"/>
              <w:spacing w:after="0" w:line="276" w:lineRule="auto"/>
              <w:jc w:val="center"/>
              <w:rPr>
                <w:rFonts w:ascii="Arial" w:hAnsi="Arial" w:eastAsia="Arial" w:cs="Arial"/>
                <w:sz w:val="20"/>
                <w:szCs w:val="20"/>
              </w:rPr>
            </w:pPr>
            <w:r>
              <w:rPr>
                <w:rtl w:val="0"/>
              </w:rPr>
              <w:t>£8</w:t>
            </w:r>
          </w:p>
        </w:tc>
      </w:tr>
      <w:tr w14:paraId="16FE31DA">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15"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3">
            <w:pPr>
              <w:widowControl w:val="0"/>
              <w:spacing w:after="0" w:line="276" w:lineRule="auto"/>
              <w:jc w:val="center"/>
              <w:rPr>
                <w:rFonts w:ascii="Arial" w:hAnsi="Arial" w:eastAsia="Arial" w:cs="Arial"/>
                <w:sz w:val="20"/>
                <w:szCs w:val="20"/>
              </w:rPr>
            </w:pP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4">
            <w:pPr>
              <w:widowControl w:val="0"/>
              <w:spacing w:after="0" w:line="276" w:lineRule="auto"/>
              <w:jc w:val="center"/>
              <w:rPr>
                <w:rFonts w:ascii="Arial" w:hAnsi="Arial" w:eastAsia="Arial" w:cs="Arial"/>
                <w:sz w:val="20"/>
                <w:szCs w:val="20"/>
              </w:rPr>
            </w:pPr>
          </w:p>
        </w:tc>
      </w:tr>
      <w:tr w14:paraId="7767170B">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5">
            <w:pPr>
              <w:widowControl w:val="0"/>
              <w:spacing w:after="0" w:line="276" w:lineRule="auto"/>
              <w:jc w:val="center"/>
              <w:rPr>
                <w:rFonts w:ascii="Arial" w:hAnsi="Arial" w:eastAsia="Arial" w:cs="Arial"/>
                <w:sz w:val="20"/>
                <w:szCs w:val="20"/>
              </w:rPr>
            </w:pPr>
            <w:r>
              <w:rPr>
                <w:rtl w:val="0"/>
              </w:rPr>
              <w:t>IRR</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6">
            <w:pPr>
              <w:widowControl w:val="0"/>
              <w:spacing w:after="0" w:line="276" w:lineRule="auto"/>
              <w:jc w:val="center"/>
              <w:rPr>
                <w:rFonts w:ascii="Arial" w:hAnsi="Arial" w:eastAsia="Arial" w:cs="Arial"/>
                <w:sz w:val="20"/>
                <w:szCs w:val="20"/>
              </w:rPr>
            </w:pPr>
            <w:r>
              <w:rPr>
                <w:rtl w:val="0"/>
              </w:rPr>
              <w:t>11.33%</w:t>
            </w:r>
          </w:p>
        </w:tc>
      </w:tr>
    </w:tbl>
    <w:p w14:paraId="00000BE7">
      <w:pPr>
        <w:jc w:val="center"/>
      </w:pPr>
    </w:p>
    <w:tbl>
      <w:tblPr>
        <w:tblStyle w:val="27"/>
        <w:tblW w:w="4980" w:type="dxa"/>
        <w:tblInd w:w="0"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2820"/>
        <w:gridCol w:w="2160"/>
      </w:tblGrid>
      <w:tr w14:paraId="37C6FF6A">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8">
            <w:pPr>
              <w:widowControl w:val="0"/>
              <w:spacing w:after="0" w:line="276" w:lineRule="auto"/>
              <w:jc w:val="center"/>
              <w:rPr>
                <w:sz w:val="20"/>
                <w:szCs w:val="20"/>
              </w:rPr>
            </w:pPr>
            <w:r>
              <w:rPr>
                <w:sz w:val="20"/>
                <w:szCs w:val="20"/>
                <w:rtl w:val="0"/>
              </w:rPr>
              <w:t>PROJECT B</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9">
            <w:pPr>
              <w:widowControl w:val="0"/>
              <w:spacing w:after="0" w:line="276" w:lineRule="auto"/>
              <w:jc w:val="center"/>
              <w:rPr>
                <w:sz w:val="20"/>
                <w:szCs w:val="20"/>
              </w:rPr>
            </w:pPr>
          </w:p>
        </w:tc>
      </w:tr>
      <w:tr w14:paraId="74C7CC1A">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A">
            <w:pPr>
              <w:widowControl w:val="0"/>
              <w:spacing w:after="0" w:line="276" w:lineRule="auto"/>
              <w:jc w:val="center"/>
              <w:rPr>
                <w:sz w:val="20"/>
                <w:szCs w:val="20"/>
              </w:rPr>
            </w:pPr>
            <w:r>
              <w:rPr>
                <w:rtl w:val="0"/>
              </w:rPr>
              <w:t>Year</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B">
            <w:pPr>
              <w:widowControl w:val="0"/>
              <w:spacing w:after="0" w:line="276" w:lineRule="auto"/>
              <w:jc w:val="center"/>
              <w:rPr>
                <w:sz w:val="20"/>
                <w:szCs w:val="20"/>
              </w:rPr>
            </w:pPr>
          </w:p>
        </w:tc>
      </w:tr>
      <w:tr w14:paraId="1AD76A88">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C">
            <w:pPr>
              <w:widowControl w:val="0"/>
              <w:spacing w:after="0" w:line="276" w:lineRule="auto"/>
              <w:jc w:val="center"/>
              <w:rPr>
                <w:sz w:val="20"/>
                <w:szCs w:val="20"/>
              </w:rPr>
            </w:pPr>
            <w:r>
              <w:rPr>
                <w:rtl w:val="0"/>
              </w:rPr>
              <w:t>0</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D">
            <w:pPr>
              <w:widowControl w:val="0"/>
              <w:spacing w:after="0" w:line="276" w:lineRule="auto"/>
              <w:jc w:val="center"/>
              <w:rPr>
                <w:sz w:val="20"/>
                <w:szCs w:val="20"/>
              </w:rPr>
            </w:pPr>
            <w:r>
              <w:rPr>
                <w:rtl w:val="0"/>
              </w:rPr>
              <w:t>-£30.00</w:t>
            </w:r>
          </w:p>
        </w:tc>
      </w:tr>
      <w:tr w14:paraId="73C2E268">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E">
            <w:pPr>
              <w:widowControl w:val="0"/>
              <w:spacing w:after="0" w:line="276" w:lineRule="auto"/>
              <w:jc w:val="center"/>
              <w:rPr>
                <w:sz w:val="20"/>
                <w:szCs w:val="20"/>
              </w:rPr>
            </w:pPr>
            <w:r>
              <w:rPr>
                <w:rtl w:val="0"/>
              </w:rPr>
              <w:t>1</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EF">
            <w:pPr>
              <w:widowControl w:val="0"/>
              <w:spacing w:after="0" w:line="276" w:lineRule="auto"/>
              <w:jc w:val="center"/>
              <w:rPr>
                <w:sz w:val="20"/>
                <w:szCs w:val="20"/>
              </w:rPr>
            </w:pPr>
            <w:r>
              <w:rPr>
                <w:rtl w:val="0"/>
              </w:rPr>
              <w:t>£6</w:t>
            </w:r>
          </w:p>
        </w:tc>
      </w:tr>
      <w:tr w14:paraId="1DC0CC9C">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0">
            <w:pPr>
              <w:widowControl w:val="0"/>
              <w:spacing w:after="0" w:line="276" w:lineRule="auto"/>
              <w:jc w:val="center"/>
              <w:rPr>
                <w:sz w:val="20"/>
                <w:szCs w:val="20"/>
              </w:rPr>
            </w:pPr>
            <w:r>
              <w:rPr>
                <w:rtl w:val="0"/>
              </w:rPr>
              <w:t>2</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1">
            <w:pPr>
              <w:widowControl w:val="0"/>
              <w:spacing w:after="0" w:line="276" w:lineRule="auto"/>
              <w:jc w:val="center"/>
              <w:rPr>
                <w:sz w:val="20"/>
                <w:szCs w:val="20"/>
              </w:rPr>
            </w:pPr>
            <w:r>
              <w:rPr>
                <w:rtl w:val="0"/>
              </w:rPr>
              <w:t>£6</w:t>
            </w:r>
          </w:p>
        </w:tc>
      </w:tr>
      <w:tr w14:paraId="4A02A971">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2">
            <w:pPr>
              <w:widowControl w:val="0"/>
              <w:spacing w:after="0" w:line="276" w:lineRule="auto"/>
              <w:jc w:val="center"/>
              <w:rPr>
                <w:sz w:val="20"/>
                <w:szCs w:val="20"/>
              </w:rPr>
            </w:pPr>
            <w:r>
              <w:rPr>
                <w:rtl w:val="0"/>
              </w:rPr>
              <w:t>3</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3">
            <w:pPr>
              <w:widowControl w:val="0"/>
              <w:spacing w:after="0" w:line="276" w:lineRule="auto"/>
              <w:jc w:val="center"/>
              <w:rPr>
                <w:sz w:val="20"/>
                <w:szCs w:val="20"/>
              </w:rPr>
            </w:pPr>
            <w:r>
              <w:rPr>
                <w:rtl w:val="0"/>
              </w:rPr>
              <w:t>£6</w:t>
            </w:r>
          </w:p>
        </w:tc>
      </w:tr>
      <w:tr w14:paraId="023C60F8">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4">
            <w:pPr>
              <w:widowControl w:val="0"/>
              <w:spacing w:after="0" w:line="276" w:lineRule="auto"/>
              <w:jc w:val="center"/>
              <w:rPr>
                <w:sz w:val="20"/>
                <w:szCs w:val="20"/>
              </w:rPr>
            </w:pPr>
            <w:r>
              <w:rPr>
                <w:rtl w:val="0"/>
              </w:rPr>
              <w:t>4</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5">
            <w:pPr>
              <w:widowControl w:val="0"/>
              <w:spacing w:after="0" w:line="276" w:lineRule="auto"/>
              <w:jc w:val="center"/>
              <w:rPr>
                <w:sz w:val="20"/>
                <w:szCs w:val="20"/>
              </w:rPr>
            </w:pPr>
            <w:r>
              <w:rPr>
                <w:rtl w:val="0"/>
              </w:rPr>
              <w:t>£6</w:t>
            </w:r>
          </w:p>
        </w:tc>
      </w:tr>
      <w:tr w14:paraId="5C88E24F">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6">
            <w:pPr>
              <w:widowControl w:val="0"/>
              <w:spacing w:after="0" w:line="276" w:lineRule="auto"/>
              <w:jc w:val="center"/>
              <w:rPr>
                <w:sz w:val="20"/>
                <w:szCs w:val="20"/>
              </w:rPr>
            </w:pPr>
            <w:r>
              <w:rPr>
                <w:rtl w:val="0"/>
              </w:rPr>
              <w:t>5</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7">
            <w:pPr>
              <w:widowControl w:val="0"/>
              <w:spacing w:after="0" w:line="276" w:lineRule="auto"/>
              <w:jc w:val="center"/>
              <w:rPr>
                <w:sz w:val="20"/>
                <w:szCs w:val="20"/>
              </w:rPr>
            </w:pPr>
            <w:r>
              <w:rPr>
                <w:rtl w:val="0"/>
              </w:rPr>
              <w:t>£6</w:t>
            </w:r>
          </w:p>
        </w:tc>
      </w:tr>
      <w:tr w14:paraId="179C6F2E">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15"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8">
            <w:pPr>
              <w:widowControl w:val="0"/>
              <w:spacing w:after="0" w:line="276" w:lineRule="auto"/>
              <w:jc w:val="center"/>
              <w:rPr>
                <w:sz w:val="20"/>
                <w:szCs w:val="20"/>
              </w:rPr>
            </w:pP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9">
            <w:pPr>
              <w:widowControl w:val="0"/>
              <w:spacing w:after="0" w:line="276" w:lineRule="auto"/>
              <w:jc w:val="center"/>
              <w:rPr>
                <w:sz w:val="20"/>
                <w:szCs w:val="20"/>
              </w:rPr>
            </w:pPr>
          </w:p>
        </w:tc>
      </w:tr>
      <w:tr w14:paraId="4FD52CD5">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A">
            <w:pPr>
              <w:widowControl w:val="0"/>
              <w:spacing w:after="0" w:line="276" w:lineRule="auto"/>
              <w:jc w:val="center"/>
              <w:rPr>
                <w:sz w:val="20"/>
                <w:szCs w:val="20"/>
              </w:rPr>
            </w:pPr>
            <w:r>
              <w:rPr>
                <w:rtl w:val="0"/>
              </w:rPr>
              <w:t>IRR</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B">
            <w:pPr>
              <w:widowControl w:val="0"/>
              <w:spacing w:after="0" w:line="276" w:lineRule="auto"/>
              <w:jc w:val="center"/>
              <w:rPr>
                <w:sz w:val="20"/>
                <w:szCs w:val="20"/>
              </w:rPr>
            </w:pPr>
            <w:r>
              <w:rPr>
                <w:rtl w:val="0"/>
              </w:rPr>
              <w:t>0%</w:t>
            </w:r>
          </w:p>
        </w:tc>
      </w:tr>
    </w:tbl>
    <w:p w14:paraId="00000BFC">
      <w:pPr>
        <w:jc w:val="center"/>
      </w:pPr>
    </w:p>
    <w:p w14:paraId="00000BFD">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center"/>
      </w:pPr>
    </w:p>
    <w:tbl>
      <w:tblPr>
        <w:tblStyle w:val="28"/>
        <w:tblW w:w="4500" w:type="dxa"/>
        <w:tblInd w:w="0"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2700"/>
        <w:gridCol w:w="1800"/>
      </w:tblGrid>
      <w:tr w14:paraId="01D6ABE7">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E">
            <w:pPr>
              <w:widowControl w:val="0"/>
              <w:spacing w:after="0" w:line="276" w:lineRule="auto"/>
              <w:jc w:val="center"/>
              <w:rPr>
                <w:sz w:val="20"/>
                <w:szCs w:val="20"/>
              </w:rPr>
            </w:pPr>
            <w:r>
              <w:rPr>
                <w:sz w:val="20"/>
                <w:szCs w:val="20"/>
                <w:rtl w:val="0"/>
              </w:rPr>
              <w:t>PROJECT C</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BFF">
            <w:pPr>
              <w:widowControl w:val="0"/>
              <w:spacing w:after="0" w:line="276" w:lineRule="auto"/>
              <w:jc w:val="center"/>
            </w:pPr>
          </w:p>
        </w:tc>
      </w:tr>
      <w:tr w14:paraId="399ACE29">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0">
            <w:pPr>
              <w:widowControl w:val="0"/>
              <w:spacing w:after="0" w:line="276" w:lineRule="auto"/>
              <w:jc w:val="center"/>
              <w:rPr>
                <w:sz w:val="20"/>
                <w:szCs w:val="20"/>
              </w:rPr>
            </w:pPr>
            <w:r>
              <w:rPr>
                <w:rtl w:val="0"/>
              </w:rPr>
              <w:t>0</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1">
            <w:pPr>
              <w:widowControl w:val="0"/>
              <w:spacing w:after="0" w:line="276" w:lineRule="auto"/>
              <w:jc w:val="center"/>
              <w:rPr>
                <w:sz w:val="20"/>
                <w:szCs w:val="20"/>
              </w:rPr>
            </w:pPr>
            <w:r>
              <w:rPr>
                <w:rtl w:val="0"/>
              </w:rPr>
              <w:t>-£50.00</w:t>
            </w:r>
          </w:p>
        </w:tc>
      </w:tr>
      <w:tr w14:paraId="743BAF9E">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2">
            <w:pPr>
              <w:widowControl w:val="0"/>
              <w:spacing w:after="0" w:line="276" w:lineRule="auto"/>
              <w:jc w:val="center"/>
              <w:rPr>
                <w:sz w:val="20"/>
                <w:szCs w:val="20"/>
              </w:rPr>
            </w:pPr>
            <w:r>
              <w:rPr>
                <w:rtl w:val="0"/>
              </w:rPr>
              <w:t>1</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3">
            <w:pPr>
              <w:widowControl w:val="0"/>
              <w:spacing w:after="0" w:line="276" w:lineRule="auto"/>
              <w:jc w:val="center"/>
              <w:rPr>
                <w:sz w:val="20"/>
                <w:szCs w:val="20"/>
              </w:rPr>
            </w:pPr>
            <w:r>
              <w:rPr>
                <w:rtl w:val="0"/>
              </w:rPr>
              <w:t>£5</w:t>
            </w:r>
          </w:p>
        </w:tc>
      </w:tr>
      <w:tr w14:paraId="098824BC">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4">
            <w:pPr>
              <w:widowControl w:val="0"/>
              <w:spacing w:after="0" w:line="276" w:lineRule="auto"/>
              <w:jc w:val="center"/>
              <w:rPr>
                <w:sz w:val="20"/>
                <w:szCs w:val="20"/>
              </w:rPr>
            </w:pPr>
            <w:r>
              <w:rPr>
                <w:rtl w:val="0"/>
              </w:rPr>
              <w:t>2</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5">
            <w:pPr>
              <w:widowControl w:val="0"/>
              <w:spacing w:after="0" w:line="276" w:lineRule="auto"/>
              <w:jc w:val="center"/>
              <w:rPr>
                <w:sz w:val="20"/>
                <w:szCs w:val="20"/>
              </w:rPr>
            </w:pPr>
            <w:r>
              <w:rPr>
                <w:rtl w:val="0"/>
              </w:rPr>
              <w:t>£10</w:t>
            </w:r>
          </w:p>
        </w:tc>
      </w:tr>
      <w:tr w14:paraId="5402E522">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6">
            <w:pPr>
              <w:widowControl w:val="0"/>
              <w:spacing w:after="0" w:line="276" w:lineRule="auto"/>
              <w:jc w:val="center"/>
              <w:rPr>
                <w:sz w:val="20"/>
                <w:szCs w:val="20"/>
              </w:rPr>
            </w:pPr>
            <w:r>
              <w:rPr>
                <w:rtl w:val="0"/>
              </w:rPr>
              <w:t>3</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7">
            <w:pPr>
              <w:widowControl w:val="0"/>
              <w:spacing w:after="0" w:line="276" w:lineRule="auto"/>
              <w:jc w:val="center"/>
              <w:rPr>
                <w:sz w:val="20"/>
                <w:szCs w:val="20"/>
              </w:rPr>
            </w:pPr>
            <w:r>
              <w:rPr>
                <w:rtl w:val="0"/>
              </w:rPr>
              <w:t>£20</w:t>
            </w:r>
          </w:p>
        </w:tc>
      </w:tr>
      <w:tr w14:paraId="76F33F1F">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8">
            <w:pPr>
              <w:widowControl w:val="0"/>
              <w:spacing w:after="0" w:line="276" w:lineRule="auto"/>
              <w:jc w:val="center"/>
              <w:rPr>
                <w:sz w:val="20"/>
                <w:szCs w:val="20"/>
              </w:rPr>
            </w:pPr>
            <w:r>
              <w:rPr>
                <w:rtl w:val="0"/>
              </w:rPr>
              <w:t>4</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9">
            <w:pPr>
              <w:widowControl w:val="0"/>
              <w:spacing w:after="0" w:line="276" w:lineRule="auto"/>
              <w:jc w:val="center"/>
              <w:rPr>
                <w:sz w:val="20"/>
                <w:szCs w:val="20"/>
              </w:rPr>
            </w:pPr>
            <w:r>
              <w:rPr>
                <w:rtl w:val="0"/>
              </w:rPr>
              <w:t>£25</w:t>
            </w:r>
          </w:p>
        </w:tc>
      </w:tr>
      <w:tr w14:paraId="3E92A53B">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A">
            <w:pPr>
              <w:widowControl w:val="0"/>
              <w:spacing w:after="0" w:line="276" w:lineRule="auto"/>
              <w:jc w:val="center"/>
              <w:rPr>
                <w:sz w:val="20"/>
                <w:szCs w:val="20"/>
              </w:rPr>
            </w:pPr>
            <w:r>
              <w:rPr>
                <w:rtl w:val="0"/>
              </w:rPr>
              <w:t>5</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B">
            <w:pPr>
              <w:widowControl w:val="0"/>
              <w:spacing w:after="0" w:line="276" w:lineRule="auto"/>
              <w:jc w:val="center"/>
              <w:rPr>
                <w:sz w:val="20"/>
                <w:szCs w:val="20"/>
              </w:rPr>
            </w:pPr>
            <w:r>
              <w:rPr>
                <w:rtl w:val="0"/>
              </w:rPr>
              <w:t>£15</w:t>
            </w:r>
          </w:p>
        </w:tc>
      </w:tr>
      <w:tr w14:paraId="435BE5AF">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15"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C">
            <w:pPr>
              <w:widowControl w:val="0"/>
              <w:spacing w:after="0" w:line="276" w:lineRule="auto"/>
              <w:jc w:val="center"/>
              <w:rPr>
                <w:sz w:val="20"/>
                <w:szCs w:val="20"/>
              </w:rPr>
            </w:pP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D">
            <w:pPr>
              <w:widowControl w:val="0"/>
              <w:spacing w:after="0" w:line="276" w:lineRule="auto"/>
              <w:jc w:val="center"/>
              <w:rPr>
                <w:sz w:val="20"/>
                <w:szCs w:val="20"/>
              </w:rPr>
            </w:pPr>
          </w:p>
        </w:tc>
      </w:tr>
      <w:tr w14:paraId="73B4EFAE">
        <w:tblPrEx>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CellMar>
            <w:top w:w="100" w:type="dxa"/>
            <w:left w:w="100" w:type="dxa"/>
            <w:bottom w:w="100" w:type="dxa"/>
            <w:right w:w="100" w:type="dxa"/>
          </w:tblCellMar>
        </w:tblPrEx>
        <w:trPr>
          <w:trHeight w:val="360" w:hRule="atLeast"/>
        </w:trPr>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E">
            <w:pPr>
              <w:widowControl w:val="0"/>
              <w:spacing w:after="0" w:line="276" w:lineRule="auto"/>
              <w:jc w:val="center"/>
              <w:rPr>
                <w:sz w:val="20"/>
                <w:szCs w:val="20"/>
              </w:rPr>
            </w:pPr>
            <w:r>
              <w:rPr>
                <w:rtl w:val="0"/>
              </w:rPr>
              <w:t>IRR</w:t>
            </w:r>
          </w:p>
        </w:tc>
        <w:tc>
          <w:tcPr>
            <w:tcBorders>
              <w:top w:val="single" w:color="CCCCCC" w:sz="4" w:space="0"/>
              <w:left w:val="single" w:color="CCCCCC" w:sz="4" w:space="0"/>
              <w:bottom w:val="single" w:color="CCCCCC" w:sz="4" w:space="0"/>
              <w:right w:val="single" w:color="CCCCCC" w:sz="4" w:space="0"/>
            </w:tcBorders>
            <w:shd w:val="clear" w:color="auto" w:fill="FFFF00"/>
            <w:tcMar>
              <w:top w:w="40" w:type="dxa"/>
              <w:left w:w="40" w:type="dxa"/>
              <w:bottom w:w="40" w:type="dxa"/>
              <w:right w:w="40" w:type="dxa"/>
            </w:tcMar>
            <w:vAlign w:val="bottom"/>
          </w:tcPr>
          <w:p w14:paraId="00000C0F">
            <w:pPr>
              <w:widowControl w:val="0"/>
              <w:spacing w:after="0" w:line="276" w:lineRule="auto"/>
              <w:jc w:val="center"/>
              <w:rPr>
                <w:sz w:val="20"/>
                <w:szCs w:val="20"/>
              </w:rPr>
            </w:pPr>
            <w:r>
              <w:rPr>
                <w:rtl w:val="0"/>
              </w:rPr>
              <w:t>13%</w:t>
            </w:r>
          </w:p>
        </w:tc>
      </w:tr>
    </w:tbl>
    <w:p w14:paraId="00000C10">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left"/>
      </w:pPr>
    </w:p>
    <w:sectPr>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2530476E-1DF3-4D1E-AB68-B2EA75CF8BC0}"/>
  </w:font>
  <w:font w:name="Arial">
    <w:panose1 w:val="020B0604020202020204"/>
    <w:charset w:val="00"/>
    <w:family w:val="swiss"/>
    <w:pitch w:val="default"/>
    <w:sig w:usb0="E0002EFF" w:usb1="C000785B" w:usb2="00000009" w:usb3="00000000" w:csb0="400001FF" w:csb1="FFFF0000"/>
    <w:embedRegular r:id="rId2" w:fontKey="{31A4E2E7-6DD0-4FDE-8343-AB4274ED59D7}"/>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C166E966-0E03-4EF0-9BB8-D3114EBBB47A}"/>
  </w:font>
  <w:font w:name="Wingdings">
    <w:panose1 w:val="05000000000000000000"/>
    <w:charset w:val="02"/>
    <w:family w:val="auto"/>
    <w:pitch w:val="default"/>
    <w:sig w:usb0="00000000" w:usb1="00000000" w:usb2="00000000" w:usb3="00000000" w:csb0="80000000" w:csb1="00000000"/>
    <w:embedRegular r:id="rId4" w:fontKey="{14675DD1-663C-45D0-A705-5953C05584AA}"/>
  </w:font>
  <w:font w:name="Calibri">
    <w:panose1 w:val="020F0502020204030204"/>
    <w:charset w:val="00"/>
    <w:family w:val="swiss"/>
    <w:pitch w:val="default"/>
    <w:sig w:usb0="E4002EFF" w:usb1="C200247B" w:usb2="00000009" w:usb3="00000000" w:csb0="200001FF" w:csb1="00000000"/>
    <w:embedRegular r:id="rId5" w:fontKey="{C6E0E28C-75B9-494C-98D3-4F7DE5B16ECA}"/>
  </w:font>
  <w:font w:name="等线">
    <w:altName w:val="Microsoft YaHei"/>
    <w:panose1 w:val="00000000000000000000"/>
    <w:charset w:val="86"/>
    <w:family w:val="auto"/>
    <w:pitch w:val="default"/>
    <w:sig w:usb0="00000000" w:usb1="00000000" w:usb2="00000000" w:usb3="00000000" w:csb0="00000000" w:csb1="00000000"/>
  </w:font>
  <w:font w:name="Noto Sans Symbols">
    <w:altName w:val="Segoe Print"/>
    <w:panose1 w:val="00000000000000000000"/>
    <w:charset w:val="00"/>
    <w:family w:val="auto"/>
    <w:pitch w:val="default"/>
    <w:sig w:usb0="00000000" w:usb1="00000000" w:usb2="00000000" w:usb3="00000000" w:csb0="00000000" w:csb1="00000000"/>
  </w:font>
  <w:font w:name="Cardo">
    <w:altName w:val="Segoe Print"/>
    <w:panose1 w:val="00000000000000000000"/>
    <w:charset w:val="00"/>
    <w:family w:val="auto"/>
    <w:pitch w:val="default"/>
    <w:sig w:usb0="00000000" w:usb1="00000000" w:usb2="00000000" w:usb3="00000000" w:csb0="00000000" w:csb1="00000000"/>
  </w:font>
  <w:font w:name="Gungsuh">
    <w:altName w:val="Segoe Print"/>
    <w:panose1 w:val="00000000000000000000"/>
    <w:charset w:val="00"/>
    <w:family w:val="auto"/>
    <w:pitch w:val="default"/>
    <w:sig w:usb0="00000000" w:usb1="00000000" w:usb2="00000000" w:usb3="00000000" w:csb0="00000000" w:csb1="00000000"/>
  </w:font>
  <w:font w:name="Arial Unicode MS">
    <w:altName w:val="Arial"/>
    <w:panose1 w:val="00000000000000000000"/>
    <w:charset w:val="00"/>
    <w:family w:val="auto"/>
    <w:pitch w:val="default"/>
    <w:sig w:usb0="00000000" w:usb1="00000000" w:usb2="00000000" w:usb3="00000000" w:csb0="00000000" w:csb1="00000000"/>
  </w:font>
  <w:font w:name="Andika">
    <w:altName w:val="Segoe Print"/>
    <w:panose1 w:val="00000000000000000000"/>
    <w:charset w:val="00"/>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embedRegular r:id="rId6" w:fontKey="{C8F17589-D2D4-4421-942D-60D212098A6E}"/>
  </w:font>
  <w:font w:name="Segoe Print">
    <w:panose1 w:val="02000600000000000000"/>
    <w:charset w:val="00"/>
    <w:family w:val="auto"/>
    <w:pitch w:val="default"/>
    <w:sig w:usb0="0000028F" w:usb1="00000000" w:usb2="00000000" w:usb3="00000000" w:csb0="2000009F" w:csb1="47010000"/>
    <w:embedRegular r:id="rId7" w:fontKey="{CD397412-932B-46C5-914A-3E778F6F85A5}"/>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D5E5A2"/>
    <w:multiLevelType w:val="multilevel"/>
    <w:tmpl w:val="04D5E5A2"/>
    <w:lvl w:ilvl="0" w:tentative="0">
      <w:start w:val="1"/>
      <w:numFmt w:val="bullet"/>
      <w:lvlText w:val="●"/>
      <w:lvlJc w:val="left"/>
      <w:pPr>
        <w:ind w:left="720" w:hanging="360"/>
      </w:pPr>
      <w:rPr>
        <w:rFonts w:ascii="Noto Sans Symbols" w:hAnsi="Noto Sans Symbols" w:eastAsia="Noto Sans Symbols" w:cs="Noto Sans Symbols"/>
        <w:sz w:val="20"/>
        <w:szCs w:val="20"/>
      </w:rPr>
    </w:lvl>
    <w:lvl w:ilvl="1" w:tentative="0">
      <w:start w:val="1"/>
      <w:numFmt w:val="bullet"/>
      <w:lvlText w:val="o"/>
      <w:lvlJc w:val="left"/>
      <w:pPr>
        <w:ind w:left="1440" w:hanging="360"/>
      </w:pPr>
      <w:rPr>
        <w:rFonts w:ascii="Courier New" w:hAnsi="Courier New" w:eastAsia="Courier New" w:cs="Courier New"/>
        <w:sz w:val="20"/>
        <w:szCs w:val="20"/>
      </w:rPr>
    </w:lvl>
    <w:lvl w:ilvl="2" w:tentative="0">
      <w:start w:val="1"/>
      <w:numFmt w:val="bullet"/>
      <w:lvlText w:val="▪"/>
      <w:lvlJc w:val="left"/>
      <w:pPr>
        <w:ind w:left="2160" w:hanging="360"/>
      </w:pPr>
      <w:rPr>
        <w:rFonts w:ascii="Noto Sans Symbols" w:hAnsi="Noto Sans Symbols" w:eastAsia="Noto Sans Symbols" w:cs="Noto Sans Symbols"/>
        <w:sz w:val="20"/>
        <w:szCs w:val="20"/>
      </w:rPr>
    </w:lvl>
    <w:lvl w:ilvl="3" w:tentative="0">
      <w:start w:val="1"/>
      <w:numFmt w:val="bullet"/>
      <w:lvlText w:val="▪"/>
      <w:lvlJc w:val="left"/>
      <w:pPr>
        <w:ind w:left="2880" w:hanging="360"/>
      </w:pPr>
      <w:rPr>
        <w:rFonts w:ascii="Noto Sans Symbols" w:hAnsi="Noto Sans Symbols" w:eastAsia="Noto Sans Symbols" w:cs="Noto Sans Symbols"/>
        <w:sz w:val="20"/>
        <w:szCs w:val="20"/>
      </w:rPr>
    </w:lvl>
    <w:lvl w:ilvl="4" w:tentative="0">
      <w:start w:val="1"/>
      <w:numFmt w:val="bullet"/>
      <w:lvlText w:val="▪"/>
      <w:lvlJc w:val="left"/>
      <w:pPr>
        <w:ind w:left="3600" w:hanging="360"/>
      </w:pPr>
      <w:rPr>
        <w:rFonts w:ascii="Noto Sans Symbols" w:hAnsi="Noto Sans Symbols" w:eastAsia="Noto Sans Symbols" w:cs="Noto Sans Symbols"/>
        <w:sz w:val="20"/>
        <w:szCs w:val="20"/>
      </w:rPr>
    </w:lvl>
    <w:lvl w:ilvl="5" w:tentative="0">
      <w:start w:val="1"/>
      <w:numFmt w:val="bullet"/>
      <w:lvlText w:val="▪"/>
      <w:lvlJc w:val="left"/>
      <w:pPr>
        <w:ind w:left="4320" w:hanging="360"/>
      </w:pPr>
      <w:rPr>
        <w:rFonts w:ascii="Noto Sans Symbols" w:hAnsi="Noto Sans Symbols" w:eastAsia="Noto Sans Symbols" w:cs="Noto Sans Symbols"/>
        <w:sz w:val="20"/>
        <w:szCs w:val="20"/>
      </w:rPr>
    </w:lvl>
    <w:lvl w:ilvl="6" w:tentative="0">
      <w:start w:val="1"/>
      <w:numFmt w:val="bullet"/>
      <w:lvlText w:val="▪"/>
      <w:lvlJc w:val="left"/>
      <w:pPr>
        <w:ind w:left="5040" w:hanging="360"/>
      </w:pPr>
      <w:rPr>
        <w:rFonts w:ascii="Noto Sans Symbols" w:hAnsi="Noto Sans Symbols" w:eastAsia="Noto Sans Symbols" w:cs="Noto Sans Symbols"/>
        <w:sz w:val="20"/>
        <w:szCs w:val="20"/>
      </w:rPr>
    </w:lvl>
    <w:lvl w:ilvl="7" w:tentative="0">
      <w:start w:val="1"/>
      <w:numFmt w:val="bullet"/>
      <w:lvlText w:val="▪"/>
      <w:lvlJc w:val="left"/>
      <w:pPr>
        <w:ind w:left="5760" w:hanging="360"/>
      </w:pPr>
      <w:rPr>
        <w:rFonts w:ascii="Noto Sans Symbols" w:hAnsi="Noto Sans Symbols" w:eastAsia="Noto Sans Symbols" w:cs="Noto Sans Symbols"/>
        <w:sz w:val="20"/>
        <w:szCs w:val="20"/>
      </w:rPr>
    </w:lvl>
    <w:lvl w:ilvl="8" w:tentative="0">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1">
    <w:nsid w:val="43BE1F0C"/>
    <w:multiLevelType w:val="multilevel"/>
    <w:tmpl w:val="43BE1F0C"/>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embedTrueTypeFonts/>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749C180C"/>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sz w:val="24"/>
      <w:szCs w:val="24"/>
      <w:lang w:val="zh-CN"/>
    </w:rPr>
  </w:style>
  <w:style w:type="paragraph" w:styleId="2">
    <w:name w:val="heading 1"/>
    <w:basedOn w:val="1"/>
    <w:next w:val="1"/>
    <w:qFormat/>
    <w:uiPriority w:val="0"/>
    <w:rPr>
      <w:b/>
      <w:bCs/>
    </w:rPr>
  </w:style>
  <w:style w:type="paragraph" w:styleId="3">
    <w:name w:val="heading 2"/>
    <w:basedOn w:val="1"/>
    <w:next w:val="1"/>
    <w:qFormat/>
    <w:uiPriority w:val="0"/>
    <w:rPr>
      <w:b/>
      <w:bCs/>
      <w:i/>
      <w:iCs/>
    </w:rPr>
  </w:style>
  <w:style w:type="paragraph" w:styleId="4">
    <w:name w:val="heading 3"/>
    <w:basedOn w:val="1"/>
    <w:next w:val="1"/>
    <w:qFormat/>
    <w:uiPriority w:val="0"/>
    <w:pPr>
      <w:keepNext/>
      <w:keepLines/>
      <w:spacing w:before="160" w:after="80"/>
    </w:pPr>
    <w:rPr>
      <w:color w:val="2F5496"/>
      <w:sz w:val="28"/>
      <w:szCs w:val="28"/>
    </w:rPr>
  </w:style>
  <w:style w:type="paragraph" w:styleId="5">
    <w:name w:val="heading 4"/>
    <w:basedOn w:val="1"/>
    <w:next w:val="1"/>
    <w:qFormat/>
    <w:uiPriority w:val="0"/>
    <w:pPr>
      <w:keepNext/>
      <w:keepLines/>
      <w:spacing w:before="80" w:after="40"/>
    </w:pPr>
    <w:rPr>
      <w:i/>
      <w:iCs/>
      <w:color w:val="2F5496"/>
    </w:rPr>
  </w:style>
  <w:style w:type="paragraph" w:styleId="6">
    <w:name w:val="heading 5"/>
    <w:basedOn w:val="1"/>
    <w:next w:val="1"/>
    <w:qFormat/>
    <w:uiPriority w:val="0"/>
    <w:pPr>
      <w:keepNext/>
      <w:keepLines/>
      <w:spacing w:before="80" w:after="40"/>
    </w:pPr>
    <w:rPr>
      <w:color w:val="2F5496"/>
    </w:rPr>
  </w:style>
  <w:style w:type="paragraph" w:styleId="7">
    <w:name w:val="heading 6"/>
    <w:basedOn w:val="1"/>
    <w:next w:val="1"/>
    <w:qFormat/>
    <w:uiPriority w:val="0"/>
    <w:pPr>
      <w:keepNext/>
      <w:keepLines/>
      <w:spacing w:before="40" w:after="0"/>
    </w:pPr>
    <w:rPr>
      <w:i/>
      <w:iCs/>
      <w:color w:val="595959"/>
    </w:rPr>
  </w:style>
  <w:style w:type="character" w:default="1" w:styleId="8">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Subtitle"/>
    <w:basedOn w:val="1"/>
    <w:next w:val="1"/>
    <w:qFormat/>
    <w:uiPriority w:val="0"/>
    <w:rPr>
      <w:color w:val="595959"/>
      <w:sz w:val="28"/>
      <w:szCs w:val="28"/>
    </w:rPr>
  </w:style>
  <w:style w:type="paragraph" w:styleId="11">
    <w:name w:val="Title"/>
    <w:basedOn w:val="1"/>
    <w:next w:val="1"/>
    <w:qFormat/>
    <w:uiPriority w:val="0"/>
    <w:pPr>
      <w:spacing w:after="80" w:line="240" w:lineRule="auto"/>
    </w:pPr>
    <w:rPr>
      <w:rFonts w:ascii="Calibri" w:hAnsi="Calibri" w:eastAsia="Calibri" w:cs="Calibri"/>
      <w:sz w:val="56"/>
      <w:szCs w:val="56"/>
    </w:rPr>
  </w:style>
  <w:style w:type="table" w:customStyle="1" w:styleId="12">
    <w:name w:val="TableNormal"/>
    <w:qFormat/>
    <w:uiPriority w:val="0"/>
    <w:tblPr>
      <w:tblCellMar>
        <w:top w:w="100" w:type="dxa"/>
        <w:left w:w="100" w:type="dxa"/>
        <w:bottom w:w="100" w:type="dxa"/>
        <w:right w:w="100" w:type="dxa"/>
      </w:tblCellMar>
    </w:tblPr>
  </w:style>
  <w:style w:type="table" w:customStyle="1" w:styleId="13">
    <w:name w:val="_Style 10"/>
    <w:basedOn w:val="12"/>
    <w:qFormat/>
    <w:uiPriority w:val="0"/>
    <w:pPr>
      <w:spacing w:after="0" w:line="240" w:lineRule="auto"/>
    </w:pPr>
    <w:tblPr>
      <w:tblCellMar>
        <w:top w:w="0" w:type="dxa"/>
        <w:left w:w="108" w:type="dxa"/>
        <w:bottom w:w="0" w:type="dxa"/>
        <w:right w:w="108" w:type="dxa"/>
      </w:tblCellMar>
    </w:tblPr>
  </w:style>
  <w:style w:type="table" w:customStyle="1" w:styleId="14">
    <w:name w:val="_Style 11"/>
    <w:basedOn w:val="12"/>
    <w:qFormat/>
    <w:uiPriority w:val="0"/>
    <w:pPr>
      <w:spacing w:after="0" w:line="240" w:lineRule="auto"/>
    </w:pPr>
    <w:tblPr>
      <w:tblCellMar>
        <w:top w:w="0" w:type="dxa"/>
        <w:left w:w="108" w:type="dxa"/>
        <w:bottom w:w="0" w:type="dxa"/>
        <w:right w:w="108" w:type="dxa"/>
      </w:tblCellMar>
    </w:tblPr>
  </w:style>
  <w:style w:type="table" w:customStyle="1" w:styleId="15">
    <w:name w:val="_Style 12"/>
    <w:basedOn w:val="12"/>
    <w:qFormat/>
    <w:uiPriority w:val="0"/>
    <w:pPr>
      <w:spacing w:after="0" w:line="240" w:lineRule="auto"/>
    </w:pPr>
    <w:tblPr>
      <w:tblCellMar>
        <w:top w:w="0" w:type="dxa"/>
        <w:left w:w="108" w:type="dxa"/>
        <w:bottom w:w="0" w:type="dxa"/>
        <w:right w:w="108" w:type="dxa"/>
      </w:tblCellMar>
    </w:tblPr>
  </w:style>
  <w:style w:type="table" w:customStyle="1" w:styleId="16">
    <w:name w:val="_Style 13"/>
    <w:basedOn w:val="12"/>
    <w:qFormat/>
    <w:uiPriority w:val="0"/>
    <w:pPr>
      <w:spacing w:after="0" w:line="240" w:lineRule="auto"/>
    </w:pPr>
    <w:tblPr>
      <w:tblCellMar>
        <w:top w:w="0" w:type="dxa"/>
        <w:left w:w="108" w:type="dxa"/>
        <w:bottom w:w="0" w:type="dxa"/>
        <w:right w:w="108" w:type="dxa"/>
      </w:tblCellMar>
    </w:tblPr>
  </w:style>
  <w:style w:type="table" w:customStyle="1" w:styleId="17">
    <w:name w:val="_Style 14"/>
    <w:basedOn w:val="12"/>
    <w:qFormat/>
    <w:uiPriority w:val="0"/>
    <w:tblPr>
      <w:tblCellMar>
        <w:top w:w="0" w:type="dxa"/>
        <w:left w:w="115" w:type="dxa"/>
        <w:bottom w:w="0" w:type="dxa"/>
        <w:right w:w="115" w:type="dxa"/>
      </w:tblCellMar>
    </w:tblPr>
  </w:style>
  <w:style w:type="table" w:customStyle="1" w:styleId="18">
    <w:name w:val="_Style 15"/>
    <w:basedOn w:val="12"/>
    <w:qFormat/>
    <w:uiPriority w:val="0"/>
    <w:tblPr>
      <w:tblCellMar>
        <w:top w:w="0" w:type="dxa"/>
        <w:left w:w="115" w:type="dxa"/>
        <w:bottom w:w="0" w:type="dxa"/>
        <w:right w:w="115" w:type="dxa"/>
      </w:tblCellMar>
    </w:tblPr>
  </w:style>
  <w:style w:type="table" w:customStyle="1" w:styleId="19">
    <w:name w:val="_Style 16"/>
    <w:basedOn w:val="12"/>
    <w:qFormat/>
    <w:uiPriority w:val="0"/>
    <w:tblPr>
      <w:tblCellMar>
        <w:top w:w="0" w:type="dxa"/>
        <w:left w:w="115" w:type="dxa"/>
        <w:bottom w:w="0" w:type="dxa"/>
        <w:right w:w="115" w:type="dxa"/>
      </w:tblCellMar>
    </w:tblPr>
  </w:style>
  <w:style w:type="table" w:customStyle="1" w:styleId="20">
    <w:name w:val="_Style 17"/>
    <w:basedOn w:val="12"/>
    <w:qFormat/>
    <w:uiPriority w:val="0"/>
    <w:tblPr>
      <w:tblCellMar>
        <w:top w:w="0" w:type="dxa"/>
        <w:left w:w="115" w:type="dxa"/>
        <w:bottom w:w="0" w:type="dxa"/>
        <w:right w:w="115" w:type="dxa"/>
      </w:tblCellMar>
    </w:tblPr>
  </w:style>
  <w:style w:type="table" w:customStyle="1" w:styleId="21">
    <w:name w:val="_Style 18"/>
    <w:basedOn w:val="12"/>
    <w:qFormat/>
    <w:uiPriority w:val="0"/>
    <w:tblPr>
      <w:tblCellMar>
        <w:top w:w="0" w:type="dxa"/>
        <w:left w:w="115" w:type="dxa"/>
        <w:bottom w:w="0" w:type="dxa"/>
        <w:right w:w="115" w:type="dxa"/>
      </w:tblCellMar>
    </w:tblPr>
  </w:style>
  <w:style w:type="table" w:customStyle="1" w:styleId="22">
    <w:name w:val="_Style 19"/>
    <w:basedOn w:val="12"/>
    <w:qFormat/>
    <w:uiPriority w:val="0"/>
    <w:tblPr>
      <w:tblCellMar>
        <w:top w:w="0" w:type="dxa"/>
        <w:left w:w="115" w:type="dxa"/>
        <w:bottom w:w="0" w:type="dxa"/>
        <w:right w:w="115" w:type="dxa"/>
      </w:tblCellMar>
    </w:tblPr>
  </w:style>
  <w:style w:type="table" w:customStyle="1" w:styleId="23">
    <w:name w:val="_Style 20"/>
    <w:basedOn w:val="12"/>
    <w:qFormat/>
    <w:uiPriority w:val="0"/>
    <w:tblPr>
      <w:tblCellMar>
        <w:top w:w="0" w:type="dxa"/>
        <w:left w:w="115" w:type="dxa"/>
        <w:bottom w:w="0" w:type="dxa"/>
        <w:right w:w="115" w:type="dxa"/>
      </w:tblCellMar>
    </w:tblPr>
  </w:style>
  <w:style w:type="table" w:customStyle="1" w:styleId="24">
    <w:name w:val="_Style 21"/>
    <w:basedOn w:val="12"/>
    <w:qFormat/>
    <w:uiPriority w:val="0"/>
    <w:tblPr>
      <w:tblCellMar>
        <w:top w:w="0" w:type="dxa"/>
        <w:left w:w="115" w:type="dxa"/>
        <w:bottom w:w="0" w:type="dxa"/>
        <w:right w:w="115" w:type="dxa"/>
      </w:tblCellMar>
    </w:tblPr>
  </w:style>
  <w:style w:type="table" w:customStyle="1" w:styleId="25">
    <w:name w:val="_Style 22"/>
    <w:basedOn w:val="12"/>
    <w:qFormat/>
    <w:uiPriority w:val="0"/>
    <w:pPr>
      <w:spacing w:after="0" w:line="240" w:lineRule="auto"/>
    </w:pPr>
    <w:tblPr>
      <w:tblCellMar>
        <w:top w:w="0" w:type="dxa"/>
        <w:left w:w="108" w:type="dxa"/>
        <w:bottom w:w="0" w:type="dxa"/>
        <w:right w:w="108" w:type="dxa"/>
      </w:tblCellMar>
    </w:tblPr>
  </w:style>
  <w:style w:type="table" w:customStyle="1" w:styleId="26">
    <w:name w:val="_Style 23"/>
    <w:basedOn w:val="12"/>
    <w:qFormat/>
    <w:uiPriority w:val="0"/>
    <w:tblPr/>
  </w:style>
  <w:style w:type="table" w:customStyle="1" w:styleId="27">
    <w:name w:val="_Style 24"/>
    <w:basedOn w:val="12"/>
    <w:qFormat/>
    <w:uiPriority w:val="0"/>
    <w:tblPr/>
  </w:style>
  <w:style w:type="table" w:customStyle="1" w:styleId="28">
    <w:name w:val="_Style 25"/>
    <w:basedOn w:val="12"/>
    <w:qFormat/>
    <w:uiPriority w:val="0"/>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Pages>46</Pages>
  <TotalTime>7</TotalTime>
  <ScaleCrop>false</ScaleCrop>
  <LinksUpToDate>false</LinksUpToDate>
  <Application>WPS Office_12.2.0.23155_F1E327BC-269C-435d-A152-05C5408002CA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2025-12-21T12:03:17Z</dcterms:created>
  <dc:creator>DELL</dc:creator>
  <cp:lastModifiedBy>Abhi Patel</cp:lastModifiedBy>
  <dcterms:modified xsi:type="dcterms:W3CDTF">2025-12-21T12:11:49Z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b4c31cda-9942-4045-82a7-c5b17089f6a1</vt:lpwstr>
  </property>
  <property fmtid="{D5CDD505-2E9C-101B-9397-08002B2CF9AE}" pid="3" name="KSOProductBuildVer">
    <vt:lpwstr>1033-12.2.0.23155</vt:lpwstr>
  </property>
  <property fmtid="{D5CDD505-2E9C-101B-9397-08002B2CF9AE}" pid="4" name="ICV">
    <vt:lpwstr>931D2D9A528547D39A11EEC6FDCE12E5_12</vt:lpwstr>
  </property>
</Properties>
</file>