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0222B" w14:textId="77777777" w:rsidR="00A32B31" w:rsidRPr="00A32B31" w:rsidRDefault="00A32B31" w:rsidP="00A32B31">
      <w:pPr>
        <w:spacing w:after="0" w:line="240" w:lineRule="auto"/>
        <w:rPr>
          <w:rFonts w:ascii="Times New Roman" w:hAnsi="Times New Roman" w:cs="Times New Roman"/>
          <w:kern w:val="0"/>
          <w14:ligatures w14:val="none"/>
        </w:rPr>
      </w:pPr>
      <w:r w:rsidRPr="00A32B31">
        <w:rPr>
          <w:rFonts w:ascii="Arial" w:hAnsi="Arial" w:cs="Arial"/>
          <w:b/>
          <w:bCs/>
          <w:i/>
          <w:iCs/>
          <w:color w:val="000000"/>
          <w:kern w:val="0"/>
          <w:sz w:val="22"/>
          <w:szCs w:val="22"/>
          <w:u w:val="single"/>
          <w14:ligatures w14:val="none"/>
        </w:rPr>
        <w:t>Voice and movement progress workbook</w:t>
      </w:r>
    </w:p>
    <w:p w14:paraId="097BABFC"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Thursday, 9th October: We went through 5 example movements and how they could be subtly changed to alter meaning. We then imagined a ball of light. It felt natural, I found that being observed didn’t change my movements. We did an exercise which involved throwing balls to each other in a pattern which helped with concentration. The exercise demanded we pay attention to each other, like how actors need to listen to each other in performances. </w:t>
      </w:r>
    </w:p>
    <w:p w14:paraId="68818649"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 xml:space="preserve">14th October: We discussed </w:t>
      </w:r>
      <w:proofErr w:type="spellStart"/>
      <w:r w:rsidRPr="00A32B31">
        <w:rPr>
          <w:rFonts w:ascii="Arial" w:hAnsi="Arial" w:cs="Arial"/>
          <w:color w:val="000000"/>
          <w:kern w:val="0"/>
          <w:sz w:val="22"/>
          <w:szCs w:val="22"/>
          <w14:ligatures w14:val="none"/>
        </w:rPr>
        <w:t>Grotowski’s</w:t>
      </w:r>
      <w:proofErr w:type="spellEnd"/>
      <w:r w:rsidRPr="00A32B31">
        <w:rPr>
          <w:rFonts w:ascii="Arial" w:hAnsi="Arial" w:cs="Arial"/>
          <w:color w:val="000000"/>
          <w:kern w:val="0"/>
          <w:sz w:val="22"/>
          <w:szCs w:val="22"/>
          <w14:ligatures w14:val="none"/>
        </w:rPr>
        <w:t xml:space="preserve"> (1968) statement of principles. The seventh principle stood out to me as it talked about maintaining good health; prioritising the performance. This is something I strive to improve at as it’ll make me a healthier person and better performer. We also did multiple different warmups. </w:t>
      </w:r>
    </w:p>
    <w:p w14:paraId="4C099102"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 xml:space="preserve">16th October: We focused on slow movement and imagined ourselves moving in different substances. We also did the pushing exercise by </w:t>
      </w:r>
      <w:proofErr w:type="spellStart"/>
      <w:r w:rsidRPr="00A32B31">
        <w:rPr>
          <w:rFonts w:ascii="Arial" w:hAnsi="Arial" w:cs="Arial"/>
          <w:color w:val="000000"/>
          <w:kern w:val="0"/>
          <w:sz w:val="22"/>
          <w:szCs w:val="22"/>
          <w14:ligatures w14:val="none"/>
        </w:rPr>
        <w:t>Wangh</w:t>
      </w:r>
      <w:proofErr w:type="spellEnd"/>
      <w:r w:rsidRPr="00A32B31">
        <w:rPr>
          <w:rFonts w:ascii="Arial" w:hAnsi="Arial" w:cs="Arial"/>
          <w:color w:val="000000"/>
          <w:kern w:val="0"/>
          <w:sz w:val="22"/>
          <w:szCs w:val="22"/>
          <w14:ligatures w14:val="none"/>
        </w:rPr>
        <w:t xml:space="preserve"> (2000). I found it tricky imagining going through thicker liquids but I enjoyed how different focus points could change the intention of movement. </w:t>
      </w:r>
    </w:p>
    <w:p w14:paraId="260CE88C"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21st October: We looked at Laban’s (2004) movements regarding how time, space, weight, and flow can impact a movement. We explored direct and indirect movement and actions like gliding, slashing and how they correlate to different emotions. We started on the floor on our backs like babies. We explored what movements our bodies wanted to make. Then we looked at how people experiencing different emotions walked. </w:t>
      </w:r>
    </w:p>
    <w:p w14:paraId="58420F23"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23rd October: We look at more of Laban’s (2004) method through exploring our personal bubbles and delving further into the specifics of how Laban’s (2004) method can be applied through different emotions and how they convey different circumstances. </w:t>
      </w:r>
    </w:p>
    <w:p w14:paraId="794B881B"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4th November: We looked at melting and how it connects to Laban’s (2004) techniques. It was helpful to me as there were many interpretations of movement, it was interesting to observe. I did struggle with differentiating them as some were quite similar. These techniques have a focus on how stillness and slow movement impact a performance. By embracing and being confident in stillness, I can hold an audience’s attention better. </w:t>
      </w:r>
    </w:p>
    <w:p w14:paraId="61B15E34"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6th November: We shared what poems we’d picked for the assessment. We did exercises that allowed us to breathe fully with our lungs. We made vowel sounds and used our diaphragm. We then chose three random sounds and explored them in different dynamics and pitches (Bogart’s (2005) viewpoints). We acted out different scenarios saying only the three sounds. I liked this activity as it put emphasis on tone and movement to tell a story and shifted focus to our pronunciation of sounds, though I’d prefer if we did an exercise that uses a wider range of vowel sounds. I’d like to incorporate a warm up that does this in my routine. </w:t>
      </w:r>
    </w:p>
    <w:p w14:paraId="6C77EE65"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11th November: We worked with big and small movements, imagining water movements without stereotyping our movement. It was interesting as it let imagination run wild. This was Lecoq (2002). We then did Lecoq’s (2002) stages of tension. This would change a movement performance as it shows a change in tempo and weight. A change in tension can alter the urgency in a performance. This method helped me break down movements into simple actions and meanings, I’d use this in future projects when working with simpler movements. </w:t>
      </w:r>
    </w:p>
    <w:p w14:paraId="50017C0C"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13th November: We’d chosen an animal to observe the movements of and mimic. I struggled to find 10 movements for a cat and my performance deserved more practice but I used Lecoq’s (2002) 7 stages of tension to make moments like hunting more tense. I could’ve used stillness more and observed how that impacted the piece. However, I could’ve put more focus on showing the emotion of the movements. There was a focus on balance when we put bamboo sticks between our fingers and balanced them as a group. This exercise demonstrated Lecoq’s (2002) stages of tension. This was a great exercise for improving attention and silent communication. </w:t>
      </w:r>
    </w:p>
    <w:p w14:paraId="6400ACA7"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 xml:space="preserve">17th November: We worked on our poems, analysing them, and using techniques we’d learnt in class (eg- Lecoq (2002), </w:t>
      </w:r>
      <w:proofErr w:type="spellStart"/>
      <w:r w:rsidRPr="00A32B31">
        <w:rPr>
          <w:rFonts w:ascii="Arial" w:hAnsi="Arial" w:cs="Arial"/>
          <w:color w:val="000000"/>
          <w:kern w:val="0"/>
          <w:sz w:val="22"/>
          <w:szCs w:val="22"/>
          <w14:ligatures w14:val="none"/>
        </w:rPr>
        <w:t>Growtowski</w:t>
      </w:r>
      <w:proofErr w:type="spellEnd"/>
      <w:r w:rsidRPr="00A32B31">
        <w:rPr>
          <w:rFonts w:ascii="Arial" w:hAnsi="Arial" w:cs="Arial"/>
          <w:color w:val="000000"/>
          <w:kern w:val="0"/>
          <w:sz w:val="22"/>
          <w:szCs w:val="22"/>
          <w14:ligatures w14:val="none"/>
        </w:rPr>
        <w:t xml:space="preserve"> (1968) etc). I found there were many different narratives I could take the piece. The piece I chose can be interpreted through many lenses but I wanted to portray a speaker that died centuries ago but still yearns to be alive. </w:t>
      </w:r>
    </w:p>
    <w:p w14:paraId="08EC69C6"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20th November: We’ve incorporated the theorists we’ve looked at into our poems. I’ve taken this poem in a literal sense with the image of an 1800s girl taking her own life. However, I recognise that a more abstract take on the poem could provide more chances for me to show my knowledge of movement. </w:t>
      </w:r>
    </w:p>
    <w:p w14:paraId="70A28201"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25th November: We discussed Bausch’s (2018) ideas of what moves humans. This was important when considering our poems; it encouraged me to think of the poem in an abstract sense rather than a literal sense- focusing on feeling rather than a succinct story. We did an exercise focused on dialling the emotion up or down using percentages. I embodied happiness through smiling, big movements with my arms, and walking on my toes. We tried different focus points for this exercise and I found this made my performance feel more contained as the actions were directed at a real person. We tried exercises where we’d be positioned on opposite sides of the room and act happiness to each other without talking. I wasn’t paying the other person much attention until we incorporated chairs into the routine due to the decrease in places to look.  </w:t>
      </w:r>
    </w:p>
    <w:p w14:paraId="25625F98"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27th November: We’d learnt about closing the space, interacting with people within the space. I found it intriguing for the variety and storytelling that comes with bouncing off another person; I may involve these ideas in my poem. Having another person in the performance would help to increase the tension. </w:t>
      </w:r>
    </w:p>
    <w:p w14:paraId="49FA0E07"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2nd December: We rehearsed our poems, focusing on creative ways we can add to the performances. Hearing feedback from my classmates helped, although I couldn’t use all their feedback as it contradicted my vision too much. </w:t>
      </w:r>
    </w:p>
    <w:p w14:paraId="18F90B25"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 xml:space="preserve">4th December: This is performance day. For my poem reading, I let go of worries and believed in my vision for the piece. I’m quite proud of my movement in performance- I </w:t>
      </w:r>
      <w:proofErr w:type="spellStart"/>
      <w:r w:rsidRPr="00A32B31">
        <w:rPr>
          <w:rFonts w:ascii="Arial" w:hAnsi="Arial" w:cs="Arial"/>
          <w:color w:val="000000"/>
          <w:kern w:val="0"/>
          <w:sz w:val="22"/>
          <w:szCs w:val="22"/>
          <w14:ligatures w14:val="none"/>
        </w:rPr>
        <w:t>utilized</w:t>
      </w:r>
      <w:proofErr w:type="spellEnd"/>
      <w:r w:rsidRPr="00A32B31">
        <w:rPr>
          <w:rFonts w:ascii="Arial" w:hAnsi="Arial" w:cs="Arial"/>
          <w:color w:val="000000"/>
          <w:kern w:val="0"/>
          <w:sz w:val="22"/>
          <w:szCs w:val="22"/>
          <w14:ligatures w14:val="none"/>
        </w:rPr>
        <w:t xml:space="preserve"> ideas from </w:t>
      </w:r>
      <w:proofErr w:type="spellStart"/>
      <w:r w:rsidRPr="00A32B31">
        <w:rPr>
          <w:rFonts w:ascii="Arial" w:hAnsi="Arial" w:cs="Arial"/>
          <w:color w:val="000000"/>
          <w:kern w:val="0"/>
          <w:sz w:val="22"/>
          <w:szCs w:val="22"/>
          <w14:ligatures w14:val="none"/>
        </w:rPr>
        <w:t>Wangh</w:t>
      </w:r>
      <w:proofErr w:type="spellEnd"/>
      <w:r w:rsidRPr="00A32B31">
        <w:rPr>
          <w:rFonts w:ascii="Arial" w:hAnsi="Arial" w:cs="Arial"/>
          <w:color w:val="000000"/>
          <w:kern w:val="0"/>
          <w:sz w:val="22"/>
          <w:szCs w:val="22"/>
          <w14:ligatures w14:val="none"/>
        </w:rPr>
        <w:t xml:space="preserve"> (2000) and Bogart (2005) quite well. Next time I am in a performance, I’d like to play around more with the vocals, having a variety in tempo, pitch, and dynamics. I’d also like to focus on variety in movement by looking at Laban's (2004) movements. This experience taught me to be less afraid of making decisive choices with my work. </w:t>
      </w:r>
    </w:p>
    <w:p w14:paraId="252D53CC"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i/>
          <w:iCs/>
          <w:color w:val="000000"/>
          <w:kern w:val="0"/>
          <w:sz w:val="22"/>
          <w:szCs w:val="22"/>
          <w:u w:val="single"/>
          <w14:ligatures w14:val="none"/>
        </w:rPr>
        <w:t>Bibliography:</w:t>
      </w:r>
    </w:p>
    <w:p w14:paraId="56F48C47"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 xml:space="preserve">Bogart, A. and Landau, T. (2005). </w:t>
      </w:r>
      <w:r w:rsidRPr="00A32B31">
        <w:rPr>
          <w:rFonts w:ascii="Arial" w:hAnsi="Arial" w:cs="Arial"/>
          <w:i/>
          <w:iCs/>
          <w:color w:val="000000"/>
          <w:kern w:val="0"/>
          <w:sz w:val="22"/>
          <w:szCs w:val="22"/>
          <w14:ligatures w14:val="none"/>
        </w:rPr>
        <w:t xml:space="preserve">The viewpoints book: a practical guide to viewpoints and composition. </w:t>
      </w:r>
      <w:r w:rsidRPr="00A32B31">
        <w:rPr>
          <w:rFonts w:ascii="Arial" w:hAnsi="Arial" w:cs="Arial"/>
          <w:color w:val="000000"/>
          <w:kern w:val="0"/>
          <w:sz w:val="22"/>
          <w:szCs w:val="22"/>
          <w14:ligatures w14:val="none"/>
        </w:rPr>
        <w:t>New York: Theatre Communications Group. </w:t>
      </w:r>
    </w:p>
    <w:p w14:paraId="7EB67175" w14:textId="77777777" w:rsidR="00A32B31" w:rsidRPr="00A32B31" w:rsidRDefault="00A32B31" w:rsidP="00A32B31">
      <w:pPr>
        <w:spacing w:before="240" w:after="240" w:line="240" w:lineRule="auto"/>
        <w:rPr>
          <w:rFonts w:ascii="Times New Roman" w:hAnsi="Times New Roman" w:cs="Times New Roman"/>
          <w:kern w:val="0"/>
          <w14:ligatures w14:val="none"/>
        </w:rPr>
      </w:pPr>
      <w:proofErr w:type="spellStart"/>
      <w:r w:rsidRPr="00A32B31">
        <w:rPr>
          <w:rFonts w:ascii="Arial" w:hAnsi="Arial" w:cs="Arial"/>
          <w:color w:val="000000"/>
          <w:kern w:val="0"/>
          <w:sz w:val="22"/>
          <w:szCs w:val="22"/>
          <w14:ligatures w14:val="none"/>
        </w:rPr>
        <w:t>Climenhaga</w:t>
      </w:r>
      <w:proofErr w:type="spellEnd"/>
      <w:r w:rsidRPr="00A32B31">
        <w:rPr>
          <w:rFonts w:ascii="Arial" w:hAnsi="Arial" w:cs="Arial"/>
          <w:color w:val="000000"/>
          <w:kern w:val="0"/>
          <w:sz w:val="22"/>
          <w:szCs w:val="22"/>
          <w14:ligatures w14:val="none"/>
        </w:rPr>
        <w:t xml:space="preserve">, R. (2018). </w:t>
      </w:r>
      <w:r w:rsidRPr="00A32B31">
        <w:rPr>
          <w:rFonts w:ascii="Arial" w:hAnsi="Arial" w:cs="Arial"/>
          <w:i/>
          <w:iCs/>
          <w:color w:val="000000"/>
          <w:kern w:val="0"/>
          <w:sz w:val="22"/>
          <w:szCs w:val="22"/>
          <w14:ligatures w14:val="none"/>
        </w:rPr>
        <w:t xml:space="preserve">Pina Bausch </w:t>
      </w:r>
      <w:r w:rsidRPr="00A32B31">
        <w:rPr>
          <w:rFonts w:ascii="Arial" w:hAnsi="Arial" w:cs="Arial"/>
          <w:color w:val="000000"/>
          <w:kern w:val="0"/>
          <w:sz w:val="22"/>
          <w:szCs w:val="22"/>
          <w14:ligatures w14:val="none"/>
        </w:rPr>
        <w:t xml:space="preserve">(2nd ed). Oxen </w:t>
      </w:r>
      <w:proofErr w:type="spellStart"/>
      <w:r w:rsidRPr="00A32B31">
        <w:rPr>
          <w:rFonts w:ascii="Arial" w:hAnsi="Arial" w:cs="Arial"/>
          <w:color w:val="000000"/>
          <w:kern w:val="0"/>
          <w:sz w:val="22"/>
          <w:szCs w:val="22"/>
          <w14:ligatures w14:val="none"/>
        </w:rPr>
        <w:t>Routledge</w:t>
      </w:r>
      <w:proofErr w:type="spellEnd"/>
      <w:r w:rsidRPr="00A32B31">
        <w:rPr>
          <w:rFonts w:ascii="Arial" w:hAnsi="Arial" w:cs="Arial"/>
          <w:color w:val="000000"/>
          <w:kern w:val="0"/>
          <w:sz w:val="22"/>
          <w:szCs w:val="22"/>
          <w14:ligatures w14:val="none"/>
        </w:rPr>
        <w:t>. </w:t>
      </w:r>
    </w:p>
    <w:p w14:paraId="382B8466" w14:textId="77777777" w:rsidR="00A32B31" w:rsidRPr="00A32B31" w:rsidRDefault="00A32B31" w:rsidP="00A32B31">
      <w:pPr>
        <w:spacing w:before="240" w:after="240" w:line="240" w:lineRule="auto"/>
        <w:rPr>
          <w:rFonts w:ascii="Times New Roman" w:hAnsi="Times New Roman" w:cs="Times New Roman"/>
          <w:kern w:val="0"/>
          <w14:ligatures w14:val="none"/>
        </w:rPr>
      </w:pPr>
      <w:proofErr w:type="spellStart"/>
      <w:r w:rsidRPr="00A32B31">
        <w:rPr>
          <w:rFonts w:ascii="Arial" w:hAnsi="Arial" w:cs="Arial"/>
          <w:color w:val="000000"/>
          <w:kern w:val="0"/>
          <w:sz w:val="22"/>
          <w:szCs w:val="22"/>
          <w14:ligatures w14:val="none"/>
        </w:rPr>
        <w:t>Grotowski</w:t>
      </w:r>
      <w:proofErr w:type="spellEnd"/>
      <w:r w:rsidRPr="00A32B31">
        <w:rPr>
          <w:rFonts w:ascii="Arial" w:hAnsi="Arial" w:cs="Arial"/>
          <w:color w:val="000000"/>
          <w:kern w:val="0"/>
          <w:sz w:val="22"/>
          <w:szCs w:val="22"/>
          <w14:ligatures w14:val="none"/>
        </w:rPr>
        <w:t xml:space="preserve">, J. (1968). </w:t>
      </w:r>
      <w:r w:rsidRPr="00A32B31">
        <w:rPr>
          <w:rFonts w:ascii="Arial" w:hAnsi="Arial" w:cs="Arial"/>
          <w:i/>
          <w:iCs/>
          <w:color w:val="000000"/>
          <w:kern w:val="0"/>
          <w:sz w:val="22"/>
          <w:szCs w:val="22"/>
          <w14:ligatures w14:val="none"/>
        </w:rPr>
        <w:t>Towards a Poor Theatre</w:t>
      </w:r>
      <w:r w:rsidRPr="00A32B31">
        <w:rPr>
          <w:rFonts w:ascii="Arial" w:hAnsi="Arial" w:cs="Arial"/>
          <w:color w:val="000000"/>
          <w:kern w:val="0"/>
          <w:sz w:val="22"/>
          <w:szCs w:val="22"/>
          <w14:ligatures w14:val="none"/>
        </w:rPr>
        <w:t>. London: Methuen Drama. </w:t>
      </w:r>
    </w:p>
    <w:p w14:paraId="7883104C" w14:textId="77777777" w:rsidR="00A32B31" w:rsidRPr="00A32B31" w:rsidRDefault="00A32B31" w:rsidP="00A32B31">
      <w:pPr>
        <w:spacing w:before="240" w:after="240" w:line="240" w:lineRule="auto"/>
        <w:rPr>
          <w:rFonts w:ascii="Times New Roman" w:hAnsi="Times New Roman" w:cs="Times New Roman"/>
          <w:kern w:val="0"/>
          <w14:ligatures w14:val="none"/>
        </w:rPr>
      </w:pPr>
      <w:r w:rsidRPr="00A32B31">
        <w:rPr>
          <w:rFonts w:ascii="Arial" w:hAnsi="Arial" w:cs="Arial"/>
          <w:color w:val="000000"/>
          <w:kern w:val="0"/>
          <w:sz w:val="22"/>
          <w:szCs w:val="22"/>
          <w14:ligatures w14:val="none"/>
        </w:rPr>
        <w:t xml:space="preserve">Lecoq, J. </w:t>
      </w:r>
      <w:r w:rsidRPr="00A32B31">
        <w:rPr>
          <w:rFonts w:ascii="Arial" w:hAnsi="Arial" w:cs="Arial"/>
          <w:i/>
          <w:iCs/>
          <w:color w:val="000000"/>
          <w:kern w:val="0"/>
          <w:sz w:val="22"/>
          <w:szCs w:val="22"/>
          <w14:ligatures w14:val="none"/>
        </w:rPr>
        <w:t xml:space="preserve">et al. </w:t>
      </w:r>
      <w:r w:rsidRPr="00A32B31">
        <w:rPr>
          <w:rFonts w:ascii="Arial" w:hAnsi="Arial" w:cs="Arial"/>
          <w:color w:val="000000"/>
          <w:kern w:val="0"/>
          <w:sz w:val="22"/>
          <w:szCs w:val="22"/>
          <w14:ligatures w14:val="none"/>
        </w:rPr>
        <w:t xml:space="preserve">(2002) </w:t>
      </w:r>
      <w:r w:rsidRPr="00A32B31">
        <w:rPr>
          <w:rFonts w:ascii="Arial" w:hAnsi="Arial" w:cs="Arial"/>
          <w:i/>
          <w:iCs/>
          <w:color w:val="000000"/>
          <w:kern w:val="0"/>
          <w:sz w:val="22"/>
          <w:szCs w:val="22"/>
          <w14:ligatures w14:val="none"/>
        </w:rPr>
        <w:t>The moving body: teaching creative theatre</w:t>
      </w:r>
      <w:r w:rsidRPr="00A32B31">
        <w:rPr>
          <w:rFonts w:ascii="Arial" w:hAnsi="Arial" w:cs="Arial"/>
          <w:color w:val="000000"/>
          <w:kern w:val="0"/>
          <w:sz w:val="22"/>
          <w:szCs w:val="22"/>
          <w14:ligatures w14:val="none"/>
        </w:rPr>
        <w:t>. London: Methuen Drama. </w:t>
      </w:r>
    </w:p>
    <w:p w14:paraId="57152C3E" w14:textId="77777777" w:rsidR="00A32B31" w:rsidRPr="00A32B31" w:rsidRDefault="00A32B31" w:rsidP="00A32B31">
      <w:pPr>
        <w:spacing w:before="240" w:after="240" w:line="240" w:lineRule="auto"/>
        <w:rPr>
          <w:rFonts w:ascii="Times New Roman" w:hAnsi="Times New Roman" w:cs="Times New Roman"/>
          <w:kern w:val="0"/>
          <w14:ligatures w14:val="none"/>
        </w:rPr>
      </w:pPr>
      <w:proofErr w:type="spellStart"/>
      <w:r w:rsidRPr="00A32B31">
        <w:rPr>
          <w:rFonts w:ascii="Arial" w:hAnsi="Arial" w:cs="Arial"/>
          <w:color w:val="000000"/>
          <w:kern w:val="0"/>
          <w:sz w:val="22"/>
          <w:szCs w:val="22"/>
          <w14:ligatures w14:val="none"/>
        </w:rPr>
        <w:t>Newlove</w:t>
      </w:r>
      <w:proofErr w:type="spellEnd"/>
      <w:r w:rsidRPr="00A32B31">
        <w:rPr>
          <w:rFonts w:ascii="Arial" w:hAnsi="Arial" w:cs="Arial"/>
          <w:color w:val="000000"/>
          <w:kern w:val="0"/>
          <w:sz w:val="22"/>
          <w:szCs w:val="22"/>
          <w14:ligatures w14:val="none"/>
        </w:rPr>
        <w:t>, J and Dalby, J (2004)</w:t>
      </w:r>
      <w:r w:rsidRPr="00A32B31">
        <w:rPr>
          <w:rFonts w:ascii="Arial" w:hAnsi="Arial" w:cs="Arial"/>
          <w:i/>
          <w:iCs/>
          <w:color w:val="000000"/>
          <w:kern w:val="0"/>
          <w:sz w:val="22"/>
          <w:szCs w:val="22"/>
          <w14:ligatures w14:val="none"/>
        </w:rPr>
        <w:t xml:space="preserve"> Laban for all. </w:t>
      </w:r>
      <w:r w:rsidRPr="00A32B31">
        <w:rPr>
          <w:rFonts w:ascii="Arial" w:hAnsi="Arial" w:cs="Arial"/>
          <w:color w:val="000000"/>
          <w:kern w:val="0"/>
          <w:sz w:val="22"/>
          <w:szCs w:val="22"/>
          <w14:ligatures w14:val="none"/>
        </w:rPr>
        <w:t>London: Nick Hern Books. </w:t>
      </w:r>
    </w:p>
    <w:p w14:paraId="624F314B" w14:textId="77777777" w:rsidR="00A32B31" w:rsidRPr="00A32B31" w:rsidRDefault="00A32B31" w:rsidP="00A32B31">
      <w:pPr>
        <w:spacing w:before="240" w:after="240" w:line="240" w:lineRule="auto"/>
        <w:rPr>
          <w:rFonts w:ascii="Times New Roman" w:hAnsi="Times New Roman" w:cs="Times New Roman"/>
          <w:kern w:val="0"/>
          <w14:ligatures w14:val="none"/>
        </w:rPr>
      </w:pPr>
      <w:proofErr w:type="spellStart"/>
      <w:r w:rsidRPr="00A32B31">
        <w:rPr>
          <w:rFonts w:ascii="Arial" w:hAnsi="Arial" w:cs="Arial"/>
          <w:color w:val="000000"/>
          <w:kern w:val="0"/>
          <w:sz w:val="22"/>
          <w:szCs w:val="22"/>
          <w14:ligatures w14:val="none"/>
        </w:rPr>
        <w:t>Wangh</w:t>
      </w:r>
      <w:proofErr w:type="spellEnd"/>
      <w:r w:rsidRPr="00A32B31">
        <w:rPr>
          <w:rFonts w:ascii="Arial" w:hAnsi="Arial" w:cs="Arial"/>
          <w:color w:val="000000"/>
          <w:kern w:val="0"/>
          <w:sz w:val="22"/>
          <w:szCs w:val="22"/>
          <w14:ligatures w14:val="none"/>
        </w:rPr>
        <w:t xml:space="preserve">, S. (2000) </w:t>
      </w:r>
      <w:r w:rsidRPr="00A32B31">
        <w:rPr>
          <w:rFonts w:ascii="Arial" w:hAnsi="Arial" w:cs="Arial"/>
          <w:i/>
          <w:iCs/>
          <w:color w:val="000000"/>
          <w:kern w:val="0"/>
          <w:sz w:val="22"/>
          <w:szCs w:val="22"/>
          <w14:ligatures w14:val="none"/>
        </w:rPr>
        <w:t xml:space="preserve">An Acrobat of the Heart: A Physical Approach to Acting Inspired by the Work of Jerzy </w:t>
      </w:r>
      <w:proofErr w:type="spellStart"/>
      <w:r w:rsidRPr="00A32B31">
        <w:rPr>
          <w:rFonts w:ascii="Arial" w:hAnsi="Arial" w:cs="Arial"/>
          <w:i/>
          <w:iCs/>
          <w:color w:val="000000"/>
          <w:kern w:val="0"/>
          <w:sz w:val="22"/>
          <w:szCs w:val="22"/>
          <w14:ligatures w14:val="none"/>
        </w:rPr>
        <w:t>Grotowski</w:t>
      </w:r>
      <w:proofErr w:type="spellEnd"/>
      <w:r w:rsidRPr="00A32B31">
        <w:rPr>
          <w:rFonts w:ascii="Arial" w:hAnsi="Arial" w:cs="Arial"/>
          <w:i/>
          <w:iCs/>
          <w:color w:val="000000"/>
          <w:kern w:val="0"/>
          <w:sz w:val="22"/>
          <w:szCs w:val="22"/>
          <w14:ligatures w14:val="none"/>
        </w:rPr>
        <w:t xml:space="preserve">. </w:t>
      </w:r>
      <w:r w:rsidRPr="00A32B31">
        <w:rPr>
          <w:rFonts w:ascii="Arial" w:hAnsi="Arial" w:cs="Arial"/>
          <w:color w:val="000000"/>
          <w:kern w:val="0"/>
          <w:sz w:val="22"/>
          <w:szCs w:val="22"/>
          <w14:ligatures w14:val="none"/>
        </w:rPr>
        <w:t>New York: Vintage Books. </w:t>
      </w:r>
    </w:p>
    <w:p w14:paraId="1323043B" w14:textId="77777777" w:rsidR="00A32B31" w:rsidRPr="00A32B31" w:rsidRDefault="00A32B31" w:rsidP="00A32B31">
      <w:pPr>
        <w:spacing w:after="240" w:line="240" w:lineRule="auto"/>
        <w:rPr>
          <w:rFonts w:ascii="Times New Roman" w:eastAsia="Times New Roman" w:hAnsi="Times New Roman" w:cs="Times New Roman"/>
          <w:kern w:val="0"/>
          <w14:ligatures w14:val="none"/>
        </w:rPr>
      </w:pPr>
    </w:p>
    <w:p w14:paraId="41661A2F" w14:textId="77777777" w:rsidR="00A32B31" w:rsidRPr="00A32B31" w:rsidRDefault="00A32B31" w:rsidP="00A32B31">
      <w:pPr>
        <w:spacing w:after="0" w:line="240" w:lineRule="auto"/>
        <w:rPr>
          <w:rFonts w:ascii="Times New Roman" w:hAnsi="Times New Roman" w:cs="Times New Roman"/>
          <w:kern w:val="0"/>
          <w14:ligatures w14:val="none"/>
        </w:rPr>
      </w:pPr>
    </w:p>
    <w:p w14:paraId="279176CB" w14:textId="77777777" w:rsidR="00A32B31" w:rsidRDefault="00A32B31"/>
    <w:sectPr w:rsidR="00A32B31" w:rsidSect="00A32B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3"/>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B31"/>
    <w:rsid w:val="0069224C"/>
    <w:rsid w:val="00A32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D3B00E"/>
  <w15:chartTrackingRefBased/>
  <w15:docId w15:val="{58779BCD-CA53-F743-8ABE-0671493ED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B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32B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2B3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2B3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2B3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2B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B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B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B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B3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32B3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2B3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2B3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2B3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2B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B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B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B31"/>
    <w:rPr>
      <w:rFonts w:eastAsiaTheme="majorEastAsia" w:cstheme="majorBidi"/>
      <w:color w:val="272727" w:themeColor="text1" w:themeTint="D8"/>
    </w:rPr>
  </w:style>
  <w:style w:type="paragraph" w:styleId="Title">
    <w:name w:val="Title"/>
    <w:basedOn w:val="Normal"/>
    <w:next w:val="Normal"/>
    <w:link w:val="TitleChar"/>
    <w:uiPriority w:val="10"/>
    <w:qFormat/>
    <w:rsid w:val="00A32B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B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B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B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B31"/>
    <w:pPr>
      <w:spacing w:before="160"/>
      <w:jc w:val="center"/>
    </w:pPr>
    <w:rPr>
      <w:i/>
      <w:iCs/>
      <w:color w:val="404040" w:themeColor="text1" w:themeTint="BF"/>
    </w:rPr>
  </w:style>
  <w:style w:type="character" w:customStyle="1" w:styleId="QuoteChar">
    <w:name w:val="Quote Char"/>
    <w:basedOn w:val="DefaultParagraphFont"/>
    <w:link w:val="Quote"/>
    <w:uiPriority w:val="29"/>
    <w:rsid w:val="00A32B31"/>
    <w:rPr>
      <w:i/>
      <w:iCs/>
      <w:color w:val="404040" w:themeColor="text1" w:themeTint="BF"/>
    </w:rPr>
  </w:style>
  <w:style w:type="paragraph" w:styleId="ListParagraph">
    <w:name w:val="List Paragraph"/>
    <w:basedOn w:val="Normal"/>
    <w:uiPriority w:val="34"/>
    <w:qFormat/>
    <w:rsid w:val="00A32B31"/>
    <w:pPr>
      <w:ind w:left="720"/>
      <w:contextualSpacing/>
    </w:pPr>
  </w:style>
  <w:style w:type="character" w:styleId="IntenseEmphasis">
    <w:name w:val="Intense Emphasis"/>
    <w:basedOn w:val="DefaultParagraphFont"/>
    <w:uiPriority w:val="21"/>
    <w:qFormat/>
    <w:rsid w:val="00A32B31"/>
    <w:rPr>
      <w:i/>
      <w:iCs/>
      <w:color w:val="2F5496" w:themeColor="accent1" w:themeShade="BF"/>
    </w:rPr>
  </w:style>
  <w:style w:type="paragraph" w:styleId="IntenseQuote">
    <w:name w:val="Intense Quote"/>
    <w:basedOn w:val="Normal"/>
    <w:next w:val="Normal"/>
    <w:link w:val="IntenseQuoteChar"/>
    <w:uiPriority w:val="30"/>
    <w:qFormat/>
    <w:rsid w:val="00A32B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2B31"/>
    <w:rPr>
      <w:i/>
      <w:iCs/>
      <w:color w:val="2F5496" w:themeColor="accent1" w:themeShade="BF"/>
    </w:rPr>
  </w:style>
  <w:style w:type="character" w:styleId="IntenseReference">
    <w:name w:val="Intense Reference"/>
    <w:basedOn w:val="DefaultParagraphFont"/>
    <w:uiPriority w:val="32"/>
    <w:qFormat/>
    <w:rsid w:val="00A32B31"/>
    <w:rPr>
      <w:b/>
      <w:bCs/>
      <w:smallCaps/>
      <w:color w:val="2F5496" w:themeColor="accent1" w:themeShade="BF"/>
      <w:spacing w:val="5"/>
    </w:rPr>
  </w:style>
  <w:style w:type="paragraph" w:styleId="NormalWeb">
    <w:name w:val="Normal (Web)"/>
    <w:basedOn w:val="Normal"/>
    <w:uiPriority w:val="99"/>
    <w:semiHidden/>
    <w:unhideWhenUsed/>
    <w:rsid w:val="00A32B31"/>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1066</Words>
  <Characters>6080</Characters>
  <Application>Microsoft Office Word</Application>
  <DocSecurity>0</DocSecurity>
  <Lines>50</Lines>
  <Paragraphs>14</Paragraphs>
  <ScaleCrop>false</ScaleCrop>
  <Company/>
  <LinksUpToDate>false</LinksUpToDate>
  <CharactersWithSpaces>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Samuel</dc:creator>
  <cp:keywords/>
  <dc:description/>
  <cp:lastModifiedBy>Zara Samuel</cp:lastModifiedBy>
  <cp:revision>2</cp:revision>
  <dcterms:created xsi:type="dcterms:W3CDTF">2025-12-11T13:02:00Z</dcterms:created>
  <dcterms:modified xsi:type="dcterms:W3CDTF">2025-12-11T13:02:00Z</dcterms:modified>
</cp:coreProperties>
</file>